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F5E6E" w14:textId="26FCB7AA" w:rsidR="00C752E8" w:rsidRPr="00365E42" w:rsidRDefault="00D04553" w:rsidP="00C752E8">
      <w:pPr>
        <w:widowControl w:val="0"/>
        <w:spacing w:after="0" w:line="240" w:lineRule="auto"/>
        <w:jc w:val="right"/>
        <w:rPr>
          <w:rFonts w:ascii="Book Antiqua" w:eastAsia="Times New Roman" w:hAnsi="Book Antiqua" w:cs="Book Antiqua"/>
          <w:snapToGrid w:val="0"/>
          <w:sz w:val="24"/>
          <w:szCs w:val="24"/>
          <w:lang w:eastAsia="es-ES"/>
        </w:rPr>
      </w:pPr>
      <w:r w:rsidRPr="00365E42">
        <w:rPr>
          <w:rFonts w:ascii="Book Antiqua" w:eastAsia="Times New Roman" w:hAnsi="Book Antiqua" w:cs="Book Antiqua"/>
          <w:snapToGrid w:val="0"/>
          <w:sz w:val="24"/>
          <w:szCs w:val="24"/>
          <w:lang w:eastAsia="es-ES"/>
        </w:rPr>
        <w:t>1231</w:t>
      </w:r>
      <w:r w:rsidR="00C752E8" w:rsidRPr="00365E42">
        <w:rPr>
          <w:rFonts w:ascii="Book Antiqua" w:eastAsia="Times New Roman" w:hAnsi="Book Antiqua" w:cs="Book Antiqua"/>
          <w:snapToGrid w:val="0"/>
          <w:sz w:val="24"/>
          <w:szCs w:val="24"/>
          <w:lang w:eastAsia="es-ES"/>
        </w:rPr>
        <w:t>-PLA-</w:t>
      </w:r>
      <w:r w:rsidRPr="00365E42">
        <w:rPr>
          <w:rFonts w:ascii="Book Antiqua" w:eastAsia="Times New Roman" w:hAnsi="Book Antiqua" w:cs="Book Antiqua"/>
          <w:snapToGrid w:val="0"/>
          <w:sz w:val="24"/>
          <w:szCs w:val="24"/>
          <w:lang w:eastAsia="es-ES"/>
        </w:rPr>
        <w:t>ES</w:t>
      </w:r>
      <w:r w:rsidR="00C752E8" w:rsidRPr="00365E42">
        <w:rPr>
          <w:rFonts w:ascii="Book Antiqua" w:eastAsia="Times New Roman" w:hAnsi="Book Antiqua" w:cs="Book Antiqua"/>
          <w:snapToGrid w:val="0"/>
          <w:sz w:val="24"/>
          <w:szCs w:val="24"/>
          <w:lang w:eastAsia="es-ES"/>
        </w:rPr>
        <w:t>-2020</w:t>
      </w:r>
    </w:p>
    <w:p w14:paraId="4ED682C5" w14:textId="4D4C6DB5" w:rsidR="00C752E8" w:rsidRPr="00365E42" w:rsidRDefault="00C752E8" w:rsidP="00C752E8">
      <w:pPr>
        <w:widowControl w:val="0"/>
        <w:spacing w:after="0" w:line="240" w:lineRule="auto"/>
        <w:jc w:val="right"/>
        <w:rPr>
          <w:rFonts w:ascii="Book Antiqua" w:eastAsia="Times New Roman" w:hAnsi="Book Antiqua" w:cs="Book Antiqua"/>
          <w:snapToGrid w:val="0"/>
          <w:sz w:val="24"/>
          <w:szCs w:val="24"/>
          <w:lang w:eastAsia="es-ES"/>
        </w:rPr>
      </w:pPr>
      <w:r w:rsidRPr="00365E42">
        <w:rPr>
          <w:rFonts w:ascii="Book Antiqua" w:eastAsia="Times New Roman" w:hAnsi="Book Antiqua" w:cs="Book Antiqua"/>
          <w:sz w:val="24"/>
          <w:szCs w:val="24"/>
          <w:lang w:eastAsia="es-ES"/>
        </w:rPr>
        <w:t xml:space="preserve">Ref. SICE: </w:t>
      </w:r>
      <w:r w:rsidR="00D04553" w:rsidRPr="00365E42">
        <w:rPr>
          <w:rFonts w:ascii="Book Antiqua" w:eastAsia="Times New Roman" w:hAnsi="Book Antiqua" w:cs="Book Antiqua"/>
          <w:sz w:val="24"/>
          <w:szCs w:val="24"/>
          <w:lang w:eastAsia="es-ES"/>
        </w:rPr>
        <w:t>1352-20</w:t>
      </w:r>
    </w:p>
    <w:p w14:paraId="16638D1F"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eastAsia="es-ES"/>
        </w:rPr>
      </w:pPr>
    </w:p>
    <w:p w14:paraId="042991AB" w14:textId="399350C2" w:rsidR="00C752E8" w:rsidRPr="00365E42" w:rsidRDefault="00D04553" w:rsidP="00C752E8">
      <w:pPr>
        <w:widowControl w:val="0"/>
        <w:spacing w:after="0" w:line="240" w:lineRule="auto"/>
        <w:rPr>
          <w:rFonts w:ascii="Book Antiqua" w:eastAsia="Times New Roman" w:hAnsi="Book Antiqua" w:cs="Book Antiqua"/>
          <w:snapToGrid w:val="0"/>
          <w:sz w:val="24"/>
          <w:szCs w:val="24"/>
          <w:lang w:eastAsia="es-ES"/>
        </w:rPr>
      </w:pPr>
      <w:r w:rsidRPr="00365E42">
        <w:rPr>
          <w:rFonts w:ascii="Book Antiqua" w:eastAsia="Times New Roman" w:hAnsi="Book Antiqua" w:cs="Book Antiqua"/>
          <w:snapToGrid w:val="0"/>
          <w:sz w:val="24"/>
          <w:szCs w:val="24"/>
          <w:lang w:eastAsia="es-ES"/>
        </w:rPr>
        <w:t>1</w:t>
      </w:r>
      <w:r w:rsidR="00E865AE">
        <w:rPr>
          <w:rFonts w:ascii="Book Antiqua" w:eastAsia="Times New Roman" w:hAnsi="Book Antiqua" w:cs="Book Antiqua"/>
          <w:snapToGrid w:val="0"/>
          <w:sz w:val="24"/>
          <w:szCs w:val="24"/>
          <w:lang w:eastAsia="es-ES"/>
        </w:rPr>
        <w:t>4</w:t>
      </w:r>
      <w:r w:rsidRPr="00365E42">
        <w:rPr>
          <w:rFonts w:ascii="Book Antiqua" w:eastAsia="Times New Roman" w:hAnsi="Book Antiqua" w:cs="Book Antiqua"/>
          <w:snapToGrid w:val="0"/>
          <w:sz w:val="24"/>
          <w:szCs w:val="24"/>
          <w:lang w:eastAsia="es-ES"/>
        </w:rPr>
        <w:t xml:space="preserve"> de agosto </w:t>
      </w:r>
      <w:r w:rsidR="00C752E8" w:rsidRPr="00365E42">
        <w:rPr>
          <w:rFonts w:ascii="Book Antiqua" w:eastAsia="Times New Roman" w:hAnsi="Book Antiqua" w:cs="Book Antiqua"/>
          <w:snapToGrid w:val="0"/>
          <w:sz w:val="24"/>
          <w:szCs w:val="24"/>
          <w:lang w:eastAsia="es-ES"/>
        </w:rPr>
        <w:t>de 2020</w:t>
      </w:r>
    </w:p>
    <w:p w14:paraId="49C5F176"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eastAsia="es-ES"/>
        </w:rPr>
      </w:pPr>
    </w:p>
    <w:p w14:paraId="49CD1961"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eastAsia="es-ES"/>
        </w:rPr>
      </w:pPr>
    </w:p>
    <w:p w14:paraId="5C536C16" w14:textId="0D119039" w:rsidR="00C752E8" w:rsidRDefault="00C752E8" w:rsidP="00C752E8">
      <w:pPr>
        <w:widowControl w:val="0"/>
        <w:spacing w:after="0" w:line="240" w:lineRule="auto"/>
        <w:rPr>
          <w:rFonts w:ascii="Book Antiqua" w:eastAsia="Times New Roman" w:hAnsi="Book Antiqua" w:cs="Book Antiqua"/>
          <w:snapToGrid w:val="0"/>
          <w:sz w:val="24"/>
          <w:szCs w:val="24"/>
          <w:lang w:eastAsia="es-ES"/>
        </w:rPr>
      </w:pPr>
    </w:p>
    <w:p w14:paraId="75D69D8A" w14:textId="77777777" w:rsidR="00336A2B" w:rsidRPr="00365E42" w:rsidRDefault="00336A2B" w:rsidP="00C752E8">
      <w:pPr>
        <w:widowControl w:val="0"/>
        <w:spacing w:after="0" w:line="240" w:lineRule="auto"/>
        <w:rPr>
          <w:rFonts w:ascii="Book Antiqua" w:eastAsia="Times New Roman" w:hAnsi="Book Antiqua" w:cs="Book Antiqua"/>
          <w:snapToGrid w:val="0"/>
          <w:sz w:val="24"/>
          <w:szCs w:val="24"/>
          <w:lang w:eastAsia="es-ES"/>
        </w:rPr>
      </w:pPr>
    </w:p>
    <w:p w14:paraId="21EAAD9B" w14:textId="77777777" w:rsidR="00365E42" w:rsidRPr="00365E42" w:rsidRDefault="00365E42" w:rsidP="00365E42">
      <w:pPr>
        <w:pStyle w:val="Prrafodelista1"/>
        <w:tabs>
          <w:tab w:val="num" w:pos="709"/>
        </w:tabs>
        <w:ind w:left="0"/>
        <w:rPr>
          <w:rFonts w:ascii="Book Antiqua" w:hAnsi="Book Antiqua"/>
        </w:rPr>
      </w:pPr>
      <w:r w:rsidRPr="00365E42">
        <w:rPr>
          <w:rFonts w:ascii="Book Antiqua" w:hAnsi="Book Antiqua"/>
        </w:rPr>
        <w:t xml:space="preserve">Máster </w:t>
      </w:r>
    </w:p>
    <w:p w14:paraId="4640157C" w14:textId="460DFE89" w:rsidR="00365E42" w:rsidRPr="00365E42" w:rsidRDefault="00365E42" w:rsidP="00365E42">
      <w:pPr>
        <w:pStyle w:val="Prrafodelista1"/>
        <w:tabs>
          <w:tab w:val="num" w:pos="709"/>
        </w:tabs>
        <w:ind w:left="0"/>
        <w:rPr>
          <w:rFonts w:ascii="Book Antiqua" w:hAnsi="Book Antiqua"/>
        </w:rPr>
      </w:pPr>
      <w:r w:rsidRPr="00365E42">
        <w:rPr>
          <w:rFonts w:ascii="Book Antiqua" w:hAnsi="Book Antiqua"/>
        </w:rPr>
        <w:t xml:space="preserve">Emilia Navas Aparicio    </w:t>
      </w:r>
    </w:p>
    <w:p w14:paraId="581B6C59" w14:textId="77777777" w:rsidR="00E865AE" w:rsidRDefault="00365E42" w:rsidP="00365E42">
      <w:pPr>
        <w:pStyle w:val="Prrafodelista1"/>
        <w:tabs>
          <w:tab w:val="num" w:pos="709"/>
        </w:tabs>
        <w:ind w:left="0"/>
        <w:rPr>
          <w:rFonts w:ascii="Book Antiqua" w:hAnsi="Book Antiqua"/>
        </w:rPr>
      </w:pPr>
      <w:r w:rsidRPr="00365E42">
        <w:rPr>
          <w:rFonts w:ascii="Book Antiqua" w:hAnsi="Book Antiqua"/>
        </w:rPr>
        <w:t>Fiscala General de la República</w:t>
      </w:r>
    </w:p>
    <w:p w14:paraId="58E62F8A" w14:textId="77777777" w:rsidR="00E865AE" w:rsidRDefault="00E865AE" w:rsidP="00365E42">
      <w:pPr>
        <w:pStyle w:val="Prrafodelista1"/>
        <w:tabs>
          <w:tab w:val="num" w:pos="709"/>
        </w:tabs>
        <w:ind w:left="0"/>
        <w:rPr>
          <w:rFonts w:ascii="Book Antiqua" w:hAnsi="Book Antiqua"/>
        </w:rPr>
      </w:pPr>
    </w:p>
    <w:p w14:paraId="34C315EA" w14:textId="77777777" w:rsidR="00E865AE" w:rsidRDefault="00E865AE" w:rsidP="00365E42">
      <w:pPr>
        <w:pStyle w:val="Prrafodelista1"/>
        <w:tabs>
          <w:tab w:val="num" w:pos="709"/>
        </w:tabs>
        <w:ind w:left="0"/>
        <w:rPr>
          <w:rFonts w:ascii="Book Antiqua" w:hAnsi="Book Antiqua"/>
        </w:rPr>
      </w:pPr>
      <w:r>
        <w:rPr>
          <w:rFonts w:ascii="Book Antiqua" w:hAnsi="Book Antiqua"/>
        </w:rPr>
        <w:t>Magistrada</w:t>
      </w:r>
    </w:p>
    <w:p w14:paraId="24526AD5" w14:textId="77777777" w:rsidR="00E865AE" w:rsidRDefault="00E865AE" w:rsidP="00365E42">
      <w:pPr>
        <w:pStyle w:val="Prrafodelista1"/>
        <w:tabs>
          <w:tab w:val="num" w:pos="709"/>
        </w:tabs>
        <w:ind w:left="0"/>
        <w:rPr>
          <w:rFonts w:ascii="Book Antiqua" w:hAnsi="Book Antiqua"/>
        </w:rPr>
      </w:pPr>
      <w:r>
        <w:rPr>
          <w:rFonts w:ascii="Book Antiqua" w:hAnsi="Book Antiqua"/>
        </w:rPr>
        <w:t>Patricia Solano Castro, Coordinadora</w:t>
      </w:r>
    </w:p>
    <w:p w14:paraId="238520BF" w14:textId="4DD73A9E" w:rsidR="00365E42" w:rsidRPr="00365E42" w:rsidRDefault="00E865AE" w:rsidP="00365E42">
      <w:pPr>
        <w:pStyle w:val="Prrafodelista1"/>
        <w:tabs>
          <w:tab w:val="num" w:pos="709"/>
        </w:tabs>
        <w:ind w:left="0"/>
        <w:rPr>
          <w:rFonts w:ascii="Book Antiqua" w:hAnsi="Book Antiqua"/>
        </w:rPr>
      </w:pPr>
      <w:r>
        <w:rPr>
          <w:rFonts w:ascii="Book Antiqua" w:hAnsi="Book Antiqua"/>
        </w:rPr>
        <w:t>Comisión de la Jurisdicción Penal</w:t>
      </w:r>
      <w:r w:rsidR="00365E42" w:rsidRPr="00365E42">
        <w:rPr>
          <w:rFonts w:ascii="Book Antiqua" w:hAnsi="Book Antiqua"/>
        </w:rPr>
        <w:t xml:space="preserve">  </w:t>
      </w:r>
    </w:p>
    <w:p w14:paraId="147F157F" w14:textId="77777777" w:rsidR="00C752E8" w:rsidRPr="00365E42" w:rsidRDefault="00C752E8" w:rsidP="00C752E8">
      <w:pPr>
        <w:widowControl w:val="0"/>
        <w:spacing w:after="0" w:line="240" w:lineRule="auto"/>
        <w:rPr>
          <w:rFonts w:ascii="Book Antiqua" w:eastAsia="Times New Roman" w:hAnsi="Book Antiqua" w:cs="Book Antiqua"/>
          <w:color w:val="000000" w:themeColor="text1"/>
          <w:sz w:val="24"/>
          <w:szCs w:val="24"/>
          <w:lang w:val="es-ES" w:eastAsia="es-ES"/>
        </w:rPr>
      </w:pPr>
    </w:p>
    <w:p w14:paraId="6A6861C8" w14:textId="77777777" w:rsidR="00C752E8" w:rsidRPr="00365E42" w:rsidRDefault="00C752E8" w:rsidP="00C752E8">
      <w:pPr>
        <w:widowControl w:val="0"/>
        <w:spacing w:after="0" w:line="240" w:lineRule="auto"/>
        <w:rPr>
          <w:rFonts w:ascii="Book Antiqua" w:eastAsia="Times New Roman" w:hAnsi="Book Antiqua" w:cs="Book Antiqua"/>
          <w:snapToGrid w:val="0"/>
          <w:color w:val="000000" w:themeColor="text1"/>
          <w:sz w:val="24"/>
          <w:szCs w:val="24"/>
          <w:lang w:eastAsia="es-ES"/>
        </w:rPr>
      </w:pPr>
    </w:p>
    <w:p w14:paraId="417C1BC9" w14:textId="2E671CFF" w:rsidR="00C752E8" w:rsidRPr="00365E42" w:rsidRDefault="00C752E8" w:rsidP="00C752E8">
      <w:pPr>
        <w:widowControl w:val="0"/>
        <w:spacing w:after="0" w:line="240" w:lineRule="auto"/>
        <w:rPr>
          <w:rFonts w:ascii="Book Antiqua" w:eastAsia="Times New Roman" w:hAnsi="Book Antiqua" w:cs="Book Antiqua"/>
          <w:snapToGrid w:val="0"/>
          <w:color w:val="000000" w:themeColor="text1"/>
          <w:sz w:val="24"/>
          <w:szCs w:val="24"/>
          <w:lang w:eastAsia="es-ES"/>
        </w:rPr>
      </w:pPr>
      <w:r w:rsidRPr="00365E42">
        <w:rPr>
          <w:rFonts w:ascii="Book Antiqua" w:eastAsia="Times New Roman" w:hAnsi="Book Antiqua" w:cs="Book Antiqua"/>
          <w:snapToGrid w:val="0"/>
          <w:color w:val="000000" w:themeColor="text1"/>
          <w:sz w:val="24"/>
          <w:szCs w:val="24"/>
          <w:lang w:eastAsia="es-ES"/>
        </w:rPr>
        <w:t>Estimad</w:t>
      </w:r>
      <w:r w:rsidR="00365E42">
        <w:rPr>
          <w:rFonts w:ascii="Book Antiqua" w:eastAsia="Times New Roman" w:hAnsi="Book Antiqua" w:cs="Book Antiqua"/>
          <w:snapToGrid w:val="0"/>
          <w:color w:val="000000" w:themeColor="text1"/>
          <w:sz w:val="24"/>
          <w:szCs w:val="24"/>
          <w:lang w:eastAsia="es-ES"/>
        </w:rPr>
        <w:t>a</w:t>
      </w:r>
      <w:r w:rsidR="00E865AE">
        <w:rPr>
          <w:rFonts w:ascii="Book Antiqua" w:eastAsia="Times New Roman" w:hAnsi="Book Antiqua" w:cs="Book Antiqua"/>
          <w:snapToGrid w:val="0"/>
          <w:color w:val="000000" w:themeColor="text1"/>
          <w:sz w:val="24"/>
          <w:szCs w:val="24"/>
          <w:lang w:eastAsia="es-ES"/>
        </w:rPr>
        <w:t>s</w:t>
      </w:r>
      <w:r w:rsidR="00365E42">
        <w:rPr>
          <w:rFonts w:ascii="Book Antiqua" w:eastAsia="Times New Roman" w:hAnsi="Book Antiqua" w:cs="Book Antiqua"/>
          <w:snapToGrid w:val="0"/>
          <w:color w:val="000000" w:themeColor="text1"/>
          <w:sz w:val="24"/>
          <w:szCs w:val="24"/>
          <w:lang w:eastAsia="es-ES"/>
        </w:rPr>
        <w:t xml:space="preserve"> </w:t>
      </w:r>
      <w:r w:rsidRPr="00365E42">
        <w:rPr>
          <w:rFonts w:ascii="Book Antiqua" w:eastAsia="Times New Roman" w:hAnsi="Book Antiqua" w:cs="Book Antiqua"/>
          <w:snapToGrid w:val="0"/>
          <w:color w:val="000000" w:themeColor="text1"/>
          <w:sz w:val="24"/>
          <w:szCs w:val="24"/>
          <w:lang w:eastAsia="es-ES"/>
        </w:rPr>
        <w:t>señor</w:t>
      </w:r>
      <w:r w:rsidR="00365E42">
        <w:rPr>
          <w:rFonts w:ascii="Book Antiqua" w:eastAsia="Times New Roman" w:hAnsi="Book Antiqua" w:cs="Book Antiqua"/>
          <w:snapToGrid w:val="0"/>
          <w:color w:val="000000" w:themeColor="text1"/>
          <w:sz w:val="24"/>
          <w:szCs w:val="24"/>
          <w:lang w:eastAsia="es-ES"/>
        </w:rPr>
        <w:t>a</w:t>
      </w:r>
      <w:r w:rsidR="00E865AE">
        <w:rPr>
          <w:rFonts w:ascii="Book Antiqua" w:eastAsia="Times New Roman" w:hAnsi="Book Antiqua" w:cs="Book Antiqua"/>
          <w:snapToGrid w:val="0"/>
          <w:color w:val="000000" w:themeColor="text1"/>
          <w:sz w:val="24"/>
          <w:szCs w:val="24"/>
          <w:lang w:eastAsia="es-ES"/>
        </w:rPr>
        <w:t>s</w:t>
      </w:r>
      <w:r w:rsidRPr="00365E42">
        <w:rPr>
          <w:rFonts w:ascii="Book Antiqua" w:eastAsia="Times New Roman" w:hAnsi="Book Antiqua" w:cs="Book Antiqua"/>
          <w:snapToGrid w:val="0"/>
          <w:color w:val="000000" w:themeColor="text1"/>
          <w:sz w:val="24"/>
          <w:szCs w:val="24"/>
          <w:lang w:eastAsia="es-ES"/>
        </w:rPr>
        <w:t>:</w:t>
      </w:r>
    </w:p>
    <w:p w14:paraId="5142B799" w14:textId="77777777" w:rsidR="00C752E8" w:rsidRPr="00365E42" w:rsidRDefault="00C752E8" w:rsidP="00C752E8">
      <w:pPr>
        <w:widowControl w:val="0"/>
        <w:spacing w:after="0" w:line="240" w:lineRule="auto"/>
        <w:jc w:val="both"/>
        <w:rPr>
          <w:rFonts w:ascii="Book Antiqua" w:eastAsia="Times New Roman" w:hAnsi="Book Antiqua" w:cs="Book Antiqua"/>
          <w:snapToGrid w:val="0"/>
          <w:color w:val="000000" w:themeColor="text1"/>
          <w:sz w:val="24"/>
          <w:szCs w:val="24"/>
          <w:lang w:eastAsia="es-ES"/>
        </w:rPr>
      </w:pPr>
    </w:p>
    <w:p w14:paraId="508CF43E" w14:textId="44D02912" w:rsidR="00365E42" w:rsidRDefault="00365E42" w:rsidP="00365E42">
      <w:pPr>
        <w:spacing w:after="0" w:line="240" w:lineRule="auto"/>
        <w:ind w:firstLine="708"/>
        <w:jc w:val="both"/>
        <w:rPr>
          <w:rFonts w:ascii="Book Antiqua" w:eastAsia="Times New Roman" w:hAnsi="Book Antiqua" w:cs="Times New Roman"/>
          <w:sz w:val="24"/>
          <w:szCs w:val="28"/>
          <w:lang w:val="es-ES" w:eastAsia="es-ES"/>
        </w:rPr>
      </w:pPr>
      <w:r>
        <w:rPr>
          <w:rFonts w:ascii="Book Antiqua" w:eastAsia="Times New Roman" w:hAnsi="Book Antiqua" w:cs="Book Antiqua"/>
          <w:sz w:val="24"/>
          <w:szCs w:val="24"/>
          <w:lang w:eastAsia="es-ES"/>
        </w:rPr>
        <w:t>L</w:t>
      </w:r>
      <w:r w:rsidR="00C752E8" w:rsidRPr="00365E42">
        <w:rPr>
          <w:rFonts w:ascii="Book Antiqua" w:eastAsia="Times New Roman" w:hAnsi="Book Antiqua" w:cs="Book Antiqua"/>
          <w:sz w:val="24"/>
          <w:szCs w:val="24"/>
          <w:lang w:eastAsia="es-ES"/>
        </w:rPr>
        <w:t>e</w:t>
      </w:r>
      <w:r w:rsidR="00E865AE">
        <w:rPr>
          <w:rFonts w:ascii="Book Antiqua" w:eastAsia="Times New Roman" w:hAnsi="Book Antiqua" w:cs="Book Antiqua"/>
          <w:sz w:val="24"/>
          <w:szCs w:val="24"/>
          <w:lang w:eastAsia="es-ES"/>
        </w:rPr>
        <w:t>s</w:t>
      </w:r>
      <w:r w:rsidR="00C752E8" w:rsidRPr="00365E42">
        <w:rPr>
          <w:rFonts w:ascii="Book Antiqua" w:eastAsia="Times New Roman" w:hAnsi="Book Antiqua" w:cs="Book Antiqua"/>
          <w:sz w:val="24"/>
          <w:szCs w:val="24"/>
          <w:lang w:eastAsia="es-ES"/>
        </w:rPr>
        <w:t xml:space="preserve"> remito el informe suscrito por</w:t>
      </w:r>
      <w:r>
        <w:rPr>
          <w:rFonts w:ascii="Book Antiqua" w:eastAsia="Times New Roman" w:hAnsi="Book Antiqua" w:cs="Book Antiqua"/>
          <w:sz w:val="24"/>
          <w:szCs w:val="24"/>
          <w:lang w:eastAsia="es-ES"/>
        </w:rPr>
        <w:t xml:space="preserve"> la Licda. Ana Ericka Rodríguez Araya</w:t>
      </w:r>
      <w:r w:rsidR="00C752E8" w:rsidRPr="00365E42">
        <w:rPr>
          <w:rFonts w:ascii="Book Antiqua" w:eastAsia="Times New Roman" w:hAnsi="Book Antiqua" w:cs="Book Antiqua"/>
          <w:sz w:val="24"/>
          <w:szCs w:val="24"/>
          <w:lang w:eastAsia="es-ES"/>
        </w:rPr>
        <w:t>, Jef</w:t>
      </w:r>
      <w:r>
        <w:rPr>
          <w:rFonts w:ascii="Book Antiqua" w:eastAsia="Times New Roman" w:hAnsi="Book Antiqua" w:cs="Book Antiqua"/>
          <w:sz w:val="24"/>
          <w:szCs w:val="24"/>
          <w:lang w:eastAsia="es-ES"/>
        </w:rPr>
        <w:t>a</w:t>
      </w:r>
      <w:r w:rsidR="00C752E8" w:rsidRPr="00365E42">
        <w:rPr>
          <w:rFonts w:ascii="Book Antiqua" w:eastAsia="Times New Roman" w:hAnsi="Book Antiqua" w:cs="Book Antiqua"/>
          <w:sz w:val="24"/>
          <w:szCs w:val="24"/>
          <w:lang w:eastAsia="es-ES"/>
        </w:rPr>
        <w:t xml:space="preserve"> del Subproceso de</w:t>
      </w:r>
      <w:r>
        <w:rPr>
          <w:rFonts w:ascii="Book Antiqua" w:eastAsia="Times New Roman" w:hAnsi="Book Antiqua" w:cs="Book Antiqua"/>
          <w:sz w:val="24"/>
          <w:szCs w:val="24"/>
          <w:lang w:eastAsia="es-ES"/>
        </w:rPr>
        <w:t xml:space="preserve"> Estadística</w:t>
      </w:r>
      <w:r w:rsidR="00C752E8" w:rsidRPr="00365E42">
        <w:rPr>
          <w:rFonts w:ascii="Book Antiqua" w:eastAsia="Times New Roman" w:hAnsi="Book Antiqua" w:cs="Book Antiqua"/>
          <w:sz w:val="24"/>
          <w:szCs w:val="24"/>
          <w:lang w:eastAsia="es-ES"/>
        </w:rPr>
        <w:t>, relacionado con</w:t>
      </w:r>
      <w:r>
        <w:rPr>
          <w:rFonts w:ascii="Book Antiqua" w:eastAsia="Times New Roman" w:hAnsi="Book Antiqua" w:cs="Book Antiqua"/>
          <w:sz w:val="24"/>
          <w:szCs w:val="24"/>
          <w:lang w:eastAsia="es-ES"/>
        </w:rPr>
        <w:t xml:space="preserve"> los</w:t>
      </w:r>
      <w:r w:rsidR="00C752E8" w:rsidRPr="00365E42">
        <w:rPr>
          <w:rFonts w:ascii="Book Antiqua" w:eastAsia="Times New Roman" w:hAnsi="Book Antiqua" w:cs="Book Antiqua"/>
          <w:sz w:val="24"/>
          <w:szCs w:val="24"/>
          <w:lang w:eastAsia="es-ES"/>
        </w:rPr>
        <w:t xml:space="preserve"> </w:t>
      </w:r>
      <w:r w:rsidRPr="00365E42">
        <w:rPr>
          <w:rFonts w:ascii="Book Antiqua" w:eastAsia="Times New Roman" w:hAnsi="Book Antiqua" w:cs="Times New Roman"/>
          <w:sz w:val="24"/>
          <w:szCs w:val="28"/>
          <w:lang w:val="es-ES" w:eastAsia="es-ES"/>
        </w:rPr>
        <w:t xml:space="preserve">cuadros estadísticos y análisis, </w:t>
      </w:r>
      <w:r>
        <w:rPr>
          <w:rFonts w:ascii="Book Antiqua" w:eastAsia="Times New Roman" w:hAnsi="Book Antiqua" w:cs="Times New Roman"/>
          <w:sz w:val="24"/>
          <w:szCs w:val="28"/>
          <w:lang w:val="es-ES" w:eastAsia="es-ES"/>
        </w:rPr>
        <w:t>sobre</w:t>
      </w:r>
      <w:r w:rsidRPr="00365E42">
        <w:rPr>
          <w:rFonts w:ascii="Book Antiqua" w:eastAsia="Times New Roman" w:hAnsi="Book Antiqua" w:cs="Times New Roman"/>
          <w:sz w:val="24"/>
          <w:szCs w:val="28"/>
          <w:lang w:val="es-ES" w:eastAsia="es-ES"/>
        </w:rPr>
        <w:t xml:space="preserve"> los movimientos de trabajo en los juzgados competentes en el Ministerio Público, durante el 2019 y el último quinquenio</w:t>
      </w:r>
      <w:r>
        <w:rPr>
          <w:rFonts w:ascii="Book Antiqua" w:eastAsia="Times New Roman" w:hAnsi="Book Antiqua" w:cs="Times New Roman"/>
          <w:sz w:val="24"/>
          <w:szCs w:val="28"/>
          <w:lang w:val="es-ES" w:eastAsia="es-ES"/>
        </w:rPr>
        <w:t>.</w:t>
      </w:r>
    </w:p>
    <w:p w14:paraId="60452255" w14:textId="5F7CC48B" w:rsidR="00C752E8" w:rsidRPr="00365E42" w:rsidRDefault="00C752E8" w:rsidP="00365E42">
      <w:pPr>
        <w:spacing w:after="0" w:line="240" w:lineRule="auto"/>
        <w:ind w:firstLine="708"/>
        <w:jc w:val="both"/>
        <w:rPr>
          <w:rFonts w:ascii="Book Antiqua" w:eastAsia="Times New Roman" w:hAnsi="Book Antiqua" w:cs="Book Antiqua"/>
          <w:color w:val="0000FF"/>
          <w:sz w:val="24"/>
          <w:szCs w:val="24"/>
          <w:u w:val="single"/>
          <w:lang w:eastAsia="es-ES"/>
        </w:rPr>
      </w:pPr>
      <w:r w:rsidRPr="00365E42">
        <w:rPr>
          <w:rFonts w:ascii="Book Antiqua" w:eastAsia="Times New Roman" w:hAnsi="Book Antiqua" w:cs="Book Antiqua"/>
          <w:color w:val="0000FF"/>
          <w:sz w:val="24"/>
          <w:szCs w:val="24"/>
          <w:u w:val="single"/>
          <w:lang w:eastAsia="es-ES"/>
        </w:rPr>
        <w:t xml:space="preserve"> </w:t>
      </w:r>
    </w:p>
    <w:p w14:paraId="574306E5" w14:textId="5588BDE6" w:rsidR="00C752E8" w:rsidRPr="00365E42" w:rsidRDefault="00C752E8" w:rsidP="00365E42">
      <w:pPr>
        <w:spacing w:after="0" w:line="240" w:lineRule="auto"/>
        <w:ind w:firstLine="708"/>
        <w:jc w:val="both"/>
        <w:rPr>
          <w:rFonts w:ascii="Book Antiqua" w:eastAsia="Times New Roman" w:hAnsi="Book Antiqua" w:cs="Book Antiqua"/>
          <w:color w:val="FF0000"/>
          <w:sz w:val="24"/>
          <w:szCs w:val="24"/>
          <w:lang w:eastAsia="es-ES"/>
        </w:rPr>
      </w:pPr>
      <w:r w:rsidRPr="00365E42">
        <w:rPr>
          <w:rFonts w:ascii="Book Antiqua" w:eastAsia="Times New Roman" w:hAnsi="Book Antiqua" w:cs="Book Antiqua"/>
          <w:sz w:val="24"/>
          <w:szCs w:val="24"/>
          <w:lang w:eastAsia="es-ES"/>
        </w:rPr>
        <w:t>Le</w:t>
      </w:r>
      <w:r w:rsidR="00E865AE">
        <w:rPr>
          <w:rFonts w:ascii="Book Antiqua" w:eastAsia="Times New Roman" w:hAnsi="Book Antiqua" w:cs="Book Antiqua"/>
          <w:sz w:val="24"/>
          <w:szCs w:val="24"/>
          <w:lang w:eastAsia="es-ES"/>
        </w:rPr>
        <w:t>s</w:t>
      </w:r>
      <w:r w:rsidRPr="00365E42">
        <w:rPr>
          <w:rFonts w:ascii="Book Antiqua" w:eastAsia="Times New Roman" w:hAnsi="Book Antiqua" w:cs="Book Antiqua"/>
          <w:sz w:val="24"/>
          <w:szCs w:val="24"/>
          <w:lang w:eastAsia="es-ES"/>
        </w:rPr>
        <w:t xml:space="preserve"> solicito respetuosamente analizar este documento y enviar las observaciones que estime</w:t>
      </w:r>
      <w:r w:rsidR="00E865AE">
        <w:rPr>
          <w:rFonts w:ascii="Book Antiqua" w:eastAsia="Times New Roman" w:hAnsi="Book Antiqua" w:cs="Book Antiqua"/>
          <w:sz w:val="24"/>
          <w:szCs w:val="24"/>
          <w:lang w:eastAsia="es-ES"/>
        </w:rPr>
        <w:t>n</w:t>
      </w:r>
      <w:r w:rsidRPr="00365E42">
        <w:rPr>
          <w:rFonts w:ascii="Book Antiqua" w:eastAsia="Times New Roman" w:hAnsi="Book Antiqua" w:cs="Book Antiqua"/>
          <w:sz w:val="24"/>
          <w:szCs w:val="24"/>
          <w:lang w:eastAsia="es-ES"/>
        </w:rPr>
        <w:t xml:space="preserve"> pertinente en un plazo de </w:t>
      </w:r>
      <w:r w:rsidR="00E865AE">
        <w:rPr>
          <w:rFonts w:ascii="Book Antiqua" w:eastAsia="Times New Roman" w:hAnsi="Book Antiqua" w:cs="Book Antiqua"/>
          <w:sz w:val="24"/>
          <w:szCs w:val="24"/>
          <w:lang w:eastAsia="es-ES"/>
        </w:rPr>
        <w:t>22</w:t>
      </w:r>
      <w:r w:rsidRPr="00365E42">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w:t>
      </w:r>
      <w:r w:rsidR="00E865AE">
        <w:rPr>
          <w:rFonts w:ascii="Book Antiqua" w:eastAsia="Times New Roman" w:hAnsi="Book Antiqua" w:cs="Book Antiqua"/>
          <w:sz w:val="24"/>
          <w:szCs w:val="24"/>
          <w:lang w:eastAsia="es-ES"/>
        </w:rPr>
        <w:t xml:space="preserve"> </w:t>
      </w:r>
      <w:r w:rsidRPr="00365E42">
        <w:rPr>
          <w:rFonts w:ascii="Book Antiqua" w:eastAsia="Times New Roman" w:hAnsi="Book Antiqua" w:cs="Book Antiqua"/>
          <w:sz w:val="24"/>
          <w:szCs w:val="24"/>
          <w:lang w:eastAsia="es-ES"/>
        </w:rPr>
        <w:t>Debe</w:t>
      </w:r>
      <w:r w:rsidR="00E865AE">
        <w:rPr>
          <w:rFonts w:ascii="Book Antiqua" w:eastAsia="Times New Roman" w:hAnsi="Book Antiqua" w:cs="Book Antiqua"/>
          <w:sz w:val="24"/>
          <w:szCs w:val="24"/>
          <w:lang w:eastAsia="es-ES"/>
        </w:rPr>
        <w:t>n</w:t>
      </w:r>
      <w:r w:rsidRPr="00365E42">
        <w:rPr>
          <w:rFonts w:ascii="Book Antiqua" w:eastAsia="Times New Roman" w:hAnsi="Book Antiqua" w:cs="Book Antiqua"/>
          <w:sz w:val="24"/>
          <w:szCs w:val="24"/>
          <w:lang w:eastAsia="es-ES"/>
        </w:rPr>
        <w:t xml:space="preserve"> tomar en consideración el criterio de las y los servidores judiciales del despacho a su cargo que están involucrados, para lo cual es conveniente que les compartan estos resultados.</w:t>
      </w:r>
    </w:p>
    <w:p w14:paraId="416C6E3C" w14:textId="77777777" w:rsidR="00C752E8" w:rsidRPr="00365E42" w:rsidRDefault="00C752E8" w:rsidP="00C752E8">
      <w:pPr>
        <w:spacing w:after="0" w:line="240" w:lineRule="auto"/>
        <w:jc w:val="both"/>
        <w:rPr>
          <w:rFonts w:ascii="Book Antiqua" w:eastAsia="Times New Roman" w:hAnsi="Book Antiqua" w:cs="Book Antiqua"/>
          <w:sz w:val="24"/>
          <w:szCs w:val="24"/>
          <w:lang w:eastAsia="es-ES"/>
        </w:rPr>
      </w:pPr>
    </w:p>
    <w:p w14:paraId="77CDD4FA" w14:textId="77777777" w:rsidR="00C752E8" w:rsidRPr="00365E42" w:rsidRDefault="00C752E8" w:rsidP="00C752E8">
      <w:pPr>
        <w:spacing w:after="0" w:line="240" w:lineRule="auto"/>
        <w:ind w:firstLine="708"/>
        <w:jc w:val="both"/>
        <w:rPr>
          <w:rFonts w:ascii="Book Antiqua" w:eastAsia="Times New Roman" w:hAnsi="Book Antiqua" w:cs="Book Antiqua"/>
          <w:sz w:val="24"/>
          <w:szCs w:val="24"/>
          <w:lang w:eastAsia="es-ES"/>
        </w:rPr>
      </w:pPr>
      <w:r w:rsidRPr="00365E42">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365E42">
          <w:rPr>
            <w:rFonts w:ascii="Book Antiqua" w:eastAsia="Times New Roman" w:hAnsi="Book Antiqua" w:cs="Book Antiqua"/>
            <w:sz w:val="24"/>
            <w:szCs w:val="24"/>
            <w:lang w:eastAsia="es-ES"/>
          </w:rPr>
          <w:t>la Dirección</w:t>
        </w:r>
      </w:smartTag>
      <w:r w:rsidRPr="00365E42">
        <w:rPr>
          <w:rFonts w:ascii="Book Antiqua" w:eastAsia="Times New Roman" w:hAnsi="Book Antiqua" w:cs="Book Antiqua"/>
          <w:sz w:val="24"/>
          <w:szCs w:val="24"/>
          <w:lang w:eastAsia="es-ES"/>
        </w:rPr>
        <w:t xml:space="preserve"> de Planificación:</w:t>
      </w:r>
    </w:p>
    <w:p w14:paraId="2E706B37" w14:textId="77777777" w:rsidR="00C752E8" w:rsidRPr="00365E42" w:rsidRDefault="00610B57" w:rsidP="00C752E8">
      <w:pPr>
        <w:spacing w:after="0" w:line="240" w:lineRule="auto"/>
        <w:jc w:val="center"/>
        <w:rPr>
          <w:rFonts w:ascii="Book Antiqua" w:eastAsia="Times New Roman" w:hAnsi="Book Antiqua" w:cs="Book Antiqua"/>
          <w:color w:val="0000FF"/>
          <w:sz w:val="24"/>
          <w:szCs w:val="24"/>
          <w:lang w:eastAsia="es-ES"/>
        </w:rPr>
      </w:pPr>
      <w:hyperlink r:id="rId8" w:history="1">
        <w:r w:rsidR="00C752E8" w:rsidRPr="00365E42">
          <w:rPr>
            <w:rFonts w:ascii="Book Antiqua" w:eastAsia="Times New Roman" w:hAnsi="Book Antiqua" w:cs="Book Antiqua"/>
            <w:color w:val="0000FF"/>
            <w:sz w:val="24"/>
            <w:szCs w:val="24"/>
            <w:lang w:eastAsia="es-ES"/>
          </w:rPr>
          <w:t>planificacion@poder-judicial.go.cr</w:t>
        </w:r>
      </w:hyperlink>
    </w:p>
    <w:p w14:paraId="48D6A5BD" w14:textId="77777777" w:rsidR="00C752E8" w:rsidRPr="00365E42" w:rsidRDefault="00C752E8" w:rsidP="00C752E8">
      <w:pPr>
        <w:spacing w:after="0" w:line="240" w:lineRule="auto"/>
        <w:jc w:val="both"/>
        <w:rPr>
          <w:rFonts w:ascii="Book Antiqua" w:eastAsia="Times New Roman" w:hAnsi="Book Antiqua" w:cs="Book Antiqua"/>
          <w:sz w:val="24"/>
          <w:szCs w:val="24"/>
          <w:lang w:eastAsia="es-ES"/>
        </w:rPr>
      </w:pPr>
    </w:p>
    <w:p w14:paraId="6DA11C4C" w14:textId="77777777" w:rsidR="00C752E8" w:rsidRPr="00365E42" w:rsidRDefault="00C752E8" w:rsidP="00C752E8">
      <w:pPr>
        <w:spacing w:after="0" w:line="240" w:lineRule="auto"/>
        <w:ind w:firstLine="708"/>
        <w:jc w:val="both"/>
        <w:rPr>
          <w:rFonts w:ascii="Book Antiqua" w:eastAsia="Times New Roman" w:hAnsi="Book Antiqua" w:cs="Book Antiqua"/>
          <w:sz w:val="24"/>
          <w:szCs w:val="24"/>
          <w:lang w:eastAsia="es-ES"/>
        </w:rPr>
      </w:pPr>
      <w:r w:rsidRPr="00365E42">
        <w:rPr>
          <w:rFonts w:ascii="Book Antiqua" w:eastAsia="Times New Roman" w:hAnsi="Book Antiqua" w:cs="Book Antiqua"/>
          <w:sz w:val="24"/>
          <w:szCs w:val="24"/>
          <w:lang w:eastAsia="es-ES"/>
        </w:rPr>
        <w:t xml:space="preserve">De no recibirse respuesta en el plazo concedido, se entenderá que no se tienen observaciones y se seguirá el trámite indicado en el segundo párrafo de este oficio. </w:t>
      </w:r>
    </w:p>
    <w:p w14:paraId="58C78B3D" w14:textId="79E9F3DF" w:rsidR="00C752E8" w:rsidRDefault="00C752E8" w:rsidP="00C752E8">
      <w:pPr>
        <w:widowControl w:val="0"/>
        <w:spacing w:after="0" w:line="240" w:lineRule="auto"/>
        <w:jc w:val="both"/>
        <w:rPr>
          <w:rFonts w:ascii="Book Antiqua" w:eastAsia="Times New Roman" w:hAnsi="Book Antiqua" w:cs="Book Antiqua"/>
          <w:sz w:val="24"/>
          <w:szCs w:val="24"/>
          <w:lang w:eastAsia="es-ES"/>
        </w:rPr>
      </w:pPr>
    </w:p>
    <w:p w14:paraId="1F3DB19E" w14:textId="1CD3BAC4" w:rsidR="00E865AE" w:rsidRDefault="00E865AE" w:rsidP="00C752E8">
      <w:pPr>
        <w:widowControl w:val="0"/>
        <w:spacing w:after="0" w:line="240" w:lineRule="auto"/>
        <w:jc w:val="both"/>
        <w:rPr>
          <w:rFonts w:ascii="Book Antiqua" w:eastAsia="Times New Roman" w:hAnsi="Book Antiqua" w:cs="Book Antiqua"/>
          <w:sz w:val="24"/>
          <w:szCs w:val="24"/>
          <w:lang w:eastAsia="es-ES"/>
        </w:rPr>
      </w:pPr>
    </w:p>
    <w:p w14:paraId="01B0A5CF" w14:textId="77777777" w:rsidR="00E865AE" w:rsidRPr="00365E42" w:rsidRDefault="00E865AE" w:rsidP="00C752E8">
      <w:pPr>
        <w:widowControl w:val="0"/>
        <w:spacing w:after="0" w:line="240" w:lineRule="auto"/>
        <w:jc w:val="both"/>
        <w:rPr>
          <w:rFonts w:ascii="Book Antiqua" w:eastAsia="Times New Roman" w:hAnsi="Book Antiqua" w:cs="Book Antiqua"/>
          <w:sz w:val="24"/>
          <w:szCs w:val="24"/>
          <w:lang w:eastAsia="es-ES"/>
        </w:rPr>
      </w:pPr>
    </w:p>
    <w:p w14:paraId="7A359845"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val="pt-BR" w:eastAsia="es-ES"/>
        </w:rPr>
      </w:pPr>
      <w:r w:rsidRPr="00365E42">
        <w:rPr>
          <w:rFonts w:ascii="Book Antiqua" w:eastAsia="Times New Roman" w:hAnsi="Book Antiqua" w:cs="Book Antiqua"/>
          <w:snapToGrid w:val="0"/>
          <w:sz w:val="24"/>
          <w:szCs w:val="24"/>
          <w:lang w:val="pt-BR" w:eastAsia="es-ES"/>
        </w:rPr>
        <w:lastRenderedPageBreak/>
        <w:t>Atentamente,</w:t>
      </w:r>
    </w:p>
    <w:p w14:paraId="751F8B98" w14:textId="77777777" w:rsidR="00C752E8" w:rsidRPr="00365E42" w:rsidRDefault="00C752E8" w:rsidP="00C752E8">
      <w:pPr>
        <w:widowControl w:val="0"/>
        <w:spacing w:after="0" w:line="240" w:lineRule="auto"/>
        <w:jc w:val="center"/>
        <w:rPr>
          <w:rFonts w:ascii="Book Antiqua" w:eastAsia="Times New Roman" w:hAnsi="Book Antiqua" w:cs="Book Antiqua"/>
          <w:b/>
          <w:bCs/>
          <w:snapToGrid w:val="0"/>
          <w:sz w:val="24"/>
          <w:szCs w:val="24"/>
          <w:lang w:val="pt-BR" w:eastAsia="es-ES"/>
        </w:rPr>
      </w:pPr>
    </w:p>
    <w:p w14:paraId="563B4239"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val="pt-BR" w:eastAsia="es-ES"/>
        </w:rPr>
      </w:pPr>
    </w:p>
    <w:p w14:paraId="3A687639" w14:textId="77777777" w:rsidR="00C752E8" w:rsidRPr="00365E42" w:rsidRDefault="00C752E8" w:rsidP="00C752E8">
      <w:pPr>
        <w:widowControl w:val="0"/>
        <w:spacing w:after="0" w:line="240" w:lineRule="auto"/>
        <w:rPr>
          <w:rFonts w:ascii="Book Antiqua" w:eastAsia="Times New Roman" w:hAnsi="Book Antiqua" w:cs="Book Antiqua"/>
          <w:snapToGrid w:val="0"/>
          <w:sz w:val="24"/>
          <w:szCs w:val="24"/>
          <w:lang w:val="pt-BR" w:eastAsia="es-ES"/>
        </w:rPr>
      </w:pPr>
    </w:p>
    <w:p w14:paraId="339DAB99" w14:textId="08886790" w:rsidR="00C752E8" w:rsidRPr="00365E42" w:rsidRDefault="00365E42" w:rsidP="00C752E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Ing. </w:t>
      </w:r>
      <w:r w:rsidR="00C752E8" w:rsidRPr="00365E42">
        <w:rPr>
          <w:rFonts w:ascii="Book Antiqua" w:eastAsia="Times New Roman" w:hAnsi="Book Antiqua" w:cs="Book Antiqua"/>
          <w:snapToGrid w:val="0"/>
          <w:sz w:val="24"/>
          <w:szCs w:val="24"/>
          <w:lang w:val="pt-BR" w:eastAsia="es-ES"/>
        </w:rPr>
        <w:t xml:space="preserve">Dixon Li Morales, Jefe a.i. </w:t>
      </w:r>
    </w:p>
    <w:p w14:paraId="42CCE30D" w14:textId="77777777" w:rsidR="00C752E8" w:rsidRPr="00365E42" w:rsidRDefault="00C752E8" w:rsidP="00C752E8">
      <w:pPr>
        <w:spacing w:after="0" w:line="240" w:lineRule="auto"/>
        <w:rPr>
          <w:rFonts w:ascii="Book Antiqua" w:eastAsia="Times New Roman" w:hAnsi="Book Antiqua" w:cs="Book Antiqua"/>
          <w:snapToGrid w:val="0"/>
          <w:sz w:val="24"/>
          <w:szCs w:val="24"/>
          <w:lang w:val="pt-BR" w:eastAsia="es-ES"/>
        </w:rPr>
      </w:pPr>
      <w:r w:rsidRPr="00365E42">
        <w:rPr>
          <w:rFonts w:ascii="Book Antiqua" w:eastAsia="Times New Roman" w:hAnsi="Book Antiqua" w:cs="Book Antiqua"/>
          <w:snapToGrid w:val="0"/>
          <w:sz w:val="24"/>
          <w:szCs w:val="24"/>
          <w:lang w:val="pt-BR" w:eastAsia="es-ES"/>
        </w:rPr>
        <w:t>Proceso Ejecución de las Operaciones</w:t>
      </w:r>
    </w:p>
    <w:p w14:paraId="492F34BA" w14:textId="77777777" w:rsidR="00C752E8" w:rsidRPr="00365E42" w:rsidRDefault="00C752E8" w:rsidP="00C752E8">
      <w:pPr>
        <w:spacing w:after="0" w:line="240" w:lineRule="auto"/>
        <w:rPr>
          <w:rFonts w:ascii="Book Antiqua" w:eastAsia="Times New Roman" w:hAnsi="Book Antiqua" w:cs="Book Antiqua"/>
          <w:snapToGrid w:val="0"/>
          <w:sz w:val="24"/>
          <w:szCs w:val="24"/>
          <w:lang w:val="pt-BR" w:eastAsia="es-ES"/>
        </w:rPr>
      </w:pPr>
    </w:p>
    <w:p w14:paraId="7DB2D432" w14:textId="77777777" w:rsidR="00C752E8" w:rsidRPr="00365E42" w:rsidRDefault="00C752E8" w:rsidP="00C752E8">
      <w:pPr>
        <w:spacing w:after="0" w:line="240" w:lineRule="auto"/>
        <w:rPr>
          <w:rFonts w:ascii="Book Antiqua" w:eastAsia="Times New Roman" w:hAnsi="Book Antiqua" w:cs="Book Antiqua"/>
          <w:sz w:val="20"/>
          <w:szCs w:val="20"/>
          <w:lang w:eastAsia="es-ES"/>
        </w:rPr>
      </w:pPr>
      <w:r w:rsidRPr="00365E42">
        <w:rPr>
          <w:rFonts w:ascii="Book Antiqua" w:eastAsia="Times New Roman" w:hAnsi="Book Antiqua" w:cs="Book Antiqua"/>
          <w:sz w:val="20"/>
          <w:szCs w:val="20"/>
          <w:lang w:eastAsia="es-ES"/>
        </w:rPr>
        <w:t>Copia: Archivo</w:t>
      </w:r>
    </w:p>
    <w:p w14:paraId="508381D7" w14:textId="77777777" w:rsidR="00C752E8" w:rsidRPr="00365E42" w:rsidRDefault="00C752E8" w:rsidP="00C752E8">
      <w:pPr>
        <w:spacing w:after="0" w:line="240" w:lineRule="auto"/>
        <w:rPr>
          <w:rFonts w:ascii="Book Antiqua" w:eastAsia="Times New Roman" w:hAnsi="Book Antiqua" w:cs="Book Antiqua"/>
          <w:sz w:val="20"/>
          <w:szCs w:val="20"/>
          <w:lang w:val="es-ES" w:eastAsia="es-ES"/>
        </w:rPr>
      </w:pPr>
    </w:p>
    <w:p w14:paraId="601902B9" w14:textId="1FCD8CCB" w:rsidR="00C752E8" w:rsidRPr="00365E42" w:rsidRDefault="00365E42" w:rsidP="00C752E8">
      <w:pPr>
        <w:spacing w:after="0" w:line="240" w:lineRule="auto"/>
        <w:rPr>
          <w:rFonts w:ascii="Book Antiqua" w:eastAsia="Times New Roman" w:hAnsi="Book Antiqua" w:cs="Book Antiqua"/>
          <w:sz w:val="20"/>
          <w:szCs w:val="20"/>
          <w:lang w:val="es-ES" w:eastAsia="es-ES"/>
        </w:rPr>
      </w:pPr>
      <w:r w:rsidRPr="00365E42">
        <w:rPr>
          <w:rFonts w:ascii="Book Antiqua" w:eastAsia="Times New Roman" w:hAnsi="Book Antiqua" w:cs="Book Antiqua"/>
          <w:sz w:val="20"/>
          <w:szCs w:val="20"/>
          <w:lang w:val="es-ES" w:eastAsia="es-ES"/>
        </w:rPr>
        <w:t>rqp</w:t>
      </w:r>
    </w:p>
    <w:p w14:paraId="3A8A6972" w14:textId="440E90F7" w:rsidR="00C752E8" w:rsidRPr="00365E42" w:rsidRDefault="00C752E8" w:rsidP="00C752E8">
      <w:pPr>
        <w:spacing w:after="0" w:line="240" w:lineRule="auto"/>
        <w:jc w:val="both"/>
        <w:rPr>
          <w:rFonts w:ascii="Book Antiqua" w:eastAsia="Times New Roman" w:hAnsi="Book Antiqua" w:cs="Bookman Old Style"/>
          <w:b/>
          <w:bCs/>
          <w:sz w:val="20"/>
          <w:szCs w:val="20"/>
          <w:lang w:val="es-ES_tradnl" w:eastAsia="es-ES"/>
        </w:rPr>
      </w:pPr>
      <w:r w:rsidRPr="00365E42">
        <w:rPr>
          <w:rFonts w:ascii="Book Antiqua" w:eastAsia="Times New Roman" w:hAnsi="Book Antiqua" w:cs="Book Antiqua"/>
          <w:sz w:val="20"/>
          <w:szCs w:val="20"/>
          <w:lang w:val="es-ES_tradnl" w:eastAsia="es-ES"/>
        </w:rPr>
        <w:t>Ref.</w:t>
      </w:r>
      <w:r w:rsidR="00637404">
        <w:rPr>
          <w:rFonts w:ascii="Book Antiqua" w:eastAsia="Times New Roman" w:hAnsi="Book Antiqua" w:cs="Book Antiqua"/>
          <w:sz w:val="20"/>
          <w:szCs w:val="20"/>
          <w:lang w:val="es-ES_tradnl" w:eastAsia="es-ES"/>
        </w:rPr>
        <w:t>1352-2020</w:t>
      </w:r>
      <w:r w:rsidRPr="00365E42">
        <w:rPr>
          <w:rFonts w:ascii="Book Antiqua" w:eastAsia="Times New Roman" w:hAnsi="Book Antiqua" w:cs="Bookman Old Style"/>
          <w:b/>
          <w:bCs/>
          <w:sz w:val="20"/>
          <w:szCs w:val="20"/>
          <w:lang w:val="es-ES_tradnl" w:eastAsia="es-ES"/>
        </w:rPr>
        <w:t xml:space="preserve"> </w:t>
      </w:r>
    </w:p>
    <w:p w14:paraId="6AFC0604" w14:textId="77777777" w:rsidR="00C752E8" w:rsidRPr="00365E42" w:rsidRDefault="00C752E8" w:rsidP="00C752E8">
      <w:pPr>
        <w:spacing w:after="0" w:line="240" w:lineRule="auto"/>
        <w:jc w:val="both"/>
        <w:rPr>
          <w:rFonts w:ascii="Book Antiqua" w:eastAsia="Times New Roman" w:hAnsi="Book Antiqua" w:cs="Bookman Old Style"/>
          <w:b/>
          <w:bCs/>
          <w:sz w:val="20"/>
          <w:szCs w:val="20"/>
          <w:lang w:val="es-ES_tradnl" w:eastAsia="es-ES"/>
        </w:rPr>
      </w:pPr>
    </w:p>
    <w:p w14:paraId="41586E09" w14:textId="51851D33" w:rsidR="00085025" w:rsidRPr="00365E42" w:rsidRDefault="00085025" w:rsidP="00F67896">
      <w:pPr>
        <w:pStyle w:val="TtuloTDC"/>
        <w:jc w:val="center"/>
        <w:rPr>
          <w:rFonts w:ascii="Book Antiqua" w:eastAsiaTheme="minorHAnsi" w:hAnsi="Book Antiqua" w:cstheme="minorBidi"/>
          <w:color w:val="auto"/>
          <w:sz w:val="22"/>
          <w:szCs w:val="22"/>
          <w:lang w:val="es-ES" w:eastAsia="en-US"/>
        </w:rPr>
      </w:pPr>
    </w:p>
    <w:p w14:paraId="7ABE1EE4" w14:textId="6AB40A36" w:rsidR="00C752E8" w:rsidRPr="00365E42" w:rsidRDefault="00C752E8" w:rsidP="00C752E8">
      <w:pPr>
        <w:rPr>
          <w:rFonts w:ascii="Book Antiqua" w:hAnsi="Book Antiqua"/>
          <w:lang w:val="es-ES"/>
        </w:rPr>
      </w:pPr>
    </w:p>
    <w:p w14:paraId="17F89D59" w14:textId="37B9301B" w:rsidR="00C752E8" w:rsidRPr="00365E42" w:rsidRDefault="00C752E8" w:rsidP="00C752E8">
      <w:pPr>
        <w:rPr>
          <w:rFonts w:ascii="Book Antiqua" w:hAnsi="Book Antiqua"/>
          <w:lang w:val="es-ES"/>
        </w:rPr>
      </w:pPr>
    </w:p>
    <w:p w14:paraId="56774E4E" w14:textId="3A03DFA7" w:rsidR="00C752E8" w:rsidRPr="00365E42" w:rsidRDefault="00C752E8" w:rsidP="00C752E8">
      <w:pPr>
        <w:rPr>
          <w:rFonts w:ascii="Book Antiqua" w:hAnsi="Book Antiqua"/>
          <w:lang w:val="es-ES"/>
        </w:rPr>
      </w:pPr>
    </w:p>
    <w:p w14:paraId="41A7D0ED" w14:textId="5E06E3F8" w:rsidR="00C752E8" w:rsidRPr="00365E42" w:rsidRDefault="00C752E8" w:rsidP="00C752E8">
      <w:pPr>
        <w:rPr>
          <w:rFonts w:ascii="Book Antiqua" w:hAnsi="Book Antiqua"/>
          <w:lang w:val="es-ES"/>
        </w:rPr>
      </w:pPr>
    </w:p>
    <w:p w14:paraId="4964930F" w14:textId="326A8ADB" w:rsidR="00C752E8" w:rsidRPr="00365E42" w:rsidRDefault="00C752E8" w:rsidP="00C752E8">
      <w:pPr>
        <w:rPr>
          <w:rFonts w:ascii="Book Antiqua" w:hAnsi="Book Antiqua"/>
          <w:lang w:val="es-ES"/>
        </w:rPr>
      </w:pPr>
    </w:p>
    <w:p w14:paraId="3C5DB652" w14:textId="72283B8E" w:rsidR="00C752E8" w:rsidRPr="00365E42" w:rsidRDefault="00C752E8" w:rsidP="00C752E8">
      <w:pPr>
        <w:rPr>
          <w:rFonts w:ascii="Book Antiqua" w:hAnsi="Book Antiqua"/>
          <w:lang w:val="es-ES"/>
        </w:rPr>
      </w:pPr>
    </w:p>
    <w:p w14:paraId="0C81B9A4" w14:textId="67BB7037" w:rsidR="00C752E8" w:rsidRPr="00365E42" w:rsidRDefault="00C752E8" w:rsidP="00C752E8">
      <w:pPr>
        <w:rPr>
          <w:rFonts w:ascii="Book Antiqua" w:hAnsi="Book Antiqua"/>
          <w:lang w:val="es-ES"/>
        </w:rPr>
      </w:pPr>
    </w:p>
    <w:p w14:paraId="1CCCCB32" w14:textId="779BEF23" w:rsidR="00C752E8" w:rsidRPr="00365E42" w:rsidRDefault="00C752E8" w:rsidP="00C752E8">
      <w:pPr>
        <w:rPr>
          <w:rFonts w:ascii="Book Antiqua" w:hAnsi="Book Antiqua"/>
          <w:lang w:val="es-ES"/>
        </w:rPr>
      </w:pPr>
    </w:p>
    <w:p w14:paraId="343217D6" w14:textId="00C94BFB" w:rsidR="00C752E8" w:rsidRPr="00365E42" w:rsidRDefault="00C752E8" w:rsidP="00C752E8">
      <w:pPr>
        <w:rPr>
          <w:rFonts w:ascii="Book Antiqua" w:hAnsi="Book Antiqua"/>
          <w:lang w:val="es-ES"/>
        </w:rPr>
      </w:pPr>
    </w:p>
    <w:p w14:paraId="45748A7D" w14:textId="22F1C0FE" w:rsidR="00C752E8" w:rsidRPr="00365E42" w:rsidRDefault="00C752E8" w:rsidP="00C752E8">
      <w:pPr>
        <w:rPr>
          <w:rFonts w:ascii="Book Antiqua" w:hAnsi="Book Antiqua"/>
          <w:lang w:val="es-ES"/>
        </w:rPr>
      </w:pPr>
    </w:p>
    <w:p w14:paraId="2F859E93" w14:textId="34214020" w:rsidR="00C752E8" w:rsidRPr="00365E42" w:rsidRDefault="00C752E8" w:rsidP="00C752E8">
      <w:pPr>
        <w:rPr>
          <w:rFonts w:ascii="Book Antiqua" w:hAnsi="Book Antiqua"/>
          <w:lang w:val="es-ES"/>
        </w:rPr>
      </w:pPr>
    </w:p>
    <w:p w14:paraId="7AA5D37A" w14:textId="46AEF6F1" w:rsidR="00C752E8" w:rsidRPr="00365E42" w:rsidRDefault="00C752E8" w:rsidP="00C752E8">
      <w:pPr>
        <w:rPr>
          <w:rFonts w:ascii="Book Antiqua" w:hAnsi="Book Antiqua"/>
          <w:lang w:val="es-ES"/>
        </w:rPr>
      </w:pPr>
    </w:p>
    <w:p w14:paraId="41444CB3" w14:textId="743F3E00" w:rsidR="00C752E8" w:rsidRPr="00365E42" w:rsidRDefault="00C752E8" w:rsidP="00C752E8">
      <w:pPr>
        <w:rPr>
          <w:rFonts w:ascii="Book Antiqua" w:hAnsi="Book Antiqua"/>
          <w:lang w:val="es-ES"/>
        </w:rPr>
      </w:pPr>
    </w:p>
    <w:p w14:paraId="393A7113" w14:textId="1210AF1C" w:rsidR="00C752E8" w:rsidRPr="00365E42" w:rsidRDefault="00C752E8" w:rsidP="00C752E8">
      <w:pPr>
        <w:rPr>
          <w:rFonts w:ascii="Book Antiqua" w:hAnsi="Book Antiqua"/>
          <w:lang w:val="es-ES"/>
        </w:rPr>
      </w:pPr>
    </w:p>
    <w:p w14:paraId="2F39A16E" w14:textId="77777777" w:rsidR="00C752E8" w:rsidRPr="00365E42" w:rsidRDefault="00C752E8" w:rsidP="00C752E8">
      <w:pPr>
        <w:rPr>
          <w:rFonts w:ascii="Book Antiqua" w:hAnsi="Book Antiqua"/>
          <w:lang w:val="es-ES"/>
        </w:rPr>
      </w:pPr>
    </w:p>
    <w:p w14:paraId="046F4D29" w14:textId="77777777" w:rsidR="00365E42" w:rsidRDefault="00365E42" w:rsidP="00085025">
      <w:pPr>
        <w:widowControl w:val="0"/>
        <w:spacing w:after="0" w:line="240" w:lineRule="auto"/>
        <w:jc w:val="right"/>
        <w:rPr>
          <w:rFonts w:ascii="Book Antiqua" w:eastAsia="Times New Roman" w:hAnsi="Book Antiqua" w:cs="Book Antiqua"/>
          <w:snapToGrid w:val="0"/>
          <w:sz w:val="24"/>
          <w:szCs w:val="24"/>
          <w:lang w:eastAsia="es-ES"/>
        </w:rPr>
      </w:pPr>
    </w:p>
    <w:p w14:paraId="58CF8935" w14:textId="77777777" w:rsidR="00365E42" w:rsidRDefault="00365E42" w:rsidP="00085025">
      <w:pPr>
        <w:widowControl w:val="0"/>
        <w:spacing w:after="0" w:line="240" w:lineRule="auto"/>
        <w:jc w:val="right"/>
        <w:rPr>
          <w:rFonts w:ascii="Book Antiqua" w:eastAsia="Times New Roman" w:hAnsi="Book Antiqua" w:cs="Book Antiqua"/>
          <w:snapToGrid w:val="0"/>
          <w:sz w:val="24"/>
          <w:szCs w:val="24"/>
          <w:lang w:eastAsia="es-ES"/>
        </w:rPr>
      </w:pPr>
    </w:p>
    <w:p w14:paraId="322B16A4" w14:textId="77777777" w:rsidR="00365E42" w:rsidRDefault="00365E42" w:rsidP="00085025">
      <w:pPr>
        <w:widowControl w:val="0"/>
        <w:spacing w:after="0" w:line="240" w:lineRule="auto"/>
        <w:jc w:val="right"/>
        <w:rPr>
          <w:rFonts w:ascii="Book Antiqua" w:eastAsia="Times New Roman" w:hAnsi="Book Antiqua" w:cs="Book Antiqua"/>
          <w:snapToGrid w:val="0"/>
          <w:sz w:val="24"/>
          <w:szCs w:val="24"/>
          <w:lang w:eastAsia="es-ES"/>
        </w:rPr>
      </w:pPr>
    </w:p>
    <w:p w14:paraId="223AE1F4" w14:textId="77777777" w:rsidR="00365E42" w:rsidRDefault="00365E42" w:rsidP="00085025">
      <w:pPr>
        <w:widowControl w:val="0"/>
        <w:spacing w:after="0" w:line="240" w:lineRule="auto"/>
        <w:jc w:val="right"/>
        <w:rPr>
          <w:rFonts w:ascii="Book Antiqua" w:eastAsia="Times New Roman" w:hAnsi="Book Antiqua" w:cs="Book Antiqua"/>
          <w:snapToGrid w:val="0"/>
          <w:sz w:val="24"/>
          <w:szCs w:val="24"/>
          <w:lang w:eastAsia="es-ES"/>
        </w:rPr>
      </w:pPr>
    </w:p>
    <w:p w14:paraId="73265754" w14:textId="77777777" w:rsidR="00365E42" w:rsidRDefault="00365E42" w:rsidP="00085025">
      <w:pPr>
        <w:widowControl w:val="0"/>
        <w:spacing w:after="0" w:line="240" w:lineRule="auto"/>
        <w:rPr>
          <w:rFonts w:ascii="Book Antiqua" w:eastAsia="Times New Roman" w:hAnsi="Book Antiqua" w:cs="Book Antiqua"/>
          <w:snapToGrid w:val="0"/>
          <w:sz w:val="24"/>
          <w:szCs w:val="24"/>
          <w:lang w:eastAsia="es-ES"/>
        </w:rPr>
      </w:pPr>
    </w:p>
    <w:p w14:paraId="72412745" w14:textId="4D0C83DA" w:rsidR="00085025" w:rsidRPr="00365E42" w:rsidRDefault="00365E42" w:rsidP="00085025">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E865AE">
        <w:rPr>
          <w:rFonts w:ascii="Book Antiqua" w:eastAsia="Times New Roman" w:hAnsi="Book Antiqua" w:cs="Book Antiqua"/>
          <w:snapToGrid w:val="0"/>
          <w:sz w:val="24"/>
          <w:szCs w:val="24"/>
          <w:lang w:eastAsia="es-ES"/>
        </w:rPr>
        <w:t>4</w:t>
      </w:r>
      <w:r>
        <w:rPr>
          <w:rFonts w:ascii="Book Antiqua" w:eastAsia="Times New Roman" w:hAnsi="Book Antiqua" w:cs="Book Antiqua"/>
          <w:snapToGrid w:val="0"/>
          <w:sz w:val="24"/>
          <w:szCs w:val="24"/>
          <w:lang w:eastAsia="es-ES"/>
        </w:rPr>
        <w:t xml:space="preserve"> </w:t>
      </w:r>
      <w:r w:rsidR="00085025" w:rsidRPr="00365E42">
        <w:rPr>
          <w:rFonts w:ascii="Book Antiqua" w:eastAsia="Times New Roman" w:hAnsi="Book Antiqua" w:cs="Book Antiqua"/>
          <w:snapToGrid w:val="0"/>
          <w:sz w:val="24"/>
          <w:szCs w:val="24"/>
          <w:lang w:eastAsia="es-ES"/>
        </w:rPr>
        <w:t>de agosto de 2020</w:t>
      </w:r>
    </w:p>
    <w:p w14:paraId="488C839E"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8"/>
          <w:szCs w:val="28"/>
          <w:lang w:val="es-ES" w:eastAsia="es-ES"/>
        </w:rPr>
      </w:pPr>
    </w:p>
    <w:p w14:paraId="51A2207C"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53C517F4"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B34BC7D"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12FE0E0"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Ingeniero</w:t>
      </w:r>
    </w:p>
    <w:p w14:paraId="64D2C691"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Dixon Li Morales, Jefe</w:t>
      </w:r>
    </w:p>
    <w:p w14:paraId="051896AD"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Proceso Ejecución de las Operaciones</w:t>
      </w:r>
    </w:p>
    <w:p w14:paraId="1B5910D7"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2E7BF1A"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F9B2EB9"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Estimado señor:</w:t>
      </w:r>
    </w:p>
    <w:p w14:paraId="0F5C46BA"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vanish/>
          <w:sz w:val="28"/>
          <w:szCs w:val="28"/>
          <w:lang w:val="pt-BR" w:eastAsia="es-ES"/>
        </w:rPr>
      </w:pPr>
    </w:p>
    <w:p w14:paraId="6212070A"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 xml:space="preserve"> </w:t>
      </w:r>
    </w:p>
    <w:p w14:paraId="68A4F0AF" w14:textId="7ADF0E2B"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 xml:space="preserve">Por este medio remito los cuadros estadísticos y análisis, relacionados con los movimientos de trabajo en los juzgados competentes en </w:t>
      </w:r>
      <w:r w:rsidR="001E6D58" w:rsidRPr="00365E42">
        <w:rPr>
          <w:rFonts w:ascii="Book Antiqua" w:eastAsia="Times New Roman" w:hAnsi="Book Antiqua" w:cs="Times New Roman"/>
          <w:sz w:val="24"/>
          <w:szCs w:val="28"/>
          <w:lang w:val="es-ES" w:eastAsia="es-ES"/>
        </w:rPr>
        <w:t>el Ministerio Público</w:t>
      </w:r>
      <w:r w:rsidRPr="00365E42">
        <w:rPr>
          <w:rFonts w:ascii="Book Antiqua" w:eastAsia="Times New Roman" w:hAnsi="Book Antiqua" w:cs="Times New Roman"/>
          <w:sz w:val="24"/>
          <w:szCs w:val="28"/>
          <w:lang w:val="es-ES" w:eastAsia="es-ES"/>
        </w:rPr>
        <w:t xml:space="preserve">, durante el 2019 y el último quinquenio, para su incorporación en el Anuario Estadístico de ese año. </w:t>
      </w:r>
    </w:p>
    <w:p w14:paraId="1AB2528D"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8"/>
          <w:szCs w:val="28"/>
          <w:lang w:val="es-ES" w:eastAsia="es-ES"/>
        </w:rPr>
      </w:pPr>
    </w:p>
    <w:p w14:paraId="4615B10E" w14:textId="56A3AD21"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 xml:space="preserve">Este análisis fue elaborado por la </w:t>
      </w:r>
      <w:r w:rsidR="001E6D58" w:rsidRPr="00365E42">
        <w:rPr>
          <w:rFonts w:ascii="Book Antiqua" w:eastAsia="Times New Roman" w:hAnsi="Book Antiqua" w:cs="Times New Roman"/>
          <w:sz w:val="24"/>
          <w:szCs w:val="28"/>
          <w:lang w:val="es-ES" w:eastAsia="es-ES"/>
        </w:rPr>
        <w:t>Master Juan Pablo León Cerdas</w:t>
      </w:r>
      <w:r w:rsidRPr="00365E42">
        <w:rPr>
          <w:rFonts w:ascii="Book Antiqua" w:eastAsia="Times New Roman" w:hAnsi="Book Antiqua" w:cs="Times New Roman"/>
          <w:sz w:val="24"/>
          <w:szCs w:val="28"/>
          <w:lang w:val="es-ES" w:eastAsia="es-ES"/>
        </w:rPr>
        <w:t>, Profesional 2 del Subproceso de Estadística.</w:t>
      </w:r>
    </w:p>
    <w:p w14:paraId="49364B04"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2E8A5A1"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7226EEC5"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 xml:space="preserve">Atentamente, </w:t>
      </w:r>
    </w:p>
    <w:p w14:paraId="5AA3013D"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3A735CCC" w14:textId="4566B83C" w:rsidR="00085025"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10B6AE71" w14:textId="77777777" w:rsidR="00336A2B" w:rsidRPr="00365E42" w:rsidRDefault="00336A2B"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76BBDD91"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Licda. Ana Ericka Rodríguez Araya, Jefa</w:t>
      </w:r>
    </w:p>
    <w:p w14:paraId="202FED41"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r w:rsidRPr="00365E42">
        <w:rPr>
          <w:rFonts w:ascii="Book Antiqua" w:eastAsia="Times New Roman" w:hAnsi="Book Antiqua" w:cs="Times New Roman"/>
          <w:sz w:val="24"/>
          <w:szCs w:val="28"/>
          <w:lang w:val="es-ES" w:eastAsia="es-ES"/>
        </w:rPr>
        <w:t>Subproceso de Estadística</w:t>
      </w:r>
    </w:p>
    <w:p w14:paraId="69AD878A"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4135AA6D" w14:textId="77777777" w:rsidR="00085025" w:rsidRPr="00365E42" w:rsidRDefault="00085025" w:rsidP="00085025">
      <w:pPr>
        <w:widowControl w:val="0"/>
        <w:autoSpaceDE w:val="0"/>
        <w:autoSpaceDN w:val="0"/>
        <w:adjustRightInd w:val="0"/>
        <w:spacing w:after="0" w:line="240" w:lineRule="auto"/>
        <w:jc w:val="both"/>
        <w:rPr>
          <w:rFonts w:ascii="Book Antiqua" w:eastAsia="Times New Roman" w:hAnsi="Book Antiqua" w:cs="Times New Roman"/>
          <w:sz w:val="24"/>
          <w:szCs w:val="28"/>
          <w:lang w:val="es-ES" w:eastAsia="es-ES"/>
        </w:rPr>
      </w:pPr>
    </w:p>
    <w:p w14:paraId="317BEADC" w14:textId="77777777" w:rsidR="00085025" w:rsidRPr="00365E42" w:rsidRDefault="00085025">
      <w:pPr>
        <w:rPr>
          <w:rFonts w:ascii="Book Antiqua" w:hAnsi="Book Antiqua"/>
          <w:lang w:val="es-ES"/>
        </w:rPr>
      </w:pPr>
      <w:r w:rsidRPr="00365E42">
        <w:rPr>
          <w:rFonts w:ascii="Book Antiqua" w:hAnsi="Book Antiqua"/>
          <w:lang w:val="es-ES"/>
        </w:rPr>
        <w:br w:type="page"/>
      </w:r>
    </w:p>
    <w:sdt>
      <w:sdtPr>
        <w:rPr>
          <w:rFonts w:ascii="Book Antiqua" w:eastAsiaTheme="minorHAnsi" w:hAnsi="Book Antiqua" w:cstheme="minorBidi"/>
          <w:color w:val="auto"/>
          <w:sz w:val="22"/>
          <w:szCs w:val="22"/>
          <w:lang w:val="es-ES" w:eastAsia="en-US"/>
        </w:rPr>
        <w:id w:val="978883175"/>
        <w:docPartObj>
          <w:docPartGallery w:val="Table of Contents"/>
          <w:docPartUnique/>
        </w:docPartObj>
      </w:sdtPr>
      <w:sdtEndPr>
        <w:rPr>
          <w:b/>
          <w:bCs/>
        </w:rPr>
      </w:sdtEndPr>
      <w:sdtContent>
        <w:p w14:paraId="58118A7F" w14:textId="78821566" w:rsidR="00085025" w:rsidRPr="00365E42" w:rsidRDefault="00085025" w:rsidP="00F67896">
          <w:pPr>
            <w:pStyle w:val="TtuloTDC"/>
            <w:jc w:val="center"/>
            <w:rPr>
              <w:rFonts w:ascii="Book Antiqua" w:eastAsiaTheme="minorHAnsi" w:hAnsi="Book Antiqua" w:cstheme="minorBidi"/>
              <w:color w:val="auto"/>
              <w:sz w:val="22"/>
              <w:szCs w:val="22"/>
              <w:lang w:val="es-ES" w:eastAsia="en-US"/>
            </w:rPr>
          </w:pPr>
        </w:p>
        <w:p w14:paraId="2BF96C7A" w14:textId="65FD7F02" w:rsidR="00F67896" w:rsidRPr="00365E42" w:rsidRDefault="00365E42" w:rsidP="00F67896">
          <w:pPr>
            <w:pStyle w:val="TtuloTDC"/>
            <w:jc w:val="center"/>
            <w:rPr>
              <w:rFonts w:ascii="Book Antiqua" w:hAnsi="Book Antiqua" w:cs="Times New Roman"/>
              <w:b/>
              <w:bCs/>
              <w:color w:val="auto"/>
              <w:sz w:val="36"/>
              <w:szCs w:val="36"/>
              <w:lang w:val="es-ES"/>
            </w:rPr>
          </w:pPr>
          <w:r>
            <w:rPr>
              <w:rFonts w:ascii="Book Antiqua" w:hAnsi="Book Antiqua" w:cs="Times New Roman"/>
              <w:b/>
              <w:bCs/>
              <w:color w:val="auto"/>
              <w:sz w:val="36"/>
              <w:szCs w:val="36"/>
              <w:lang w:val="es-ES"/>
            </w:rPr>
            <w:t>ÍNDICE</w:t>
          </w:r>
        </w:p>
        <w:p w14:paraId="7C6E7DB9" w14:textId="77777777" w:rsidR="00F67896" w:rsidRPr="00365E42" w:rsidRDefault="00F67896" w:rsidP="00F67896">
          <w:pPr>
            <w:rPr>
              <w:rFonts w:ascii="Book Antiqua" w:hAnsi="Book Antiqua"/>
              <w:lang w:val="es-ES" w:eastAsia="es-CR"/>
            </w:rPr>
          </w:pPr>
        </w:p>
        <w:p w14:paraId="7F552B7B" w14:textId="2DCD842A" w:rsidR="004C1EE3" w:rsidRPr="00365E42" w:rsidRDefault="00F67896">
          <w:pPr>
            <w:pStyle w:val="TDC1"/>
            <w:tabs>
              <w:tab w:val="left" w:pos="440"/>
              <w:tab w:val="right" w:leader="dot" w:pos="8828"/>
            </w:tabs>
            <w:rPr>
              <w:rStyle w:val="Hipervnculo"/>
              <w:rFonts w:ascii="Book Antiqua" w:hAnsi="Book Antiqua"/>
              <w:noProof/>
            </w:rPr>
          </w:pPr>
          <w:r w:rsidRPr="00365E42">
            <w:rPr>
              <w:rFonts w:ascii="Book Antiqua" w:hAnsi="Book Antiqua"/>
            </w:rPr>
            <w:fldChar w:fldCharType="begin"/>
          </w:r>
          <w:r w:rsidRPr="00365E42">
            <w:rPr>
              <w:rFonts w:ascii="Book Antiqua" w:hAnsi="Book Antiqua"/>
            </w:rPr>
            <w:instrText xml:space="preserve"> TOC \o "1-3" \h \z \u </w:instrText>
          </w:r>
          <w:r w:rsidRPr="00365E42">
            <w:rPr>
              <w:rFonts w:ascii="Book Antiqua" w:hAnsi="Book Antiqua"/>
            </w:rPr>
            <w:fldChar w:fldCharType="separate"/>
          </w:r>
          <w:hyperlink w:anchor="_Toc46389670" w:history="1">
            <w:r w:rsidR="004C1EE3" w:rsidRPr="00365E42">
              <w:rPr>
                <w:rStyle w:val="Hipervnculo"/>
                <w:rFonts w:ascii="Book Antiqua" w:hAnsi="Book Antiqua" w:cs="Times New Roman"/>
                <w:b/>
                <w:bCs/>
                <w:noProof/>
              </w:rPr>
              <w:t>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ANTECEDENTES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_Toc46389670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5</w:t>
            </w:r>
            <w:r w:rsidR="004C1EE3" w:rsidRPr="00365E42">
              <w:rPr>
                <w:rFonts w:ascii="Book Antiqua" w:hAnsi="Book Antiqua"/>
                <w:noProof/>
                <w:webHidden/>
              </w:rPr>
              <w:fldChar w:fldCharType="end"/>
            </w:r>
          </w:hyperlink>
        </w:p>
        <w:p w14:paraId="0E9E9AF8" w14:textId="77777777" w:rsidR="004C1EE3" w:rsidRPr="00365E42" w:rsidRDefault="004C1EE3" w:rsidP="004C1EE3">
          <w:pPr>
            <w:rPr>
              <w:rFonts w:ascii="Book Antiqua" w:hAnsi="Book Antiqua"/>
              <w:noProof/>
            </w:rPr>
          </w:pPr>
        </w:p>
        <w:p w14:paraId="0171FBAF" w14:textId="6AA5BC69" w:rsidR="004C1EE3" w:rsidRPr="00365E42" w:rsidRDefault="00610B57">
          <w:pPr>
            <w:pStyle w:val="TDC1"/>
            <w:tabs>
              <w:tab w:val="left" w:pos="660"/>
              <w:tab w:val="right" w:leader="dot" w:pos="8828"/>
            </w:tabs>
            <w:rPr>
              <w:rStyle w:val="Hipervnculo"/>
              <w:rFonts w:ascii="Book Antiqua" w:hAnsi="Book Antiqua"/>
              <w:noProof/>
            </w:rPr>
          </w:pPr>
          <w:hyperlink w:anchor="_Toc46389671" w:history="1">
            <w:r w:rsidR="004C1EE3" w:rsidRPr="00365E42">
              <w:rPr>
                <w:rStyle w:val="Hipervnculo"/>
                <w:rFonts w:ascii="Book Antiqua" w:hAnsi="Book Antiqua" w:cs="Times New Roman"/>
                <w:b/>
                <w:bCs/>
                <w:noProof/>
              </w:rPr>
              <w:t>II.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HECHOS RELEVANTES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_Toc46389671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5</w:t>
            </w:r>
            <w:r w:rsidR="004C1EE3" w:rsidRPr="00365E42">
              <w:rPr>
                <w:rFonts w:ascii="Book Antiqua" w:hAnsi="Book Antiqua"/>
                <w:noProof/>
                <w:webHidden/>
              </w:rPr>
              <w:fldChar w:fldCharType="end"/>
            </w:r>
          </w:hyperlink>
        </w:p>
        <w:p w14:paraId="5958A66D" w14:textId="77777777" w:rsidR="004C1EE3" w:rsidRPr="00365E42" w:rsidRDefault="004C1EE3" w:rsidP="004C1EE3">
          <w:pPr>
            <w:rPr>
              <w:rFonts w:ascii="Book Antiqua" w:hAnsi="Book Antiqua"/>
              <w:noProof/>
            </w:rPr>
          </w:pPr>
        </w:p>
        <w:p w14:paraId="0CD10E91" w14:textId="5BD62872" w:rsidR="004C1EE3" w:rsidRPr="00365E42" w:rsidRDefault="00610B57">
          <w:pPr>
            <w:pStyle w:val="TDC1"/>
            <w:tabs>
              <w:tab w:val="left" w:pos="660"/>
              <w:tab w:val="right" w:leader="dot" w:pos="8828"/>
            </w:tabs>
            <w:rPr>
              <w:rStyle w:val="Hipervnculo"/>
              <w:rFonts w:ascii="Book Antiqua" w:hAnsi="Book Antiqua"/>
              <w:noProof/>
            </w:rPr>
          </w:pPr>
          <w:hyperlink w:anchor="_Toc46389672" w:history="1">
            <w:r w:rsidR="004C1EE3" w:rsidRPr="00365E42">
              <w:rPr>
                <w:rStyle w:val="Hipervnculo"/>
                <w:rFonts w:ascii="Book Antiqua" w:hAnsi="Book Antiqua" w:cs="Times New Roman"/>
                <w:b/>
                <w:bCs/>
                <w:noProof/>
              </w:rPr>
              <w:t>III.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INDICADORES DE GESTIÓN JUDICIAL</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_Toc46389672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6</w:t>
            </w:r>
            <w:r w:rsidR="004C1EE3" w:rsidRPr="00365E42">
              <w:rPr>
                <w:rFonts w:ascii="Book Antiqua" w:hAnsi="Book Antiqua"/>
                <w:noProof/>
                <w:webHidden/>
              </w:rPr>
              <w:fldChar w:fldCharType="end"/>
            </w:r>
          </w:hyperlink>
        </w:p>
        <w:p w14:paraId="3EC86D1E" w14:textId="77777777" w:rsidR="004C1EE3" w:rsidRPr="00365E42" w:rsidRDefault="004C1EE3" w:rsidP="004C1EE3">
          <w:pPr>
            <w:rPr>
              <w:rFonts w:ascii="Book Antiqua" w:hAnsi="Book Antiqua"/>
              <w:noProof/>
            </w:rPr>
          </w:pPr>
        </w:p>
        <w:p w14:paraId="4B2887AD" w14:textId="62F1A158" w:rsidR="004C1EE3" w:rsidRPr="00365E42" w:rsidRDefault="00610B57">
          <w:pPr>
            <w:pStyle w:val="TDC1"/>
            <w:tabs>
              <w:tab w:val="left" w:pos="660"/>
              <w:tab w:val="right" w:leader="dot" w:pos="8828"/>
            </w:tabs>
            <w:rPr>
              <w:rStyle w:val="Hipervnculo"/>
              <w:rFonts w:ascii="Book Antiqua" w:hAnsi="Book Antiqua"/>
              <w:noProof/>
            </w:rPr>
          </w:pPr>
          <w:hyperlink w:anchor="_Toc46389673" w:history="1">
            <w:r w:rsidR="004C1EE3" w:rsidRPr="00365E42">
              <w:rPr>
                <w:rStyle w:val="Hipervnculo"/>
                <w:rFonts w:ascii="Book Antiqua" w:hAnsi="Book Antiqua" w:cs="Times New Roman"/>
                <w:b/>
                <w:bCs/>
                <w:noProof/>
              </w:rPr>
              <w:t>IV.</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CASOS ENTRADOS Y ENTRADA NETA</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_Toc46389673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9</w:t>
            </w:r>
            <w:r w:rsidR="004C1EE3" w:rsidRPr="00365E42">
              <w:rPr>
                <w:rFonts w:ascii="Book Antiqua" w:hAnsi="Book Antiqua"/>
                <w:noProof/>
                <w:webHidden/>
              </w:rPr>
              <w:fldChar w:fldCharType="end"/>
            </w:r>
          </w:hyperlink>
        </w:p>
        <w:p w14:paraId="178E11AB" w14:textId="77777777" w:rsidR="004C1EE3" w:rsidRPr="00365E42" w:rsidRDefault="004C1EE3" w:rsidP="004C1EE3">
          <w:pPr>
            <w:rPr>
              <w:rFonts w:ascii="Book Antiqua" w:hAnsi="Book Antiqua"/>
              <w:noProof/>
            </w:rPr>
          </w:pPr>
        </w:p>
        <w:p w14:paraId="6CE9C343" w14:textId="3F910E9F" w:rsidR="004C1EE3" w:rsidRPr="00365E42" w:rsidRDefault="00610B57">
          <w:pPr>
            <w:pStyle w:val="TDC1"/>
            <w:tabs>
              <w:tab w:val="left" w:pos="440"/>
              <w:tab w:val="right" w:leader="dot" w:pos="8828"/>
            </w:tabs>
            <w:rPr>
              <w:rStyle w:val="Hipervnculo"/>
              <w:rFonts w:ascii="Book Antiqua" w:hAnsi="Book Antiqua"/>
              <w:noProof/>
            </w:rPr>
          </w:pPr>
          <w:hyperlink w:anchor="_Toc46389674" w:history="1">
            <w:r w:rsidR="004C1EE3" w:rsidRPr="00365E42">
              <w:rPr>
                <w:rStyle w:val="Hipervnculo"/>
                <w:rFonts w:ascii="Book Antiqua" w:hAnsi="Book Antiqua" w:cs="Times New Roman"/>
                <w:b/>
                <w:bCs/>
                <w:noProof/>
              </w:rPr>
              <w:t>V.</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CASOS TERMINADOS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_Toc46389674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12</w:t>
            </w:r>
            <w:r w:rsidR="004C1EE3" w:rsidRPr="00365E42">
              <w:rPr>
                <w:rFonts w:ascii="Book Antiqua" w:hAnsi="Book Antiqua"/>
                <w:noProof/>
                <w:webHidden/>
              </w:rPr>
              <w:fldChar w:fldCharType="end"/>
            </w:r>
          </w:hyperlink>
        </w:p>
        <w:p w14:paraId="3794499A" w14:textId="77777777" w:rsidR="004C1EE3" w:rsidRPr="00365E42" w:rsidRDefault="004C1EE3" w:rsidP="004C1EE3">
          <w:pPr>
            <w:rPr>
              <w:rFonts w:ascii="Book Antiqua" w:hAnsi="Book Antiqua"/>
              <w:noProof/>
            </w:rPr>
          </w:pPr>
        </w:p>
        <w:p w14:paraId="5EF4C78A" w14:textId="56E143B4" w:rsidR="004C1EE3" w:rsidRPr="00365E42" w:rsidRDefault="00610B57">
          <w:pPr>
            <w:pStyle w:val="TDC1"/>
            <w:tabs>
              <w:tab w:val="left" w:pos="660"/>
              <w:tab w:val="right" w:leader="dot" w:pos="8828"/>
            </w:tabs>
            <w:rPr>
              <w:rStyle w:val="Hipervnculo"/>
              <w:rFonts w:ascii="Book Antiqua" w:hAnsi="Book Antiqua"/>
              <w:noProof/>
            </w:rPr>
          </w:pPr>
          <w:hyperlink w:anchor="_Toc46389675" w:history="1">
            <w:r w:rsidR="004C1EE3" w:rsidRPr="00365E42">
              <w:rPr>
                <w:rStyle w:val="Hipervnculo"/>
                <w:rFonts w:ascii="Book Antiqua" w:hAnsi="Book Antiqua" w:cs="Times New Roman"/>
                <w:b/>
                <w:bCs/>
                <w:noProof/>
              </w:rPr>
              <w:t>VI.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CIRCULANTE AL FINALIZAR EL AÑO</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_Toc46389675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17</w:t>
            </w:r>
            <w:r w:rsidR="004C1EE3" w:rsidRPr="00365E42">
              <w:rPr>
                <w:rFonts w:ascii="Book Antiqua" w:hAnsi="Book Antiqua"/>
                <w:noProof/>
                <w:webHidden/>
              </w:rPr>
              <w:fldChar w:fldCharType="end"/>
            </w:r>
          </w:hyperlink>
        </w:p>
        <w:p w14:paraId="5E51365E" w14:textId="77777777" w:rsidR="004C1EE3" w:rsidRPr="00365E42" w:rsidRDefault="004C1EE3" w:rsidP="004C1EE3">
          <w:pPr>
            <w:rPr>
              <w:rFonts w:ascii="Book Antiqua" w:hAnsi="Book Antiqua"/>
              <w:noProof/>
            </w:rPr>
          </w:pPr>
        </w:p>
        <w:p w14:paraId="6F97F00B" w14:textId="6FE8EBC2" w:rsidR="004C1EE3" w:rsidRPr="00365E42" w:rsidRDefault="00610B57">
          <w:pPr>
            <w:pStyle w:val="TDC1"/>
            <w:tabs>
              <w:tab w:val="left" w:pos="660"/>
              <w:tab w:val="right" w:leader="dot" w:pos="8828"/>
            </w:tabs>
            <w:rPr>
              <w:rStyle w:val="Hipervnculo"/>
              <w:rFonts w:ascii="Book Antiqua" w:hAnsi="Book Antiqua"/>
              <w:noProof/>
            </w:rPr>
          </w:pPr>
          <w:hyperlink w:anchor="_Toc46389676" w:history="1">
            <w:r w:rsidR="004C1EE3" w:rsidRPr="00365E42">
              <w:rPr>
                <w:rStyle w:val="Hipervnculo"/>
                <w:rFonts w:ascii="Book Antiqua" w:hAnsi="Book Antiqua" w:cs="Times New Roman"/>
                <w:b/>
                <w:bCs/>
                <w:noProof/>
              </w:rPr>
              <w:t>VII.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PROYECCIONES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_Toc46389676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20</w:t>
            </w:r>
            <w:r w:rsidR="004C1EE3" w:rsidRPr="00365E42">
              <w:rPr>
                <w:rFonts w:ascii="Book Antiqua" w:hAnsi="Book Antiqua"/>
                <w:noProof/>
                <w:webHidden/>
              </w:rPr>
              <w:fldChar w:fldCharType="end"/>
            </w:r>
          </w:hyperlink>
        </w:p>
        <w:p w14:paraId="3FF47622" w14:textId="77777777" w:rsidR="004C1EE3" w:rsidRPr="00365E42" w:rsidRDefault="004C1EE3" w:rsidP="004C1EE3">
          <w:pPr>
            <w:rPr>
              <w:rFonts w:ascii="Book Antiqua" w:hAnsi="Book Antiqua"/>
              <w:noProof/>
            </w:rPr>
          </w:pPr>
        </w:p>
        <w:p w14:paraId="32E0B9F4" w14:textId="407C6D40" w:rsidR="004C1EE3" w:rsidRPr="00365E42" w:rsidRDefault="00610B57">
          <w:pPr>
            <w:pStyle w:val="TDC1"/>
            <w:tabs>
              <w:tab w:val="left" w:pos="880"/>
              <w:tab w:val="right" w:leader="dot" w:pos="8828"/>
            </w:tabs>
            <w:rPr>
              <w:rStyle w:val="Hipervnculo"/>
              <w:rFonts w:ascii="Book Antiqua" w:hAnsi="Book Antiqua"/>
              <w:noProof/>
            </w:rPr>
          </w:pPr>
          <w:hyperlink w:anchor="_Toc46389677" w:history="1">
            <w:r w:rsidR="004C1EE3" w:rsidRPr="00365E42">
              <w:rPr>
                <w:rStyle w:val="Hipervnculo"/>
                <w:rFonts w:ascii="Book Antiqua" w:hAnsi="Book Antiqua" w:cs="Times New Roman"/>
                <w:b/>
                <w:bCs/>
                <w:noProof/>
              </w:rPr>
              <w:t>VIII.</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PERSONAS INTERVINIENTES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_Toc46389677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24</w:t>
            </w:r>
            <w:r w:rsidR="004C1EE3" w:rsidRPr="00365E42">
              <w:rPr>
                <w:rFonts w:ascii="Book Antiqua" w:hAnsi="Book Antiqua"/>
                <w:noProof/>
                <w:webHidden/>
              </w:rPr>
              <w:fldChar w:fldCharType="end"/>
            </w:r>
          </w:hyperlink>
        </w:p>
        <w:p w14:paraId="5831A6D9" w14:textId="3D04A0BB" w:rsidR="004C1EE3" w:rsidRPr="00365E42" w:rsidRDefault="00E865AE" w:rsidP="00E865AE">
          <w:pPr>
            <w:tabs>
              <w:tab w:val="left" w:pos="5910"/>
            </w:tabs>
            <w:rPr>
              <w:rFonts w:ascii="Book Antiqua" w:hAnsi="Book Antiqua"/>
              <w:noProof/>
            </w:rPr>
          </w:pPr>
          <w:r>
            <w:rPr>
              <w:rFonts w:ascii="Book Antiqua" w:hAnsi="Book Antiqua"/>
              <w:noProof/>
            </w:rPr>
            <w:tab/>
          </w:r>
        </w:p>
        <w:p w14:paraId="724A851A" w14:textId="5F0CB2B8" w:rsidR="004C1EE3" w:rsidRPr="00365E42" w:rsidRDefault="00610B57">
          <w:pPr>
            <w:pStyle w:val="TDC1"/>
            <w:tabs>
              <w:tab w:val="left" w:pos="660"/>
              <w:tab w:val="right" w:leader="dot" w:pos="8828"/>
            </w:tabs>
            <w:rPr>
              <w:rStyle w:val="Hipervnculo"/>
              <w:rFonts w:ascii="Book Antiqua" w:hAnsi="Book Antiqua"/>
              <w:noProof/>
            </w:rPr>
          </w:pPr>
          <w:hyperlink w:anchor="_Toc46389678" w:history="1">
            <w:r w:rsidR="004C1EE3" w:rsidRPr="00365E42">
              <w:rPr>
                <w:rStyle w:val="Hipervnculo"/>
                <w:rFonts w:ascii="Book Antiqua" w:hAnsi="Book Antiqua" w:cs="Times New Roman"/>
                <w:b/>
                <w:bCs/>
                <w:noProof/>
              </w:rPr>
              <w:t>IX.</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OPORTUNIDADES DE MEJORA</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_Toc46389678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25</w:t>
            </w:r>
            <w:r w:rsidR="004C1EE3" w:rsidRPr="00365E42">
              <w:rPr>
                <w:rFonts w:ascii="Book Antiqua" w:hAnsi="Book Antiqua"/>
                <w:noProof/>
                <w:webHidden/>
              </w:rPr>
              <w:fldChar w:fldCharType="end"/>
            </w:r>
          </w:hyperlink>
        </w:p>
        <w:p w14:paraId="7A1BB1C1" w14:textId="77777777" w:rsidR="004C1EE3" w:rsidRPr="00365E42" w:rsidRDefault="004C1EE3" w:rsidP="004C1EE3">
          <w:pPr>
            <w:rPr>
              <w:rFonts w:ascii="Book Antiqua" w:hAnsi="Book Antiqua"/>
              <w:noProof/>
            </w:rPr>
          </w:pPr>
        </w:p>
        <w:p w14:paraId="2FE130E1" w14:textId="233DF26E" w:rsidR="004C1EE3" w:rsidRPr="00365E42" w:rsidRDefault="00610B57">
          <w:pPr>
            <w:pStyle w:val="TDC1"/>
            <w:tabs>
              <w:tab w:val="left" w:pos="440"/>
              <w:tab w:val="right" w:leader="dot" w:pos="8828"/>
            </w:tabs>
            <w:rPr>
              <w:rFonts w:ascii="Book Antiqua" w:eastAsiaTheme="minorEastAsia" w:hAnsi="Book Antiqua"/>
              <w:noProof/>
              <w:lang w:eastAsia="es-CR"/>
            </w:rPr>
          </w:pPr>
          <w:hyperlink w:anchor="_Toc46389679" w:history="1">
            <w:r w:rsidR="004C1EE3" w:rsidRPr="00365E42">
              <w:rPr>
                <w:rStyle w:val="Hipervnculo"/>
                <w:rFonts w:ascii="Book Antiqua" w:hAnsi="Book Antiqua" w:cs="Times New Roman"/>
                <w:b/>
                <w:bCs/>
                <w:noProof/>
              </w:rPr>
              <w:t>X.</w:t>
            </w:r>
            <w:r w:rsidR="004C1EE3" w:rsidRPr="00365E42">
              <w:rPr>
                <w:rFonts w:ascii="Book Antiqua" w:eastAsiaTheme="minorEastAsia" w:hAnsi="Book Antiqua"/>
                <w:noProof/>
                <w:lang w:eastAsia="es-CR"/>
              </w:rPr>
              <w:tab/>
            </w:r>
            <w:r w:rsidR="004C1EE3" w:rsidRPr="00365E42">
              <w:rPr>
                <w:rStyle w:val="Hipervnculo"/>
                <w:rFonts w:ascii="Book Antiqua" w:hAnsi="Book Antiqua" w:cs="Times New Roman"/>
                <w:b/>
                <w:bCs/>
                <w:noProof/>
              </w:rPr>
              <w:t>ANEXOS</w:t>
            </w:r>
            <w:r w:rsidR="004C1EE3" w:rsidRPr="00365E42">
              <w:rPr>
                <w:rFonts w:ascii="Book Antiqua" w:hAnsi="Book Antiqua"/>
                <w:noProof/>
                <w:webHidden/>
              </w:rPr>
              <w:tab/>
            </w:r>
            <w:r w:rsidR="004C1EE3" w:rsidRPr="00365E42">
              <w:rPr>
                <w:rFonts w:ascii="Book Antiqua" w:hAnsi="Book Antiqua"/>
                <w:noProof/>
                <w:webHidden/>
              </w:rPr>
              <w:fldChar w:fldCharType="begin"/>
            </w:r>
            <w:r w:rsidR="004C1EE3" w:rsidRPr="00365E42">
              <w:rPr>
                <w:rFonts w:ascii="Book Antiqua" w:hAnsi="Book Antiqua"/>
                <w:noProof/>
                <w:webHidden/>
              </w:rPr>
              <w:instrText xml:space="preserve"> PAGEREF _Toc46389679 \h </w:instrText>
            </w:r>
            <w:r w:rsidR="004C1EE3" w:rsidRPr="00365E42">
              <w:rPr>
                <w:rFonts w:ascii="Book Antiqua" w:hAnsi="Book Antiqua"/>
                <w:noProof/>
                <w:webHidden/>
              </w:rPr>
            </w:r>
            <w:r w:rsidR="004C1EE3" w:rsidRPr="00365E42">
              <w:rPr>
                <w:rFonts w:ascii="Book Antiqua" w:hAnsi="Book Antiqua"/>
                <w:noProof/>
                <w:webHidden/>
              </w:rPr>
              <w:fldChar w:fldCharType="separate"/>
            </w:r>
            <w:r w:rsidR="00E865AE">
              <w:rPr>
                <w:rFonts w:ascii="Book Antiqua" w:hAnsi="Book Antiqua"/>
                <w:noProof/>
                <w:webHidden/>
              </w:rPr>
              <w:t>26</w:t>
            </w:r>
            <w:r w:rsidR="004C1EE3" w:rsidRPr="00365E42">
              <w:rPr>
                <w:rFonts w:ascii="Book Antiqua" w:hAnsi="Book Antiqua"/>
                <w:noProof/>
                <w:webHidden/>
              </w:rPr>
              <w:fldChar w:fldCharType="end"/>
            </w:r>
          </w:hyperlink>
        </w:p>
        <w:p w14:paraId="1AC35240" w14:textId="6D1CFA15" w:rsidR="00F67896" w:rsidRPr="00365E42" w:rsidRDefault="00F67896">
          <w:pPr>
            <w:rPr>
              <w:rFonts w:ascii="Book Antiqua" w:hAnsi="Book Antiqua"/>
            </w:rPr>
          </w:pPr>
          <w:r w:rsidRPr="00365E42">
            <w:rPr>
              <w:rFonts w:ascii="Book Antiqua" w:hAnsi="Book Antiqua"/>
              <w:b/>
              <w:bCs/>
              <w:lang w:val="es-ES"/>
            </w:rPr>
            <w:fldChar w:fldCharType="end"/>
          </w:r>
        </w:p>
      </w:sdtContent>
    </w:sdt>
    <w:p w14:paraId="4A95A804" w14:textId="70578D4A" w:rsidR="00F67896" w:rsidRPr="00365E42" w:rsidRDefault="00F67896" w:rsidP="00F37AAC">
      <w:pPr>
        <w:jc w:val="both"/>
        <w:rPr>
          <w:rFonts w:ascii="Book Antiqua" w:hAnsi="Book Antiqua"/>
        </w:rPr>
      </w:pPr>
    </w:p>
    <w:p w14:paraId="69D45148" w14:textId="77777777" w:rsidR="00F37AAC" w:rsidRPr="00365E42" w:rsidRDefault="00F37AAC" w:rsidP="00F37AAC">
      <w:pPr>
        <w:jc w:val="both"/>
        <w:rPr>
          <w:rFonts w:ascii="Book Antiqua" w:hAnsi="Book Antiqua"/>
        </w:rPr>
      </w:pPr>
    </w:p>
    <w:p w14:paraId="5339968C" w14:textId="63514D87" w:rsidR="00F67896" w:rsidRPr="00365E42" w:rsidRDefault="00F67896" w:rsidP="00F67896">
      <w:pPr>
        <w:ind w:left="1080" w:hanging="720"/>
        <w:jc w:val="both"/>
        <w:rPr>
          <w:rFonts w:ascii="Book Antiqua" w:hAnsi="Book Antiqua"/>
        </w:rPr>
      </w:pPr>
    </w:p>
    <w:p w14:paraId="4118179F" w14:textId="544F17F6" w:rsidR="00F67896" w:rsidRPr="00365E42" w:rsidRDefault="00F67896" w:rsidP="00F67896">
      <w:pPr>
        <w:ind w:left="1080" w:hanging="720"/>
        <w:jc w:val="both"/>
        <w:rPr>
          <w:rFonts w:ascii="Book Antiqua" w:hAnsi="Book Antiqua"/>
        </w:rPr>
      </w:pPr>
    </w:p>
    <w:p w14:paraId="7957131A" w14:textId="1C84CB60" w:rsidR="00F67896" w:rsidRPr="00365E42" w:rsidRDefault="00F67896" w:rsidP="00F67896">
      <w:pPr>
        <w:ind w:left="1080" w:hanging="720"/>
        <w:jc w:val="both"/>
        <w:rPr>
          <w:rFonts w:ascii="Book Antiqua" w:hAnsi="Book Antiqua"/>
        </w:rPr>
      </w:pPr>
    </w:p>
    <w:p w14:paraId="2D7AF054" w14:textId="606280CF" w:rsidR="00F67896" w:rsidRPr="00365E42" w:rsidRDefault="00F67896" w:rsidP="00F67896">
      <w:pPr>
        <w:ind w:left="1080" w:hanging="720"/>
        <w:jc w:val="both"/>
        <w:rPr>
          <w:rFonts w:ascii="Book Antiqua" w:hAnsi="Book Antiqua"/>
        </w:rPr>
      </w:pPr>
    </w:p>
    <w:p w14:paraId="340F9219" w14:textId="39E06C0B" w:rsidR="006B2F19" w:rsidRPr="00365E42" w:rsidRDefault="00F67896" w:rsidP="00F67896">
      <w:pPr>
        <w:pStyle w:val="Prrafodelista"/>
        <w:numPr>
          <w:ilvl w:val="0"/>
          <w:numId w:val="1"/>
        </w:numPr>
        <w:jc w:val="both"/>
        <w:outlineLvl w:val="0"/>
        <w:rPr>
          <w:rFonts w:ascii="Book Antiqua" w:hAnsi="Book Antiqua" w:cs="Times New Roman"/>
          <w:b/>
          <w:bCs/>
          <w:sz w:val="24"/>
          <w:szCs w:val="24"/>
        </w:rPr>
      </w:pPr>
      <w:bookmarkStart w:id="0" w:name="_Toc46389670"/>
      <w:r w:rsidRPr="00365E42">
        <w:rPr>
          <w:rFonts w:ascii="Book Antiqua" w:hAnsi="Book Antiqua" w:cs="Times New Roman"/>
          <w:b/>
          <w:bCs/>
          <w:sz w:val="24"/>
          <w:szCs w:val="24"/>
        </w:rPr>
        <w:t>ANTECEDENTES</w:t>
      </w:r>
      <w:bookmarkEnd w:id="0"/>
    </w:p>
    <w:p w14:paraId="2EF9DA7F" w14:textId="24107240" w:rsidR="002A5995" w:rsidRPr="00365E42" w:rsidRDefault="009823AD" w:rsidP="00F37AAC">
      <w:pPr>
        <w:spacing w:line="360" w:lineRule="auto"/>
        <w:jc w:val="both"/>
        <w:rPr>
          <w:rFonts w:ascii="Book Antiqua" w:hAnsi="Book Antiqua" w:cs="Times New Roman"/>
          <w:sz w:val="24"/>
          <w:szCs w:val="24"/>
        </w:rPr>
      </w:pPr>
      <w:r w:rsidRPr="00365E42">
        <w:rPr>
          <w:rFonts w:ascii="Book Antiqua" w:hAnsi="Book Antiqua" w:cs="Times New Roman"/>
          <w:sz w:val="24"/>
          <w:szCs w:val="24"/>
        </w:rPr>
        <w:t>El 2019 se presenta como el año de seguimiento por parte del</w:t>
      </w:r>
      <w:r w:rsidR="00EA7E9E" w:rsidRPr="00365E42">
        <w:rPr>
          <w:rFonts w:ascii="Book Antiqua" w:hAnsi="Book Antiqua" w:cs="Times New Roman"/>
          <w:sz w:val="24"/>
          <w:szCs w:val="24"/>
        </w:rPr>
        <w:t xml:space="preserve"> personal profesional del Sub Proceso de Estadística de la Dirección de Planificación</w:t>
      </w:r>
      <w:r w:rsidRPr="00365E42">
        <w:rPr>
          <w:rFonts w:ascii="Book Antiqua" w:hAnsi="Book Antiqua" w:cs="Times New Roman"/>
          <w:sz w:val="24"/>
          <w:szCs w:val="24"/>
        </w:rPr>
        <w:t xml:space="preserve">, hacia la temática referente al diseño </w:t>
      </w:r>
      <w:r w:rsidR="00EA7E9E" w:rsidRPr="00365E42">
        <w:rPr>
          <w:rFonts w:ascii="Book Antiqua" w:hAnsi="Book Antiqua" w:cs="Times New Roman"/>
          <w:sz w:val="24"/>
          <w:szCs w:val="24"/>
        </w:rPr>
        <w:t xml:space="preserve">de los formularios estadísticos que utilizan las Fiscalías Penales con la herramienta </w:t>
      </w:r>
      <w:r w:rsidR="002A5995" w:rsidRPr="00365E42">
        <w:rPr>
          <w:rFonts w:ascii="Book Antiqua" w:hAnsi="Book Antiqua" w:cs="Times New Roman"/>
          <w:sz w:val="24"/>
          <w:szCs w:val="24"/>
        </w:rPr>
        <w:t>informática</w:t>
      </w:r>
      <w:r w:rsidR="00EA7E9E" w:rsidRPr="00365E42">
        <w:rPr>
          <w:rFonts w:ascii="Book Antiqua" w:hAnsi="Book Antiqua" w:cs="Times New Roman"/>
          <w:sz w:val="24"/>
          <w:szCs w:val="24"/>
        </w:rPr>
        <w:t xml:space="preserve"> S</w:t>
      </w:r>
      <w:r w:rsidR="002A5995" w:rsidRPr="00365E42">
        <w:rPr>
          <w:rFonts w:ascii="Book Antiqua" w:hAnsi="Book Antiqua" w:cs="Times New Roman"/>
          <w:sz w:val="24"/>
          <w:szCs w:val="24"/>
        </w:rPr>
        <w:t>IGMA</w:t>
      </w:r>
      <w:r w:rsidR="00EA7E9E" w:rsidRPr="00365E42">
        <w:rPr>
          <w:rFonts w:ascii="Book Antiqua" w:hAnsi="Book Antiqua" w:cs="Times New Roman"/>
          <w:sz w:val="24"/>
          <w:szCs w:val="24"/>
        </w:rPr>
        <w:t xml:space="preserve">; </w:t>
      </w:r>
      <w:r w:rsidR="002A5995" w:rsidRPr="00365E42">
        <w:rPr>
          <w:rFonts w:ascii="Book Antiqua" w:hAnsi="Book Antiqua" w:cs="Times New Roman"/>
          <w:sz w:val="24"/>
          <w:szCs w:val="24"/>
        </w:rPr>
        <w:t>así como del manual instructivo basado en el rediseño e implementación del modelo de Tramitación del Ministerio Público.</w:t>
      </w:r>
    </w:p>
    <w:p w14:paraId="7EA63893" w14:textId="078EF183" w:rsidR="00DD5868" w:rsidRPr="00365E42" w:rsidRDefault="002A5995" w:rsidP="002A5995">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Cabe destacar que lo anterior </w:t>
      </w:r>
      <w:r w:rsidR="00EA7E9E" w:rsidRPr="00365E42">
        <w:rPr>
          <w:rFonts w:ascii="Book Antiqua" w:hAnsi="Book Antiqua" w:cs="Times New Roman"/>
          <w:sz w:val="24"/>
          <w:szCs w:val="24"/>
        </w:rPr>
        <w:t>en coordinación con personal profesional de la Dirección de Tecnología de la Información (DTI) y con la supervisión de la Unidad de Capacitación del Ministerio Público.</w:t>
      </w:r>
    </w:p>
    <w:p w14:paraId="661D787C" w14:textId="77777777" w:rsidR="002A5995" w:rsidRPr="00365E42" w:rsidRDefault="002A5995" w:rsidP="002A5995">
      <w:pPr>
        <w:spacing w:line="360" w:lineRule="auto"/>
        <w:jc w:val="both"/>
        <w:rPr>
          <w:rFonts w:ascii="Book Antiqua" w:hAnsi="Book Antiqua" w:cs="Times New Roman"/>
          <w:sz w:val="24"/>
          <w:szCs w:val="24"/>
        </w:rPr>
      </w:pPr>
    </w:p>
    <w:p w14:paraId="74313424" w14:textId="50FEAC94" w:rsidR="00F67896" w:rsidRPr="00365E42" w:rsidRDefault="00F67896" w:rsidP="00DD5868">
      <w:pPr>
        <w:pStyle w:val="Prrafodelista"/>
        <w:numPr>
          <w:ilvl w:val="0"/>
          <w:numId w:val="1"/>
        </w:numPr>
        <w:jc w:val="both"/>
        <w:outlineLvl w:val="0"/>
        <w:rPr>
          <w:rFonts w:ascii="Book Antiqua" w:hAnsi="Book Antiqua" w:cs="Times New Roman"/>
          <w:b/>
          <w:bCs/>
          <w:sz w:val="24"/>
          <w:szCs w:val="24"/>
        </w:rPr>
      </w:pPr>
      <w:bookmarkStart w:id="1" w:name="_Toc46389671"/>
      <w:r w:rsidRPr="00365E42">
        <w:rPr>
          <w:rFonts w:ascii="Book Antiqua" w:hAnsi="Book Antiqua" w:cs="Times New Roman"/>
          <w:b/>
          <w:bCs/>
          <w:sz w:val="24"/>
          <w:szCs w:val="24"/>
        </w:rPr>
        <w:t>HECHOS RELEVANTES</w:t>
      </w:r>
      <w:bookmarkEnd w:id="1"/>
    </w:p>
    <w:p w14:paraId="59F2BE74" w14:textId="3B060D54" w:rsidR="00DD5868" w:rsidRPr="00365E42" w:rsidRDefault="00DD5868" w:rsidP="00DD5868">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Los hechos de más relevancia se describen a continuación: </w:t>
      </w:r>
    </w:p>
    <w:p w14:paraId="0DD21D8F" w14:textId="48FE69EF" w:rsidR="00DD5868" w:rsidRDefault="00BE0A49" w:rsidP="00DD5868">
      <w:pPr>
        <w:numPr>
          <w:ilvl w:val="0"/>
          <w:numId w:val="4"/>
        </w:numPr>
        <w:spacing w:after="0" w:line="360" w:lineRule="auto"/>
        <w:ind w:left="357" w:hanging="357"/>
        <w:jc w:val="both"/>
        <w:rPr>
          <w:rFonts w:ascii="Book Antiqua" w:hAnsi="Book Antiqua" w:cs="Times New Roman"/>
          <w:sz w:val="24"/>
          <w:szCs w:val="24"/>
        </w:rPr>
      </w:pPr>
      <w:r w:rsidRPr="00365E42">
        <w:rPr>
          <w:rFonts w:ascii="Book Antiqua" w:hAnsi="Book Antiqua" w:cs="Times New Roman"/>
          <w:sz w:val="24"/>
          <w:szCs w:val="24"/>
        </w:rPr>
        <w:t>El comportamiento de los indicadores de gestión en el 2019 puede</w:t>
      </w:r>
      <w:r w:rsidR="007F6BDE" w:rsidRPr="00365E42">
        <w:rPr>
          <w:rFonts w:ascii="Book Antiqua" w:hAnsi="Book Antiqua" w:cs="Times New Roman"/>
          <w:sz w:val="24"/>
          <w:szCs w:val="24"/>
        </w:rPr>
        <w:t xml:space="preserve"> catalogarse como similar a lo registrado </w:t>
      </w:r>
      <w:r w:rsidR="00DD5868" w:rsidRPr="00365E42">
        <w:rPr>
          <w:rFonts w:ascii="Book Antiqua" w:hAnsi="Book Antiqua" w:cs="Times New Roman"/>
          <w:sz w:val="24"/>
          <w:szCs w:val="24"/>
        </w:rPr>
        <w:t>un año antes</w:t>
      </w:r>
      <w:r w:rsidR="00D961AD" w:rsidRPr="00365E42">
        <w:rPr>
          <w:rFonts w:ascii="Book Antiqua" w:hAnsi="Book Antiqua" w:cs="Times New Roman"/>
          <w:sz w:val="24"/>
          <w:szCs w:val="24"/>
        </w:rPr>
        <w:t xml:space="preserve"> debido a que no se </w:t>
      </w:r>
      <w:r w:rsidR="00A14708" w:rsidRPr="00365E42">
        <w:rPr>
          <w:rFonts w:ascii="Book Antiqua" w:hAnsi="Book Antiqua" w:cs="Times New Roman"/>
          <w:sz w:val="24"/>
          <w:szCs w:val="24"/>
        </w:rPr>
        <w:t>reportan</w:t>
      </w:r>
      <w:r w:rsidR="00D961AD" w:rsidRPr="00365E42">
        <w:rPr>
          <w:rFonts w:ascii="Book Antiqua" w:hAnsi="Book Antiqua" w:cs="Times New Roman"/>
          <w:sz w:val="24"/>
          <w:szCs w:val="24"/>
        </w:rPr>
        <w:t xml:space="preserve"> variaciones que se pudieran considerar como significativas. S</w:t>
      </w:r>
      <w:r w:rsidR="00DD5868" w:rsidRPr="00365E42">
        <w:rPr>
          <w:rFonts w:ascii="Book Antiqua" w:hAnsi="Book Antiqua" w:cs="Times New Roman"/>
          <w:sz w:val="24"/>
          <w:szCs w:val="24"/>
        </w:rPr>
        <w:t>e re</w:t>
      </w:r>
      <w:r w:rsidR="004F55B9" w:rsidRPr="00365E42">
        <w:rPr>
          <w:rFonts w:ascii="Book Antiqua" w:hAnsi="Book Antiqua" w:cs="Times New Roman"/>
          <w:sz w:val="24"/>
          <w:szCs w:val="24"/>
        </w:rPr>
        <w:t>porta</w:t>
      </w:r>
      <w:r w:rsidR="00DD5868" w:rsidRPr="00365E42">
        <w:rPr>
          <w:rFonts w:ascii="Book Antiqua" w:hAnsi="Book Antiqua" w:cs="Times New Roman"/>
          <w:sz w:val="24"/>
          <w:szCs w:val="24"/>
        </w:rPr>
        <w:t xml:space="preserve"> un </w:t>
      </w:r>
      <w:r w:rsidR="007F6BDE" w:rsidRPr="00365E42">
        <w:rPr>
          <w:rFonts w:ascii="Book Antiqua" w:hAnsi="Book Antiqua" w:cs="Times New Roman"/>
          <w:sz w:val="24"/>
          <w:szCs w:val="24"/>
        </w:rPr>
        <w:t>incremento</w:t>
      </w:r>
      <w:r w:rsidR="00DD5868" w:rsidRPr="00365E42">
        <w:rPr>
          <w:rFonts w:ascii="Book Antiqua" w:hAnsi="Book Antiqua" w:cs="Times New Roman"/>
          <w:sz w:val="24"/>
          <w:szCs w:val="24"/>
        </w:rPr>
        <w:t xml:space="preserve"> en la tasa de resolución </w:t>
      </w:r>
      <w:r w:rsidR="007F6BDE" w:rsidRPr="00365E42">
        <w:rPr>
          <w:rFonts w:ascii="Book Antiqua" w:hAnsi="Book Antiqua" w:cs="Times New Roman"/>
          <w:sz w:val="24"/>
          <w:szCs w:val="24"/>
        </w:rPr>
        <w:t>lo que se traduce de manera positiva en una disminución</w:t>
      </w:r>
      <w:r w:rsidR="00DD5868" w:rsidRPr="00365E42">
        <w:rPr>
          <w:rFonts w:ascii="Book Antiqua" w:hAnsi="Book Antiqua" w:cs="Times New Roman"/>
          <w:sz w:val="24"/>
          <w:szCs w:val="24"/>
        </w:rPr>
        <w:t xml:space="preserve"> en la tasa de pendencia y en la razón de congestión. Los datos obtenidos indican que para el 201</w:t>
      </w:r>
      <w:r w:rsidRPr="00365E42">
        <w:rPr>
          <w:rFonts w:ascii="Book Antiqua" w:hAnsi="Book Antiqua" w:cs="Times New Roman"/>
          <w:sz w:val="24"/>
          <w:szCs w:val="24"/>
        </w:rPr>
        <w:t>9</w:t>
      </w:r>
      <w:r w:rsidR="00DD5868" w:rsidRPr="00365E42">
        <w:rPr>
          <w:rFonts w:ascii="Book Antiqua" w:hAnsi="Book Antiqua" w:cs="Times New Roman"/>
          <w:sz w:val="24"/>
          <w:szCs w:val="24"/>
        </w:rPr>
        <w:t xml:space="preserve"> la tasa de pendencia y la razón de congestión </w:t>
      </w:r>
      <w:r w:rsidR="00FE44F0" w:rsidRPr="00365E42">
        <w:rPr>
          <w:rFonts w:ascii="Book Antiqua" w:hAnsi="Book Antiqua" w:cs="Times New Roman"/>
          <w:sz w:val="24"/>
          <w:szCs w:val="24"/>
        </w:rPr>
        <w:t>son</w:t>
      </w:r>
      <w:r w:rsidR="00DD5868" w:rsidRPr="00365E42">
        <w:rPr>
          <w:rFonts w:ascii="Book Antiqua" w:hAnsi="Book Antiqua" w:cs="Times New Roman"/>
          <w:sz w:val="24"/>
          <w:szCs w:val="24"/>
        </w:rPr>
        <w:t xml:space="preserve"> de 2</w:t>
      </w:r>
      <w:r w:rsidR="00A14708" w:rsidRPr="00365E42">
        <w:rPr>
          <w:rFonts w:ascii="Book Antiqua" w:hAnsi="Book Antiqua" w:cs="Times New Roman"/>
          <w:sz w:val="24"/>
          <w:szCs w:val="24"/>
        </w:rPr>
        <w:t>5</w:t>
      </w:r>
      <w:r w:rsidR="00DD5868" w:rsidRPr="00365E42">
        <w:rPr>
          <w:rFonts w:ascii="Book Antiqua" w:hAnsi="Book Antiqua" w:cs="Times New Roman"/>
          <w:sz w:val="24"/>
          <w:szCs w:val="24"/>
        </w:rPr>
        <w:t>% y 1</w:t>
      </w:r>
      <w:r w:rsidR="00A14708" w:rsidRPr="00365E42">
        <w:rPr>
          <w:rFonts w:ascii="Book Antiqua" w:hAnsi="Book Antiqua" w:cs="Times New Roman"/>
          <w:sz w:val="24"/>
          <w:szCs w:val="24"/>
        </w:rPr>
        <w:t>,33</w:t>
      </w:r>
      <w:r w:rsidR="00DD5868" w:rsidRPr="00365E42">
        <w:rPr>
          <w:rFonts w:ascii="Book Antiqua" w:hAnsi="Book Antiqua" w:cs="Times New Roman"/>
          <w:sz w:val="24"/>
          <w:szCs w:val="24"/>
        </w:rPr>
        <w:t xml:space="preserve"> respectivamente, mientras que la tasa de resolución registra un valor de 7</w:t>
      </w:r>
      <w:r w:rsidR="00A14708" w:rsidRPr="00365E42">
        <w:rPr>
          <w:rFonts w:ascii="Book Antiqua" w:hAnsi="Book Antiqua" w:cs="Times New Roman"/>
          <w:sz w:val="24"/>
          <w:szCs w:val="24"/>
        </w:rPr>
        <w:t>5</w:t>
      </w:r>
      <w:r w:rsidR="00DD5868" w:rsidRPr="00365E42">
        <w:rPr>
          <w:rFonts w:ascii="Book Antiqua" w:hAnsi="Book Antiqua" w:cs="Times New Roman"/>
          <w:sz w:val="24"/>
          <w:szCs w:val="24"/>
        </w:rPr>
        <w:t xml:space="preserve">%. </w:t>
      </w:r>
    </w:p>
    <w:p w14:paraId="6332D97A" w14:textId="77777777" w:rsidR="00365E42" w:rsidRPr="00365E42" w:rsidRDefault="00365E42" w:rsidP="00365E42">
      <w:pPr>
        <w:spacing w:after="0" w:line="360" w:lineRule="auto"/>
        <w:ind w:left="357"/>
        <w:jc w:val="both"/>
        <w:rPr>
          <w:rFonts w:ascii="Book Antiqua" w:hAnsi="Book Antiqua" w:cs="Times New Roman"/>
          <w:sz w:val="24"/>
          <w:szCs w:val="24"/>
        </w:rPr>
      </w:pPr>
    </w:p>
    <w:p w14:paraId="26D8C618" w14:textId="14977D05" w:rsidR="00DD5868" w:rsidRPr="00365E42" w:rsidRDefault="00DD5868" w:rsidP="00DD5868">
      <w:pPr>
        <w:numPr>
          <w:ilvl w:val="0"/>
          <w:numId w:val="4"/>
        </w:numPr>
        <w:spacing w:after="0" w:line="360" w:lineRule="auto"/>
        <w:ind w:left="357" w:hanging="357"/>
        <w:jc w:val="both"/>
        <w:rPr>
          <w:rFonts w:ascii="Book Antiqua" w:hAnsi="Book Antiqua" w:cs="Times New Roman"/>
          <w:sz w:val="24"/>
          <w:szCs w:val="24"/>
        </w:rPr>
      </w:pPr>
      <w:r w:rsidRPr="00365E42">
        <w:rPr>
          <w:rFonts w:ascii="Book Antiqua" w:hAnsi="Book Antiqua" w:cs="Times New Roman"/>
          <w:sz w:val="24"/>
          <w:szCs w:val="24"/>
        </w:rPr>
        <w:t xml:space="preserve">Por </w:t>
      </w:r>
      <w:r w:rsidR="000D3525" w:rsidRPr="00365E42">
        <w:rPr>
          <w:rFonts w:ascii="Book Antiqua" w:hAnsi="Book Antiqua" w:cs="Times New Roman"/>
          <w:sz w:val="24"/>
          <w:szCs w:val="24"/>
        </w:rPr>
        <w:t>tercer</w:t>
      </w:r>
      <w:r w:rsidRPr="00365E42">
        <w:rPr>
          <w:rFonts w:ascii="Book Antiqua" w:hAnsi="Book Antiqua" w:cs="Times New Roman"/>
          <w:sz w:val="24"/>
          <w:szCs w:val="24"/>
        </w:rPr>
        <w:t xml:space="preserve"> año consecutivo se consigna un incremento en los asuntos entrados, el cual es de </w:t>
      </w:r>
      <w:r w:rsidR="000D3525" w:rsidRPr="00365E42">
        <w:rPr>
          <w:rFonts w:ascii="Book Antiqua" w:hAnsi="Book Antiqua" w:cs="Times New Roman"/>
          <w:sz w:val="24"/>
          <w:szCs w:val="24"/>
        </w:rPr>
        <w:t>25.166</w:t>
      </w:r>
      <w:r w:rsidRPr="00365E42">
        <w:rPr>
          <w:rFonts w:ascii="Book Antiqua" w:hAnsi="Book Antiqua" w:cs="Times New Roman"/>
          <w:sz w:val="24"/>
          <w:szCs w:val="24"/>
        </w:rPr>
        <w:t xml:space="preserve"> casos más </w:t>
      </w:r>
      <w:r w:rsidR="000D3525" w:rsidRPr="00365E42">
        <w:rPr>
          <w:rFonts w:ascii="Book Antiqua" w:hAnsi="Book Antiqua" w:cs="Times New Roman"/>
          <w:sz w:val="24"/>
          <w:szCs w:val="24"/>
        </w:rPr>
        <w:t>en relación con el 2018</w:t>
      </w:r>
      <w:r w:rsidRPr="00365E42">
        <w:rPr>
          <w:rFonts w:ascii="Book Antiqua" w:hAnsi="Book Antiqua" w:cs="Times New Roman"/>
          <w:sz w:val="24"/>
          <w:szCs w:val="24"/>
        </w:rPr>
        <w:t xml:space="preserve">, lo que </w:t>
      </w:r>
      <w:r w:rsidR="004F55B9" w:rsidRPr="00365E42">
        <w:rPr>
          <w:rFonts w:ascii="Book Antiqua" w:hAnsi="Book Antiqua" w:cs="Times New Roman"/>
          <w:sz w:val="24"/>
          <w:szCs w:val="24"/>
        </w:rPr>
        <w:t>representa</w:t>
      </w:r>
      <w:r w:rsidRPr="00365E42">
        <w:rPr>
          <w:rFonts w:ascii="Book Antiqua" w:hAnsi="Book Antiqua" w:cs="Times New Roman"/>
          <w:sz w:val="24"/>
          <w:szCs w:val="24"/>
        </w:rPr>
        <w:t xml:space="preserve"> una variación </w:t>
      </w:r>
      <w:r w:rsidR="000D3525" w:rsidRPr="00365E42">
        <w:rPr>
          <w:rFonts w:ascii="Book Antiqua" w:hAnsi="Book Antiqua" w:cs="Times New Roman"/>
          <w:sz w:val="24"/>
          <w:szCs w:val="24"/>
        </w:rPr>
        <w:t>porcentual</w:t>
      </w:r>
      <w:r w:rsidRPr="00365E42">
        <w:rPr>
          <w:rFonts w:ascii="Book Antiqua" w:hAnsi="Book Antiqua" w:cs="Times New Roman"/>
          <w:sz w:val="24"/>
          <w:szCs w:val="24"/>
        </w:rPr>
        <w:t xml:space="preserve"> de</w:t>
      </w:r>
      <w:r w:rsidR="000D3525" w:rsidRPr="00365E42">
        <w:rPr>
          <w:rFonts w:ascii="Book Antiqua" w:hAnsi="Book Antiqua" w:cs="Times New Roman"/>
          <w:sz w:val="24"/>
          <w:szCs w:val="24"/>
        </w:rPr>
        <w:t>l</w:t>
      </w:r>
      <w:r w:rsidRPr="00365E42">
        <w:rPr>
          <w:rFonts w:ascii="Book Antiqua" w:hAnsi="Book Antiqua" w:cs="Times New Roman"/>
          <w:sz w:val="24"/>
          <w:szCs w:val="24"/>
        </w:rPr>
        <w:t xml:space="preserve"> </w:t>
      </w:r>
      <w:r w:rsidR="000D3525" w:rsidRPr="00365E42">
        <w:rPr>
          <w:rFonts w:ascii="Book Antiqua" w:hAnsi="Book Antiqua" w:cs="Times New Roman"/>
          <w:sz w:val="24"/>
          <w:szCs w:val="24"/>
        </w:rPr>
        <w:t>13,59</w:t>
      </w:r>
      <w:r w:rsidRPr="00365E42">
        <w:rPr>
          <w:rFonts w:ascii="Book Antiqua" w:hAnsi="Book Antiqua" w:cs="Times New Roman"/>
          <w:sz w:val="24"/>
          <w:szCs w:val="24"/>
        </w:rPr>
        <w:t>%</w:t>
      </w:r>
      <w:r w:rsidR="000D3525" w:rsidRPr="00365E42">
        <w:rPr>
          <w:rFonts w:ascii="Book Antiqua" w:hAnsi="Book Antiqua" w:cs="Times New Roman"/>
          <w:sz w:val="24"/>
          <w:szCs w:val="24"/>
        </w:rPr>
        <w:t xml:space="preserve"> </w:t>
      </w:r>
      <w:r w:rsidR="007D5499" w:rsidRPr="00365E42">
        <w:rPr>
          <w:rFonts w:ascii="Book Antiqua" w:hAnsi="Book Antiqua" w:cs="Times New Roman"/>
          <w:sz w:val="24"/>
          <w:szCs w:val="24"/>
        </w:rPr>
        <w:t>constituyéndose</w:t>
      </w:r>
      <w:r w:rsidR="000D3525" w:rsidRPr="00365E42">
        <w:rPr>
          <w:rFonts w:ascii="Book Antiqua" w:hAnsi="Book Antiqua" w:cs="Times New Roman"/>
          <w:sz w:val="24"/>
          <w:szCs w:val="24"/>
        </w:rPr>
        <w:t xml:space="preserve"> como la más importante del periodo bajo estudio</w:t>
      </w:r>
      <w:r w:rsidRPr="00365E42">
        <w:rPr>
          <w:rFonts w:ascii="Book Antiqua" w:hAnsi="Book Antiqua" w:cs="Times New Roman"/>
          <w:sz w:val="24"/>
          <w:szCs w:val="24"/>
        </w:rPr>
        <w:t xml:space="preserve">. </w:t>
      </w:r>
    </w:p>
    <w:p w14:paraId="6BE84B06" w14:textId="77777777" w:rsidR="00365E42" w:rsidRDefault="0006071F" w:rsidP="00DD5868">
      <w:pPr>
        <w:numPr>
          <w:ilvl w:val="0"/>
          <w:numId w:val="4"/>
        </w:numPr>
        <w:spacing w:after="0" w:line="360" w:lineRule="auto"/>
        <w:ind w:left="360"/>
        <w:jc w:val="both"/>
        <w:rPr>
          <w:rFonts w:ascii="Book Antiqua" w:hAnsi="Book Antiqua" w:cs="Times New Roman"/>
          <w:sz w:val="24"/>
          <w:szCs w:val="24"/>
        </w:rPr>
      </w:pPr>
      <w:r w:rsidRPr="00365E42">
        <w:rPr>
          <w:rFonts w:ascii="Book Antiqua" w:hAnsi="Book Antiqua" w:cs="Times New Roman"/>
          <w:sz w:val="24"/>
          <w:szCs w:val="24"/>
        </w:rPr>
        <w:lastRenderedPageBreak/>
        <w:t xml:space="preserve">Así mismo, en la temática de terminados el 2019 se presenta como el año con el mayor incremento del último quinquenio, registrando </w:t>
      </w:r>
      <w:r w:rsidR="008226CC" w:rsidRPr="00365E42">
        <w:rPr>
          <w:rFonts w:ascii="Book Antiqua" w:hAnsi="Book Antiqua" w:cs="Times New Roman"/>
          <w:sz w:val="24"/>
          <w:szCs w:val="24"/>
        </w:rPr>
        <w:t>un 17,74% (32.783 casos) en relación con un año antes,</w:t>
      </w:r>
      <w:r w:rsidR="00DD5868" w:rsidRPr="00365E42">
        <w:rPr>
          <w:rFonts w:ascii="Book Antiqua" w:hAnsi="Book Antiqua" w:cs="Times New Roman"/>
          <w:sz w:val="24"/>
          <w:szCs w:val="24"/>
        </w:rPr>
        <w:t xml:space="preserve"> por lo que es notable el esfuerzo de las fiscalías en la tramitación de los asuntos.    </w:t>
      </w:r>
    </w:p>
    <w:p w14:paraId="2415EEE2" w14:textId="30CE0D7D" w:rsidR="00DD5868" w:rsidRPr="00365E42" w:rsidRDefault="00DD5868" w:rsidP="00365E42">
      <w:pPr>
        <w:spacing w:after="0" w:line="360" w:lineRule="auto"/>
        <w:ind w:left="360"/>
        <w:jc w:val="both"/>
        <w:rPr>
          <w:rFonts w:ascii="Book Antiqua" w:hAnsi="Book Antiqua" w:cs="Times New Roman"/>
          <w:sz w:val="24"/>
          <w:szCs w:val="24"/>
        </w:rPr>
      </w:pPr>
      <w:r w:rsidRPr="00365E42">
        <w:rPr>
          <w:rFonts w:ascii="Book Antiqua" w:hAnsi="Book Antiqua" w:cs="Times New Roman"/>
          <w:sz w:val="24"/>
          <w:szCs w:val="24"/>
        </w:rPr>
        <w:t xml:space="preserve"> </w:t>
      </w:r>
    </w:p>
    <w:p w14:paraId="0052DE79" w14:textId="4993247C" w:rsidR="00DD5868" w:rsidRDefault="00DD5868" w:rsidP="00DD5868">
      <w:pPr>
        <w:numPr>
          <w:ilvl w:val="0"/>
          <w:numId w:val="4"/>
        </w:numPr>
        <w:spacing w:after="0" w:line="360" w:lineRule="auto"/>
        <w:ind w:left="360"/>
        <w:jc w:val="both"/>
        <w:rPr>
          <w:rFonts w:ascii="Book Antiqua" w:hAnsi="Book Antiqua" w:cs="Times New Roman"/>
          <w:sz w:val="24"/>
          <w:szCs w:val="24"/>
        </w:rPr>
      </w:pPr>
      <w:r w:rsidRPr="00365E42">
        <w:rPr>
          <w:rFonts w:ascii="Book Antiqua" w:hAnsi="Book Antiqua" w:cs="Times New Roman"/>
          <w:sz w:val="24"/>
          <w:szCs w:val="24"/>
        </w:rPr>
        <w:t xml:space="preserve">Los motivos de término </w:t>
      </w:r>
      <w:r w:rsidR="003654F9" w:rsidRPr="00365E42">
        <w:rPr>
          <w:rFonts w:ascii="Book Antiqua" w:hAnsi="Book Antiqua" w:cs="Times New Roman"/>
          <w:sz w:val="24"/>
          <w:szCs w:val="24"/>
        </w:rPr>
        <w:t xml:space="preserve">más frecuentemente registrados </w:t>
      </w:r>
      <w:r w:rsidRPr="00365E42">
        <w:rPr>
          <w:rFonts w:ascii="Book Antiqua" w:hAnsi="Book Antiqua" w:cs="Times New Roman"/>
          <w:sz w:val="24"/>
          <w:szCs w:val="24"/>
        </w:rPr>
        <w:t>por medio del cual se da por finalizado un expediente son: solicitud de desestimación (3</w:t>
      </w:r>
      <w:r w:rsidR="003654F9" w:rsidRPr="00365E42">
        <w:rPr>
          <w:rFonts w:ascii="Book Antiqua" w:hAnsi="Book Antiqua" w:cs="Times New Roman"/>
          <w:sz w:val="24"/>
          <w:szCs w:val="24"/>
        </w:rPr>
        <w:t>9</w:t>
      </w:r>
      <w:r w:rsidRPr="00365E42">
        <w:rPr>
          <w:rFonts w:ascii="Book Antiqua" w:hAnsi="Book Antiqua" w:cs="Times New Roman"/>
          <w:sz w:val="24"/>
          <w:szCs w:val="24"/>
        </w:rPr>
        <w:t>,</w:t>
      </w:r>
      <w:r w:rsidR="003654F9" w:rsidRPr="00365E42">
        <w:rPr>
          <w:rFonts w:ascii="Book Antiqua" w:hAnsi="Book Antiqua" w:cs="Times New Roman"/>
          <w:sz w:val="24"/>
          <w:szCs w:val="24"/>
        </w:rPr>
        <w:t>3</w:t>
      </w:r>
      <w:r w:rsidRPr="00365E42">
        <w:rPr>
          <w:rFonts w:ascii="Book Antiqua" w:hAnsi="Book Antiqua" w:cs="Times New Roman"/>
          <w:sz w:val="24"/>
          <w:szCs w:val="24"/>
        </w:rPr>
        <w:t>%), archivo fiscal (2</w:t>
      </w:r>
      <w:r w:rsidR="003654F9" w:rsidRPr="00365E42">
        <w:rPr>
          <w:rFonts w:ascii="Book Antiqua" w:hAnsi="Book Antiqua" w:cs="Times New Roman"/>
          <w:sz w:val="24"/>
          <w:szCs w:val="24"/>
        </w:rPr>
        <w:t>7</w:t>
      </w:r>
      <w:r w:rsidRPr="00365E42">
        <w:rPr>
          <w:rFonts w:ascii="Book Antiqua" w:hAnsi="Book Antiqua" w:cs="Times New Roman"/>
          <w:sz w:val="24"/>
          <w:szCs w:val="24"/>
        </w:rPr>
        <w:t>,</w:t>
      </w:r>
      <w:r w:rsidR="003654F9" w:rsidRPr="00365E42">
        <w:rPr>
          <w:rFonts w:ascii="Book Antiqua" w:hAnsi="Book Antiqua" w:cs="Times New Roman"/>
          <w:sz w:val="24"/>
          <w:szCs w:val="24"/>
        </w:rPr>
        <w:t>36</w:t>
      </w:r>
      <w:r w:rsidRPr="00365E42">
        <w:rPr>
          <w:rFonts w:ascii="Book Antiqua" w:hAnsi="Book Antiqua" w:cs="Times New Roman"/>
          <w:sz w:val="24"/>
          <w:szCs w:val="24"/>
        </w:rPr>
        <w:t>%), acusación fiscal (1</w:t>
      </w:r>
      <w:r w:rsidR="003654F9" w:rsidRPr="00365E42">
        <w:rPr>
          <w:rFonts w:ascii="Book Antiqua" w:hAnsi="Book Antiqua" w:cs="Times New Roman"/>
          <w:sz w:val="24"/>
          <w:szCs w:val="24"/>
        </w:rPr>
        <w:t>1</w:t>
      </w:r>
      <w:r w:rsidRPr="00365E42">
        <w:rPr>
          <w:rFonts w:ascii="Book Antiqua" w:hAnsi="Book Antiqua" w:cs="Times New Roman"/>
          <w:sz w:val="24"/>
          <w:szCs w:val="24"/>
        </w:rPr>
        <w:t>,</w:t>
      </w:r>
      <w:r w:rsidR="003654F9" w:rsidRPr="00365E42">
        <w:rPr>
          <w:rFonts w:ascii="Book Antiqua" w:hAnsi="Book Antiqua" w:cs="Times New Roman"/>
          <w:sz w:val="24"/>
          <w:szCs w:val="24"/>
        </w:rPr>
        <w:t>24</w:t>
      </w:r>
      <w:r w:rsidRPr="00365E42">
        <w:rPr>
          <w:rFonts w:ascii="Book Antiqua" w:hAnsi="Book Antiqua" w:cs="Times New Roman"/>
          <w:sz w:val="24"/>
          <w:szCs w:val="24"/>
        </w:rPr>
        <w:t>%), solicitud de sobreseimiento definitivo (7,</w:t>
      </w:r>
      <w:r w:rsidR="003654F9" w:rsidRPr="00365E42">
        <w:rPr>
          <w:rFonts w:ascii="Book Antiqua" w:hAnsi="Book Antiqua" w:cs="Times New Roman"/>
          <w:sz w:val="24"/>
          <w:szCs w:val="24"/>
        </w:rPr>
        <w:t>39</w:t>
      </w:r>
      <w:r w:rsidRPr="00365E42">
        <w:rPr>
          <w:rFonts w:ascii="Book Antiqua" w:hAnsi="Book Antiqua" w:cs="Times New Roman"/>
          <w:sz w:val="24"/>
          <w:szCs w:val="24"/>
        </w:rPr>
        <w:t xml:space="preserve">%) y la remisión a otra jurisdicción </w:t>
      </w:r>
      <w:r w:rsidR="003654F9" w:rsidRPr="00365E42">
        <w:rPr>
          <w:rFonts w:ascii="Book Antiqua" w:hAnsi="Book Antiqua" w:cs="Times New Roman"/>
          <w:sz w:val="24"/>
          <w:szCs w:val="24"/>
        </w:rPr>
        <w:t>4</w:t>
      </w:r>
      <w:r w:rsidRPr="00365E42">
        <w:rPr>
          <w:rFonts w:ascii="Book Antiqua" w:hAnsi="Book Antiqua" w:cs="Times New Roman"/>
          <w:sz w:val="24"/>
          <w:szCs w:val="24"/>
        </w:rPr>
        <w:t>,</w:t>
      </w:r>
      <w:r w:rsidR="003654F9" w:rsidRPr="00365E42">
        <w:rPr>
          <w:rFonts w:ascii="Book Antiqua" w:hAnsi="Book Antiqua" w:cs="Times New Roman"/>
          <w:sz w:val="24"/>
          <w:szCs w:val="24"/>
        </w:rPr>
        <w:t>22</w:t>
      </w:r>
      <w:r w:rsidRPr="00365E42">
        <w:rPr>
          <w:rFonts w:ascii="Book Antiqua" w:hAnsi="Book Antiqua" w:cs="Times New Roman"/>
          <w:sz w:val="24"/>
          <w:szCs w:val="24"/>
        </w:rPr>
        <w:t xml:space="preserve">%. </w:t>
      </w:r>
    </w:p>
    <w:p w14:paraId="2CEB73E7" w14:textId="77777777" w:rsidR="00365E42" w:rsidRPr="00365E42" w:rsidRDefault="00365E42" w:rsidP="00365E42">
      <w:pPr>
        <w:spacing w:after="0" w:line="360" w:lineRule="auto"/>
        <w:ind w:left="360"/>
        <w:jc w:val="both"/>
        <w:rPr>
          <w:rFonts w:ascii="Book Antiqua" w:hAnsi="Book Antiqua" w:cs="Times New Roman"/>
          <w:sz w:val="24"/>
          <w:szCs w:val="24"/>
        </w:rPr>
      </w:pPr>
    </w:p>
    <w:p w14:paraId="16D7462D" w14:textId="5FCA2A00" w:rsidR="00DD5868" w:rsidRDefault="00D5462A" w:rsidP="00DD5868">
      <w:pPr>
        <w:numPr>
          <w:ilvl w:val="0"/>
          <w:numId w:val="4"/>
        </w:numPr>
        <w:spacing w:after="0" w:line="360" w:lineRule="auto"/>
        <w:ind w:left="360"/>
        <w:jc w:val="both"/>
        <w:rPr>
          <w:rFonts w:ascii="Book Antiqua" w:hAnsi="Book Antiqua" w:cs="Times New Roman"/>
          <w:sz w:val="24"/>
          <w:szCs w:val="24"/>
        </w:rPr>
      </w:pPr>
      <w:r w:rsidRPr="00365E42">
        <w:rPr>
          <w:rFonts w:ascii="Book Antiqua" w:hAnsi="Book Antiqua" w:cs="Times New Roman"/>
          <w:sz w:val="24"/>
          <w:szCs w:val="24"/>
        </w:rPr>
        <w:t>La tendencia creciente de l</w:t>
      </w:r>
      <w:r w:rsidR="00DD5868" w:rsidRPr="00365E42">
        <w:rPr>
          <w:rFonts w:ascii="Book Antiqua" w:hAnsi="Book Antiqua" w:cs="Times New Roman"/>
          <w:sz w:val="24"/>
          <w:szCs w:val="24"/>
        </w:rPr>
        <w:t xml:space="preserve">os asuntos pendientes de una resolución </w:t>
      </w:r>
      <w:r w:rsidRPr="00365E42">
        <w:rPr>
          <w:rFonts w:ascii="Book Antiqua" w:hAnsi="Book Antiqua" w:cs="Times New Roman"/>
          <w:sz w:val="24"/>
          <w:szCs w:val="24"/>
        </w:rPr>
        <w:t xml:space="preserve">o activos se mantiene para el 2019 también, reportando un 7,37% (4.964 casos) </w:t>
      </w:r>
      <w:r w:rsidR="004F55B9" w:rsidRPr="00365E42">
        <w:rPr>
          <w:rFonts w:ascii="Book Antiqua" w:hAnsi="Book Antiqua" w:cs="Times New Roman"/>
          <w:sz w:val="24"/>
          <w:szCs w:val="24"/>
        </w:rPr>
        <w:t xml:space="preserve">más </w:t>
      </w:r>
      <w:r w:rsidR="00DD5868" w:rsidRPr="00365E42">
        <w:rPr>
          <w:rFonts w:ascii="Book Antiqua" w:hAnsi="Book Antiqua" w:cs="Times New Roman"/>
          <w:sz w:val="24"/>
          <w:szCs w:val="24"/>
        </w:rPr>
        <w:t>en comparación con el 2</w:t>
      </w:r>
      <w:r w:rsidRPr="00365E42">
        <w:rPr>
          <w:rFonts w:ascii="Book Antiqua" w:hAnsi="Book Antiqua" w:cs="Times New Roman"/>
          <w:sz w:val="24"/>
          <w:szCs w:val="24"/>
        </w:rPr>
        <w:t xml:space="preserve">018 a pesar de que </w:t>
      </w:r>
      <w:r w:rsidR="00DD5868" w:rsidRPr="00365E42">
        <w:rPr>
          <w:rFonts w:ascii="Book Antiqua" w:hAnsi="Book Antiqua" w:cs="Times New Roman"/>
          <w:sz w:val="24"/>
          <w:szCs w:val="24"/>
        </w:rPr>
        <w:t xml:space="preserve">el nivel resolutivo </w:t>
      </w:r>
      <w:r w:rsidRPr="00365E42">
        <w:rPr>
          <w:rFonts w:ascii="Book Antiqua" w:hAnsi="Book Antiqua" w:cs="Times New Roman"/>
          <w:sz w:val="24"/>
          <w:szCs w:val="24"/>
        </w:rPr>
        <w:t>se incrementó de manera significativa, como fue mencionado en el punto 3</w:t>
      </w:r>
      <w:r w:rsidR="00DD5868" w:rsidRPr="00365E42">
        <w:rPr>
          <w:rFonts w:ascii="Book Antiqua" w:hAnsi="Book Antiqua" w:cs="Times New Roman"/>
          <w:sz w:val="24"/>
          <w:szCs w:val="24"/>
        </w:rPr>
        <w:t>.</w:t>
      </w:r>
      <w:r w:rsidR="00884DAD" w:rsidRPr="00365E42">
        <w:rPr>
          <w:rFonts w:ascii="Book Antiqua" w:hAnsi="Book Antiqua" w:cs="Times New Roman"/>
          <w:sz w:val="24"/>
          <w:szCs w:val="24"/>
        </w:rPr>
        <w:t xml:space="preserve"> La justificante es principalmente en la línea de la importante magnitud que re</w:t>
      </w:r>
      <w:r w:rsidR="004F55B9" w:rsidRPr="00365E42">
        <w:rPr>
          <w:rFonts w:ascii="Book Antiqua" w:hAnsi="Book Antiqua" w:cs="Times New Roman"/>
          <w:sz w:val="24"/>
          <w:szCs w:val="24"/>
        </w:rPr>
        <w:t>presentan</w:t>
      </w:r>
      <w:r w:rsidR="00884DAD" w:rsidRPr="00365E42">
        <w:rPr>
          <w:rFonts w:ascii="Book Antiqua" w:hAnsi="Book Antiqua" w:cs="Times New Roman"/>
          <w:sz w:val="24"/>
          <w:szCs w:val="24"/>
        </w:rPr>
        <w:t xml:space="preserve"> los casos reentrados y testimonios de piezas (4,21% de la totalidad de la carga de trabajo para el 2019), y que impide que la cantidad de </w:t>
      </w:r>
      <w:r w:rsidR="003F7335" w:rsidRPr="00365E42">
        <w:rPr>
          <w:rFonts w:ascii="Book Antiqua" w:hAnsi="Book Antiqua" w:cs="Times New Roman"/>
          <w:sz w:val="24"/>
          <w:szCs w:val="24"/>
        </w:rPr>
        <w:t>activos</w:t>
      </w:r>
      <w:r w:rsidR="00884DAD" w:rsidRPr="00365E42">
        <w:rPr>
          <w:rFonts w:ascii="Book Antiqua" w:hAnsi="Book Antiqua" w:cs="Times New Roman"/>
          <w:sz w:val="24"/>
          <w:szCs w:val="24"/>
        </w:rPr>
        <w:t xml:space="preserve"> cambie de tendencia.</w:t>
      </w:r>
    </w:p>
    <w:p w14:paraId="69BA2DF8" w14:textId="77777777" w:rsidR="00365E42" w:rsidRPr="00365E42" w:rsidRDefault="00365E42" w:rsidP="00365E42">
      <w:pPr>
        <w:spacing w:after="0" w:line="360" w:lineRule="auto"/>
        <w:ind w:left="360"/>
        <w:jc w:val="both"/>
        <w:rPr>
          <w:rFonts w:ascii="Book Antiqua" w:hAnsi="Book Antiqua" w:cs="Times New Roman"/>
          <w:sz w:val="24"/>
          <w:szCs w:val="24"/>
        </w:rPr>
      </w:pPr>
    </w:p>
    <w:p w14:paraId="23AE7E41" w14:textId="01D2A0F0" w:rsidR="004C1EE3" w:rsidRPr="00365E42" w:rsidRDefault="00DD5868" w:rsidP="00F67896">
      <w:pPr>
        <w:numPr>
          <w:ilvl w:val="0"/>
          <w:numId w:val="4"/>
        </w:numPr>
        <w:spacing w:after="0" w:line="360" w:lineRule="auto"/>
        <w:ind w:left="360"/>
        <w:jc w:val="both"/>
        <w:rPr>
          <w:rFonts w:ascii="Book Antiqua" w:hAnsi="Book Antiqua" w:cs="Times New Roman"/>
          <w:sz w:val="24"/>
          <w:szCs w:val="24"/>
        </w:rPr>
      </w:pPr>
      <w:r w:rsidRPr="00365E42">
        <w:rPr>
          <w:rFonts w:ascii="Book Antiqua" w:hAnsi="Book Antiqua" w:cs="Times New Roman"/>
          <w:sz w:val="24"/>
          <w:szCs w:val="24"/>
        </w:rPr>
        <w:t xml:space="preserve">Se realiza una proyección para el </w:t>
      </w:r>
      <w:r w:rsidR="003F7335" w:rsidRPr="00365E42">
        <w:rPr>
          <w:rFonts w:ascii="Book Antiqua" w:hAnsi="Book Antiqua" w:cs="Times New Roman"/>
          <w:sz w:val="24"/>
          <w:szCs w:val="24"/>
        </w:rPr>
        <w:t xml:space="preserve">bienio </w:t>
      </w:r>
      <w:r w:rsidRPr="00365E42">
        <w:rPr>
          <w:rFonts w:ascii="Book Antiqua" w:hAnsi="Book Antiqua" w:cs="Times New Roman"/>
          <w:sz w:val="24"/>
          <w:szCs w:val="24"/>
        </w:rPr>
        <w:t>20</w:t>
      </w:r>
      <w:r w:rsidR="003F7335" w:rsidRPr="00365E42">
        <w:rPr>
          <w:rFonts w:ascii="Book Antiqua" w:hAnsi="Book Antiqua" w:cs="Times New Roman"/>
          <w:sz w:val="24"/>
          <w:szCs w:val="24"/>
        </w:rPr>
        <w:t>10</w:t>
      </w:r>
      <w:r w:rsidRPr="00365E42">
        <w:rPr>
          <w:rFonts w:ascii="Book Antiqua" w:hAnsi="Book Antiqua" w:cs="Times New Roman"/>
          <w:sz w:val="24"/>
          <w:szCs w:val="24"/>
        </w:rPr>
        <w:t xml:space="preserve"> y 202</w:t>
      </w:r>
      <w:r w:rsidR="003F7335" w:rsidRPr="00365E42">
        <w:rPr>
          <w:rFonts w:ascii="Book Antiqua" w:hAnsi="Book Antiqua" w:cs="Times New Roman"/>
          <w:sz w:val="24"/>
          <w:szCs w:val="24"/>
        </w:rPr>
        <w:t>1</w:t>
      </w:r>
      <w:r w:rsidRPr="00365E42">
        <w:rPr>
          <w:rFonts w:ascii="Book Antiqua" w:hAnsi="Book Antiqua" w:cs="Times New Roman"/>
          <w:sz w:val="24"/>
          <w:szCs w:val="24"/>
        </w:rPr>
        <w:t xml:space="preserve"> de los asuntos entrados y terminados, de manera que se pueda tener un panorama para los </w:t>
      </w:r>
      <w:r w:rsidR="007C5875" w:rsidRPr="00365E42">
        <w:rPr>
          <w:rFonts w:ascii="Book Antiqua" w:hAnsi="Book Antiqua" w:cs="Times New Roman"/>
          <w:sz w:val="24"/>
          <w:szCs w:val="24"/>
        </w:rPr>
        <w:t xml:space="preserve">dos siguientes </w:t>
      </w:r>
      <w:r w:rsidRPr="00365E42">
        <w:rPr>
          <w:rFonts w:ascii="Book Antiqua" w:hAnsi="Book Antiqua" w:cs="Times New Roman"/>
          <w:sz w:val="24"/>
          <w:szCs w:val="24"/>
        </w:rPr>
        <w:t xml:space="preserve">años. </w:t>
      </w:r>
      <w:r w:rsidR="00484EE7" w:rsidRPr="00365E42">
        <w:rPr>
          <w:rFonts w:ascii="Book Antiqua" w:hAnsi="Book Antiqua" w:cs="Times New Roman"/>
          <w:sz w:val="24"/>
          <w:szCs w:val="24"/>
        </w:rPr>
        <w:t>Se estima que l</w:t>
      </w:r>
      <w:r w:rsidRPr="00365E42">
        <w:rPr>
          <w:rFonts w:ascii="Book Antiqua" w:hAnsi="Book Antiqua" w:cs="Times New Roman"/>
          <w:sz w:val="24"/>
          <w:szCs w:val="24"/>
        </w:rPr>
        <w:t>os casos entrados tendrían un</w:t>
      </w:r>
      <w:r w:rsidR="00484EE7" w:rsidRPr="00365E42">
        <w:rPr>
          <w:rFonts w:ascii="Book Antiqua" w:hAnsi="Book Antiqua" w:cs="Times New Roman"/>
          <w:sz w:val="24"/>
          <w:szCs w:val="24"/>
        </w:rPr>
        <w:t>a magnitud</w:t>
      </w:r>
      <w:r w:rsidRPr="00365E42">
        <w:rPr>
          <w:rFonts w:ascii="Book Antiqua" w:hAnsi="Book Antiqua" w:cs="Times New Roman"/>
          <w:sz w:val="24"/>
          <w:szCs w:val="24"/>
        </w:rPr>
        <w:t xml:space="preserve"> de </w:t>
      </w:r>
      <w:r w:rsidR="009823AD" w:rsidRPr="00365E42">
        <w:rPr>
          <w:rFonts w:ascii="Book Antiqua" w:hAnsi="Book Antiqua" w:cs="Times New Roman"/>
          <w:sz w:val="24"/>
          <w:szCs w:val="24"/>
        </w:rPr>
        <w:t>219.712</w:t>
      </w:r>
      <w:r w:rsidRPr="00365E42">
        <w:rPr>
          <w:rFonts w:ascii="Book Antiqua" w:hAnsi="Book Antiqua" w:cs="Times New Roman"/>
          <w:sz w:val="24"/>
          <w:szCs w:val="24"/>
        </w:rPr>
        <w:t xml:space="preserve"> para el 20</w:t>
      </w:r>
      <w:r w:rsidR="009823AD" w:rsidRPr="00365E42">
        <w:rPr>
          <w:rFonts w:ascii="Book Antiqua" w:hAnsi="Book Antiqua" w:cs="Times New Roman"/>
          <w:sz w:val="24"/>
          <w:szCs w:val="24"/>
        </w:rPr>
        <w:t>20</w:t>
      </w:r>
      <w:r w:rsidRPr="00365E42">
        <w:rPr>
          <w:rFonts w:ascii="Book Antiqua" w:hAnsi="Book Antiqua" w:cs="Times New Roman"/>
          <w:sz w:val="24"/>
          <w:szCs w:val="24"/>
        </w:rPr>
        <w:t xml:space="preserve"> y de </w:t>
      </w:r>
      <w:r w:rsidR="009823AD" w:rsidRPr="00365E42">
        <w:rPr>
          <w:rFonts w:ascii="Book Antiqua" w:hAnsi="Book Antiqua" w:cs="Times New Roman"/>
          <w:sz w:val="24"/>
          <w:szCs w:val="24"/>
        </w:rPr>
        <w:t>233.916</w:t>
      </w:r>
      <w:r w:rsidRPr="00365E42">
        <w:rPr>
          <w:rFonts w:ascii="Book Antiqua" w:hAnsi="Book Antiqua" w:cs="Times New Roman"/>
          <w:sz w:val="24"/>
          <w:szCs w:val="24"/>
        </w:rPr>
        <w:t xml:space="preserve"> para el 202</w:t>
      </w:r>
      <w:r w:rsidR="009823AD" w:rsidRPr="00365E42">
        <w:rPr>
          <w:rFonts w:ascii="Book Antiqua" w:hAnsi="Book Antiqua" w:cs="Times New Roman"/>
          <w:sz w:val="24"/>
          <w:szCs w:val="24"/>
        </w:rPr>
        <w:t>1</w:t>
      </w:r>
      <w:r w:rsidRPr="00365E42">
        <w:rPr>
          <w:rFonts w:ascii="Book Antiqua" w:hAnsi="Book Antiqua" w:cs="Times New Roman"/>
          <w:sz w:val="24"/>
          <w:szCs w:val="24"/>
        </w:rPr>
        <w:t xml:space="preserve">. Respecto de los terminados, </w:t>
      </w:r>
      <w:r w:rsidR="00484EE7" w:rsidRPr="00365E42">
        <w:rPr>
          <w:rFonts w:ascii="Book Antiqua" w:hAnsi="Book Antiqua" w:cs="Times New Roman"/>
          <w:sz w:val="24"/>
          <w:szCs w:val="24"/>
        </w:rPr>
        <w:t xml:space="preserve">la estimación da como resultado </w:t>
      </w:r>
      <w:r w:rsidR="009823AD" w:rsidRPr="00365E42">
        <w:rPr>
          <w:rFonts w:ascii="Book Antiqua" w:hAnsi="Book Antiqua" w:cs="Times New Roman"/>
          <w:sz w:val="24"/>
          <w:szCs w:val="24"/>
        </w:rPr>
        <w:t>220.274</w:t>
      </w:r>
      <w:r w:rsidRPr="00365E42">
        <w:rPr>
          <w:rFonts w:ascii="Book Antiqua" w:hAnsi="Book Antiqua" w:cs="Times New Roman"/>
          <w:sz w:val="24"/>
          <w:szCs w:val="24"/>
        </w:rPr>
        <w:t xml:space="preserve"> para el 20</w:t>
      </w:r>
      <w:r w:rsidR="009823AD" w:rsidRPr="00365E42">
        <w:rPr>
          <w:rFonts w:ascii="Book Antiqua" w:hAnsi="Book Antiqua" w:cs="Times New Roman"/>
          <w:sz w:val="24"/>
          <w:szCs w:val="24"/>
        </w:rPr>
        <w:t>20</w:t>
      </w:r>
      <w:r w:rsidRPr="00365E42">
        <w:rPr>
          <w:rFonts w:ascii="Book Antiqua" w:hAnsi="Book Antiqua" w:cs="Times New Roman"/>
          <w:sz w:val="24"/>
          <w:szCs w:val="24"/>
        </w:rPr>
        <w:t xml:space="preserve"> y </w:t>
      </w:r>
      <w:r w:rsidR="009823AD" w:rsidRPr="00365E42">
        <w:rPr>
          <w:rFonts w:ascii="Book Antiqua" w:hAnsi="Book Antiqua" w:cs="Times New Roman"/>
          <w:sz w:val="24"/>
          <w:szCs w:val="24"/>
        </w:rPr>
        <w:t>245.878</w:t>
      </w:r>
      <w:r w:rsidRPr="00365E42">
        <w:rPr>
          <w:rFonts w:ascii="Book Antiqua" w:hAnsi="Book Antiqua" w:cs="Times New Roman"/>
          <w:sz w:val="24"/>
          <w:szCs w:val="24"/>
        </w:rPr>
        <w:t xml:space="preserve"> para el 202</w:t>
      </w:r>
      <w:r w:rsidR="009823AD" w:rsidRPr="00365E42">
        <w:rPr>
          <w:rFonts w:ascii="Book Antiqua" w:hAnsi="Book Antiqua" w:cs="Times New Roman"/>
          <w:sz w:val="24"/>
          <w:szCs w:val="24"/>
        </w:rPr>
        <w:t>1</w:t>
      </w:r>
      <w:r w:rsidRPr="00365E42">
        <w:rPr>
          <w:rFonts w:ascii="Book Antiqua" w:hAnsi="Book Antiqua" w:cs="Times New Roman"/>
          <w:sz w:val="24"/>
          <w:szCs w:val="24"/>
        </w:rPr>
        <w:t>.</w:t>
      </w:r>
    </w:p>
    <w:p w14:paraId="5EA0A61F" w14:textId="77777777" w:rsidR="00EA7E9E" w:rsidRPr="00365E42" w:rsidRDefault="00EA7E9E" w:rsidP="00F67896">
      <w:pPr>
        <w:jc w:val="both"/>
        <w:rPr>
          <w:rFonts w:ascii="Book Antiqua" w:hAnsi="Book Antiqua" w:cs="Times New Roman"/>
          <w:b/>
          <w:bCs/>
          <w:sz w:val="24"/>
          <w:szCs w:val="24"/>
        </w:rPr>
      </w:pPr>
    </w:p>
    <w:p w14:paraId="50797A9E" w14:textId="1F6B0580" w:rsidR="00F67896" w:rsidRPr="00365E42" w:rsidRDefault="00F67896" w:rsidP="00F67896">
      <w:pPr>
        <w:pStyle w:val="Prrafodelista"/>
        <w:numPr>
          <w:ilvl w:val="0"/>
          <w:numId w:val="1"/>
        </w:numPr>
        <w:jc w:val="both"/>
        <w:outlineLvl w:val="0"/>
        <w:rPr>
          <w:rFonts w:ascii="Book Antiqua" w:hAnsi="Book Antiqua" w:cs="Times New Roman"/>
          <w:b/>
          <w:bCs/>
          <w:sz w:val="24"/>
          <w:szCs w:val="24"/>
        </w:rPr>
      </w:pPr>
      <w:bookmarkStart w:id="2" w:name="_Toc46389672"/>
      <w:r w:rsidRPr="00365E42">
        <w:rPr>
          <w:rFonts w:ascii="Book Antiqua" w:hAnsi="Book Antiqua" w:cs="Times New Roman"/>
          <w:b/>
          <w:bCs/>
          <w:sz w:val="24"/>
          <w:szCs w:val="24"/>
        </w:rPr>
        <w:t>INDICADORES DE GESTIÓN JUDICIAL</w:t>
      </w:r>
      <w:bookmarkEnd w:id="2"/>
    </w:p>
    <w:p w14:paraId="1EF43FA9" w14:textId="19457FE0" w:rsidR="00F53021" w:rsidRPr="00365E42" w:rsidRDefault="00474DCC" w:rsidP="004C7A6F">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Para medir </w:t>
      </w:r>
      <w:r w:rsidR="004C7A6F" w:rsidRPr="00365E42">
        <w:rPr>
          <w:rFonts w:ascii="Book Antiqua" w:hAnsi="Book Antiqua" w:cs="Times New Roman"/>
          <w:sz w:val="24"/>
          <w:szCs w:val="24"/>
        </w:rPr>
        <w:t xml:space="preserve">el desempeño en cuanto a la gestión realizada por las fiscalías a nivel nacional, se definen tres herramientas de análisis y estas son la razón de </w:t>
      </w:r>
      <w:r w:rsidR="004C1EE3" w:rsidRPr="00365E42">
        <w:rPr>
          <w:rFonts w:ascii="Book Antiqua" w:hAnsi="Book Antiqua" w:cs="Times New Roman"/>
          <w:sz w:val="24"/>
          <w:szCs w:val="24"/>
        </w:rPr>
        <w:t>congestión,</w:t>
      </w:r>
      <w:r w:rsidR="004C7A6F" w:rsidRPr="00365E42">
        <w:rPr>
          <w:rFonts w:ascii="Book Antiqua" w:hAnsi="Book Antiqua" w:cs="Times New Roman"/>
          <w:sz w:val="24"/>
          <w:szCs w:val="24"/>
        </w:rPr>
        <w:t xml:space="preserve"> </w:t>
      </w:r>
      <w:r w:rsidR="004C7A6F" w:rsidRPr="00365E42">
        <w:rPr>
          <w:rFonts w:ascii="Book Antiqua" w:hAnsi="Book Antiqua" w:cs="Times New Roman"/>
          <w:sz w:val="24"/>
          <w:szCs w:val="24"/>
        </w:rPr>
        <w:lastRenderedPageBreak/>
        <w:t>la tasa de pendencia y la tasa de resolución.  En el siguiente cuadro, se muestra la tendencia registrada por estos tres indicadores, así como la evolución de las variables que intervienen en el movimiento de trabajo a nivel general para esta materia desde el año 2015:</w:t>
      </w:r>
    </w:p>
    <w:tbl>
      <w:tblPr>
        <w:tblW w:w="5000" w:type="pct"/>
        <w:tblCellMar>
          <w:left w:w="70" w:type="dxa"/>
          <w:right w:w="70" w:type="dxa"/>
        </w:tblCellMar>
        <w:tblLook w:val="04A0" w:firstRow="1" w:lastRow="0" w:firstColumn="1" w:lastColumn="0" w:noHBand="0" w:noVBand="1"/>
      </w:tblPr>
      <w:tblGrid>
        <w:gridCol w:w="2868"/>
        <w:gridCol w:w="1253"/>
        <w:gridCol w:w="1143"/>
        <w:gridCol w:w="1159"/>
        <w:gridCol w:w="1176"/>
        <w:gridCol w:w="1239"/>
      </w:tblGrid>
      <w:tr w:rsidR="00F53021" w:rsidRPr="00365E42" w14:paraId="72F3C5F7" w14:textId="77777777" w:rsidTr="00F53021">
        <w:trPr>
          <w:trHeight w:val="330"/>
        </w:trPr>
        <w:tc>
          <w:tcPr>
            <w:tcW w:w="5000" w:type="pct"/>
            <w:gridSpan w:val="6"/>
            <w:tcBorders>
              <w:top w:val="nil"/>
              <w:left w:val="nil"/>
              <w:bottom w:val="nil"/>
              <w:right w:val="nil"/>
            </w:tcBorders>
            <w:shd w:val="clear" w:color="auto" w:fill="auto"/>
            <w:noWrap/>
            <w:vAlign w:val="center"/>
            <w:hideMark/>
          </w:tcPr>
          <w:p w14:paraId="01B0B3F1"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Cuadro 1</w:t>
            </w:r>
          </w:p>
        </w:tc>
      </w:tr>
      <w:tr w:rsidR="00F53021" w:rsidRPr="00365E42" w14:paraId="1DB5BCBA" w14:textId="77777777" w:rsidTr="00F53021">
        <w:trPr>
          <w:trHeight w:val="330"/>
        </w:trPr>
        <w:tc>
          <w:tcPr>
            <w:tcW w:w="5000" w:type="pct"/>
            <w:gridSpan w:val="6"/>
            <w:tcBorders>
              <w:top w:val="nil"/>
              <w:left w:val="nil"/>
              <w:bottom w:val="nil"/>
              <w:right w:val="nil"/>
            </w:tcBorders>
            <w:shd w:val="clear" w:color="auto" w:fill="auto"/>
            <w:noWrap/>
            <w:vAlign w:val="center"/>
            <w:hideMark/>
          </w:tcPr>
          <w:p w14:paraId="0CFE9563" w14:textId="367EC946"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 xml:space="preserve">Indicadores de gestión de las </w:t>
            </w:r>
            <w:r w:rsidR="00365E42">
              <w:rPr>
                <w:rFonts w:ascii="Book Antiqua" w:eastAsia="Times New Roman" w:hAnsi="Book Antiqua" w:cs="Times New Roman"/>
                <w:b/>
                <w:bCs/>
                <w:color w:val="000000"/>
                <w:sz w:val="24"/>
                <w:szCs w:val="24"/>
                <w:lang w:eastAsia="es-CR"/>
              </w:rPr>
              <w:t>F</w:t>
            </w:r>
            <w:r w:rsidRPr="00365E42">
              <w:rPr>
                <w:rFonts w:ascii="Book Antiqua" w:eastAsia="Times New Roman" w:hAnsi="Book Antiqua" w:cs="Times New Roman"/>
                <w:b/>
                <w:bCs/>
                <w:color w:val="000000"/>
                <w:sz w:val="24"/>
                <w:szCs w:val="24"/>
                <w:lang w:eastAsia="es-CR"/>
              </w:rPr>
              <w:t xml:space="preserve">iscalías </w:t>
            </w:r>
            <w:r w:rsidR="00365E42">
              <w:rPr>
                <w:rFonts w:ascii="Book Antiqua" w:eastAsia="Times New Roman" w:hAnsi="Book Antiqua" w:cs="Times New Roman"/>
                <w:b/>
                <w:bCs/>
                <w:color w:val="000000"/>
                <w:sz w:val="24"/>
                <w:szCs w:val="24"/>
                <w:lang w:eastAsia="es-CR"/>
              </w:rPr>
              <w:t>P</w:t>
            </w:r>
            <w:r w:rsidRPr="00365E42">
              <w:rPr>
                <w:rFonts w:ascii="Book Antiqua" w:eastAsia="Times New Roman" w:hAnsi="Book Antiqua" w:cs="Times New Roman"/>
                <w:b/>
                <w:bCs/>
                <w:color w:val="000000"/>
                <w:sz w:val="24"/>
                <w:szCs w:val="24"/>
                <w:lang w:eastAsia="es-CR"/>
              </w:rPr>
              <w:t xml:space="preserve">enales </w:t>
            </w:r>
          </w:p>
        </w:tc>
      </w:tr>
      <w:tr w:rsidR="00F53021" w:rsidRPr="00365E42" w14:paraId="42B8B9EB" w14:textId="77777777" w:rsidTr="00F53021">
        <w:trPr>
          <w:trHeight w:val="330"/>
        </w:trPr>
        <w:tc>
          <w:tcPr>
            <w:tcW w:w="5000" w:type="pct"/>
            <w:gridSpan w:val="6"/>
            <w:tcBorders>
              <w:top w:val="nil"/>
              <w:left w:val="nil"/>
              <w:bottom w:val="nil"/>
              <w:right w:val="nil"/>
            </w:tcBorders>
            <w:shd w:val="clear" w:color="auto" w:fill="auto"/>
            <w:noWrap/>
            <w:vAlign w:val="center"/>
            <w:hideMark/>
          </w:tcPr>
          <w:p w14:paraId="6015E32A"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durante el período 2015-2019</w:t>
            </w:r>
          </w:p>
        </w:tc>
      </w:tr>
      <w:tr w:rsidR="00F53021" w:rsidRPr="00365E42" w14:paraId="692531FC" w14:textId="77777777" w:rsidTr="00F53021">
        <w:trPr>
          <w:trHeight w:val="315"/>
        </w:trPr>
        <w:tc>
          <w:tcPr>
            <w:tcW w:w="5000" w:type="pct"/>
            <w:gridSpan w:val="6"/>
            <w:tcBorders>
              <w:top w:val="nil"/>
              <w:left w:val="nil"/>
              <w:bottom w:val="single" w:sz="8" w:space="0" w:color="auto"/>
              <w:right w:val="nil"/>
            </w:tcBorders>
            <w:shd w:val="clear" w:color="auto" w:fill="auto"/>
            <w:noWrap/>
            <w:vAlign w:val="center"/>
            <w:hideMark/>
          </w:tcPr>
          <w:p w14:paraId="43C14948"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 </w:t>
            </w:r>
          </w:p>
        </w:tc>
      </w:tr>
      <w:tr w:rsidR="00F53021" w:rsidRPr="00365E42" w14:paraId="35E0D8EA" w14:textId="77777777" w:rsidTr="00365E42">
        <w:trPr>
          <w:trHeight w:val="330"/>
        </w:trPr>
        <w:tc>
          <w:tcPr>
            <w:tcW w:w="1653" w:type="pct"/>
            <w:vMerge w:val="restart"/>
            <w:tcBorders>
              <w:top w:val="nil"/>
              <w:left w:val="nil"/>
              <w:bottom w:val="single" w:sz="8" w:space="0" w:color="000000"/>
              <w:right w:val="single" w:sz="8" w:space="0" w:color="auto"/>
            </w:tcBorders>
            <w:shd w:val="clear" w:color="000000" w:fill="8AF8F8"/>
            <w:noWrap/>
            <w:vAlign w:val="center"/>
            <w:hideMark/>
          </w:tcPr>
          <w:p w14:paraId="52FB80CA"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Descripción</w:t>
            </w:r>
          </w:p>
        </w:tc>
        <w:tc>
          <w:tcPr>
            <w:tcW w:w="3347" w:type="pct"/>
            <w:gridSpan w:val="5"/>
            <w:tcBorders>
              <w:top w:val="single" w:sz="8" w:space="0" w:color="auto"/>
              <w:left w:val="nil"/>
              <w:bottom w:val="single" w:sz="8" w:space="0" w:color="auto"/>
              <w:right w:val="nil"/>
            </w:tcBorders>
            <w:shd w:val="clear" w:color="000000" w:fill="8AF8F8"/>
            <w:noWrap/>
            <w:vAlign w:val="center"/>
            <w:hideMark/>
          </w:tcPr>
          <w:p w14:paraId="1588A2F9"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Año</w:t>
            </w:r>
          </w:p>
        </w:tc>
      </w:tr>
      <w:tr w:rsidR="00F53021" w:rsidRPr="00365E42" w14:paraId="4347C11C" w14:textId="77777777" w:rsidTr="00365E42">
        <w:trPr>
          <w:trHeight w:val="330"/>
        </w:trPr>
        <w:tc>
          <w:tcPr>
            <w:tcW w:w="1653" w:type="pct"/>
            <w:vMerge/>
            <w:tcBorders>
              <w:top w:val="nil"/>
              <w:left w:val="nil"/>
              <w:bottom w:val="single" w:sz="8" w:space="0" w:color="000000"/>
              <w:right w:val="single" w:sz="8" w:space="0" w:color="auto"/>
            </w:tcBorders>
            <w:vAlign w:val="center"/>
            <w:hideMark/>
          </w:tcPr>
          <w:p w14:paraId="0DEE542A" w14:textId="77777777" w:rsidR="00F53021" w:rsidRPr="00365E42" w:rsidRDefault="00F53021" w:rsidP="00F53021">
            <w:pPr>
              <w:spacing w:after="0" w:line="240" w:lineRule="auto"/>
              <w:rPr>
                <w:rFonts w:ascii="Book Antiqua" w:eastAsia="Times New Roman" w:hAnsi="Book Antiqua" w:cs="Times New Roman"/>
                <w:b/>
                <w:bCs/>
                <w:color w:val="000000"/>
                <w:sz w:val="24"/>
                <w:szCs w:val="24"/>
                <w:lang w:eastAsia="es-CR"/>
              </w:rPr>
            </w:pPr>
          </w:p>
        </w:tc>
        <w:tc>
          <w:tcPr>
            <w:tcW w:w="704" w:type="pct"/>
            <w:tcBorders>
              <w:top w:val="nil"/>
              <w:left w:val="nil"/>
              <w:bottom w:val="single" w:sz="8" w:space="0" w:color="auto"/>
              <w:right w:val="single" w:sz="8" w:space="0" w:color="auto"/>
            </w:tcBorders>
            <w:shd w:val="clear" w:color="000000" w:fill="8AF8F8"/>
            <w:noWrap/>
            <w:vAlign w:val="center"/>
            <w:hideMark/>
          </w:tcPr>
          <w:p w14:paraId="0B1F89DB"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2015</w:t>
            </w:r>
          </w:p>
        </w:tc>
        <w:tc>
          <w:tcPr>
            <w:tcW w:w="639" w:type="pct"/>
            <w:tcBorders>
              <w:top w:val="nil"/>
              <w:left w:val="nil"/>
              <w:bottom w:val="single" w:sz="8" w:space="0" w:color="auto"/>
              <w:right w:val="single" w:sz="8" w:space="0" w:color="auto"/>
            </w:tcBorders>
            <w:shd w:val="clear" w:color="000000" w:fill="8AF8F8"/>
            <w:noWrap/>
            <w:vAlign w:val="center"/>
            <w:hideMark/>
          </w:tcPr>
          <w:p w14:paraId="53F84BAF"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2016</w:t>
            </w:r>
          </w:p>
        </w:tc>
        <w:tc>
          <w:tcPr>
            <w:tcW w:w="649" w:type="pct"/>
            <w:tcBorders>
              <w:top w:val="nil"/>
              <w:left w:val="nil"/>
              <w:bottom w:val="single" w:sz="8" w:space="0" w:color="auto"/>
              <w:right w:val="single" w:sz="8" w:space="0" w:color="auto"/>
            </w:tcBorders>
            <w:shd w:val="clear" w:color="000000" w:fill="8AF8F8"/>
            <w:noWrap/>
            <w:vAlign w:val="center"/>
            <w:hideMark/>
          </w:tcPr>
          <w:p w14:paraId="777C4A18"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2017</w:t>
            </w:r>
          </w:p>
        </w:tc>
        <w:tc>
          <w:tcPr>
            <w:tcW w:w="659" w:type="pct"/>
            <w:tcBorders>
              <w:top w:val="nil"/>
              <w:left w:val="nil"/>
              <w:bottom w:val="single" w:sz="8" w:space="0" w:color="auto"/>
              <w:right w:val="single" w:sz="8" w:space="0" w:color="auto"/>
            </w:tcBorders>
            <w:shd w:val="clear" w:color="000000" w:fill="8AF8F8"/>
            <w:noWrap/>
            <w:vAlign w:val="center"/>
            <w:hideMark/>
          </w:tcPr>
          <w:p w14:paraId="76336C88"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2018</w:t>
            </w:r>
          </w:p>
        </w:tc>
        <w:tc>
          <w:tcPr>
            <w:tcW w:w="695" w:type="pct"/>
            <w:tcBorders>
              <w:top w:val="nil"/>
              <w:left w:val="nil"/>
              <w:bottom w:val="single" w:sz="8" w:space="0" w:color="auto"/>
              <w:right w:val="nil"/>
            </w:tcBorders>
            <w:shd w:val="clear" w:color="000000" w:fill="8AF8F8"/>
            <w:noWrap/>
            <w:vAlign w:val="center"/>
            <w:hideMark/>
          </w:tcPr>
          <w:p w14:paraId="2DD79A50"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2019</w:t>
            </w:r>
          </w:p>
        </w:tc>
      </w:tr>
      <w:tr w:rsidR="00F53021" w:rsidRPr="00365E42" w14:paraId="79FA7117" w14:textId="77777777" w:rsidTr="00365E42">
        <w:trPr>
          <w:trHeight w:val="315"/>
        </w:trPr>
        <w:tc>
          <w:tcPr>
            <w:tcW w:w="1653" w:type="pct"/>
            <w:tcBorders>
              <w:top w:val="nil"/>
              <w:left w:val="nil"/>
              <w:bottom w:val="nil"/>
              <w:right w:val="nil"/>
            </w:tcBorders>
            <w:shd w:val="clear" w:color="auto" w:fill="auto"/>
            <w:noWrap/>
            <w:vAlign w:val="center"/>
            <w:hideMark/>
          </w:tcPr>
          <w:p w14:paraId="32C8250A" w14:textId="77777777" w:rsidR="00F53021" w:rsidRPr="00365E42" w:rsidRDefault="00F53021" w:rsidP="00F53021">
            <w:pPr>
              <w:spacing w:after="0" w:line="240" w:lineRule="auto"/>
              <w:jc w:val="center"/>
              <w:rPr>
                <w:rFonts w:ascii="Book Antiqua" w:eastAsia="Times New Roman" w:hAnsi="Book Antiqua" w:cs="Times New Roman"/>
                <w:b/>
                <w:bCs/>
                <w:color w:val="000000"/>
                <w:sz w:val="24"/>
                <w:szCs w:val="24"/>
                <w:lang w:eastAsia="es-CR"/>
              </w:rPr>
            </w:pPr>
          </w:p>
        </w:tc>
        <w:tc>
          <w:tcPr>
            <w:tcW w:w="704" w:type="pct"/>
            <w:tcBorders>
              <w:top w:val="nil"/>
              <w:left w:val="nil"/>
              <w:bottom w:val="nil"/>
              <w:right w:val="nil"/>
            </w:tcBorders>
            <w:shd w:val="clear" w:color="auto" w:fill="auto"/>
            <w:noWrap/>
            <w:vAlign w:val="center"/>
            <w:hideMark/>
          </w:tcPr>
          <w:p w14:paraId="4341D09E"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c>
          <w:tcPr>
            <w:tcW w:w="639" w:type="pct"/>
            <w:tcBorders>
              <w:top w:val="nil"/>
              <w:left w:val="nil"/>
              <w:bottom w:val="nil"/>
              <w:right w:val="nil"/>
            </w:tcBorders>
            <w:shd w:val="clear" w:color="auto" w:fill="auto"/>
            <w:noWrap/>
            <w:vAlign w:val="center"/>
            <w:hideMark/>
          </w:tcPr>
          <w:p w14:paraId="4EED0B06"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c>
          <w:tcPr>
            <w:tcW w:w="649" w:type="pct"/>
            <w:tcBorders>
              <w:top w:val="nil"/>
              <w:left w:val="nil"/>
              <w:bottom w:val="nil"/>
              <w:right w:val="nil"/>
            </w:tcBorders>
            <w:shd w:val="clear" w:color="auto" w:fill="auto"/>
            <w:noWrap/>
            <w:vAlign w:val="center"/>
            <w:hideMark/>
          </w:tcPr>
          <w:p w14:paraId="76CCC5E9"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c>
          <w:tcPr>
            <w:tcW w:w="659" w:type="pct"/>
            <w:tcBorders>
              <w:top w:val="nil"/>
              <w:left w:val="nil"/>
              <w:bottom w:val="nil"/>
              <w:right w:val="nil"/>
            </w:tcBorders>
            <w:shd w:val="clear" w:color="auto" w:fill="auto"/>
            <w:noWrap/>
            <w:vAlign w:val="center"/>
            <w:hideMark/>
          </w:tcPr>
          <w:p w14:paraId="28D16898"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c>
          <w:tcPr>
            <w:tcW w:w="695" w:type="pct"/>
            <w:tcBorders>
              <w:top w:val="nil"/>
              <w:left w:val="nil"/>
              <w:bottom w:val="nil"/>
              <w:right w:val="nil"/>
            </w:tcBorders>
            <w:shd w:val="clear" w:color="auto" w:fill="auto"/>
            <w:noWrap/>
            <w:vAlign w:val="center"/>
            <w:hideMark/>
          </w:tcPr>
          <w:p w14:paraId="04A646E5"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r>
      <w:tr w:rsidR="00F53021" w:rsidRPr="00365E42" w14:paraId="7D7B6DF3" w14:textId="77777777" w:rsidTr="00365E42">
        <w:trPr>
          <w:trHeight w:val="315"/>
        </w:trPr>
        <w:tc>
          <w:tcPr>
            <w:tcW w:w="1653" w:type="pct"/>
            <w:tcBorders>
              <w:top w:val="nil"/>
              <w:left w:val="nil"/>
              <w:bottom w:val="nil"/>
              <w:right w:val="nil"/>
            </w:tcBorders>
            <w:shd w:val="clear" w:color="auto" w:fill="auto"/>
            <w:noWrap/>
            <w:vAlign w:val="center"/>
            <w:hideMark/>
          </w:tcPr>
          <w:p w14:paraId="17D17E83" w14:textId="77777777" w:rsidR="00F53021" w:rsidRPr="00365E42" w:rsidRDefault="00F53021" w:rsidP="00F53021">
            <w:pPr>
              <w:spacing w:after="0" w:line="240" w:lineRule="auto"/>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Variables</w:t>
            </w:r>
          </w:p>
        </w:tc>
        <w:tc>
          <w:tcPr>
            <w:tcW w:w="704" w:type="pct"/>
            <w:tcBorders>
              <w:top w:val="nil"/>
              <w:left w:val="nil"/>
              <w:bottom w:val="nil"/>
              <w:right w:val="nil"/>
            </w:tcBorders>
            <w:shd w:val="clear" w:color="auto" w:fill="auto"/>
            <w:noWrap/>
            <w:vAlign w:val="center"/>
            <w:hideMark/>
          </w:tcPr>
          <w:p w14:paraId="5AEF2481" w14:textId="77777777" w:rsidR="00F53021" w:rsidRPr="00365E42" w:rsidRDefault="00F53021" w:rsidP="00F53021">
            <w:pPr>
              <w:spacing w:after="0" w:line="240" w:lineRule="auto"/>
              <w:rPr>
                <w:rFonts w:ascii="Book Antiqua" w:eastAsia="Times New Roman" w:hAnsi="Book Antiqua" w:cs="Times New Roman"/>
                <w:b/>
                <w:bCs/>
                <w:color w:val="000000"/>
                <w:sz w:val="24"/>
                <w:szCs w:val="24"/>
                <w:lang w:eastAsia="es-CR"/>
              </w:rPr>
            </w:pPr>
          </w:p>
        </w:tc>
        <w:tc>
          <w:tcPr>
            <w:tcW w:w="639" w:type="pct"/>
            <w:tcBorders>
              <w:top w:val="nil"/>
              <w:left w:val="nil"/>
              <w:bottom w:val="nil"/>
              <w:right w:val="nil"/>
            </w:tcBorders>
            <w:shd w:val="clear" w:color="auto" w:fill="auto"/>
            <w:noWrap/>
            <w:vAlign w:val="center"/>
            <w:hideMark/>
          </w:tcPr>
          <w:p w14:paraId="23585C8E"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49" w:type="pct"/>
            <w:tcBorders>
              <w:top w:val="nil"/>
              <w:left w:val="nil"/>
              <w:bottom w:val="nil"/>
              <w:right w:val="nil"/>
            </w:tcBorders>
            <w:shd w:val="clear" w:color="auto" w:fill="auto"/>
            <w:noWrap/>
            <w:vAlign w:val="center"/>
            <w:hideMark/>
          </w:tcPr>
          <w:p w14:paraId="0FE37873"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59" w:type="pct"/>
            <w:tcBorders>
              <w:top w:val="nil"/>
              <w:left w:val="nil"/>
              <w:bottom w:val="nil"/>
              <w:right w:val="nil"/>
            </w:tcBorders>
            <w:shd w:val="clear" w:color="auto" w:fill="auto"/>
            <w:noWrap/>
            <w:vAlign w:val="center"/>
            <w:hideMark/>
          </w:tcPr>
          <w:p w14:paraId="2490847C"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95" w:type="pct"/>
            <w:tcBorders>
              <w:top w:val="nil"/>
              <w:left w:val="nil"/>
              <w:bottom w:val="nil"/>
              <w:right w:val="nil"/>
            </w:tcBorders>
            <w:shd w:val="clear" w:color="auto" w:fill="auto"/>
            <w:noWrap/>
            <w:vAlign w:val="center"/>
            <w:hideMark/>
          </w:tcPr>
          <w:p w14:paraId="57373F12"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r>
      <w:tr w:rsidR="00F53021" w:rsidRPr="00365E42" w14:paraId="20AFDAFB" w14:textId="77777777" w:rsidTr="00365E42">
        <w:trPr>
          <w:trHeight w:val="375"/>
        </w:trPr>
        <w:tc>
          <w:tcPr>
            <w:tcW w:w="1653" w:type="pct"/>
            <w:tcBorders>
              <w:top w:val="nil"/>
              <w:left w:val="nil"/>
              <w:bottom w:val="nil"/>
              <w:right w:val="nil"/>
            </w:tcBorders>
            <w:shd w:val="clear" w:color="auto" w:fill="auto"/>
            <w:noWrap/>
            <w:vAlign w:val="center"/>
            <w:hideMark/>
          </w:tcPr>
          <w:p w14:paraId="0336105F" w14:textId="6729250E"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xml:space="preserve">Circulante al iniciar </w:t>
            </w:r>
            <w:r w:rsidRPr="00365E42">
              <w:rPr>
                <w:rFonts w:ascii="Book Antiqua" w:eastAsia="Times New Roman" w:hAnsi="Book Antiqua" w:cs="Times New Roman"/>
                <w:color w:val="000000"/>
                <w:sz w:val="24"/>
                <w:szCs w:val="24"/>
                <w:vertAlign w:val="superscript"/>
                <w:lang w:eastAsia="es-CR"/>
              </w:rPr>
              <w:t>(1)(2)</w:t>
            </w:r>
          </w:p>
        </w:tc>
        <w:tc>
          <w:tcPr>
            <w:tcW w:w="704" w:type="pct"/>
            <w:tcBorders>
              <w:top w:val="nil"/>
              <w:left w:val="nil"/>
              <w:bottom w:val="nil"/>
              <w:right w:val="nil"/>
            </w:tcBorders>
            <w:shd w:val="clear" w:color="auto" w:fill="auto"/>
            <w:noWrap/>
            <w:vAlign w:val="center"/>
            <w:hideMark/>
          </w:tcPr>
          <w:p w14:paraId="4C1EC130"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52,440</w:t>
            </w:r>
          </w:p>
        </w:tc>
        <w:tc>
          <w:tcPr>
            <w:tcW w:w="639" w:type="pct"/>
            <w:tcBorders>
              <w:top w:val="nil"/>
              <w:left w:val="nil"/>
              <w:bottom w:val="nil"/>
              <w:right w:val="nil"/>
            </w:tcBorders>
            <w:shd w:val="clear" w:color="auto" w:fill="auto"/>
            <w:noWrap/>
            <w:vAlign w:val="center"/>
            <w:hideMark/>
          </w:tcPr>
          <w:p w14:paraId="52E61C84"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45,830</w:t>
            </w:r>
          </w:p>
        </w:tc>
        <w:tc>
          <w:tcPr>
            <w:tcW w:w="649" w:type="pct"/>
            <w:tcBorders>
              <w:top w:val="nil"/>
              <w:left w:val="nil"/>
              <w:bottom w:val="nil"/>
              <w:right w:val="nil"/>
            </w:tcBorders>
            <w:shd w:val="clear" w:color="auto" w:fill="auto"/>
            <w:noWrap/>
            <w:vAlign w:val="center"/>
            <w:hideMark/>
          </w:tcPr>
          <w:p w14:paraId="60E0C8C5"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47,650</w:t>
            </w:r>
          </w:p>
        </w:tc>
        <w:tc>
          <w:tcPr>
            <w:tcW w:w="659" w:type="pct"/>
            <w:tcBorders>
              <w:top w:val="nil"/>
              <w:left w:val="nil"/>
              <w:bottom w:val="nil"/>
              <w:right w:val="nil"/>
            </w:tcBorders>
            <w:shd w:val="clear" w:color="auto" w:fill="auto"/>
            <w:noWrap/>
            <w:vAlign w:val="center"/>
            <w:hideMark/>
          </w:tcPr>
          <w:p w14:paraId="2A831F16"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55,657</w:t>
            </w:r>
          </w:p>
        </w:tc>
        <w:tc>
          <w:tcPr>
            <w:tcW w:w="695" w:type="pct"/>
            <w:tcBorders>
              <w:top w:val="nil"/>
              <w:left w:val="nil"/>
              <w:bottom w:val="nil"/>
              <w:right w:val="nil"/>
            </w:tcBorders>
            <w:shd w:val="clear" w:color="auto" w:fill="auto"/>
            <w:noWrap/>
            <w:vAlign w:val="center"/>
            <w:hideMark/>
          </w:tcPr>
          <w:p w14:paraId="034C4997"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67,380</w:t>
            </w:r>
          </w:p>
        </w:tc>
      </w:tr>
      <w:tr w:rsidR="00F53021" w:rsidRPr="00365E42" w14:paraId="59E954F6" w14:textId="77777777" w:rsidTr="00365E42">
        <w:trPr>
          <w:trHeight w:val="315"/>
        </w:trPr>
        <w:tc>
          <w:tcPr>
            <w:tcW w:w="1653" w:type="pct"/>
            <w:tcBorders>
              <w:top w:val="nil"/>
              <w:left w:val="nil"/>
              <w:bottom w:val="nil"/>
              <w:right w:val="nil"/>
            </w:tcBorders>
            <w:shd w:val="clear" w:color="auto" w:fill="auto"/>
            <w:noWrap/>
            <w:vAlign w:val="center"/>
            <w:hideMark/>
          </w:tcPr>
          <w:p w14:paraId="1570A0B6"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Casos entrados</w:t>
            </w:r>
          </w:p>
        </w:tc>
        <w:tc>
          <w:tcPr>
            <w:tcW w:w="704" w:type="pct"/>
            <w:tcBorders>
              <w:top w:val="nil"/>
              <w:left w:val="nil"/>
              <w:bottom w:val="nil"/>
              <w:right w:val="nil"/>
            </w:tcBorders>
            <w:shd w:val="clear" w:color="auto" w:fill="auto"/>
            <w:noWrap/>
            <w:vAlign w:val="center"/>
            <w:hideMark/>
          </w:tcPr>
          <w:p w14:paraId="1CD22236"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170,069</w:t>
            </w:r>
          </w:p>
        </w:tc>
        <w:tc>
          <w:tcPr>
            <w:tcW w:w="639" w:type="pct"/>
            <w:tcBorders>
              <w:top w:val="nil"/>
              <w:left w:val="nil"/>
              <w:bottom w:val="nil"/>
              <w:right w:val="nil"/>
            </w:tcBorders>
            <w:shd w:val="clear" w:color="auto" w:fill="auto"/>
            <w:noWrap/>
            <w:vAlign w:val="center"/>
            <w:hideMark/>
          </w:tcPr>
          <w:p w14:paraId="44773F05"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167,252</w:t>
            </w:r>
          </w:p>
        </w:tc>
        <w:tc>
          <w:tcPr>
            <w:tcW w:w="649" w:type="pct"/>
            <w:tcBorders>
              <w:top w:val="nil"/>
              <w:left w:val="nil"/>
              <w:bottom w:val="nil"/>
              <w:right w:val="nil"/>
            </w:tcBorders>
            <w:shd w:val="clear" w:color="auto" w:fill="auto"/>
            <w:noWrap/>
            <w:vAlign w:val="center"/>
            <w:hideMark/>
          </w:tcPr>
          <w:p w14:paraId="2DB96EA5"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171,773</w:t>
            </w:r>
          </w:p>
        </w:tc>
        <w:tc>
          <w:tcPr>
            <w:tcW w:w="659" w:type="pct"/>
            <w:tcBorders>
              <w:top w:val="nil"/>
              <w:left w:val="nil"/>
              <w:bottom w:val="nil"/>
              <w:right w:val="nil"/>
            </w:tcBorders>
            <w:shd w:val="clear" w:color="auto" w:fill="auto"/>
            <w:noWrap/>
            <w:vAlign w:val="center"/>
            <w:hideMark/>
          </w:tcPr>
          <w:p w14:paraId="3DD682E3"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185,171</w:t>
            </w:r>
          </w:p>
        </w:tc>
        <w:tc>
          <w:tcPr>
            <w:tcW w:w="695" w:type="pct"/>
            <w:tcBorders>
              <w:top w:val="nil"/>
              <w:left w:val="nil"/>
              <w:bottom w:val="nil"/>
              <w:right w:val="nil"/>
            </w:tcBorders>
            <w:shd w:val="clear" w:color="auto" w:fill="auto"/>
            <w:noWrap/>
            <w:vAlign w:val="center"/>
            <w:hideMark/>
          </w:tcPr>
          <w:p w14:paraId="69681B39"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210,337</w:t>
            </w:r>
          </w:p>
        </w:tc>
      </w:tr>
      <w:tr w:rsidR="00F53021" w:rsidRPr="00365E42" w14:paraId="2848DF99" w14:textId="77777777" w:rsidTr="00365E42">
        <w:trPr>
          <w:trHeight w:val="315"/>
        </w:trPr>
        <w:tc>
          <w:tcPr>
            <w:tcW w:w="1653" w:type="pct"/>
            <w:tcBorders>
              <w:top w:val="nil"/>
              <w:left w:val="nil"/>
              <w:bottom w:val="nil"/>
              <w:right w:val="nil"/>
            </w:tcBorders>
            <w:shd w:val="clear" w:color="auto" w:fill="auto"/>
            <w:noWrap/>
            <w:vAlign w:val="center"/>
            <w:hideMark/>
          </w:tcPr>
          <w:p w14:paraId="676D59DA"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Casos reentrados</w:t>
            </w:r>
          </w:p>
        </w:tc>
        <w:tc>
          <w:tcPr>
            <w:tcW w:w="704" w:type="pct"/>
            <w:tcBorders>
              <w:top w:val="nil"/>
              <w:left w:val="nil"/>
              <w:bottom w:val="nil"/>
              <w:right w:val="nil"/>
            </w:tcBorders>
            <w:shd w:val="clear" w:color="auto" w:fill="auto"/>
            <w:noWrap/>
            <w:vAlign w:val="center"/>
            <w:hideMark/>
          </w:tcPr>
          <w:p w14:paraId="691CDD07"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11,322</w:t>
            </w:r>
          </w:p>
        </w:tc>
        <w:tc>
          <w:tcPr>
            <w:tcW w:w="639" w:type="pct"/>
            <w:tcBorders>
              <w:top w:val="nil"/>
              <w:left w:val="nil"/>
              <w:bottom w:val="nil"/>
              <w:right w:val="nil"/>
            </w:tcBorders>
            <w:shd w:val="clear" w:color="auto" w:fill="auto"/>
            <w:noWrap/>
            <w:vAlign w:val="center"/>
            <w:hideMark/>
          </w:tcPr>
          <w:p w14:paraId="135857C5"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11,157</w:t>
            </w:r>
          </w:p>
        </w:tc>
        <w:tc>
          <w:tcPr>
            <w:tcW w:w="649" w:type="pct"/>
            <w:tcBorders>
              <w:top w:val="nil"/>
              <w:left w:val="nil"/>
              <w:bottom w:val="nil"/>
              <w:right w:val="nil"/>
            </w:tcBorders>
            <w:shd w:val="clear" w:color="auto" w:fill="auto"/>
            <w:noWrap/>
            <w:vAlign w:val="center"/>
            <w:hideMark/>
          </w:tcPr>
          <w:p w14:paraId="3F2BEE91"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10,933</w:t>
            </w:r>
          </w:p>
        </w:tc>
        <w:tc>
          <w:tcPr>
            <w:tcW w:w="659" w:type="pct"/>
            <w:tcBorders>
              <w:top w:val="nil"/>
              <w:left w:val="nil"/>
              <w:bottom w:val="nil"/>
              <w:right w:val="nil"/>
            </w:tcBorders>
            <w:shd w:val="clear" w:color="auto" w:fill="auto"/>
            <w:noWrap/>
            <w:vAlign w:val="center"/>
            <w:hideMark/>
          </w:tcPr>
          <w:p w14:paraId="136C0DE4"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10,731</w:t>
            </w:r>
          </w:p>
        </w:tc>
        <w:tc>
          <w:tcPr>
            <w:tcW w:w="695" w:type="pct"/>
            <w:tcBorders>
              <w:top w:val="nil"/>
              <w:left w:val="nil"/>
              <w:bottom w:val="nil"/>
              <w:right w:val="nil"/>
            </w:tcBorders>
            <w:shd w:val="clear" w:color="auto" w:fill="auto"/>
            <w:noWrap/>
            <w:vAlign w:val="center"/>
            <w:hideMark/>
          </w:tcPr>
          <w:p w14:paraId="335D95CE"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11,692</w:t>
            </w:r>
          </w:p>
        </w:tc>
      </w:tr>
      <w:tr w:rsidR="00F53021" w:rsidRPr="00365E42" w14:paraId="586CC885" w14:textId="77777777" w:rsidTr="00365E42">
        <w:trPr>
          <w:trHeight w:val="315"/>
        </w:trPr>
        <w:tc>
          <w:tcPr>
            <w:tcW w:w="1653" w:type="pct"/>
            <w:tcBorders>
              <w:top w:val="nil"/>
              <w:left w:val="nil"/>
              <w:bottom w:val="nil"/>
              <w:right w:val="nil"/>
            </w:tcBorders>
            <w:shd w:val="clear" w:color="auto" w:fill="auto"/>
            <w:noWrap/>
            <w:vAlign w:val="center"/>
            <w:hideMark/>
          </w:tcPr>
          <w:p w14:paraId="0EB6A94E"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Testimonios de piezas</w:t>
            </w:r>
          </w:p>
        </w:tc>
        <w:tc>
          <w:tcPr>
            <w:tcW w:w="704" w:type="pct"/>
            <w:tcBorders>
              <w:top w:val="nil"/>
              <w:left w:val="nil"/>
              <w:bottom w:val="nil"/>
              <w:right w:val="nil"/>
            </w:tcBorders>
            <w:shd w:val="clear" w:color="auto" w:fill="auto"/>
            <w:noWrap/>
            <w:vAlign w:val="center"/>
            <w:hideMark/>
          </w:tcPr>
          <w:p w14:paraId="1089DC12"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665</w:t>
            </w:r>
          </w:p>
        </w:tc>
        <w:tc>
          <w:tcPr>
            <w:tcW w:w="639" w:type="pct"/>
            <w:tcBorders>
              <w:top w:val="nil"/>
              <w:left w:val="nil"/>
              <w:bottom w:val="nil"/>
              <w:right w:val="nil"/>
            </w:tcBorders>
            <w:shd w:val="clear" w:color="auto" w:fill="auto"/>
            <w:noWrap/>
            <w:vAlign w:val="center"/>
            <w:hideMark/>
          </w:tcPr>
          <w:p w14:paraId="13CC6400"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715</w:t>
            </w:r>
          </w:p>
        </w:tc>
        <w:tc>
          <w:tcPr>
            <w:tcW w:w="649" w:type="pct"/>
            <w:tcBorders>
              <w:top w:val="nil"/>
              <w:left w:val="nil"/>
              <w:bottom w:val="nil"/>
              <w:right w:val="nil"/>
            </w:tcBorders>
            <w:shd w:val="clear" w:color="auto" w:fill="auto"/>
            <w:noWrap/>
            <w:vAlign w:val="center"/>
            <w:hideMark/>
          </w:tcPr>
          <w:p w14:paraId="23251617"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524</w:t>
            </w:r>
          </w:p>
        </w:tc>
        <w:tc>
          <w:tcPr>
            <w:tcW w:w="659" w:type="pct"/>
            <w:tcBorders>
              <w:top w:val="nil"/>
              <w:left w:val="nil"/>
              <w:bottom w:val="nil"/>
              <w:right w:val="nil"/>
            </w:tcBorders>
            <w:shd w:val="clear" w:color="auto" w:fill="auto"/>
            <w:noWrap/>
            <w:vAlign w:val="center"/>
            <w:hideMark/>
          </w:tcPr>
          <w:p w14:paraId="60CD2BC6"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628</w:t>
            </w:r>
          </w:p>
        </w:tc>
        <w:tc>
          <w:tcPr>
            <w:tcW w:w="695" w:type="pct"/>
            <w:tcBorders>
              <w:top w:val="nil"/>
              <w:left w:val="nil"/>
              <w:bottom w:val="nil"/>
              <w:right w:val="nil"/>
            </w:tcBorders>
            <w:shd w:val="clear" w:color="auto" w:fill="auto"/>
            <w:noWrap/>
            <w:vAlign w:val="center"/>
            <w:hideMark/>
          </w:tcPr>
          <w:p w14:paraId="3A152658"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525</w:t>
            </w:r>
          </w:p>
        </w:tc>
      </w:tr>
      <w:tr w:rsidR="00F53021" w:rsidRPr="00365E42" w14:paraId="6F78F612" w14:textId="77777777" w:rsidTr="00365E42">
        <w:trPr>
          <w:trHeight w:val="315"/>
        </w:trPr>
        <w:tc>
          <w:tcPr>
            <w:tcW w:w="1653" w:type="pct"/>
            <w:tcBorders>
              <w:top w:val="nil"/>
              <w:left w:val="nil"/>
              <w:bottom w:val="nil"/>
              <w:right w:val="nil"/>
            </w:tcBorders>
            <w:shd w:val="clear" w:color="auto" w:fill="auto"/>
            <w:noWrap/>
            <w:vAlign w:val="center"/>
            <w:hideMark/>
          </w:tcPr>
          <w:p w14:paraId="60558C40"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Casos terminados</w:t>
            </w:r>
          </w:p>
        </w:tc>
        <w:tc>
          <w:tcPr>
            <w:tcW w:w="704" w:type="pct"/>
            <w:tcBorders>
              <w:top w:val="nil"/>
              <w:left w:val="nil"/>
              <w:bottom w:val="nil"/>
              <w:right w:val="nil"/>
            </w:tcBorders>
            <w:shd w:val="clear" w:color="auto" w:fill="auto"/>
            <w:noWrap/>
            <w:vAlign w:val="center"/>
            <w:hideMark/>
          </w:tcPr>
          <w:p w14:paraId="4CF26FB5"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188,666</w:t>
            </w:r>
          </w:p>
        </w:tc>
        <w:tc>
          <w:tcPr>
            <w:tcW w:w="639" w:type="pct"/>
            <w:tcBorders>
              <w:top w:val="nil"/>
              <w:left w:val="nil"/>
              <w:bottom w:val="nil"/>
              <w:right w:val="nil"/>
            </w:tcBorders>
            <w:shd w:val="clear" w:color="auto" w:fill="auto"/>
            <w:noWrap/>
            <w:vAlign w:val="center"/>
            <w:hideMark/>
          </w:tcPr>
          <w:p w14:paraId="0BB44148"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177,324</w:t>
            </w:r>
          </w:p>
        </w:tc>
        <w:tc>
          <w:tcPr>
            <w:tcW w:w="649" w:type="pct"/>
            <w:tcBorders>
              <w:top w:val="nil"/>
              <w:left w:val="nil"/>
              <w:bottom w:val="nil"/>
              <w:right w:val="nil"/>
            </w:tcBorders>
            <w:shd w:val="clear" w:color="auto" w:fill="auto"/>
            <w:noWrap/>
            <w:vAlign w:val="center"/>
            <w:hideMark/>
          </w:tcPr>
          <w:p w14:paraId="1D39286C"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175,298</w:t>
            </w:r>
          </w:p>
        </w:tc>
        <w:tc>
          <w:tcPr>
            <w:tcW w:w="659" w:type="pct"/>
            <w:tcBorders>
              <w:top w:val="nil"/>
              <w:left w:val="nil"/>
              <w:bottom w:val="nil"/>
              <w:right w:val="nil"/>
            </w:tcBorders>
            <w:shd w:val="clear" w:color="auto" w:fill="auto"/>
            <w:noWrap/>
            <w:vAlign w:val="center"/>
            <w:hideMark/>
          </w:tcPr>
          <w:p w14:paraId="34D072BA"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184,807</w:t>
            </w:r>
          </w:p>
        </w:tc>
        <w:tc>
          <w:tcPr>
            <w:tcW w:w="695" w:type="pct"/>
            <w:tcBorders>
              <w:top w:val="nil"/>
              <w:left w:val="nil"/>
              <w:bottom w:val="nil"/>
              <w:right w:val="nil"/>
            </w:tcBorders>
            <w:shd w:val="clear" w:color="auto" w:fill="auto"/>
            <w:noWrap/>
            <w:vAlign w:val="center"/>
            <w:hideMark/>
          </w:tcPr>
          <w:p w14:paraId="3BCE2BF4"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217,590</w:t>
            </w:r>
          </w:p>
        </w:tc>
      </w:tr>
      <w:tr w:rsidR="00F53021" w:rsidRPr="00365E42" w14:paraId="20D53952" w14:textId="77777777" w:rsidTr="00365E42">
        <w:trPr>
          <w:trHeight w:val="315"/>
        </w:trPr>
        <w:tc>
          <w:tcPr>
            <w:tcW w:w="1653" w:type="pct"/>
            <w:tcBorders>
              <w:top w:val="nil"/>
              <w:left w:val="nil"/>
              <w:bottom w:val="nil"/>
              <w:right w:val="nil"/>
            </w:tcBorders>
            <w:shd w:val="clear" w:color="auto" w:fill="auto"/>
            <w:noWrap/>
            <w:vAlign w:val="center"/>
            <w:hideMark/>
          </w:tcPr>
          <w:p w14:paraId="0E8506DB"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Circulante al finalizar</w:t>
            </w:r>
          </w:p>
        </w:tc>
        <w:tc>
          <w:tcPr>
            <w:tcW w:w="704" w:type="pct"/>
            <w:tcBorders>
              <w:top w:val="nil"/>
              <w:left w:val="nil"/>
              <w:bottom w:val="nil"/>
              <w:right w:val="nil"/>
            </w:tcBorders>
            <w:shd w:val="clear" w:color="auto" w:fill="auto"/>
            <w:noWrap/>
            <w:vAlign w:val="center"/>
            <w:hideMark/>
          </w:tcPr>
          <w:p w14:paraId="2064ABD8"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45,830</w:t>
            </w:r>
          </w:p>
        </w:tc>
        <w:tc>
          <w:tcPr>
            <w:tcW w:w="639" w:type="pct"/>
            <w:tcBorders>
              <w:top w:val="nil"/>
              <w:left w:val="nil"/>
              <w:bottom w:val="nil"/>
              <w:right w:val="nil"/>
            </w:tcBorders>
            <w:shd w:val="clear" w:color="auto" w:fill="auto"/>
            <w:noWrap/>
            <w:vAlign w:val="center"/>
            <w:hideMark/>
          </w:tcPr>
          <w:p w14:paraId="51213E5B"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47,630</w:t>
            </w:r>
          </w:p>
        </w:tc>
        <w:tc>
          <w:tcPr>
            <w:tcW w:w="649" w:type="pct"/>
            <w:tcBorders>
              <w:top w:val="nil"/>
              <w:left w:val="nil"/>
              <w:bottom w:val="nil"/>
              <w:right w:val="nil"/>
            </w:tcBorders>
            <w:shd w:val="clear" w:color="auto" w:fill="auto"/>
            <w:noWrap/>
            <w:vAlign w:val="center"/>
            <w:hideMark/>
          </w:tcPr>
          <w:p w14:paraId="03620E71"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55,582</w:t>
            </w:r>
          </w:p>
        </w:tc>
        <w:tc>
          <w:tcPr>
            <w:tcW w:w="659" w:type="pct"/>
            <w:tcBorders>
              <w:top w:val="nil"/>
              <w:left w:val="nil"/>
              <w:bottom w:val="nil"/>
              <w:right w:val="nil"/>
            </w:tcBorders>
            <w:shd w:val="clear" w:color="auto" w:fill="auto"/>
            <w:noWrap/>
            <w:vAlign w:val="center"/>
            <w:hideMark/>
          </w:tcPr>
          <w:p w14:paraId="63D0AF4F"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67,380</w:t>
            </w:r>
          </w:p>
        </w:tc>
        <w:tc>
          <w:tcPr>
            <w:tcW w:w="695" w:type="pct"/>
            <w:tcBorders>
              <w:top w:val="nil"/>
              <w:left w:val="nil"/>
              <w:bottom w:val="nil"/>
              <w:right w:val="nil"/>
            </w:tcBorders>
            <w:shd w:val="clear" w:color="auto" w:fill="auto"/>
            <w:noWrap/>
            <w:vAlign w:val="center"/>
            <w:hideMark/>
          </w:tcPr>
          <w:p w14:paraId="57E2549F"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72,344</w:t>
            </w:r>
          </w:p>
        </w:tc>
      </w:tr>
      <w:tr w:rsidR="00F53021" w:rsidRPr="00365E42" w14:paraId="5C972BE6" w14:textId="77777777" w:rsidTr="00365E42">
        <w:trPr>
          <w:trHeight w:val="315"/>
        </w:trPr>
        <w:tc>
          <w:tcPr>
            <w:tcW w:w="1653" w:type="pct"/>
            <w:tcBorders>
              <w:top w:val="nil"/>
              <w:left w:val="nil"/>
              <w:bottom w:val="nil"/>
              <w:right w:val="nil"/>
            </w:tcBorders>
            <w:shd w:val="clear" w:color="auto" w:fill="auto"/>
            <w:noWrap/>
            <w:vAlign w:val="center"/>
            <w:hideMark/>
          </w:tcPr>
          <w:p w14:paraId="2F04C54C"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p>
        </w:tc>
        <w:tc>
          <w:tcPr>
            <w:tcW w:w="704" w:type="pct"/>
            <w:tcBorders>
              <w:top w:val="nil"/>
              <w:left w:val="nil"/>
              <w:bottom w:val="nil"/>
              <w:right w:val="nil"/>
            </w:tcBorders>
            <w:shd w:val="clear" w:color="auto" w:fill="auto"/>
            <w:noWrap/>
            <w:vAlign w:val="center"/>
            <w:hideMark/>
          </w:tcPr>
          <w:p w14:paraId="6511CB86"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39" w:type="pct"/>
            <w:tcBorders>
              <w:top w:val="nil"/>
              <w:left w:val="nil"/>
              <w:bottom w:val="nil"/>
              <w:right w:val="nil"/>
            </w:tcBorders>
            <w:shd w:val="clear" w:color="auto" w:fill="auto"/>
            <w:noWrap/>
            <w:vAlign w:val="center"/>
            <w:hideMark/>
          </w:tcPr>
          <w:p w14:paraId="76B9C87D"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49" w:type="pct"/>
            <w:tcBorders>
              <w:top w:val="nil"/>
              <w:left w:val="nil"/>
              <w:bottom w:val="nil"/>
              <w:right w:val="nil"/>
            </w:tcBorders>
            <w:shd w:val="clear" w:color="auto" w:fill="auto"/>
            <w:noWrap/>
            <w:vAlign w:val="bottom"/>
            <w:hideMark/>
          </w:tcPr>
          <w:p w14:paraId="504D6A6E"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59" w:type="pct"/>
            <w:tcBorders>
              <w:top w:val="nil"/>
              <w:left w:val="nil"/>
              <w:bottom w:val="nil"/>
              <w:right w:val="nil"/>
            </w:tcBorders>
            <w:shd w:val="clear" w:color="auto" w:fill="auto"/>
            <w:noWrap/>
            <w:vAlign w:val="center"/>
            <w:hideMark/>
          </w:tcPr>
          <w:p w14:paraId="44F8E417"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95" w:type="pct"/>
            <w:tcBorders>
              <w:top w:val="nil"/>
              <w:left w:val="nil"/>
              <w:bottom w:val="nil"/>
              <w:right w:val="nil"/>
            </w:tcBorders>
            <w:shd w:val="clear" w:color="auto" w:fill="auto"/>
            <w:noWrap/>
            <w:vAlign w:val="center"/>
            <w:hideMark/>
          </w:tcPr>
          <w:p w14:paraId="1B530FF0"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r>
      <w:tr w:rsidR="00F53021" w:rsidRPr="00365E42" w14:paraId="591F69BD" w14:textId="77777777" w:rsidTr="00365E42">
        <w:trPr>
          <w:trHeight w:val="315"/>
        </w:trPr>
        <w:tc>
          <w:tcPr>
            <w:tcW w:w="1653" w:type="pct"/>
            <w:tcBorders>
              <w:top w:val="nil"/>
              <w:left w:val="nil"/>
              <w:bottom w:val="nil"/>
              <w:right w:val="nil"/>
            </w:tcBorders>
            <w:shd w:val="clear" w:color="auto" w:fill="auto"/>
            <w:noWrap/>
            <w:vAlign w:val="center"/>
            <w:hideMark/>
          </w:tcPr>
          <w:p w14:paraId="2E7BFBDC" w14:textId="77777777" w:rsidR="00F53021" w:rsidRPr="00365E42" w:rsidRDefault="00F53021" w:rsidP="00F53021">
            <w:pPr>
              <w:spacing w:after="0" w:line="240" w:lineRule="auto"/>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Indicadores</w:t>
            </w:r>
          </w:p>
        </w:tc>
        <w:tc>
          <w:tcPr>
            <w:tcW w:w="704" w:type="pct"/>
            <w:tcBorders>
              <w:top w:val="nil"/>
              <w:left w:val="nil"/>
              <w:bottom w:val="nil"/>
              <w:right w:val="nil"/>
            </w:tcBorders>
            <w:shd w:val="clear" w:color="auto" w:fill="auto"/>
            <w:noWrap/>
            <w:vAlign w:val="center"/>
            <w:hideMark/>
          </w:tcPr>
          <w:p w14:paraId="6579F093" w14:textId="77777777" w:rsidR="00F53021" w:rsidRPr="00365E42" w:rsidRDefault="00F53021" w:rsidP="00F53021">
            <w:pPr>
              <w:spacing w:after="0" w:line="240" w:lineRule="auto"/>
              <w:rPr>
                <w:rFonts w:ascii="Book Antiqua" w:eastAsia="Times New Roman" w:hAnsi="Book Antiqua" w:cs="Times New Roman"/>
                <w:b/>
                <w:bCs/>
                <w:color w:val="000000"/>
                <w:sz w:val="24"/>
                <w:szCs w:val="24"/>
                <w:lang w:eastAsia="es-CR"/>
              </w:rPr>
            </w:pPr>
          </w:p>
        </w:tc>
        <w:tc>
          <w:tcPr>
            <w:tcW w:w="639" w:type="pct"/>
            <w:tcBorders>
              <w:top w:val="nil"/>
              <w:left w:val="nil"/>
              <w:bottom w:val="nil"/>
              <w:right w:val="nil"/>
            </w:tcBorders>
            <w:shd w:val="clear" w:color="auto" w:fill="auto"/>
            <w:noWrap/>
            <w:vAlign w:val="center"/>
            <w:hideMark/>
          </w:tcPr>
          <w:p w14:paraId="120F2673"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c>
          <w:tcPr>
            <w:tcW w:w="649" w:type="pct"/>
            <w:tcBorders>
              <w:top w:val="nil"/>
              <w:left w:val="nil"/>
              <w:bottom w:val="nil"/>
              <w:right w:val="nil"/>
            </w:tcBorders>
            <w:shd w:val="clear" w:color="auto" w:fill="auto"/>
            <w:noWrap/>
            <w:vAlign w:val="bottom"/>
            <w:hideMark/>
          </w:tcPr>
          <w:p w14:paraId="6A42C498"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59" w:type="pct"/>
            <w:tcBorders>
              <w:top w:val="nil"/>
              <w:left w:val="nil"/>
              <w:bottom w:val="nil"/>
              <w:right w:val="nil"/>
            </w:tcBorders>
            <w:shd w:val="clear" w:color="auto" w:fill="auto"/>
            <w:noWrap/>
            <w:vAlign w:val="center"/>
            <w:hideMark/>
          </w:tcPr>
          <w:p w14:paraId="1E7CEB9D" w14:textId="77777777" w:rsidR="00F53021" w:rsidRPr="00365E42" w:rsidRDefault="00F53021" w:rsidP="00F53021">
            <w:pPr>
              <w:spacing w:after="0" w:line="240" w:lineRule="auto"/>
              <w:rPr>
                <w:rFonts w:ascii="Book Antiqua" w:eastAsia="Times New Roman" w:hAnsi="Book Antiqua" w:cs="Times New Roman"/>
                <w:sz w:val="24"/>
                <w:szCs w:val="24"/>
                <w:lang w:eastAsia="es-CR"/>
              </w:rPr>
            </w:pPr>
          </w:p>
        </w:tc>
        <w:tc>
          <w:tcPr>
            <w:tcW w:w="695" w:type="pct"/>
            <w:tcBorders>
              <w:top w:val="nil"/>
              <w:left w:val="nil"/>
              <w:bottom w:val="nil"/>
              <w:right w:val="nil"/>
            </w:tcBorders>
            <w:shd w:val="clear" w:color="auto" w:fill="auto"/>
            <w:noWrap/>
            <w:vAlign w:val="center"/>
            <w:hideMark/>
          </w:tcPr>
          <w:p w14:paraId="3967AB32"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p>
        </w:tc>
      </w:tr>
      <w:tr w:rsidR="00F53021" w:rsidRPr="00365E42" w14:paraId="265A2866" w14:textId="77777777" w:rsidTr="00365E42">
        <w:trPr>
          <w:trHeight w:val="315"/>
        </w:trPr>
        <w:tc>
          <w:tcPr>
            <w:tcW w:w="1653" w:type="pct"/>
            <w:tcBorders>
              <w:top w:val="nil"/>
              <w:left w:val="nil"/>
              <w:bottom w:val="nil"/>
              <w:right w:val="nil"/>
            </w:tcBorders>
            <w:shd w:val="clear" w:color="auto" w:fill="auto"/>
            <w:noWrap/>
            <w:vAlign w:val="center"/>
            <w:hideMark/>
          </w:tcPr>
          <w:p w14:paraId="252869EE"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Razón de congestión</w:t>
            </w:r>
          </w:p>
        </w:tc>
        <w:tc>
          <w:tcPr>
            <w:tcW w:w="704" w:type="pct"/>
            <w:tcBorders>
              <w:top w:val="nil"/>
              <w:left w:val="nil"/>
              <w:bottom w:val="nil"/>
              <w:right w:val="nil"/>
            </w:tcBorders>
            <w:shd w:val="clear" w:color="auto" w:fill="auto"/>
            <w:vAlign w:val="center"/>
            <w:hideMark/>
          </w:tcPr>
          <w:p w14:paraId="1A748304"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1.24</w:t>
            </w:r>
          </w:p>
        </w:tc>
        <w:tc>
          <w:tcPr>
            <w:tcW w:w="639" w:type="pct"/>
            <w:tcBorders>
              <w:top w:val="nil"/>
              <w:left w:val="nil"/>
              <w:bottom w:val="nil"/>
              <w:right w:val="nil"/>
            </w:tcBorders>
            <w:shd w:val="clear" w:color="auto" w:fill="auto"/>
            <w:vAlign w:val="center"/>
            <w:hideMark/>
          </w:tcPr>
          <w:p w14:paraId="02D2E2BC"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1.27</w:t>
            </w:r>
          </w:p>
        </w:tc>
        <w:tc>
          <w:tcPr>
            <w:tcW w:w="649" w:type="pct"/>
            <w:tcBorders>
              <w:top w:val="nil"/>
              <w:left w:val="nil"/>
              <w:bottom w:val="nil"/>
              <w:right w:val="nil"/>
            </w:tcBorders>
            <w:shd w:val="clear" w:color="auto" w:fill="auto"/>
            <w:vAlign w:val="center"/>
            <w:hideMark/>
          </w:tcPr>
          <w:p w14:paraId="6F50F533"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1.32</w:t>
            </w:r>
          </w:p>
        </w:tc>
        <w:tc>
          <w:tcPr>
            <w:tcW w:w="659" w:type="pct"/>
            <w:tcBorders>
              <w:top w:val="nil"/>
              <w:left w:val="nil"/>
              <w:bottom w:val="nil"/>
              <w:right w:val="nil"/>
            </w:tcBorders>
            <w:shd w:val="clear" w:color="auto" w:fill="auto"/>
            <w:vAlign w:val="center"/>
            <w:hideMark/>
          </w:tcPr>
          <w:p w14:paraId="0FDB9A7F"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1.36</w:t>
            </w:r>
          </w:p>
        </w:tc>
        <w:tc>
          <w:tcPr>
            <w:tcW w:w="695" w:type="pct"/>
            <w:tcBorders>
              <w:top w:val="nil"/>
              <w:left w:val="nil"/>
              <w:bottom w:val="nil"/>
              <w:right w:val="nil"/>
            </w:tcBorders>
            <w:shd w:val="clear" w:color="auto" w:fill="auto"/>
            <w:vAlign w:val="center"/>
            <w:hideMark/>
          </w:tcPr>
          <w:p w14:paraId="76C2B301"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1.33</w:t>
            </w:r>
          </w:p>
        </w:tc>
      </w:tr>
      <w:tr w:rsidR="00F53021" w:rsidRPr="00365E42" w14:paraId="1D173CA8" w14:textId="77777777" w:rsidTr="00365E42">
        <w:trPr>
          <w:trHeight w:val="375"/>
        </w:trPr>
        <w:tc>
          <w:tcPr>
            <w:tcW w:w="1653" w:type="pct"/>
            <w:tcBorders>
              <w:top w:val="nil"/>
              <w:left w:val="nil"/>
              <w:bottom w:val="nil"/>
              <w:right w:val="nil"/>
            </w:tcBorders>
            <w:shd w:val="clear" w:color="auto" w:fill="auto"/>
            <w:noWrap/>
            <w:vAlign w:val="center"/>
            <w:hideMark/>
          </w:tcPr>
          <w:p w14:paraId="6BCC8E6B"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xml:space="preserve">Tasa de pendencia </w:t>
            </w:r>
            <w:r w:rsidRPr="00365E42">
              <w:rPr>
                <w:rFonts w:ascii="Book Antiqua" w:eastAsia="Times New Roman" w:hAnsi="Book Antiqua" w:cs="Times New Roman"/>
                <w:color w:val="000000"/>
                <w:sz w:val="24"/>
                <w:szCs w:val="24"/>
                <w:vertAlign w:val="superscript"/>
                <w:lang w:eastAsia="es-CR"/>
              </w:rPr>
              <w:t>(3)</w:t>
            </w:r>
          </w:p>
        </w:tc>
        <w:tc>
          <w:tcPr>
            <w:tcW w:w="704" w:type="pct"/>
            <w:tcBorders>
              <w:top w:val="nil"/>
              <w:left w:val="nil"/>
              <w:bottom w:val="nil"/>
              <w:right w:val="nil"/>
            </w:tcBorders>
            <w:shd w:val="clear" w:color="auto" w:fill="auto"/>
            <w:vAlign w:val="center"/>
            <w:hideMark/>
          </w:tcPr>
          <w:p w14:paraId="21809602"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19.5</w:t>
            </w:r>
          </w:p>
        </w:tc>
        <w:tc>
          <w:tcPr>
            <w:tcW w:w="639" w:type="pct"/>
            <w:tcBorders>
              <w:top w:val="nil"/>
              <w:left w:val="nil"/>
              <w:bottom w:val="nil"/>
              <w:right w:val="nil"/>
            </w:tcBorders>
            <w:shd w:val="clear" w:color="auto" w:fill="auto"/>
            <w:vAlign w:val="center"/>
            <w:hideMark/>
          </w:tcPr>
          <w:p w14:paraId="5D079D5F"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21.2</w:t>
            </w:r>
          </w:p>
        </w:tc>
        <w:tc>
          <w:tcPr>
            <w:tcW w:w="649" w:type="pct"/>
            <w:tcBorders>
              <w:top w:val="nil"/>
              <w:left w:val="nil"/>
              <w:bottom w:val="nil"/>
              <w:right w:val="nil"/>
            </w:tcBorders>
            <w:shd w:val="clear" w:color="auto" w:fill="auto"/>
            <w:vAlign w:val="center"/>
            <w:hideMark/>
          </w:tcPr>
          <w:p w14:paraId="082D2CC4"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24.1</w:t>
            </w:r>
          </w:p>
        </w:tc>
        <w:tc>
          <w:tcPr>
            <w:tcW w:w="659" w:type="pct"/>
            <w:tcBorders>
              <w:top w:val="nil"/>
              <w:left w:val="nil"/>
              <w:bottom w:val="nil"/>
              <w:right w:val="nil"/>
            </w:tcBorders>
            <w:shd w:val="clear" w:color="auto" w:fill="auto"/>
            <w:vAlign w:val="center"/>
            <w:hideMark/>
          </w:tcPr>
          <w:p w14:paraId="481B1A38"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26.7</w:t>
            </w:r>
          </w:p>
        </w:tc>
        <w:tc>
          <w:tcPr>
            <w:tcW w:w="695" w:type="pct"/>
            <w:tcBorders>
              <w:top w:val="nil"/>
              <w:left w:val="nil"/>
              <w:bottom w:val="nil"/>
              <w:right w:val="nil"/>
            </w:tcBorders>
            <w:shd w:val="clear" w:color="auto" w:fill="auto"/>
            <w:vAlign w:val="center"/>
            <w:hideMark/>
          </w:tcPr>
          <w:p w14:paraId="52C9A6F7"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25.0</w:t>
            </w:r>
          </w:p>
        </w:tc>
      </w:tr>
      <w:tr w:rsidR="00F53021" w:rsidRPr="00365E42" w14:paraId="683ED0EC" w14:textId="77777777" w:rsidTr="00365E42">
        <w:trPr>
          <w:trHeight w:val="375"/>
        </w:trPr>
        <w:tc>
          <w:tcPr>
            <w:tcW w:w="1653" w:type="pct"/>
            <w:tcBorders>
              <w:top w:val="nil"/>
              <w:left w:val="nil"/>
              <w:bottom w:val="nil"/>
              <w:right w:val="nil"/>
            </w:tcBorders>
            <w:shd w:val="clear" w:color="auto" w:fill="auto"/>
            <w:noWrap/>
            <w:vAlign w:val="center"/>
            <w:hideMark/>
          </w:tcPr>
          <w:p w14:paraId="1F7EB43A" w14:textId="77777777" w:rsidR="00F53021" w:rsidRPr="00365E42" w:rsidRDefault="00F53021" w:rsidP="00F53021">
            <w:pPr>
              <w:spacing w:after="0" w:line="240" w:lineRule="auto"/>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xml:space="preserve">Tasa de resolución </w:t>
            </w:r>
            <w:r w:rsidRPr="00365E42">
              <w:rPr>
                <w:rFonts w:ascii="Book Antiqua" w:eastAsia="Times New Roman" w:hAnsi="Book Antiqua" w:cs="Times New Roman"/>
                <w:color w:val="000000"/>
                <w:sz w:val="24"/>
                <w:szCs w:val="24"/>
                <w:vertAlign w:val="superscript"/>
                <w:lang w:eastAsia="es-CR"/>
              </w:rPr>
              <w:t>(3)</w:t>
            </w:r>
          </w:p>
        </w:tc>
        <w:tc>
          <w:tcPr>
            <w:tcW w:w="704" w:type="pct"/>
            <w:tcBorders>
              <w:top w:val="nil"/>
              <w:left w:val="nil"/>
              <w:bottom w:val="nil"/>
              <w:right w:val="nil"/>
            </w:tcBorders>
            <w:shd w:val="clear" w:color="auto" w:fill="auto"/>
            <w:vAlign w:val="center"/>
            <w:hideMark/>
          </w:tcPr>
          <w:p w14:paraId="5AD4DB94"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80.5</w:t>
            </w:r>
          </w:p>
        </w:tc>
        <w:tc>
          <w:tcPr>
            <w:tcW w:w="639" w:type="pct"/>
            <w:tcBorders>
              <w:top w:val="nil"/>
              <w:left w:val="nil"/>
              <w:bottom w:val="nil"/>
              <w:right w:val="nil"/>
            </w:tcBorders>
            <w:shd w:val="clear" w:color="auto" w:fill="auto"/>
            <w:vAlign w:val="center"/>
            <w:hideMark/>
          </w:tcPr>
          <w:p w14:paraId="32F893AF"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78.8</w:t>
            </w:r>
          </w:p>
        </w:tc>
        <w:tc>
          <w:tcPr>
            <w:tcW w:w="649" w:type="pct"/>
            <w:tcBorders>
              <w:top w:val="nil"/>
              <w:left w:val="nil"/>
              <w:bottom w:val="nil"/>
              <w:right w:val="nil"/>
            </w:tcBorders>
            <w:shd w:val="clear" w:color="auto" w:fill="auto"/>
            <w:vAlign w:val="center"/>
            <w:hideMark/>
          </w:tcPr>
          <w:p w14:paraId="05466F07"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75.9</w:t>
            </w:r>
          </w:p>
        </w:tc>
        <w:tc>
          <w:tcPr>
            <w:tcW w:w="659" w:type="pct"/>
            <w:tcBorders>
              <w:top w:val="nil"/>
              <w:left w:val="nil"/>
              <w:bottom w:val="nil"/>
              <w:right w:val="nil"/>
            </w:tcBorders>
            <w:shd w:val="clear" w:color="auto" w:fill="auto"/>
            <w:vAlign w:val="center"/>
            <w:hideMark/>
          </w:tcPr>
          <w:p w14:paraId="7A1E19D5"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73.3</w:t>
            </w:r>
          </w:p>
        </w:tc>
        <w:tc>
          <w:tcPr>
            <w:tcW w:w="695" w:type="pct"/>
            <w:tcBorders>
              <w:top w:val="nil"/>
              <w:left w:val="nil"/>
              <w:bottom w:val="nil"/>
              <w:right w:val="nil"/>
            </w:tcBorders>
            <w:shd w:val="clear" w:color="auto" w:fill="auto"/>
            <w:vAlign w:val="center"/>
            <w:hideMark/>
          </w:tcPr>
          <w:p w14:paraId="6FD20CB8" w14:textId="77777777" w:rsidR="00F53021" w:rsidRPr="00365E42" w:rsidRDefault="00F53021" w:rsidP="00F53021">
            <w:pPr>
              <w:spacing w:after="0" w:line="240" w:lineRule="auto"/>
              <w:jc w:val="center"/>
              <w:rPr>
                <w:rFonts w:ascii="Book Antiqua" w:eastAsia="Times New Roman" w:hAnsi="Book Antiqua" w:cs="Times New Roman"/>
                <w:sz w:val="24"/>
                <w:szCs w:val="24"/>
                <w:lang w:eastAsia="es-CR"/>
              </w:rPr>
            </w:pPr>
            <w:r w:rsidRPr="00365E42">
              <w:rPr>
                <w:rFonts w:ascii="Book Antiqua" w:eastAsia="Times New Roman" w:hAnsi="Book Antiqua" w:cs="Times New Roman"/>
                <w:sz w:val="24"/>
                <w:szCs w:val="24"/>
                <w:lang w:eastAsia="es-CR"/>
              </w:rPr>
              <w:t>75.0</w:t>
            </w:r>
          </w:p>
        </w:tc>
      </w:tr>
      <w:tr w:rsidR="00F53021" w:rsidRPr="00365E42" w14:paraId="6155B275" w14:textId="77777777" w:rsidTr="00365E42">
        <w:trPr>
          <w:trHeight w:val="330"/>
        </w:trPr>
        <w:tc>
          <w:tcPr>
            <w:tcW w:w="1653" w:type="pct"/>
            <w:tcBorders>
              <w:top w:val="nil"/>
              <w:left w:val="nil"/>
              <w:bottom w:val="single" w:sz="8" w:space="0" w:color="auto"/>
              <w:right w:val="nil"/>
            </w:tcBorders>
            <w:shd w:val="clear" w:color="auto" w:fill="auto"/>
            <w:noWrap/>
            <w:vAlign w:val="center"/>
            <w:hideMark/>
          </w:tcPr>
          <w:p w14:paraId="4CE1E518"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c>
          <w:tcPr>
            <w:tcW w:w="704" w:type="pct"/>
            <w:tcBorders>
              <w:top w:val="nil"/>
              <w:left w:val="nil"/>
              <w:bottom w:val="single" w:sz="8" w:space="0" w:color="auto"/>
              <w:right w:val="nil"/>
            </w:tcBorders>
            <w:shd w:val="clear" w:color="auto" w:fill="auto"/>
            <w:noWrap/>
            <w:vAlign w:val="center"/>
            <w:hideMark/>
          </w:tcPr>
          <w:p w14:paraId="111EB11F"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c>
          <w:tcPr>
            <w:tcW w:w="639" w:type="pct"/>
            <w:tcBorders>
              <w:top w:val="nil"/>
              <w:left w:val="nil"/>
              <w:bottom w:val="single" w:sz="8" w:space="0" w:color="auto"/>
              <w:right w:val="nil"/>
            </w:tcBorders>
            <w:shd w:val="clear" w:color="auto" w:fill="auto"/>
            <w:noWrap/>
            <w:vAlign w:val="center"/>
            <w:hideMark/>
          </w:tcPr>
          <w:p w14:paraId="617DBF36"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c>
          <w:tcPr>
            <w:tcW w:w="649" w:type="pct"/>
            <w:tcBorders>
              <w:top w:val="nil"/>
              <w:left w:val="nil"/>
              <w:bottom w:val="single" w:sz="8" w:space="0" w:color="auto"/>
              <w:right w:val="nil"/>
            </w:tcBorders>
            <w:shd w:val="clear" w:color="auto" w:fill="auto"/>
            <w:noWrap/>
            <w:vAlign w:val="center"/>
            <w:hideMark/>
          </w:tcPr>
          <w:p w14:paraId="301D695D"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c>
          <w:tcPr>
            <w:tcW w:w="659" w:type="pct"/>
            <w:tcBorders>
              <w:top w:val="nil"/>
              <w:left w:val="nil"/>
              <w:bottom w:val="single" w:sz="8" w:space="0" w:color="auto"/>
              <w:right w:val="nil"/>
            </w:tcBorders>
            <w:shd w:val="clear" w:color="auto" w:fill="auto"/>
            <w:noWrap/>
            <w:vAlign w:val="center"/>
            <w:hideMark/>
          </w:tcPr>
          <w:p w14:paraId="735FDA17"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c>
          <w:tcPr>
            <w:tcW w:w="695" w:type="pct"/>
            <w:tcBorders>
              <w:top w:val="nil"/>
              <w:left w:val="nil"/>
              <w:bottom w:val="single" w:sz="8" w:space="0" w:color="auto"/>
              <w:right w:val="nil"/>
            </w:tcBorders>
            <w:shd w:val="clear" w:color="auto" w:fill="auto"/>
            <w:noWrap/>
            <w:vAlign w:val="center"/>
            <w:hideMark/>
          </w:tcPr>
          <w:p w14:paraId="3F3EA53C" w14:textId="77777777" w:rsidR="00F53021" w:rsidRPr="00365E42" w:rsidRDefault="00F53021" w:rsidP="00F53021">
            <w:pPr>
              <w:spacing w:after="0" w:line="240" w:lineRule="auto"/>
              <w:jc w:val="center"/>
              <w:rPr>
                <w:rFonts w:ascii="Book Antiqua" w:eastAsia="Times New Roman" w:hAnsi="Book Antiqua" w:cs="Times New Roman"/>
                <w:color w:val="000000"/>
                <w:sz w:val="24"/>
                <w:szCs w:val="24"/>
                <w:lang w:eastAsia="es-CR"/>
              </w:rPr>
            </w:pPr>
            <w:r w:rsidRPr="00365E42">
              <w:rPr>
                <w:rFonts w:ascii="Book Antiqua" w:eastAsia="Times New Roman" w:hAnsi="Book Antiqua" w:cs="Times New Roman"/>
                <w:color w:val="000000"/>
                <w:sz w:val="24"/>
                <w:szCs w:val="24"/>
                <w:lang w:eastAsia="es-CR"/>
              </w:rPr>
              <w:t> </w:t>
            </w:r>
          </w:p>
        </w:tc>
      </w:tr>
      <w:tr w:rsidR="00F53021" w:rsidRPr="00365E42" w14:paraId="73B5C2C3" w14:textId="77777777" w:rsidTr="00F53021">
        <w:trPr>
          <w:trHeight w:val="300"/>
        </w:trPr>
        <w:tc>
          <w:tcPr>
            <w:tcW w:w="5000" w:type="pct"/>
            <w:gridSpan w:val="6"/>
            <w:tcBorders>
              <w:top w:val="nil"/>
              <w:left w:val="nil"/>
              <w:bottom w:val="nil"/>
            </w:tcBorders>
            <w:shd w:val="clear" w:color="auto" w:fill="auto"/>
            <w:noWrap/>
            <w:vAlign w:val="center"/>
            <w:hideMark/>
          </w:tcPr>
          <w:p w14:paraId="7681FC37" w14:textId="6ACBFE7B" w:rsidR="00F53021" w:rsidRPr="00365E42" w:rsidRDefault="00F53021" w:rsidP="00F53021">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 El circulante al iniciar el 2017 difiere del finalizar de 2016 debido al inicio de funciones de la Fiscalía de Asuntos Indígenas.</w:t>
            </w:r>
          </w:p>
        </w:tc>
      </w:tr>
      <w:tr w:rsidR="00F53021" w:rsidRPr="00365E42" w14:paraId="04AB0BAE" w14:textId="77777777" w:rsidTr="00F53021">
        <w:trPr>
          <w:trHeight w:val="300"/>
        </w:trPr>
        <w:tc>
          <w:tcPr>
            <w:tcW w:w="5000" w:type="pct"/>
            <w:gridSpan w:val="6"/>
            <w:tcBorders>
              <w:top w:val="nil"/>
              <w:left w:val="nil"/>
              <w:bottom w:val="nil"/>
              <w:right w:val="nil"/>
            </w:tcBorders>
            <w:shd w:val="clear" w:color="auto" w:fill="auto"/>
            <w:noWrap/>
            <w:vAlign w:val="center"/>
            <w:hideMark/>
          </w:tcPr>
          <w:p w14:paraId="1EFDAB8D" w14:textId="77777777" w:rsidR="00F53021" w:rsidRPr="00365E42" w:rsidRDefault="00F53021" w:rsidP="00F53021">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2/ El circulante al iniciar el 2018 difiere del finalizar de 2017 debido al inicio de funciones de oficina de la Fiscalía General (inicia labores en marzo de 2018). </w:t>
            </w:r>
          </w:p>
        </w:tc>
      </w:tr>
      <w:tr w:rsidR="00F53021" w:rsidRPr="00365E42" w14:paraId="55428F7B" w14:textId="77777777" w:rsidTr="00F53021">
        <w:trPr>
          <w:trHeight w:val="300"/>
        </w:trPr>
        <w:tc>
          <w:tcPr>
            <w:tcW w:w="5000" w:type="pct"/>
            <w:gridSpan w:val="6"/>
            <w:tcBorders>
              <w:top w:val="nil"/>
              <w:left w:val="nil"/>
              <w:bottom w:val="nil"/>
            </w:tcBorders>
            <w:shd w:val="clear" w:color="auto" w:fill="auto"/>
            <w:noWrap/>
            <w:vAlign w:val="center"/>
            <w:hideMark/>
          </w:tcPr>
          <w:p w14:paraId="20757628" w14:textId="6E448680" w:rsidR="00F53021" w:rsidRPr="00365E42" w:rsidRDefault="00F53021" w:rsidP="00F53021">
            <w:pPr>
              <w:spacing w:after="0" w:line="240" w:lineRule="auto"/>
              <w:rPr>
                <w:rFonts w:ascii="Book Antiqua" w:eastAsia="Times New Roman" w:hAnsi="Book Antiqua" w:cs="Times New Roman"/>
                <w:sz w:val="20"/>
                <w:szCs w:val="20"/>
                <w:lang w:eastAsia="es-CR"/>
              </w:rPr>
            </w:pPr>
            <w:r w:rsidRPr="00365E42">
              <w:rPr>
                <w:rFonts w:ascii="Book Antiqua" w:eastAsia="Times New Roman" w:hAnsi="Book Antiqua" w:cs="Times New Roman"/>
                <w:color w:val="000000"/>
                <w:sz w:val="20"/>
                <w:szCs w:val="20"/>
                <w:lang w:eastAsia="es-CR"/>
              </w:rPr>
              <w:t>3-/ Se toma como base a 100.</w:t>
            </w:r>
          </w:p>
        </w:tc>
      </w:tr>
      <w:tr w:rsidR="00F53021" w:rsidRPr="00365E42" w14:paraId="72D9BE4A" w14:textId="77777777" w:rsidTr="00F53021">
        <w:trPr>
          <w:trHeight w:val="300"/>
        </w:trPr>
        <w:tc>
          <w:tcPr>
            <w:tcW w:w="5000" w:type="pct"/>
            <w:gridSpan w:val="6"/>
            <w:tcBorders>
              <w:top w:val="nil"/>
              <w:left w:val="nil"/>
              <w:bottom w:val="nil"/>
            </w:tcBorders>
            <w:shd w:val="clear" w:color="auto" w:fill="auto"/>
            <w:noWrap/>
            <w:vAlign w:val="center"/>
            <w:hideMark/>
          </w:tcPr>
          <w:p w14:paraId="067C8A7E" w14:textId="1CEBEACC" w:rsidR="00F53021" w:rsidRPr="00365E42" w:rsidRDefault="00F53021" w:rsidP="00F53021">
            <w:pPr>
              <w:spacing w:after="0" w:line="240" w:lineRule="auto"/>
              <w:rPr>
                <w:rFonts w:ascii="Book Antiqua" w:eastAsia="Times New Roman" w:hAnsi="Book Antiqua" w:cs="Times New Roman"/>
                <w:sz w:val="20"/>
                <w:szCs w:val="20"/>
                <w:lang w:eastAsia="es-CR"/>
              </w:rPr>
            </w:pPr>
            <w:r w:rsidRPr="00365E42">
              <w:rPr>
                <w:rFonts w:ascii="Book Antiqua" w:eastAsia="Times New Roman" w:hAnsi="Book Antiqua" w:cs="Times New Roman"/>
                <w:color w:val="000000"/>
                <w:sz w:val="20"/>
                <w:szCs w:val="20"/>
                <w:lang w:eastAsia="es-CR"/>
              </w:rPr>
              <w:t>Elaborado por: Subproceso de Estadística, Dirección de Planificación.</w:t>
            </w:r>
          </w:p>
        </w:tc>
      </w:tr>
    </w:tbl>
    <w:p w14:paraId="35EBCC10" w14:textId="77777777" w:rsidR="001735A6" w:rsidRPr="00365E42" w:rsidRDefault="001735A6" w:rsidP="00503661">
      <w:pPr>
        <w:jc w:val="both"/>
        <w:rPr>
          <w:rFonts w:ascii="Book Antiqua" w:hAnsi="Book Antiqua" w:cs="Times New Roman"/>
          <w:sz w:val="24"/>
          <w:szCs w:val="24"/>
        </w:rPr>
      </w:pPr>
    </w:p>
    <w:p w14:paraId="02B75D12" w14:textId="302D2CE6" w:rsidR="00503661" w:rsidRPr="00365E42" w:rsidRDefault="00503661" w:rsidP="009318A9">
      <w:pPr>
        <w:spacing w:line="360" w:lineRule="auto"/>
        <w:jc w:val="both"/>
        <w:rPr>
          <w:rFonts w:ascii="Book Antiqua" w:hAnsi="Book Antiqua" w:cs="Times New Roman"/>
          <w:sz w:val="24"/>
          <w:szCs w:val="24"/>
        </w:rPr>
      </w:pPr>
      <w:r w:rsidRPr="00365E42">
        <w:rPr>
          <w:rFonts w:ascii="Book Antiqua" w:hAnsi="Book Antiqua" w:cs="Times New Roman"/>
          <w:sz w:val="24"/>
          <w:szCs w:val="24"/>
        </w:rPr>
        <w:t>Se tiene que la razón de congestión para el 2019 es la segunda más alta registrada para el periodo 2015-2019</w:t>
      </w:r>
      <w:r w:rsidR="001735A6" w:rsidRPr="00365E42">
        <w:rPr>
          <w:rFonts w:ascii="Book Antiqua" w:hAnsi="Book Antiqua" w:cs="Times New Roman"/>
          <w:sz w:val="24"/>
          <w:szCs w:val="24"/>
        </w:rPr>
        <w:t xml:space="preserve">, siendo que, a pesar de esta situación, la disminución en relación con un año antes </w:t>
      </w:r>
      <w:r w:rsidR="00E139F4" w:rsidRPr="00365E42">
        <w:rPr>
          <w:rFonts w:ascii="Book Antiqua" w:hAnsi="Book Antiqua" w:cs="Times New Roman"/>
          <w:sz w:val="24"/>
          <w:szCs w:val="24"/>
        </w:rPr>
        <w:t>determina</w:t>
      </w:r>
      <w:r w:rsidRPr="00365E42">
        <w:rPr>
          <w:rFonts w:ascii="Book Antiqua" w:hAnsi="Book Antiqua" w:cs="Times New Roman"/>
          <w:sz w:val="24"/>
          <w:szCs w:val="24"/>
        </w:rPr>
        <w:t xml:space="preserve"> una mejora en el manejo de los procesos </w:t>
      </w:r>
      <w:r w:rsidRPr="00365E42">
        <w:rPr>
          <w:rFonts w:ascii="Book Antiqua" w:hAnsi="Book Antiqua" w:cs="Times New Roman"/>
          <w:sz w:val="24"/>
          <w:szCs w:val="24"/>
        </w:rPr>
        <w:lastRenderedPageBreak/>
        <w:t xml:space="preserve">judiciales </w:t>
      </w:r>
      <w:r w:rsidR="001735A6" w:rsidRPr="00365E42">
        <w:rPr>
          <w:rFonts w:ascii="Book Antiqua" w:hAnsi="Book Antiqua" w:cs="Times New Roman"/>
          <w:sz w:val="24"/>
          <w:szCs w:val="24"/>
        </w:rPr>
        <w:t xml:space="preserve">llevados a cabo por las fiscalías </w:t>
      </w:r>
      <w:r w:rsidR="004B32C4" w:rsidRPr="00365E42">
        <w:rPr>
          <w:rFonts w:ascii="Book Antiqua" w:hAnsi="Book Antiqua" w:cs="Times New Roman"/>
          <w:sz w:val="24"/>
          <w:szCs w:val="24"/>
        </w:rPr>
        <w:t xml:space="preserve">penales </w:t>
      </w:r>
      <w:r w:rsidR="001735A6" w:rsidRPr="00365E42">
        <w:rPr>
          <w:rFonts w:ascii="Book Antiqua" w:hAnsi="Book Antiqua" w:cs="Times New Roman"/>
          <w:sz w:val="24"/>
          <w:szCs w:val="24"/>
        </w:rPr>
        <w:t xml:space="preserve">a nivel nacional, y que se </w:t>
      </w:r>
      <w:r w:rsidR="00E139F4" w:rsidRPr="00365E42">
        <w:rPr>
          <w:rFonts w:ascii="Book Antiqua" w:hAnsi="Book Antiqua" w:cs="Times New Roman"/>
          <w:sz w:val="24"/>
          <w:szCs w:val="24"/>
        </w:rPr>
        <w:t>refleja</w:t>
      </w:r>
      <w:r w:rsidR="001735A6" w:rsidRPr="00365E42">
        <w:rPr>
          <w:rFonts w:ascii="Book Antiqua" w:hAnsi="Book Antiqua" w:cs="Times New Roman"/>
          <w:sz w:val="24"/>
          <w:szCs w:val="24"/>
        </w:rPr>
        <w:t xml:space="preserve"> principalmente por un incremento sustancial de las causas terminadas y que sobrepasa a la cantidad de casos entrados nuevos. A</w:t>
      </w:r>
      <w:r w:rsidRPr="00365E42">
        <w:rPr>
          <w:rFonts w:ascii="Book Antiqua" w:hAnsi="Book Antiqua" w:cs="Times New Roman"/>
          <w:sz w:val="24"/>
          <w:szCs w:val="24"/>
        </w:rPr>
        <w:t xml:space="preserve"> modo interpretativo del indicador</w:t>
      </w:r>
      <w:r w:rsidR="004B32C4" w:rsidRPr="00365E42">
        <w:rPr>
          <w:rFonts w:ascii="Book Antiqua" w:hAnsi="Book Antiqua" w:cs="Times New Roman"/>
          <w:sz w:val="24"/>
          <w:szCs w:val="24"/>
        </w:rPr>
        <w:t>,</w:t>
      </w:r>
      <w:r w:rsidRPr="00365E42">
        <w:rPr>
          <w:rFonts w:ascii="Book Antiqua" w:hAnsi="Book Antiqua" w:cs="Times New Roman"/>
          <w:sz w:val="24"/>
          <w:szCs w:val="24"/>
        </w:rPr>
        <w:t xml:space="preserve"> </w:t>
      </w:r>
      <w:r w:rsidR="009318A9" w:rsidRPr="00365E42">
        <w:rPr>
          <w:rFonts w:ascii="Book Antiqua" w:hAnsi="Book Antiqua" w:cs="Times New Roman"/>
          <w:sz w:val="24"/>
          <w:szCs w:val="24"/>
        </w:rPr>
        <w:t xml:space="preserve">se establece que </w:t>
      </w:r>
      <w:r w:rsidRPr="00365E42">
        <w:rPr>
          <w:rFonts w:ascii="Book Antiqua" w:hAnsi="Book Antiqua" w:cs="Times New Roman"/>
          <w:sz w:val="24"/>
          <w:szCs w:val="24"/>
        </w:rPr>
        <w:t>serían necesarios 1.3</w:t>
      </w:r>
      <w:r w:rsidR="009318A9" w:rsidRPr="00365E42">
        <w:rPr>
          <w:rFonts w:ascii="Book Antiqua" w:hAnsi="Book Antiqua" w:cs="Times New Roman"/>
          <w:sz w:val="24"/>
          <w:szCs w:val="24"/>
        </w:rPr>
        <w:t>3</w:t>
      </w:r>
      <w:r w:rsidRPr="00365E42">
        <w:rPr>
          <w:rFonts w:ascii="Book Antiqua" w:hAnsi="Book Antiqua" w:cs="Times New Roman"/>
          <w:sz w:val="24"/>
          <w:szCs w:val="24"/>
        </w:rPr>
        <w:t xml:space="preserve"> casos a terminar de más por cada asunto terminado (o un 3</w:t>
      </w:r>
      <w:r w:rsidR="009318A9" w:rsidRPr="00365E42">
        <w:rPr>
          <w:rFonts w:ascii="Book Antiqua" w:hAnsi="Book Antiqua" w:cs="Times New Roman"/>
          <w:sz w:val="24"/>
          <w:szCs w:val="24"/>
        </w:rPr>
        <w:t>3</w:t>
      </w:r>
      <w:r w:rsidRPr="00365E42">
        <w:rPr>
          <w:rFonts w:ascii="Book Antiqua" w:hAnsi="Book Antiqua" w:cs="Times New Roman"/>
          <w:sz w:val="24"/>
          <w:szCs w:val="24"/>
        </w:rPr>
        <w:t>% más) para haber logrado un circulante final para el año 2019 cercano a cero o nulo (no existan procesos activos), dado que produciría una igualdad entre la carga de trabajo y la cantidad de casos terminados.</w:t>
      </w:r>
    </w:p>
    <w:p w14:paraId="1B6D0863" w14:textId="7C3A96D6" w:rsidR="00624F59" w:rsidRPr="00365E42" w:rsidRDefault="00503661" w:rsidP="009318A9">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Si análogamente se definiera una notación porcentual para este valor, es decir </w:t>
      </w:r>
      <m:oMath>
        <m:d>
          <m:dPr>
            <m:ctrlPr>
              <w:rPr>
                <w:rFonts w:ascii="Cambria Math" w:hAnsi="Cambria Math"/>
                <w:i/>
              </w:rPr>
            </m:ctrlPr>
          </m:dPr>
          <m:e>
            <m:f>
              <m:fPr>
                <m:ctrlPr>
                  <w:rPr>
                    <w:rFonts w:ascii="Cambria Math" w:hAnsi="Cambria Math"/>
                    <w:i/>
                  </w:rPr>
                </m:ctrlPr>
              </m:fPr>
              <m:num>
                <m:r>
                  <w:rPr>
                    <w:rFonts w:ascii="Cambria Math" w:hAnsi="Cambria Math"/>
                  </w:rPr>
                  <m:t>133</m:t>
                </m:r>
              </m:num>
              <m:den>
                <m:r>
                  <w:rPr>
                    <w:rFonts w:ascii="Cambria Math" w:hAnsi="Cambria Math"/>
                  </w:rPr>
                  <m:t>100</m:t>
                </m:r>
              </m:den>
            </m:f>
          </m:e>
        </m:d>
      </m:oMath>
      <w:r w:rsidRPr="00365E42">
        <w:rPr>
          <w:rFonts w:ascii="Book Antiqua" w:hAnsi="Book Antiqua" w:cs="Times New Roman"/>
          <w:sz w:val="24"/>
          <w:szCs w:val="24"/>
        </w:rPr>
        <w:t>, otro enfoque de interpretación sería que para el 2019 por cada 13</w:t>
      </w:r>
      <w:r w:rsidR="009318A9" w:rsidRPr="00365E42">
        <w:rPr>
          <w:rFonts w:ascii="Book Antiqua" w:hAnsi="Book Antiqua" w:cs="Times New Roman"/>
          <w:sz w:val="24"/>
          <w:szCs w:val="24"/>
        </w:rPr>
        <w:t>3</w:t>
      </w:r>
      <w:r w:rsidRPr="00365E42">
        <w:rPr>
          <w:rFonts w:ascii="Book Antiqua" w:hAnsi="Book Antiqua" w:cs="Times New Roman"/>
          <w:sz w:val="24"/>
          <w:szCs w:val="24"/>
        </w:rPr>
        <w:t xml:space="preserve"> procesos que conformaron la carga de trabajo en </w:t>
      </w:r>
      <w:r w:rsidR="009318A9" w:rsidRPr="00365E42">
        <w:rPr>
          <w:rFonts w:ascii="Book Antiqua" w:hAnsi="Book Antiqua" w:cs="Times New Roman"/>
          <w:sz w:val="24"/>
          <w:szCs w:val="24"/>
        </w:rPr>
        <w:t>fiscalías penales</w:t>
      </w:r>
      <w:r w:rsidRPr="00365E42">
        <w:rPr>
          <w:rFonts w:ascii="Book Antiqua" w:hAnsi="Book Antiqua" w:cs="Times New Roman"/>
          <w:sz w:val="24"/>
          <w:szCs w:val="24"/>
        </w:rPr>
        <w:t xml:space="preserve"> a nivel nacional, 100 llegaron a un finiquito.</w:t>
      </w:r>
    </w:p>
    <w:p w14:paraId="183A63C6" w14:textId="1F28AA36" w:rsidR="00A17FDF" w:rsidRPr="00365E42" w:rsidRDefault="00A17FDF" w:rsidP="00A17FDF">
      <w:pPr>
        <w:spacing w:line="360" w:lineRule="auto"/>
        <w:jc w:val="both"/>
        <w:rPr>
          <w:rFonts w:ascii="Book Antiqua" w:hAnsi="Book Antiqua" w:cs="Times New Roman"/>
          <w:sz w:val="24"/>
          <w:szCs w:val="24"/>
        </w:rPr>
      </w:pPr>
      <w:r w:rsidRPr="00365E42">
        <w:rPr>
          <w:rFonts w:ascii="Book Antiqua" w:hAnsi="Book Antiqua" w:cs="Times New Roman"/>
          <w:sz w:val="24"/>
          <w:szCs w:val="24"/>
        </w:rPr>
        <w:t>Las tasas de pendencia y resolución al ser calculadas con una base de 100, y poseer entre ellas un comportamiento inverso, es decir, si una crece la otra decrece, el valor máximo que podrían alcanzar será 100. Esto queda en evidencia por medio del Grafico 1 donde se pueden observar tanto las características de dirección como de complementariedad de las magnitudes (es decir, ambas suman 100) para los registros desde el año 2015:</w:t>
      </w:r>
    </w:p>
    <w:p w14:paraId="19BE4509" w14:textId="39EBE1B6" w:rsidR="00DB1777" w:rsidRPr="00365E42" w:rsidRDefault="00C42565" w:rsidP="00F67896">
      <w:pPr>
        <w:jc w:val="both"/>
        <w:rPr>
          <w:rFonts w:ascii="Book Antiqua" w:hAnsi="Book Antiqua" w:cs="Times New Roman"/>
          <w:b/>
          <w:bCs/>
          <w:sz w:val="24"/>
          <w:szCs w:val="24"/>
        </w:rPr>
      </w:pPr>
      <w:r w:rsidRPr="00365E42">
        <w:rPr>
          <w:rFonts w:ascii="Book Antiqua" w:hAnsi="Book Antiqua"/>
          <w:noProof/>
        </w:rPr>
        <w:lastRenderedPageBreak/>
        <w:drawing>
          <wp:inline distT="0" distB="0" distL="0" distR="0" wp14:anchorId="343FE4D1" wp14:editId="2867AE94">
            <wp:extent cx="5612130" cy="2990850"/>
            <wp:effectExtent l="0" t="0" r="7620" b="0"/>
            <wp:docPr id="1" name="Gráfico 1">
              <a:extLst xmlns:a="http://schemas.openxmlformats.org/drawingml/2006/main">
                <a:ext uri="{FF2B5EF4-FFF2-40B4-BE49-F238E27FC236}">
                  <a16:creationId xmlns:a16="http://schemas.microsoft.com/office/drawing/2014/main" id="{33BCD736-9196-4FF5-AAD4-0BBBCAF81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93EC7E7" w14:textId="090A1B06" w:rsidR="00DB1777" w:rsidRPr="00365E42" w:rsidRDefault="00DB1777" w:rsidP="00732BA3">
      <w:pPr>
        <w:spacing w:line="360" w:lineRule="auto"/>
        <w:jc w:val="both"/>
        <w:rPr>
          <w:rFonts w:ascii="Book Antiqua" w:hAnsi="Book Antiqua" w:cs="Times New Roman"/>
          <w:sz w:val="24"/>
          <w:szCs w:val="24"/>
        </w:rPr>
      </w:pPr>
      <w:r w:rsidRPr="00365E42">
        <w:rPr>
          <w:rFonts w:ascii="Book Antiqua" w:hAnsi="Book Antiqua" w:cs="Times New Roman"/>
          <w:sz w:val="24"/>
          <w:szCs w:val="24"/>
        </w:rPr>
        <w:t>Queda en evidencia que</w:t>
      </w:r>
      <w:r w:rsidR="00732BA3" w:rsidRPr="00365E42">
        <w:rPr>
          <w:rFonts w:ascii="Book Antiqua" w:hAnsi="Book Antiqua" w:cs="Times New Roman"/>
          <w:sz w:val="24"/>
          <w:szCs w:val="24"/>
        </w:rPr>
        <w:t xml:space="preserve"> con </w:t>
      </w:r>
      <w:r w:rsidRPr="00365E42">
        <w:rPr>
          <w:rFonts w:ascii="Book Antiqua" w:hAnsi="Book Antiqua" w:cs="Times New Roman"/>
          <w:sz w:val="24"/>
          <w:szCs w:val="24"/>
        </w:rPr>
        <w:t xml:space="preserve">el comportamiento </w:t>
      </w:r>
      <w:r w:rsidR="00732BA3" w:rsidRPr="00365E42">
        <w:rPr>
          <w:rFonts w:ascii="Book Antiqua" w:hAnsi="Book Antiqua" w:cs="Times New Roman"/>
          <w:sz w:val="24"/>
          <w:szCs w:val="24"/>
        </w:rPr>
        <w:t>reportado durante el</w:t>
      </w:r>
      <w:r w:rsidRPr="00365E42">
        <w:rPr>
          <w:rFonts w:ascii="Book Antiqua" w:hAnsi="Book Antiqua" w:cs="Times New Roman"/>
          <w:sz w:val="24"/>
          <w:szCs w:val="24"/>
        </w:rPr>
        <w:t xml:space="preserve"> año 2019 y que fue igualmente comentado para el correspondiente a la razón de congestión, afecta de la misma manera el comportamiento </w:t>
      </w:r>
      <w:r w:rsidR="00732BA3" w:rsidRPr="00365E42">
        <w:rPr>
          <w:rFonts w:ascii="Book Antiqua" w:hAnsi="Book Antiqua" w:cs="Times New Roman"/>
          <w:sz w:val="24"/>
          <w:szCs w:val="24"/>
        </w:rPr>
        <w:t>de la tasa de pendencia y de resolución, siendo que para ambas se reestablece el comportamiento que se consideraría como el deseado, donde la primera disminuya y la segunda se incremente.</w:t>
      </w:r>
    </w:p>
    <w:p w14:paraId="19B08216" w14:textId="38FC50BB" w:rsidR="00DE315A" w:rsidRDefault="00732BA3" w:rsidP="00DE315A">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En términos concretos se tiene que, por cada 100 procesos llevados a cabo por </w:t>
      </w:r>
      <w:r w:rsidR="00A9263E" w:rsidRPr="00365E42">
        <w:rPr>
          <w:rFonts w:ascii="Book Antiqua" w:hAnsi="Book Antiqua" w:cs="Times New Roman"/>
          <w:sz w:val="24"/>
          <w:szCs w:val="24"/>
        </w:rPr>
        <w:t>las fiscalías penales a nivel nacional</w:t>
      </w:r>
      <w:r w:rsidRPr="00365E42">
        <w:rPr>
          <w:rFonts w:ascii="Book Antiqua" w:hAnsi="Book Antiqua" w:cs="Times New Roman"/>
          <w:sz w:val="24"/>
          <w:szCs w:val="24"/>
        </w:rPr>
        <w:t xml:space="preserve"> para el 2019, 7</w:t>
      </w:r>
      <w:r w:rsidR="00A9263E" w:rsidRPr="00365E42">
        <w:rPr>
          <w:rFonts w:ascii="Book Antiqua" w:hAnsi="Book Antiqua" w:cs="Times New Roman"/>
          <w:sz w:val="24"/>
          <w:szCs w:val="24"/>
        </w:rPr>
        <w:t>5</w:t>
      </w:r>
      <w:r w:rsidRPr="00365E42">
        <w:rPr>
          <w:rFonts w:ascii="Book Antiqua" w:hAnsi="Book Antiqua" w:cs="Times New Roman"/>
          <w:sz w:val="24"/>
          <w:szCs w:val="24"/>
        </w:rPr>
        <w:t xml:space="preserve"> recibieron una resolución que terminaron la demanda mientras que 2</w:t>
      </w:r>
      <w:r w:rsidR="00A9263E" w:rsidRPr="00365E42">
        <w:rPr>
          <w:rFonts w:ascii="Book Antiqua" w:hAnsi="Book Antiqua" w:cs="Times New Roman"/>
          <w:sz w:val="24"/>
          <w:szCs w:val="24"/>
        </w:rPr>
        <w:t>5</w:t>
      </w:r>
      <w:r w:rsidRPr="00365E42">
        <w:rPr>
          <w:rFonts w:ascii="Book Antiqua" w:hAnsi="Book Antiqua" w:cs="Times New Roman"/>
          <w:sz w:val="24"/>
          <w:szCs w:val="24"/>
        </w:rPr>
        <w:t xml:space="preserve"> se mantienen activos.</w:t>
      </w:r>
    </w:p>
    <w:p w14:paraId="42B1E8A8" w14:textId="77777777" w:rsidR="00365E42" w:rsidRPr="00365E42" w:rsidRDefault="00365E42" w:rsidP="00DE315A">
      <w:pPr>
        <w:spacing w:line="360" w:lineRule="auto"/>
        <w:jc w:val="both"/>
        <w:rPr>
          <w:rFonts w:ascii="Book Antiqua" w:hAnsi="Book Antiqua" w:cs="Times New Roman"/>
          <w:sz w:val="24"/>
          <w:szCs w:val="24"/>
        </w:rPr>
      </w:pPr>
    </w:p>
    <w:p w14:paraId="7921E419" w14:textId="0D3EF433" w:rsidR="00F67896" w:rsidRPr="00365E42" w:rsidRDefault="00F67896" w:rsidP="00DE315A">
      <w:pPr>
        <w:pStyle w:val="Prrafodelista"/>
        <w:numPr>
          <w:ilvl w:val="0"/>
          <w:numId w:val="1"/>
        </w:numPr>
        <w:jc w:val="both"/>
        <w:outlineLvl w:val="0"/>
        <w:rPr>
          <w:rFonts w:ascii="Book Antiqua" w:hAnsi="Book Antiqua" w:cs="Times New Roman"/>
          <w:b/>
          <w:bCs/>
          <w:sz w:val="24"/>
          <w:szCs w:val="24"/>
        </w:rPr>
      </w:pPr>
      <w:bookmarkStart w:id="3" w:name="_Toc46389673"/>
      <w:r w:rsidRPr="00365E42">
        <w:rPr>
          <w:rFonts w:ascii="Book Antiqua" w:hAnsi="Book Antiqua" w:cs="Times New Roman"/>
          <w:b/>
          <w:bCs/>
          <w:sz w:val="24"/>
          <w:szCs w:val="24"/>
        </w:rPr>
        <w:t>CASOS ENTRADOS Y ENTRADA NETA</w:t>
      </w:r>
      <w:bookmarkEnd w:id="3"/>
    </w:p>
    <w:p w14:paraId="7C8F8E19" w14:textId="25BAC67B" w:rsidR="00473334" w:rsidRPr="00365E42" w:rsidRDefault="00473334" w:rsidP="00F6317F">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Para esta variable se determina </w:t>
      </w:r>
      <w:r w:rsidR="00F6317F" w:rsidRPr="00365E42">
        <w:rPr>
          <w:rFonts w:ascii="Book Antiqua" w:hAnsi="Book Antiqua" w:cs="Times New Roman"/>
          <w:sz w:val="24"/>
          <w:szCs w:val="24"/>
        </w:rPr>
        <w:t>que,</w:t>
      </w:r>
      <w:r w:rsidRPr="00365E42">
        <w:rPr>
          <w:rFonts w:ascii="Book Antiqua" w:hAnsi="Book Antiqua" w:cs="Times New Roman"/>
          <w:sz w:val="24"/>
          <w:szCs w:val="24"/>
        </w:rPr>
        <w:t xml:space="preserve"> a excepción del año 2016, el comportamiento podría catalogarse como estricto creciente, presentando este en promedio aumentos anuales del 5,61% (10.067 casos)</w:t>
      </w:r>
      <w:r w:rsidR="00F6317F" w:rsidRPr="00365E42">
        <w:rPr>
          <w:rFonts w:ascii="Book Antiqua" w:hAnsi="Book Antiqua" w:cs="Times New Roman"/>
          <w:sz w:val="24"/>
          <w:szCs w:val="24"/>
        </w:rPr>
        <w:t xml:space="preserve"> y alcanzado para </w:t>
      </w:r>
      <w:r w:rsidR="003515EA" w:rsidRPr="00365E42">
        <w:rPr>
          <w:rFonts w:ascii="Book Antiqua" w:hAnsi="Book Antiqua" w:cs="Times New Roman"/>
          <w:sz w:val="24"/>
          <w:szCs w:val="24"/>
        </w:rPr>
        <w:t>el</w:t>
      </w:r>
      <w:r w:rsidR="00F6317F" w:rsidRPr="00365E42">
        <w:rPr>
          <w:rFonts w:ascii="Book Antiqua" w:hAnsi="Book Antiqua" w:cs="Times New Roman"/>
          <w:sz w:val="24"/>
          <w:szCs w:val="24"/>
        </w:rPr>
        <w:t xml:space="preserve"> 2019, la mayor cantidad de causas ingresadas a las fiscalías penales a nivel nacional del periodo bajo estudio.</w:t>
      </w:r>
    </w:p>
    <w:p w14:paraId="2029A815" w14:textId="6D84BA97" w:rsidR="00F67896" w:rsidRPr="00365E42" w:rsidRDefault="00473334" w:rsidP="00F6317F">
      <w:pPr>
        <w:rPr>
          <w:rFonts w:ascii="Book Antiqua" w:hAnsi="Book Antiqua" w:cs="Times New Roman"/>
          <w:b/>
          <w:bCs/>
          <w:sz w:val="24"/>
          <w:szCs w:val="24"/>
        </w:rPr>
      </w:pPr>
      <w:r w:rsidRPr="00365E42">
        <w:rPr>
          <w:rFonts w:ascii="Book Antiqua" w:hAnsi="Book Antiqua"/>
          <w:noProof/>
        </w:rPr>
        <w:lastRenderedPageBreak/>
        <w:drawing>
          <wp:inline distT="0" distB="0" distL="0" distR="0" wp14:anchorId="5CCCDC32" wp14:editId="34291B86">
            <wp:extent cx="5612130" cy="3152775"/>
            <wp:effectExtent l="0" t="0" r="7620" b="9525"/>
            <wp:docPr id="2" name="Gráfico 2">
              <a:extLst xmlns:a="http://schemas.openxmlformats.org/drawingml/2006/main">
                <a:ext uri="{FF2B5EF4-FFF2-40B4-BE49-F238E27FC236}">
                  <a16:creationId xmlns:a16="http://schemas.microsoft.com/office/drawing/2014/main" id="{82983D66-4A96-4F61-933C-11D5B5B6A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AE0185" w14:textId="7BEB1943" w:rsidR="00B25A2F" w:rsidRPr="00365E42" w:rsidRDefault="00F6317F" w:rsidP="00F6317F">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Por otro lado, </w:t>
      </w:r>
      <w:r w:rsidR="00950A0E" w:rsidRPr="00365E42">
        <w:rPr>
          <w:rFonts w:ascii="Book Antiqua" w:hAnsi="Book Antiqua" w:cs="Times New Roman"/>
          <w:sz w:val="24"/>
          <w:szCs w:val="24"/>
        </w:rPr>
        <w:t xml:space="preserve">mediante el Gráfico 2 </w:t>
      </w:r>
      <w:r w:rsidR="00866C4C" w:rsidRPr="00365E42">
        <w:rPr>
          <w:rFonts w:ascii="Book Antiqua" w:hAnsi="Book Antiqua" w:cs="Times New Roman"/>
          <w:sz w:val="24"/>
          <w:szCs w:val="24"/>
        </w:rPr>
        <w:t xml:space="preserve">también </w:t>
      </w:r>
      <w:r w:rsidRPr="00365E42">
        <w:rPr>
          <w:rFonts w:ascii="Book Antiqua" w:hAnsi="Book Antiqua" w:cs="Times New Roman"/>
          <w:sz w:val="24"/>
          <w:szCs w:val="24"/>
        </w:rPr>
        <w:t>queda en evidencia que la cantidad de incompetencias</w:t>
      </w:r>
      <w:r w:rsidRPr="00365E42">
        <w:rPr>
          <w:rStyle w:val="Refdenotaalpie"/>
          <w:rFonts w:ascii="Book Antiqua" w:hAnsi="Book Antiqua" w:cs="Times New Roman"/>
          <w:sz w:val="24"/>
          <w:szCs w:val="24"/>
        </w:rPr>
        <w:footnoteReference w:id="1"/>
      </w:r>
      <w:r w:rsidRPr="00365E42">
        <w:rPr>
          <w:rFonts w:ascii="Book Antiqua" w:hAnsi="Book Antiqua" w:cs="Times New Roman"/>
          <w:sz w:val="24"/>
          <w:szCs w:val="24"/>
        </w:rPr>
        <w:t xml:space="preserve"> registradas a nivel general se han mantenido en cierta forma constantes en cuanto a magnitud, permitiendo a los casos entrados netos seguir un comportamiento casi “espejo” pero en menor magnitud en relación con los casos entrados totales, siendo las incompetencias en promedio </w:t>
      </w:r>
      <w:r w:rsidR="001133D0" w:rsidRPr="00365E42">
        <w:rPr>
          <w:rFonts w:ascii="Book Antiqua" w:hAnsi="Book Antiqua" w:cs="Times New Roman"/>
          <w:sz w:val="24"/>
          <w:szCs w:val="24"/>
        </w:rPr>
        <w:t>d</w:t>
      </w:r>
      <w:r w:rsidRPr="00365E42">
        <w:rPr>
          <w:rFonts w:ascii="Book Antiqua" w:hAnsi="Book Antiqua" w:cs="Times New Roman"/>
          <w:sz w:val="24"/>
          <w:szCs w:val="24"/>
        </w:rPr>
        <w:t>el 5,78% (10.451 casos) de las causas totales ingresadas durante el periodo abordado.</w:t>
      </w:r>
    </w:p>
    <w:p w14:paraId="491DB22F" w14:textId="6953F627" w:rsidR="00C13DEE" w:rsidRPr="00365E42" w:rsidRDefault="00C13DEE" w:rsidP="00F6317F">
      <w:pPr>
        <w:spacing w:line="360" w:lineRule="auto"/>
        <w:jc w:val="both"/>
        <w:rPr>
          <w:rFonts w:ascii="Book Antiqua" w:hAnsi="Book Antiqua" w:cs="Times New Roman"/>
          <w:sz w:val="24"/>
          <w:szCs w:val="24"/>
        </w:rPr>
      </w:pPr>
      <w:r w:rsidRPr="00365E42">
        <w:rPr>
          <w:rFonts w:ascii="Book Antiqua" w:hAnsi="Book Antiqua" w:cs="Times New Roman"/>
          <w:sz w:val="24"/>
          <w:szCs w:val="24"/>
        </w:rPr>
        <w:t>En relación con el tipo de delito ingresado a las fiscalías penales, en el siguiente gráfico se muestra la distribución neta</w:t>
      </w:r>
      <w:r w:rsidR="00F72055" w:rsidRPr="00365E42">
        <w:rPr>
          <w:rFonts w:ascii="Book Antiqua" w:hAnsi="Book Antiqua" w:cs="Times New Roman"/>
          <w:sz w:val="24"/>
          <w:szCs w:val="24"/>
        </w:rPr>
        <w:t xml:space="preserve"> </w:t>
      </w:r>
      <w:r w:rsidRPr="00365E42">
        <w:rPr>
          <w:rFonts w:ascii="Book Antiqua" w:hAnsi="Book Antiqua" w:cs="Times New Roman"/>
          <w:sz w:val="24"/>
          <w:szCs w:val="24"/>
        </w:rPr>
        <w:t>de la totalidad de las causas denunciadas:</w:t>
      </w:r>
    </w:p>
    <w:p w14:paraId="757F8F57" w14:textId="2F1CDFA3" w:rsidR="00F72055" w:rsidRPr="00365E42" w:rsidRDefault="00226069" w:rsidP="00F6317F">
      <w:pPr>
        <w:spacing w:line="360" w:lineRule="auto"/>
        <w:jc w:val="both"/>
        <w:rPr>
          <w:rFonts w:ascii="Book Antiqua" w:hAnsi="Book Antiqua" w:cs="Times New Roman"/>
          <w:sz w:val="24"/>
          <w:szCs w:val="24"/>
        </w:rPr>
      </w:pPr>
      <w:r w:rsidRPr="00365E42">
        <w:rPr>
          <w:rFonts w:ascii="Book Antiqua" w:hAnsi="Book Antiqua"/>
          <w:noProof/>
        </w:rPr>
        <w:lastRenderedPageBreak/>
        <w:drawing>
          <wp:inline distT="0" distB="0" distL="0" distR="0" wp14:anchorId="01BC3202" wp14:editId="396A748D">
            <wp:extent cx="5612130" cy="3771900"/>
            <wp:effectExtent l="0" t="0" r="7620" b="0"/>
            <wp:docPr id="4" name="Gráfico 4">
              <a:extLst xmlns:a="http://schemas.openxmlformats.org/drawingml/2006/main">
                <a:ext uri="{FF2B5EF4-FFF2-40B4-BE49-F238E27FC236}">
                  <a16:creationId xmlns:a16="http://schemas.microsoft.com/office/drawing/2014/main" id="{F94B719C-EAFB-40DD-A377-2E5CBD90E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4C8C5E" w14:textId="39FB8A6E" w:rsidR="00751A33" w:rsidRPr="00365E42" w:rsidRDefault="00F47EB9" w:rsidP="008703F0">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La tendencia que se registra y como es la constante, ubica a los </w:t>
      </w:r>
      <w:r w:rsidRPr="00365E42">
        <w:rPr>
          <w:rFonts w:ascii="Book Antiqua" w:hAnsi="Book Antiqua" w:cs="Times New Roman"/>
          <w:i/>
          <w:iCs/>
          <w:sz w:val="24"/>
          <w:szCs w:val="24"/>
        </w:rPr>
        <w:t>Delitos contra la Propiedad</w:t>
      </w:r>
      <w:r w:rsidRPr="00365E42">
        <w:rPr>
          <w:rFonts w:ascii="Book Antiqua" w:hAnsi="Book Antiqua" w:cs="Times New Roman"/>
          <w:sz w:val="24"/>
          <w:szCs w:val="24"/>
        </w:rPr>
        <w:t xml:space="preserve"> en el primer lugar, siendo que representan </w:t>
      </w:r>
      <w:r w:rsidR="008703F0" w:rsidRPr="00365E42">
        <w:rPr>
          <w:rFonts w:ascii="Book Antiqua" w:hAnsi="Book Antiqua" w:cs="Times New Roman"/>
          <w:sz w:val="24"/>
          <w:szCs w:val="24"/>
        </w:rPr>
        <w:t xml:space="preserve">para el 2019 </w:t>
      </w:r>
      <w:r w:rsidRPr="00365E42">
        <w:rPr>
          <w:rFonts w:ascii="Book Antiqua" w:hAnsi="Book Antiqua" w:cs="Times New Roman"/>
          <w:sz w:val="24"/>
          <w:szCs w:val="24"/>
        </w:rPr>
        <w:t>el 47% de la totalidad de delitos cometidos</w:t>
      </w:r>
      <w:r w:rsidR="00E84BAC" w:rsidRPr="00365E42">
        <w:rPr>
          <w:rFonts w:ascii="Book Antiqua" w:hAnsi="Book Antiqua" w:cs="Times New Roman"/>
          <w:sz w:val="24"/>
          <w:szCs w:val="24"/>
        </w:rPr>
        <w:t xml:space="preserve"> y denunciados</w:t>
      </w:r>
      <w:r w:rsidRPr="00365E42">
        <w:rPr>
          <w:rFonts w:ascii="Book Antiqua" w:hAnsi="Book Antiqua" w:cs="Times New Roman"/>
          <w:sz w:val="24"/>
          <w:szCs w:val="24"/>
        </w:rPr>
        <w:t xml:space="preserve"> por título del Código Penal, seguido de </w:t>
      </w:r>
      <w:r w:rsidRPr="00365E42">
        <w:rPr>
          <w:rFonts w:ascii="Book Antiqua" w:hAnsi="Book Antiqua" w:cs="Times New Roman"/>
          <w:i/>
          <w:iCs/>
          <w:sz w:val="24"/>
          <w:szCs w:val="24"/>
        </w:rPr>
        <w:t xml:space="preserve">Infracción </w:t>
      </w:r>
      <w:r w:rsidR="0076409C" w:rsidRPr="00365E42">
        <w:rPr>
          <w:rFonts w:ascii="Book Antiqua" w:hAnsi="Book Antiqua" w:cs="Times New Roman"/>
          <w:i/>
          <w:iCs/>
          <w:sz w:val="24"/>
          <w:szCs w:val="24"/>
        </w:rPr>
        <w:t xml:space="preserve">Ley de Penalización de Violencia contra la Mujer </w:t>
      </w:r>
      <w:r w:rsidR="0076409C" w:rsidRPr="00365E42">
        <w:rPr>
          <w:rFonts w:ascii="Book Antiqua" w:hAnsi="Book Antiqua" w:cs="Times New Roman"/>
          <w:sz w:val="24"/>
          <w:szCs w:val="24"/>
        </w:rPr>
        <w:t>c</w:t>
      </w:r>
      <w:r w:rsidR="00E3753C" w:rsidRPr="00365E42">
        <w:rPr>
          <w:rFonts w:ascii="Book Antiqua" w:hAnsi="Book Antiqua" w:cs="Times New Roman"/>
          <w:sz w:val="24"/>
          <w:szCs w:val="24"/>
        </w:rPr>
        <w:t xml:space="preserve">on un 10,66% y </w:t>
      </w:r>
      <w:r w:rsidR="00E3753C" w:rsidRPr="00365E42">
        <w:rPr>
          <w:rFonts w:ascii="Book Antiqua" w:hAnsi="Book Antiqua" w:cs="Times New Roman"/>
          <w:i/>
          <w:iCs/>
          <w:sz w:val="24"/>
          <w:szCs w:val="24"/>
        </w:rPr>
        <w:t>Contra la Vida</w:t>
      </w:r>
      <w:r w:rsidR="00E3753C" w:rsidRPr="00365E42">
        <w:rPr>
          <w:rFonts w:ascii="Book Antiqua" w:hAnsi="Book Antiqua" w:cs="Times New Roman"/>
          <w:sz w:val="24"/>
          <w:szCs w:val="24"/>
        </w:rPr>
        <w:t xml:space="preserve"> con un 9,49% </w:t>
      </w:r>
      <w:r w:rsidR="008166B5" w:rsidRPr="00365E42">
        <w:rPr>
          <w:rFonts w:ascii="Book Antiqua" w:hAnsi="Book Antiqua" w:cs="Times New Roman"/>
          <w:sz w:val="24"/>
          <w:szCs w:val="24"/>
        </w:rPr>
        <w:t xml:space="preserve">registrando estos tres títulos como queda en evidencia, </w:t>
      </w:r>
      <w:r w:rsidR="00DF0E0C" w:rsidRPr="00365E42">
        <w:rPr>
          <w:rFonts w:ascii="Book Antiqua" w:hAnsi="Book Antiqua" w:cs="Times New Roman"/>
          <w:sz w:val="24"/>
          <w:szCs w:val="24"/>
        </w:rPr>
        <w:t xml:space="preserve">un 67,14% (133.039 casos) </w:t>
      </w:r>
      <w:r w:rsidR="007923D4" w:rsidRPr="00365E42">
        <w:rPr>
          <w:rFonts w:ascii="Book Antiqua" w:hAnsi="Book Antiqua" w:cs="Times New Roman"/>
          <w:sz w:val="24"/>
          <w:szCs w:val="24"/>
        </w:rPr>
        <w:t xml:space="preserve">en la relación con </w:t>
      </w:r>
      <w:r w:rsidR="00313C03" w:rsidRPr="00365E42">
        <w:rPr>
          <w:rFonts w:ascii="Book Antiqua" w:hAnsi="Book Antiqua" w:cs="Times New Roman"/>
          <w:sz w:val="24"/>
          <w:szCs w:val="24"/>
        </w:rPr>
        <w:t>la totalidad</w:t>
      </w:r>
      <w:r w:rsidR="008703F0" w:rsidRPr="00365E42">
        <w:rPr>
          <w:rFonts w:ascii="Book Antiqua" w:hAnsi="Book Antiqua" w:cs="Times New Roman"/>
          <w:sz w:val="24"/>
          <w:szCs w:val="24"/>
        </w:rPr>
        <w:t>.</w:t>
      </w:r>
      <w:r w:rsidR="00D0738D" w:rsidRPr="00365E42">
        <w:rPr>
          <w:rFonts w:ascii="Book Antiqua" w:hAnsi="Book Antiqua" w:cs="Times New Roman"/>
          <w:sz w:val="24"/>
          <w:szCs w:val="24"/>
        </w:rPr>
        <w:t xml:space="preserve"> </w:t>
      </w:r>
      <w:r w:rsidR="00751A33" w:rsidRPr="00365E42">
        <w:rPr>
          <w:rFonts w:ascii="Book Antiqua" w:hAnsi="Book Antiqua" w:cs="Times New Roman"/>
          <w:sz w:val="24"/>
          <w:szCs w:val="24"/>
        </w:rPr>
        <w:t xml:space="preserve">Queda en evidencia igualmente que, en comparación con un año antes los delitos </w:t>
      </w:r>
      <w:r w:rsidR="00751A33" w:rsidRPr="00365E42">
        <w:rPr>
          <w:rFonts w:ascii="Book Antiqua" w:hAnsi="Book Antiqua" w:cs="Times New Roman"/>
          <w:i/>
          <w:iCs/>
          <w:sz w:val="24"/>
          <w:szCs w:val="24"/>
        </w:rPr>
        <w:t>Contra la Propiedad</w:t>
      </w:r>
      <w:r w:rsidR="00751A33" w:rsidRPr="00365E42">
        <w:rPr>
          <w:rFonts w:ascii="Book Antiqua" w:hAnsi="Book Antiqua" w:cs="Times New Roman"/>
          <w:sz w:val="24"/>
          <w:szCs w:val="24"/>
        </w:rPr>
        <w:t xml:space="preserve"> reflejan un incremento del 19,53% (15.217 casos), mientras que para los metidos por </w:t>
      </w:r>
      <w:r w:rsidR="00751A33" w:rsidRPr="00365E42">
        <w:rPr>
          <w:rFonts w:ascii="Book Antiqua" w:hAnsi="Book Antiqua" w:cs="Times New Roman"/>
          <w:i/>
          <w:iCs/>
          <w:sz w:val="24"/>
          <w:szCs w:val="24"/>
        </w:rPr>
        <w:t xml:space="preserve">Infracción Ley de Penalización de Violencia contra la Mujer </w:t>
      </w:r>
      <w:r w:rsidR="00751A33" w:rsidRPr="00365E42">
        <w:rPr>
          <w:rFonts w:ascii="Book Antiqua" w:hAnsi="Book Antiqua" w:cs="Times New Roman"/>
          <w:sz w:val="24"/>
          <w:szCs w:val="24"/>
        </w:rPr>
        <w:t>este fue del 5,2</w:t>
      </w:r>
      <w:r w:rsidR="00DC4F69" w:rsidRPr="00365E42">
        <w:rPr>
          <w:rFonts w:ascii="Book Antiqua" w:hAnsi="Book Antiqua" w:cs="Times New Roman"/>
          <w:sz w:val="24"/>
          <w:szCs w:val="24"/>
        </w:rPr>
        <w:t>0</w:t>
      </w:r>
      <w:r w:rsidR="00751A33" w:rsidRPr="00365E42">
        <w:rPr>
          <w:rFonts w:ascii="Book Antiqua" w:hAnsi="Book Antiqua" w:cs="Times New Roman"/>
          <w:sz w:val="24"/>
          <w:szCs w:val="24"/>
        </w:rPr>
        <w:t>% (1.045 casos).</w:t>
      </w:r>
    </w:p>
    <w:p w14:paraId="1EA7DA78" w14:textId="033DC58C" w:rsidR="00D65357" w:rsidRPr="00365E42" w:rsidRDefault="00D218EB" w:rsidP="008703F0">
      <w:pPr>
        <w:spacing w:line="360" w:lineRule="auto"/>
        <w:jc w:val="both"/>
        <w:rPr>
          <w:rFonts w:ascii="Book Antiqua" w:hAnsi="Book Antiqua" w:cs="Times New Roman"/>
          <w:sz w:val="24"/>
          <w:szCs w:val="24"/>
        </w:rPr>
      </w:pPr>
      <w:r w:rsidRPr="00365E42">
        <w:rPr>
          <w:rFonts w:ascii="Book Antiqua" w:hAnsi="Book Antiqua" w:cs="Times New Roman"/>
          <w:sz w:val="24"/>
          <w:szCs w:val="24"/>
        </w:rPr>
        <w:t>En relación con la captación de casos según fiscalías</w:t>
      </w:r>
      <w:r w:rsidR="00396795" w:rsidRPr="00365E42">
        <w:rPr>
          <w:rFonts w:ascii="Book Antiqua" w:hAnsi="Book Antiqua" w:cs="Times New Roman"/>
          <w:sz w:val="24"/>
          <w:szCs w:val="24"/>
        </w:rPr>
        <w:t>, se tiene que</w:t>
      </w:r>
      <w:r w:rsidRPr="00365E42">
        <w:rPr>
          <w:rFonts w:ascii="Book Antiqua" w:hAnsi="Book Antiqua" w:cs="Times New Roman"/>
          <w:sz w:val="24"/>
          <w:szCs w:val="24"/>
        </w:rPr>
        <w:t xml:space="preserve"> a nivel nacional </w:t>
      </w:r>
      <w:r w:rsidR="00F44BF5" w:rsidRPr="00365E42">
        <w:rPr>
          <w:rFonts w:ascii="Book Antiqua" w:hAnsi="Book Antiqua" w:cs="Times New Roman"/>
          <w:sz w:val="24"/>
          <w:szCs w:val="24"/>
        </w:rPr>
        <w:t xml:space="preserve">la Adjunta de Segundo Circuito de San José </w:t>
      </w:r>
      <w:r w:rsidR="00E81F11" w:rsidRPr="00365E42">
        <w:rPr>
          <w:rFonts w:ascii="Book Antiqua" w:hAnsi="Book Antiqua" w:cs="Times New Roman"/>
          <w:sz w:val="24"/>
          <w:szCs w:val="24"/>
        </w:rPr>
        <w:t xml:space="preserve">es la que reporta los mayores ingresos para el bienio 2018-2019, y donde la variación porcentual </w:t>
      </w:r>
      <w:r w:rsidR="00413B7A" w:rsidRPr="00365E42">
        <w:rPr>
          <w:rFonts w:ascii="Book Antiqua" w:hAnsi="Book Antiqua" w:cs="Times New Roman"/>
          <w:sz w:val="24"/>
          <w:szCs w:val="24"/>
        </w:rPr>
        <w:t>representó el 5,92% (832 casos)</w:t>
      </w:r>
      <w:r w:rsidR="00160DC8" w:rsidRPr="00365E42">
        <w:rPr>
          <w:rFonts w:ascii="Book Antiqua" w:hAnsi="Book Antiqua" w:cs="Times New Roman"/>
          <w:sz w:val="24"/>
          <w:szCs w:val="24"/>
        </w:rPr>
        <w:t xml:space="preserve"> más de causas</w:t>
      </w:r>
      <w:r w:rsidR="00413B7A" w:rsidRPr="00365E42">
        <w:rPr>
          <w:rFonts w:ascii="Book Antiqua" w:hAnsi="Book Antiqua" w:cs="Times New Roman"/>
          <w:sz w:val="24"/>
          <w:szCs w:val="24"/>
        </w:rPr>
        <w:t>.</w:t>
      </w:r>
      <w:r w:rsidR="0004497E" w:rsidRPr="00365E42">
        <w:rPr>
          <w:rFonts w:ascii="Book Antiqua" w:hAnsi="Book Antiqua" w:cs="Times New Roman"/>
          <w:sz w:val="24"/>
          <w:szCs w:val="24"/>
        </w:rPr>
        <w:t xml:space="preserve"> Cabe destacar que a nivel absoluto la Unidad de Trámite Rápido del </w:t>
      </w:r>
      <w:r w:rsidR="0004497E" w:rsidRPr="00365E42">
        <w:rPr>
          <w:rFonts w:ascii="Book Antiqua" w:hAnsi="Book Antiqua" w:cs="Times New Roman"/>
          <w:sz w:val="24"/>
          <w:szCs w:val="24"/>
        </w:rPr>
        <w:lastRenderedPageBreak/>
        <w:t xml:space="preserve">Ministerio Público fue la que representó una mayor variación positiva entre 2018 y 2019, llegando a alcanzar los 4.358 casos </w:t>
      </w:r>
      <w:r w:rsidR="005B4A31" w:rsidRPr="00365E42">
        <w:rPr>
          <w:rFonts w:ascii="Book Antiqua" w:hAnsi="Book Antiqua" w:cs="Times New Roman"/>
          <w:sz w:val="24"/>
          <w:szCs w:val="24"/>
        </w:rPr>
        <w:t>(45,28%) de incremento. En el siguiente cuadro pueden visualizarse las variaciones experimentadas por las fiscalías que mayor cantidad de casos entrados registraron:</w:t>
      </w:r>
    </w:p>
    <w:tbl>
      <w:tblPr>
        <w:tblW w:w="5000" w:type="pct"/>
        <w:jc w:val="center"/>
        <w:tblLayout w:type="fixed"/>
        <w:tblCellMar>
          <w:left w:w="70" w:type="dxa"/>
          <w:right w:w="70" w:type="dxa"/>
        </w:tblCellMar>
        <w:tblLook w:val="04A0" w:firstRow="1" w:lastRow="0" w:firstColumn="1" w:lastColumn="0" w:noHBand="0" w:noVBand="1"/>
      </w:tblPr>
      <w:tblGrid>
        <w:gridCol w:w="4535"/>
        <w:gridCol w:w="1135"/>
        <w:gridCol w:w="850"/>
        <w:gridCol w:w="992"/>
        <w:gridCol w:w="1137"/>
        <w:gridCol w:w="189"/>
      </w:tblGrid>
      <w:tr w:rsidR="007A356E" w:rsidRPr="00365E42" w14:paraId="0A3909FA" w14:textId="77777777" w:rsidTr="007A356E">
        <w:trPr>
          <w:gridAfter w:val="1"/>
          <w:wAfter w:w="107" w:type="pct"/>
          <w:trHeight w:val="455"/>
          <w:jc w:val="center"/>
        </w:trPr>
        <w:tc>
          <w:tcPr>
            <w:tcW w:w="4893" w:type="pct"/>
            <w:gridSpan w:val="5"/>
            <w:vMerge w:val="restart"/>
            <w:tcBorders>
              <w:top w:val="nil"/>
              <w:left w:val="nil"/>
              <w:bottom w:val="single" w:sz="4" w:space="0" w:color="000000"/>
              <w:right w:val="nil"/>
            </w:tcBorders>
            <w:shd w:val="clear" w:color="000000" w:fill="FFFFFF"/>
            <w:vAlign w:val="center"/>
            <w:hideMark/>
          </w:tcPr>
          <w:p w14:paraId="467ED187" w14:textId="79B5C6F3" w:rsidR="007A356E" w:rsidRPr="00365E42" w:rsidRDefault="007A356E" w:rsidP="007A356E">
            <w:pPr>
              <w:spacing w:after="0" w:line="240" w:lineRule="auto"/>
              <w:jc w:val="center"/>
              <w:rPr>
                <w:rFonts w:ascii="Book Antiqua" w:eastAsia="Times New Roman" w:hAnsi="Book Antiqua" w:cs="Calibri"/>
                <w:b/>
                <w:bCs/>
                <w:color w:val="000000"/>
                <w:lang w:eastAsia="es-CR"/>
              </w:rPr>
            </w:pPr>
            <w:r w:rsidRPr="00365E42">
              <w:rPr>
                <w:rFonts w:ascii="Book Antiqua" w:eastAsia="Times New Roman" w:hAnsi="Book Antiqua" w:cs="Calibri"/>
                <w:b/>
                <w:bCs/>
                <w:color w:val="000000"/>
                <w:lang w:eastAsia="es-CR"/>
              </w:rPr>
              <w:t>Cuadro 2. Fiscalías con mayor cantidad de casos entrados durante el bienio 2018-2019</w:t>
            </w:r>
          </w:p>
        </w:tc>
      </w:tr>
      <w:tr w:rsidR="007A356E" w:rsidRPr="00365E42" w14:paraId="1C3AAAEA" w14:textId="77777777" w:rsidTr="007A356E">
        <w:trPr>
          <w:trHeight w:val="290"/>
          <w:jc w:val="center"/>
        </w:trPr>
        <w:tc>
          <w:tcPr>
            <w:tcW w:w="4893" w:type="pct"/>
            <w:gridSpan w:val="5"/>
            <w:vMerge/>
            <w:tcBorders>
              <w:top w:val="nil"/>
              <w:left w:val="nil"/>
              <w:bottom w:val="single" w:sz="4" w:space="0" w:color="000000"/>
              <w:right w:val="nil"/>
            </w:tcBorders>
            <w:vAlign w:val="center"/>
            <w:hideMark/>
          </w:tcPr>
          <w:p w14:paraId="49407ECE" w14:textId="77777777" w:rsidR="007A356E" w:rsidRPr="00365E42" w:rsidRDefault="007A356E" w:rsidP="007A356E">
            <w:pPr>
              <w:spacing w:after="0" w:line="240" w:lineRule="auto"/>
              <w:rPr>
                <w:rFonts w:ascii="Book Antiqua" w:eastAsia="Times New Roman" w:hAnsi="Book Antiqua" w:cs="Calibri"/>
                <w:b/>
                <w:bCs/>
                <w:color w:val="000000"/>
                <w:lang w:eastAsia="es-CR"/>
              </w:rPr>
            </w:pPr>
          </w:p>
        </w:tc>
        <w:tc>
          <w:tcPr>
            <w:tcW w:w="107" w:type="pct"/>
            <w:tcBorders>
              <w:top w:val="nil"/>
              <w:left w:val="nil"/>
              <w:bottom w:val="nil"/>
              <w:right w:val="nil"/>
            </w:tcBorders>
            <w:shd w:val="clear" w:color="auto" w:fill="auto"/>
            <w:noWrap/>
            <w:vAlign w:val="bottom"/>
            <w:hideMark/>
          </w:tcPr>
          <w:p w14:paraId="4A4D8D83" w14:textId="77777777" w:rsidR="007A356E" w:rsidRPr="00365E42" w:rsidRDefault="007A356E" w:rsidP="007A356E">
            <w:pPr>
              <w:spacing w:after="0" w:line="240" w:lineRule="auto"/>
              <w:jc w:val="center"/>
              <w:rPr>
                <w:rFonts w:ascii="Book Antiqua" w:eastAsia="Times New Roman" w:hAnsi="Book Antiqua" w:cs="Calibri"/>
                <w:b/>
                <w:bCs/>
                <w:color w:val="000000"/>
                <w:lang w:eastAsia="es-CR"/>
              </w:rPr>
            </w:pPr>
          </w:p>
        </w:tc>
      </w:tr>
      <w:tr w:rsidR="008F28B7" w:rsidRPr="00365E42" w14:paraId="423E95B9" w14:textId="77777777" w:rsidTr="008F28B7">
        <w:trPr>
          <w:trHeight w:val="310"/>
          <w:jc w:val="center"/>
        </w:trPr>
        <w:tc>
          <w:tcPr>
            <w:tcW w:w="2566" w:type="pct"/>
            <w:vMerge w:val="restart"/>
            <w:tcBorders>
              <w:top w:val="nil"/>
              <w:bottom w:val="single" w:sz="8" w:space="0" w:color="auto"/>
            </w:tcBorders>
            <w:shd w:val="clear" w:color="000000" w:fill="FFFFFF"/>
            <w:noWrap/>
            <w:vAlign w:val="center"/>
            <w:hideMark/>
          </w:tcPr>
          <w:p w14:paraId="11BBA20F"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Fiscalía</w:t>
            </w:r>
          </w:p>
        </w:tc>
        <w:tc>
          <w:tcPr>
            <w:tcW w:w="112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644E520"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Casos entrados</w:t>
            </w:r>
          </w:p>
        </w:tc>
        <w:tc>
          <w:tcPr>
            <w:tcW w:w="1204" w:type="pct"/>
            <w:gridSpan w:val="2"/>
            <w:tcBorders>
              <w:left w:val="single" w:sz="4" w:space="0" w:color="auto"/>
              <w:bottom w:val="single" w:sz="4" w:space="0" w:color="auto"/>
            </w:tcBorders>
            <w:shd w:val="clear" w:color="000000" w:fill="FFFFFF"/>
            <w:noWrap/>
            <w:vAlign w:val="center"/>
            <w:hideMark/>
          </w:tcPr>
          <w:p w14:paraId="7C16E7FE"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Variación</w:t>
            </w:r>
          </w:p>
        </w:tc>
        <w:tc>
          <w:tcPr>
            <w:tcW w:w="107" w:type="pct"/>
            <w:tcBorders>
              <w:left w:val="nil"/>
            </w:tcBorders>
            <w:vAlign w:val="center"/>
            <w:hideMark/>
          </w:tcPr>
          <w:p w14:paraId="15CF06A5"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8F28B7" w:rsidRPr="00365E42" w14:paraId="31827366" w14:textId="77777777" w:rsidTr="008F28B7">
        <w:trPr>
          <w:trHeight w:val="320"/>
          <w:jc w:val="center"/>
        </w:trPr>
        <w:tc>
          <w:tcPr>
            <w:tcW w:w="2566" w:type="pct"/>
            <w:vMerge/>
            <w:tcBorders>
              <w:top w:val="single" w:sz="4" w:space="0" w:color="auto"/>
              <w:bottom w:val="single" w:sz="8" w:space="0" w:color="auto"/>
            </w:tcBorders>
            <w:vAlign w:val="center"/>
            <w:hideMark/>
          </w:tcPr>
          <w:p w14:paraId="7602B35E" w14:textId="77777777" w:rsidR="007A356E" w:rsidRPr="00365E42" w:rsidRDefault="007A356E" w:rsidP="007A356E">
            <w:pPr>
              <w:spacing w:after="0" w:line="240" w:lineRule="auto"/>
              <w:rPr>
                <w:rFonts w:ascii="Book Antiqua" w:eastAsia="Times New Roman" w:hAnsi="Book Antiqua" w:cs="Calibri"/>
                <w:b/>
                <w:bCs/>
                <w:color w:val="000000"/>
                <w:sz w:val="20"/>
                <w:szCs w:val="20"/>
                <w:lang w:eastAsia="es-CR"/>
              </w:rPr>
            </w:pPr>
          </w:p>
        </w:tc>
        <w:tc>
          <w:tcPr>
            <w:tcW w:w="642" w:type="pct"/>
            <w:tcBorders>
              <w:top w:val="single" w:sz="4" w:space="0" w:color="auto"/>
              <w:left w:val="nil"/>
              <w:bottom w:val="single" w:sz="8" w:space="0" w:color="auto"/>
              <w:right w:val="single" w:sz="4" w:space="0" w:color="auto"/>
            </w:tcBorders>
            <w:shd w:val="clear" w:color="000000" w:fill="FFFFFF"/>
            <w:noWrap/>
            <w:vAlign w:val="center"/>
            <w:hideMark/>
          </w:tcPr>
          <w:p w14:paraId="60A82332"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2018</w:t>
            </w:r>
          </w:p>
        </w:tc>
        <w:tc>
          <w:tcPr>
            <w:tcW w:w="481" w:type="pct"/>
            <w:tcBorders>
              <w:top w:val="single" w:sz="4" w:space="0" w:color="auto"/>
              <w:left w:val="nil"/>
              <w:bottom w:val="single" w:sz="8" w:space="0" w:color="auto"/>
              <w:right w:val="single" w:sz="4" w:space="0" w:color="auto"/>
            </w:tcBorders>
            <w:shd w:val="clear" w:color="000000" w:fill="FFFFFF"/>
            <w:noWrap/>
            <w:vAlign w:val="center"/>
            <w:hideMark/>
          </w:tcPr>
          <w:p w14:paraId="2D5B0D5B"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2019</w:t>
            </w:r>
          </w:p>
        </w:tc>
        <w:tc>
          <w:tcPr>
            <w:tcW w:w="561" w:type="pct"/>
            <w:tcBorders>
              <w:top w:val="single" w:sz="4" w:space="0" w:color="auto"/>
              <w:left w:val="nil"/>
              <w:bottom w:val="single" w:sz="8" w:space="0" w:color="auto"/>
              <w:right w:val="single" w:sz="4" w:space="0" w:color="auto"/>
            </w:tcBorders>
            <w:shd w:val="clear" w:color="000000" w:fill="FFFFFF"/>
            <w:noWrap/>
            <w:vAlign w:val="center"/>
            <w:hideMark/>
          </w:tcPr>
          <w:p w14:paraId="191C2DE2"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Absoluta</w:t>
            </w:r>
          </w:p>
        </w:tc>
        <w:tc>
          <w:tcPr>
            <w:tcW w:w="643" w:type="pct"/>
            <w:tcBorders>
              <w:top w:val="single" w:sz="4" w:space="0" w:color="auto"/>
              <w:left w:val="nil"/>
              <w:bottom w:val="single" w:sz="8" w:space="0" w:color="auto"/>
              <w:right w:val="nil"/>
            </w:tcBorders>
            <w:shd w:val="clear" w:color="000000" w:fill="FFFFFF"/>
            <w:noWrap/>
            <w:vAlign w:val="center"/>
            <w:hideMark/>
          </w:tcPr>
          <w:p w14:paraId="6918F810" w14:textId="77777777" w:rsidR="007A356E" w:rsidRPr="00365E42" w:rsidRDefault="007A356E" w:rsidP="007A356E">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Porcentual</w:t>
            </w:r>
          </w:p>
        </w:tc>
        <w:tc>
          <w:tcPr>
            <w:tcW w:w="107" w:type="pct"/>
            <w:vAlign w:val="center"/>
            <w:hideMark/>
          </w:tcPr>
          <w:p w14:paraId="7DF16A28"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8F28B7" w:rsidRPr="00365E42" w14:paraId="738D44AB" w14:textId="77777777" w:rsidTr="008F28B7">
        <w:trPr>
          <w:trHeight w:val="310"/>
          <w:jc w:val="center"/>
        </w:trPr>
        <w:tc>
          <w:tcPr>
            <w:tcW w:w="2566" w:type="pct"/>
            <w:tcBorders>
              <w:top w:val="single" w:sz="8" w:space="0" w:color="auto"/>
              <w:left w:val="nil"/>
              <w:bottom w:val="nil"/>
              <w:right w:val="nil"/>
            </w:tcBorders>
            <w:shd w:val="clear" w:color="000000" w:fill="FFFFFF"/>
            <w:noWrap/>
            <w:vAlign w:val="bottom"/>
            <w:hideMark/>
          </w:tcPr>
          <w:p w14:paraId="7491D510"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II Circ. Jud. San José</w:t>
            </w:r>
          </w:p>
        </w:tc>
        <w:tc>
          <w:tcPr>
            <w:tcW w:w="642" w:type="pct"/>
            <w:tcBorders>
              <w:top w:val="nil"/>
              <w:left w:val="nil"/>
              <w:bottom w:val="nil"/>
              <w:right w:val="nil"/>
            </w:tcBorders>
            <w:shd w:val="clear" w:color="000000" w:fill="FFFFFF"/>
            <w:noWrap/>
            <w:vAlign w:val="center"/>
            <w:hideMark/>
          </w:tcPr>
          <w:p w14:paraId="19A7ABD2"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14 055</w:t>
            </w:r>
          </w:p>
        </w:tc>
        <w:tc>
          <w:tcPr>
            <w:tcW w:w="481" w:type="pct"/>
            <w:tcBorders>
              <w:top w:val="nil"/>
              <w:left w:val="nil"/>
              <w:bottom w:val="nil"/>
              <w:right w:val="nil"/>
            </w:tcBorders>
            <w:shd w:val="clear" w:color="000000" w:fill="FFFFFF"/>
            <w:noWrap/>
            <w:vAlign w:val="center"/>
            <w:hideMark/>
          </w:tcPr>
          <w:p w14:paraId="50774512"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14 887</w:t>
            </w:r>
          </w:p>
        </w:tc>
        <w:tc>
          <w:tcPr>
            <w:tcW w:w="561" w:type="pct"/>
            <w:tcBorders>
              <w:top w:val="nil"/>
              <w:left w:val="nil"/>
              <w:bottom w:val="nil"/>
              <w:right w:val="nil"/>
            </w:tcBorders>
            <w:shd w:val="clear" w:color="000000" w:fill="FFFFFF"/>
            <w:noWrap/>
            <w:vAlign w:val="center"/>
            <w:hideMark/>
          </w:tcPr>
          <w:p w14:paraId="0AA19CB5"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832</w:t>
            </w:r>
          </w:p>
        </w:tc>
        <w:tc>
          <w:tcPr>
            <w:tcW w:w="643" w:type="pct"/>
            <w:tcBorders>
              <w:top w:val="nil"/>
              <w:left w:val="nil"/>
              <w:bottom w:val="nil"/>
              <w:right w:val="nil"/>
            </w:tcBorders>
            <w:shd w:val="clear" w:color="000000" w:fill="FFFFFF"/>
            <w:noWrap/>
            <w:vAlign w:val="center"/>
            <w:hideMark/>
          </w:tcPr>
          <w:p w14:paraId="75058512"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5,92%</w:t>
            </w:r>
          </w:p>
        </w:tc>
        <w:tc>
          <w:tcPr>
            <w:tcW w:w="107" w:type="pct"/>
            <w:vAlign w:val="center"/>
            <w:hideMark/>
          </w:tcPr>
          <w:p w14:paraId="6FCF0204"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532D6D08"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0D903FA6"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Unidad de Trámite Rápido del Ministerio Público</w:t>
            </w:r>
          </w:p>
        </w:tc>
        <w:tc>
          <w:tcPr>
            <w:tcW w:w="642" w:type="pct"/>
            <w:tcBorders>
              <w:top w:val="nil"/>
              <w:left w:val="nil"/>
              <w:bottom w:val="nil"/>
              <w:right w:val="nil"/>
            </w:tcBorders>
            <w:shd w:val="clear" w:color="000000" w:fill="FFFFFF"/>
            <w:noWrap/>
            <w:vAlign w:val="center"/>
            <w:hideMark/>
          </w:tcPr>
          <w:p w14:paraId="71E66997"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9 625</w:t>
            </w:r>
          </w:p>
        </w:tc>
        <w:tc>
          <w:tcPr>
            <w:tcW w:w="481" w:type="pct"/>
            <w:tcBorders>
              <w:top w:val="nil"/>
              <w:left w:val="nil"/>
              <w:bottom w:val="nil"/>
              <w:right w:val="nil"/>
            </w:tcBorders>
            <w:shd w:val="clear" w:color="000000" w:fill="FFFFFF"/>
            <w:noWrap/>
            <w:vAlign w:val="center"/>
            <w:hideMark/>
          </w:tcPr>
          <w:p w14:paraId="2F6DBF17"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13 983</w:t>
            </w:r>
          </w:p>
        </w:tc>
        <w:tc>
          <w:tcPr>
            <w:tcW w:w="561" w:type="pct"/>
            <w:tcBorders>
              <w:top w:val="nil"/>
              <w:left w:val="nil"/>
              <w:bottom w:val="nil"/>
              <w:right w:val="nil"/>
            </w:tcBorders>
            <w:shd w:val="clear" w:color="000000" w:fill="FFFFFF"/>
            <w:noWrap/>
            <w:vAlign w:val="center"/>
            <w:hideMark/>
          </w:tcPr>
          <w:p w14:paraId="2048AB4D"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4 358</w:t>
            </w:r>
          </w:p>
        </w:tc>
        <w:tc>
          <w:tcPr>
            <w:tcW w:w="643" w:type="pct"/>
            <w:tcBorders>
              <w:top w:val="nil"/>
              <w:left w:val="nil"/>
              <w:bottom w:val="nil"/>
              <w:right w:val="nil"/>
            </w:tcBorders>
            <w:shd w:val="clear" w:color="000000" w:fill="FFFFFF"/>
            <w:noWrap/>
            <w:vAlign w:val="center"/>
            <w:hideMark/>
          </w:tcPr>
          <w:p w14:paraId="1EE06990"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45,28%</w:t>
            </w:r>
          </w:p>
        </w:tc>
        <w:tc>
          <w:tcPr>
            <w:tcW w:w="107" w:type="pct"/>
            <w:vAlign w:val="center"/>
            <w:hideMark/>
          </w:tcPr>
          <w:p w14:paraId="223E82D2"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66018806"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10BCB555"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 Circ. Jud. Alajuela</w:t>
            </w:r>
          </w:p>
        </w:tc>
        <w:tc>
          <w:tcPr>
            <w:tcW w:w="642" w:type="pct"/>
            <w:tcBorders>
              <w:top w:val="nil"/>
              <w:left w:val="nil"/>
              <w:bottom w:val="nil"/>
              <w:right w:val="nil"/>
            </w:tcBorders>
            <w:shd w:val="clear" w:color="000000" w:fill="FFFFFF"/>
            <w:noWrap/>
            <w:vAlign w:val="center"/>
            <w:hideMark/>
          </w:tcPr>
          <w:p w14:paraId="32854729"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13 490</w:t>
            </w:r>
          </w:p>
        </w:tc>
        <w:tc>
          <w:tcPr>
            <w:tcW w:w="481" w:type="pct"/>
            <w:tcBorders>
              <w:top w:val="nil"/>
              <w:left w:val="nil"/>
              <w:bottom w:val="nil"/>
              <w:right w:val="nil"/>
            </w:tcBorders>
            <w:shd w:val="clear" w:color="000000" w:fill="FFFFFF"/>
            <w:noWrap/>
            <w:vAlign w:val="center"/>
            <w:hideMark/>
          </w:tcPr>
          <w:p w14:paraId="3E07BC19"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13 692</w:t>
            </w:r>
          </w:p>
        </w:tc>
        <w:tc>
          <w:tcPr>
            <w:tcW w:w="561" w:type="pct"/>
            <w:tcBorders>
              <w:top w:val="nil"/>
              <w:left w:val="nil"/>
              <w:bottom w:val="nil"/>
              <w:right w:val="nil"/>
            </w:tcBorders>
            <w:shd w:val="clear" w:color="000000" w:fill="FFFFFF"/>
            <w:noWrap/>
            <w:vAlign w:val="center"/>
            <w:hideMark/>
          </w:tcPr>
          <w:p w14:paraId="49C7DA81"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202</w:t>
            </w:r>
          </w:p>
        </w:tc>
        <w:tc>
          <w:tcPr>
            <w:tcW w:w="643" w:type="pct"/>
            <w:tcBorders>
              <w:top w:val="nil"/>
              <w:left w:val="nil"/>
              <w:bottom w:val="nil"/>
              <w:right w:val="nil"/>
            </w:tcBorders>
            <w:shd w:val="clear" w:color="000000" w:fill="FFFFFF"/>
            <w:noWrap/>
            <w:vAlign w:val="center"/>
            <w:hideMark/>
          </w:tcPr>
          <w:p w14:paraId="13167563"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1,50%</w:t>
            </w:r>
          </w:p>
        </w:tc>
        <w:tc>
          <w:tcPr>
            <w:tcW w:w="107" w:type="pct"/>
            <w:vAlign w:val="center"/>
            <w:hideMark/>
          </w:tcPr>
          <w:p w14:paraId="5FA2075E"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237149AC"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63CC3714"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de Heredia</w:t>
            </w:r>
          </w:p>
        </w:tc>
        <w:tc>
          <w:tcPr>
            <w:tcW w:w="642" w:type="pct"/>
            <w:tcBorders>
              <w:top w:val="nil"/>
              <w:left w:val="nil"/>
              <w:bottom w:val="nil"/>
              <w:right w:val="nil"/>
            </w:tcBorders>
            <w:shd w:val="clear" w:color="000000" w:fill="FFFFFF"/>
            <w:noWrap/>
            <w:vAlign w:val="center"/>
            <w:hideMark/>
          </w:tcPr>
          <w:p w14:paraId="2C69DF7F"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10 713</w:t>
            </w:r>
          </w:p>
        </w:tc>
        <w:tc>
          <w:tcPr>
            <w:tcW w:w="481" w:type="pct"/>
            <w:tcBorders>
              <w:top w:val="nil"/>
              <w:left w:val="nil"/>
              <w:bottom w:val="nil"/>
              <w:right w:val="nil"/>
            </w:tcBorders>
            <w:shd w:val="clear" w:color="000000" w:fill="FFFFFF"/>
            <w:noWrap/>
            <w:vAlign w:val="center"/>
            <w:hideMark/>
          </w:tcPr>
          <w:p w14:paraId="74AFCDD2"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12 403</w:t>
            </w:r>
          </w:p>
        </w:tc>
        <w:tc>
          <w:tcPr>
            <w:tcW w:w="561" w:type="pct"/>
            <w:tcBorders>
              <w:top w:val="nil"/>
              <w:left w:val="nil"/>
              <w:bottom w:val="nil"/>
              <w:right w:val="nil"/>
            </w:tcBorders>
            <w:shd w:val="clear" w:color="000000" w:fill="FFFFFF"/>
            <w:noWrap/>
            <w:vAlign w:val="center"/>
            <w:hideMark/>
          </w:tcPr>
          <w:p w14:paraId="1777E475"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1 690</w:t>
            </w:r>
          </w:p>
        </w:tc>
        <w:tc>
          <w:tcPr>
            <w:tcW w:w="643" w:type="pct"/>
            <w:tcBorders>
              <w:top w:val="nil"/>
              <w:left w:val="nil"/>
              <w:bottom w:val="nil"/>
              <w:right w:val="nil"/>
            </w:tcBorders>
            <w:shd w:val="clear" w:color="000000" w:fill="FFFFFF"/>
            <w:noWrap/>
            <w:vAlign w:val="center"/>
            <w:hideMark/>
          </w:tcPr>
          <w:p w14:paraId="6D841705"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15,78%</w:t>
            </w:r>
          </w:p>
        </w:tc>
        <w:tc>
          <w:tcPr>
            <w:tcW w:w="107" w:type="pct"/>
            <w:vAlign w:val="center"/>
            <w:hideMark/>
          </w:tcPr>
          <w:p w14:paraId="7F7415B2"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45E9FF14"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4C2416A3"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de Cartago</w:t>
            </w:r>
          </w:p>
        </w:tc>
        <w:tc>
          <w:tcPr>
            <w:tcW w:w="642" w:type="pct"/>
            <w:tcBorders>
              <w:top w:val="nil"/>
              <w:left w:val="nil"/>
              <w:bottom w:val="nil"/>
              <w:right w:val="nil"/>
            </w:tcBorders>
            <w:shd w:val="clear" w:color="000000" w:fill="FFFFFF"/>
            <w:noWrap/>
            <w:vAlign w:val="center"/>
            <w:hideMark/>
          </w:tcPr>
          <w:p w14:paraId="1F854C2D"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8 360</w:t>
            </w:r>
          </w:p>
        </w:tc>
        <w:tc>
          <w:tcPr>
            <w:tcW w:w="481" w:type="pct"/>
            <w:tcBorders>
              <w:top w:val="nil"/>
              <w:left w:val="nil"/>
              <w:bottom w:val="nil"/>
              <w:right w:val="nil"/>
            </w:tcBorders>
            <w:shd w:val="clear" w:color="000000" w:fill="FFFFFF"/>
            <w:noWrap/>
            <w:vAlign w:val="center"/>
            <w:hideMark/>
          </w:tcPr>
          <w:p w14:paraId="57C80F78"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10 279</w:t>
            </w:r>
          </w:p>
        </w:tc>
        <w:tc>
          <w:tcPr>
            <w:tcW w:w="561" w:type="pct"/>
            <w:tcBorders>
              <w:top w:val="nil"/>
              <w:left w:val="nil"/>
              <w:bottom w:val="nil"/>
              <w:right w:val="nil"/>
            </w:tcBorders>
            <w:shd w:val="clear" w:color="000000" w:fill="FFFFFF"/>
            <w:noWrap/>
            <w:vAlign w:val="center"/>
            <w:hideMark/>
          </w:tcPr>
          <w:p w14:paraId="3106667B"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1 919</w:t>
            </w:r>
          </w:p>
        </w:tc>
        <w:tc>
          <w:tcPr>
            <w:tcW w:w="643" w:type="pct"/>
            <w:tcBorders>
              <w:top w:val="nil"/>
              <w:left w:val="nil"/>
              <w:bottom w:val="nil"/>
              <w:right w:val="nil"/>
            </w:tcBorders>
            <w:shd w:val="clear" w:color="000000" w:fill="FFFFFF"/>
            <w:noWrap/>
            <w:vAlign w:val="center"/>
            <w:hideMark/>
          </w:tcPr>
          <w:p w14:paraId="5D964823"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22,95%</w:t>
            </w:r>
          </w:p>
        </w:tc>
        <w:tc>
          <w:tcPr>
            <w:tcW w:w="107" w:type="pct"/>
            <w:vAlign w:val="center"/>
            <w:hideMark/>
          </w:tcPr>
          <w:p w14:paraId="695A3D2E"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1F9532B8"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3CEB7549"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 Circ. Jud. Zona Sur</w:t>
            </w:r>
          </w:p>
        </w:tc>
        <w:tc>
          <w:tcPr>
            <w:tcW w:w="642" w:type="pct"/>
            <w:tcBorders>
              <w:top w:val="nil"/>
              <w:left w:val="nil"/>
              <w:bottom w:val="nil"/>
              <w:right w:val="nil"/>
            </w:tcBorders>
            <w:shd w:val="clear" w:color="000000" w:fill="FFFFFF"/>
            <w:noWrap/>
            <w:vAlign w:val="center"/>
            <w:hideMark/>
          </w:tcPr>
          <w:p w14:paraId="2FFF5540"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5 627</w:t>
            </w:r>
          </w:p>
        </w:tc>
        <w:tc>
          <w:tcPr>
            <w:tcW w:w="481" w:type="pct"/>
            <w:tcBorders>
              <w:top w:val="nil"/>
              <w:left w:val="nil"/>
              <w:bottom w:val="nil"/>
              <w:right w:val="nil"/>
            </w:tcBorders>
            <w:shd w:val="clear" w:color="000000" w:fill="FFFFFF"/>
            <w:noWrap/>
            <w:vAlign w:val="center"/>
            <w:hideMark/>
          </w:tcPr>
          <w:p w14:paraId="71764905"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9 245</w:t>
            </w:r>
          </w:p>
        </w:tc>
        <w:tc>
          <w:tcPr>
            <w:tcW w:w="561" w:type="pct"/>
            <w:tcBorders>
              <w:top w:val="nil"/>
              <w:left w:val="nil"/>
              <w:bottom w:val="nil"/>
              <w:right w:val="nil"/>
            </w:tcBorders>
            <w:shd w:val="clear" w:color="000000" w:fill="FFFFFF"/>
            <w:noWrap/>
            <w:vAlign w:val="center"/>
            <w:hideMark/>
          </w:tcPr>
          <w:p w14:paraId="61DC3DAD"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3 618</w:t>
            </w:r>
          </w:p>
        </w:tc>
        <w:tc>
          <w:tcPr>
            <w:tcW w:w="643" w:type="pct"/>
            <w:tcBorders>
              <w:top w:val="nil"/>
              <w:left w:val="nil"/>
              <w:bottom w:val="nil"/>
              <w:right w:val="nil"/>
            </w:tcBorders>
            <w:shd w:val="clear" w:color="000000" w:fill="FFFFFF"/>
            <w:noWrap/>
            <w:vAlign w:val="center"/>
            <w:hideMark/>
          </w:tcPr>
          <w:p w14:paraId="5936EF3C"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64,30%</w:t>
            </w:r>
          </w:p>
        </w:tc>
        <w:tc>
          <w:tcPr>
            <w:tcW w:w="107" w:type="pct"/>
            <w:vAlign w:val="center"/>
            <w:hideMark/>
          </w:tcPr>
          <w:p w14:paraId="2B84C563"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45AB12C3" w14:textId="77777777" w:rsidTr="008F28B7">
        <w:trPr>
          <w:trHeight w:val="310"/>
          <w:jc w:val="center"/>
        </w:trPr>
        <w:tc>
          <w:tcPr>
            <w:tcW w:w="2566" w:type="pct"/>
            <w:tcBorders>
              <w:top w:val="nil"/>
              <w:left w:val="nil"/>
              <w:bottom w:val="nil"/>
              <w:right w:val="nil"/>
            </w:tcBorders>
            <w:shd w:val="clear" w:color="000000" w:fill="FFFFFF"/>
            <w:noWrap/>
            <w:vAlign w:val="bottom"/>
            <w:hideMark/>
          </w:tcPr>
          <w:p w14:paraId="39C788D2"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Pavas</w:t>
            </w:r>
          </w:p>
        </w:tc>
        <w:tc>
          <w:tcPr>
            <w:tcW w:w="642" w:type="pct"/>
            <w:tcBorders>
              <w:top w:val="nil"/>
              <w:left w:val="nil"/>
              <w:bottom w:val="nil"/>
              <w:right w:val="nil"/>
            </w:tcBorders>
            <w:shd w:val="clear" w:color="000000" w:fill="FFFFFF"/>
            <w:noWrap/>
            <w:vAlign w:val="center"/>
            <w:hideMark/>
          </w:tcPr>
          <w:p w14:paraId="36D8C12C"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4 890</w:t>
            </w:r>
          </w:p>
        </w:tc>
        <w:tc>
          <w:tcPr>
            <w:tcW w:w="481" w:type="pct"/>
            <w:tcBorders>
              <w:top w:val="nil"/>
              <w:left w:val="nil"/>
              <w:bottom w:val="nil"/>
              <w:right w:val="nil"/>
            </w:tcBorders>
            <w:shd w:val="clear" w:color="000000" w:fill="FFFFFF"/>
            <w:noWrap/>
            <w:vAlign w:val="center"/>
            <w:hideMark/>
          </w:tcPr>
          <w:p w14:paraId="34778981"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7 483</w:t>
            </w:r>
          </w:p>
        </w:tc>
        <w:tc>
          <w:tcPr>
            <w:tcW w:w="561" w:type="pct"/>
            <w:tcBorders>
              <w:top w:val="nil"/>
              <w:left w:val="nil"/>
              <w:bottom w:val="nil"/>
              <w:right w:val="nil"/>
            </w:tcBorders>
            <w:shd w:val="clear" w:color="000000" w:fill="FFFFFF"/>
            <w:noWrap/>
            <w:vAlign w:val="center"/>
            <w:hideMark/>
          </w:tcPr>
          <w:p w14:paraId="68E2EF81"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2 593</w:t>
            </w:r>
          </w:p>
        </w:tc>
        <w:tc>
          <w:tcPr>
            <w:tcW w:w="643" w:type="pct"/>
            <w:tcBorders>
              <w:top w:val="nil"/>
              <w:left w:val="nil"/>
              <w:bottom w:val="nil"/>
              <w:right w:val="nil"/>
            </w:tcBorders>
            <w:shd w:val="clear" w:color="000000" w:fill="FFFFFF"/>
            <w:noWrap/>
            <w:vAlign w:val="center"/>
            <w:hideMark/>
          </w:tcPr>
          <w:p w14:paraId="650B194E"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53,03%</w:t>
            </w:r>
          </w:p>
        </w:tc>
        <w:tc>
          <w:tcPr>
            <w:tcW w:w="107" w:type="pct"/>
            <w:vAlign w:val="center"/>
            <w:hideMark/>
          </w:tcPr>
          <w:p w14:paraId="75D69F52"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1AB1A353" w14:textId="77777777" w:rsidTr="008F28B7">
        <w:trPr>
          <w:trHeight w:val="320"/>
          <w:jc w:val="center"/>
        </w:trPr>
        <w:tc>
          <w:tcPr>
            <w:tcW w:w="2566" w:type="pct"/>
            <w:tcBorders>
              <w:top w:val="nil"/>
              <w:left w:val="nil"/>
              <w:bottom w:val="single" w:sz="8" w:space="0" w:color="auto"/>
              <w:right w:val="nil"/>
            </w:tcBorders>
            <w:shd w:val="clear" w:color="000000" w:fill="FFFFFF"/>
            <w:noWrap/>
            <w:vAlign w:val="bottom"/>
            <w:hideMark/>
          </w:tcPr>
          <w:p w14:paraId="4EFB93FD" w14:textId="77777777" w:rsidR="007A356E" w:rsidRPr="00365E42" w:rsidRDefault="007A356E" w:rsidP="007A356E">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 xml:space="preserve">Fiscalía Adj. II Circ. Jud. Zona Atlántica </w:t>
            </w:r>
          </w:p>
        </w:tc>
        <w:tc>
          <w:tcPr>
            <w:tcW w:w="642" w:type="pct"/>
            <w:tcBorders>
              <w:top w:val="nil"/>
              <w:left w:val="nil"/>
              <w:bottom w:val="single" w:sz="8" w:space="0" w:color="auto"/>
              <w:right w:val="nil"/>
            </w:tcBorders>
            <w:shd w:val="clear" w:color="000000" w:fill="FFFFFF"/>
            <w:noWrap/>
            <w:vAlign w:val="center"/>
            <w:hideMark/>
          </w:tcPr>
          <w:p w14:paraId="24691FE3"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7 132</w:t>
            </w:r>
          </w:p>
        </w:tc>
        <w:tc>
          <w:tcPr>
            <w:tcW w:w="481" w:type="pct"/>
            <w:tcBorders>
              <w:top w:val="nil"/>
              <w:left w:val="nil"/>
              <w:bottom w:val="single" w:sz="8" w:space="0" w:color="auto"/>
              <w:right w:val="nil"/>
            </w:tcBorders>
            <w:shd w:val="clear" w:color="000000" w:fill="FFFFFF"/>
            <w:noWrap/>
            <w:vAlign w:val="center"/>
            <w:hideMark/>
          </w:tcPr>
          <w:p w14:paraId="6FF90C2C"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7 397</w:t>
            </w:r>
          </w:p>
        </w:tc>
        <w:tc>
          <w:tcPr>
            <w:tcW w:w="561" w:type="pct"/>
            <w:tcBorders>
              <w:top w:val="nil"/>
              <w:left w:val="nil"/>
              <w:bottom w:val="single" w:sz="8" w:space="0" w:color="auto"/>
              <w:right w:val="nil"/>
            </w:tcBorders>
            <w:shd w:val="clear" w:color="000000" w:fill="FFFFFF"/>
            <w:noWrap/>
            <w:vAlign w:val="center"/>
            <w:hideMark/>
          </w:tcPr>
          <w:p w14:paraId="4054E37A"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265</w:t>
            </w:r>
          </w:p>
        </w:tc>
        <w:tc>
          <w:tcPr>
            <w:tcW w:w="643" w:type="pct"/>
            <w:tcBorders>
              <w:top w:val="nil"/>
              <w:left w:val="nil"/>
              <w:bottom w:val="single" w:sz="8" w:space="0" w:color="auto"/>
              <w:right w:val="nil"/>
            </w:tcBorders>
            <w:shd w:val="clear" w:color="000000" w:fill="FFFFFF"/>
            <w:noWrap/>
            <w:vAlign w:val="center"/>
            <w:hideMark/>
          </w:tcPr>
          <w:p w14:paraId="13A7A3F4" w14:textId="77777777" w:rsidR="007A356E" w:rsidRPr="00365E42" w:rsidRDefault="007A356E" w:rsidP="007A356E">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3,72%</w:t>
            </w:r>
          </w:p>
        </w:tc>
        <w:tc>
          <w:tcPr>
            <w:tcW w:w="107" w:type="pct"/>
            <w:vAlign w:val="center"/>
            <w:hideMark/>
          </w:tcPr>
          <w:p w14:paraId="214978F2" w14:textId="77777777" w:rsidR="007A356E" w:rsidRPr="00365E42" w:rsidRDefault="007A356E" w:rsidP="007A356E">
            <w:pPr>
              <w:spacing w:after="0" w:line="240" w:lineRule="auto"/>
              <w:rPr>
                <w:rFonts w:ascii="Book Antiqua" w:eastAsia="Times New Roman" w:hAnsi="Book Antiqua" w:cs="Times New Roman"/>
                <w:lang w:eastAsia="es-CR"/>
              </w:rPr>
            </w:pPr>
          </w:p>
        </w:tc>
      </w:tr>
      <w:tr w:rsidR="007A356E" w:rsidRPr="00365E42" w14:paraId="0A0A7A28" w14:textId="77777777" w:rsidTr="00160DC8">
        <w:trPr>
          <w:trHeight w:val="40"/>
          <w:jc w:val="center"/>
        </w:trPr>
        <w:tc>
          <w:tcPr>
            <w:tcW w:w="4893" w:type="pct"/>
            <w:gridSpan w:val="5"/>
            <w:tcBorders>
              <w:top w:val="nil"/>
              <w:left w:val="nil"/>
              <w:bottom w:val="nil"/>
              <w:right w:val="nil"/>
            </w:tcBorders>
            <w:shd w:val="clear" w:color="000000" w:fill="FFFFFF"/>
            <w:noWrap/>
            <w:vAlign w:val="bottom"/>
            <w:hideMark/>
          </w:tcPr>
          <w:p w14:paraId="0D44A9B3" w14:textId="6211BD68" w:rsidR="007A356E" w:rsidRPr="00365E42" w:rsidRDefault="007A356E" w:rsidP="007A356E">
            <w:pPr>
              <w:spacing w:after="0" w:line="240" w:lineRule="auto"/>
              <w:rPr>
                <w:rFonts w:ascii="Book Antiqua" w:eastAsia="Times New Roman" w:hAnsi="Book Antiqua" w:cs="Calibri"/>
                <w:color w:val="000000"/>
                <w:lang w:eastAsia="es-CR"/>
              </w:rPr>
            </w:pPr>
            <w:r w:rsidRPr="00365E42">
              <w:rPr>
                <w:rFonts w:ascii="Book Antiqua" w:eastAsia="Times New Roman" w:hAnsi="Book Antiqua" w:cs="Calibri"/>
                <w:color w:val="000000"/>
                <w:sz w:val="18"/>
                <w:szCs w:val="18"/>
                <w:lang w:eastAsia="es-CR"/>
              </w:rPr>
              <w:t>Elaborado por: Subproceso de Estadística, Dirección de Planificación.</w:t>
            </w:r>
          </w:p>
        </w:tc>
        <w:tc>
          <w:tcPr>
            <w:tcW w:w="107" w:type="pct"/>
            <w:vAlign w:val="center"/>
            <w:hideMark/>
          </w:tcPr>
          <w:p w14:paraId="1E2EF219" w14:textId="77777777" w:rsidR="007A356E" w:rsidRPr="00365E42" w:rsidRDefault="007A356E" w:rsidP="007A356E">
            <w:pPr>
              <w:spacing w:after="0" w:line="240" w:lineRule="auto"/>
              <w:rPr>
                <w:rFonts w:ascii="Book Antiqua" w:eastAsia="Times New Roman" w:hAnsi="Book Antiqua" w:cs="Times New Roman"/>
                <w:lang w:eastAsia="es-CR"/>
              </w:rPr>
            </w:pPr>
          </w:p>
        </w:tc>
      </w:tr>
    </w:tbl>
    <w:p w14:paraId="58557883" w14:textId="77777777" w:rsidR="007A356E" w:rsidRPr="00365E42" w:rsidRDefault="007A356E" w:rsidP="008703F0">
      <w:pPr>
        <w:spacing w:line="360" w:lineRule="auto"/>
        <w:jc w:val="both"/>
        <w:rPr>
          <w:rFonts w:ascii="Book Antiqua" w:hAnsi="Book Antiqua" w:cs="Times New Roman"/>
          <w:sz w:val="24"/>
          <w:szCs w:val="24"/>
        </w:rPr>
      </w:pPr>
    </w:p>
    <w:p w14:paraId="4286B105" w14:textId="19118E39" w:rsidR="00DE315A" w:rsidRPr="00365E42" w:rsidRDefault="00F67896" w:rsidP="00DE315A">
      <w:pPr>
        <w:pStyle w:val="Prrafodelista"/>
        <w:numPr>
          <w:ilvl w:val="0"/>
          <w:numId w:val="1"/>
        </w:numPr>
        <w:jc w:val="both"/>
        <w:outlineLvl w:val="0"/>
        <w:rPr>
          <w:rFonts w:ascii="Book Antiqua" w:hAnsi="Book Antiqua" w:cs="Times New Roman"/>
          <w:b/>
          <w:bCs/>
          <w:sz w:val="24"/>
          <w:szCs w:val="24"/>
        </w:rPr>
      </w:pPr>
      <w:bookmarkStart w:id="4" w:name="_Toc46389674"/>
      <w:r w:rsidRPr="00365E42">
        <w:rPr>
          <w:rFonts w:ascii="Book Antiqua" w:hAnsi="Book Antiqua" w:cs="Times New Roman"/>
          <w:b/>
          <w:bCs/>
          <w:sz w:val="24"/>
          <w:szCs w:val="24"/>
        </w:rPr>
        <w:t>CASOS TERMINADOS</w:t>
      </w:r>
      <w:bookmarkEnd w:id="4"/>
    </w:p>
    <w:p w14:paraId="00A38287" w14:textId="77777777" w:rsidR="0025434E" w:rsidRPr="00365E42" w:rsidRDefault="00FB534D"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El año 2019 se presenta como el que registra la mayor cantidad de casos terminados para los últimos 5 años, registrando un incremento del 17,74% (32.783 casos) en relación con un año antes, y siendo la variación más significativa del periodo bajo estudio. </w:t>
      </w:r>
    </w:p>
    <w:p w14:paraId="2A262C9B" w14:textId="77777777" w:rsidR="00336A2B" w:rsidRDefault="00336A2B" w:rsidP="00E642F8">
      <w:pPr>
        <w:spacing w:line="360" w:lineRule="auto"/>
        <w:jc w:val="both"/>
        <w:rPr>
          <w:rFonts w:ascii="Book Antiqua" w:hAnsi="Book Antiqua" w:cs="Times New Roman"/>
          <w:sz w:val="24"/>
          <w:szCs w:val="24"/>
        </w:rPr>
      </w:pPr>
    </w:p>
    <w:p w14:paraId="69F6D1DE" w14:textId="77777777" w:rsidR="00336A2B" w:rsidRDefault="00336A2B" w:rsidP="00E642F8">
      <w:pPr>
        <w:spacing w:line="360" w:lineRule="auto"/>
        <w:jc w:val="both"/>
        <w:rPr>
          <w:rFonts w:ascii="Book Antiqua" w:hAnsi="Book Antiqua" w:cs="Times New Roman"/>
          <w:sz w:val="24"/>
          <w:szCs w:val="24"/>
        </w:rPr>
      </w:pPr>
    </w:p>
    <w:p w14:paraId="2EC19CB2" w14:textId="77777777" w:rsidR="00336A2B" w:rsidRDefault="00336A2B" w:rsidP="00E642F8">
      <w:pPr>
        <w:spacing w:line="360" w:lineRule="auto"/>
        <w:jc w:val="both"/>
        <w:rPr>
          <w:rFonts w:ascii="Book Antiqua" w:hAnsi="Book Antiqua" w:cs="Times New Roman"/>
          <w:sz w:val="24"/>
          <w:szCs w:val="24"/>
        </w:rPr>
      </w:pPr>
    </w:p>
    <w:p w14:paraId="5BFD652B" w14:textId="77777777" w:rsidR="00336A2B" w:rsidRDefault="00336A2B" w:rsidP="00E642F8">
      <w:pPr>
        <w:spacing w:line="360" w:lineRule="auto"/>
        <w:jc w:val="both"/>
        <w:rPr>
          <w:rFonts w:ascii="Book Antiqua" w:hAnsi="Book Antiqua" w:cs="Times New Roman"/>
          <w:sz w:val="24"/>
          <w:szCs w:val="24"/>
        </w:rPr>
      </w:pPr>
    </w:p>
    <w:p w14:paraId="6F7DED49" w14:textId="54A51402" w:rsidR="0075548B" w:rsidRPr="00365E42" w:rsidRDefault="00FB534D" w:rsidP="00E642F8">
      <w:pPr>
        <w:spacing w:line="360" w:lineRule="auto"/>
        <w:jc w:val="both"/>
        <w:rPr>
          <w:rFonts w:ascii="Book Antiqua" w:hAnsi="Book Antiqua" w:cs="Times New Roman"/>
          <w:sz w:val="24"/>
          <w:szCs w:val="24"/>
        </w:rPr>
      </w:pPr>
      <w:r w:rsidRPr="00365E42">
        <w:rPr>
          <w:rFonts w:ascii="Book Antiqua" w:hAnsi="Book Antiqua" w:cs="Times New Roman"/>
          <w:sz w:val="24"/>
          <w:szCs w:val="24"/>
        </w:rPr>
        <w:lastRenderedPageBreak/>
        <w:t xml:space="preserve">En el Gráfico </w:t>
      </w:r>
      <w:r w:rsidR="00B93B19" w:rsidRPr="00365E42">
        <w:rPr>
          <w:rFonts w:ascii="Book Antiqua" w:hAnsi="Book Antiqua" w:cs="Times New Roman"/>
          <w:sz w:val="24"/>
          <w:szCs w:val="24"/>
        </w:rPr>
        <w:t>4</w:t>
      </w:r>
      <w:r w:rsidRPr="00365E42">
        <w:rPr>
          <w:rFonts w:ascii="Book Antiqua" w:hAnsi="Book Antiqua" w:cs="Times New Roman"/>
          <w:sz w:val="24"/>
          <w:szCs w:val="24"/>
        </w:rPr>
        <w:t xml:space="preserve"> puede ser visualizada la tendencia </w:t>
      </w:r>
      <w:r w:rsidR="0075548B" w:rsidRPr="00365E42">
        <w:rPr>
          <w:rFonts w:ascii="Book Antiqua" w:hAnsi="Book Antiqua" w:cs="Times New Roman"/>
          <w:sz w:val="24"/>
          <w:szCs w:val="24"/>
        </w:rPr>
        <w:t xml:space="preserve">del </w:t>
      </w:r>
      <w:r w:rsidR="0025434E" w:rsidRPr="00365E42">
        <w:rPr>
          <w:rFonts w:ascii="Book Antiqua" w:hAnsi="Book Antiqua" w:cs="Times New Roman"/>
          <w:sz w:val="24"/>
          <w:szCs w:val="24"/>
        </w:rPr>
        <w:t>último</w:t>
      </w:r>
      <w:r w:rsidR="0075548B" w:rsidRPr="00365E42">
        <w:rPr>
          <w:rFonts w:ascii="Book Antiqua" w:hAnsi="Book Antiqua" w:cs="Times New Roman"/>
          <w:sz w:val="24"/>
          <w:szCs w:val="24"/>
        </w:rPr>
        <w:t xml:space="preserve"> quinquenio en relación con esta variable:</w:t>
      </w:r>
    </w:p>
    <w:p w14:paraId="5A504A7E" w14:textId="5EC2F7A1" w:rsidR="005D0B8D" w:rsidRPr="00365E42" w:rsidRDefault="00FB534D" w:rsidP="00DD5868">
      <w:pPr>
        <w:rPr>
          <w:rFonts w:ascii="Book Antiqua" w:hAnsi="Book Antiqua" w:cs="Times New Roman"/>
          <w:b/>
          <w:bCs/>
          <w:sz w:val="24"/>
          <w:szCs w:val="24"/>
        </w:rPr>
      </w:pPr>
      <w:r w:rsidRPr="00365E42">
        <w:rPr>
          <w:rFonts w:ascii="Book Antiqua" w:hAnsi="Book Antiqua"/>
          <w:noProof/>
        </w:rPr>
        <w:drawing>
          <wp:inline distT="0" distB="0" distL="0" distR="0" wp14:anchorId="33234D11" wp14:editId="0CFABF78">
            <wp:extent cx="5612130" cy="3321050"/>
            <wp:effectExtent l="0" t="0" r="7620" b="12700"/>
            <wp:docPr id="5" name="Gráfico 5">
              <a:extLst xmlns:a="http://schemas.openxmlformats.org/drawingml/2006/main">
                <a:ext uri="{FF2B5EF4-FFF2-40B4-BE49-F238E27FC236}">
                  <a16:creationId xmlns:a16="http://schemas.microsoft.com/office/drawing/2014/main" id="{3B8D1FE4-05A5-4E54-B56A-685AB43DB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B62637" w14:textId="5012B44B" w:rsidR="008050B2" w:rsidRPr="00365E42" w:rsidRDefault="0025434E"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En cuanto a la distribución por fiscalía para la cantidad de casos terminados se </w:t>
      </w:r>
      <w:r w:rsidR="001161E2" w:rsidRPr="00365E42">
        <w:rPr>
          <w:rFonts w:ascii="Book Antiqua" w:hAnsi="Book Antiqua" w:cs="Times New Roman"/>
          <w:sz w:val="24"/>
          <w:szCs w:val="24"/>
        </w:rPr>
        <w:t xml:space="preserve">logra </w:t>
      </w:r>
      <w:r w:rsidRPr="00365E42">
        <w:rPr>
          <w:rFonts w:ascii="Book Antiqua" w:hAnsi="Book Antiqua" w:cs="Times New Roman"/>
          <w:sz w:val="24"/>
          <w:szCs w:val="24"/>
        </w:rPr>
        <w:t xml:space="preserve">determinar </w:t>
      </w:r>
      <w:r w:rsidR="001161E2" w:rsidRPr="00365E42">
        <w:rPr>
          <w:rFonts w:ascii="Book Antiqua" w:hAnsi="Book Antiqua" w:cs="Times New Roman"/>
          <w:sz w:val="24"/>
          <w:szCs w:val="24"/>
        </w:rPr>
        <w:t>cómo</w:t>
      </w:r>
      <w:r w:rsidRPr="00365E42">
        <w:rPr>
          <w:rFonts w:ascii="Book Antiqua" w:hAnsi="Book Antiqua" w:cs="Times New Roman"/>
          <w:sz w:val="24"/>
          <w:szCs w:val="24"/>
        </w:rPr>
        <w:t xml:space="preserve"> es de esperarse, </w:t>
      </w:r>
      <w:r w:rsidR="001161E2" w:rsidRPr="00365E42">
        <w:rPr>
          <w:rFonts w:ascii="Book Antiqua" w:hAnsi="Book Antiqua" w:cs="Times New Roman"/>
          <w:sz w:val="24"/>
          <w:szCs w:val="24"/>
        </w:rPr>
        <w:t>que esta siga una relación directa con lo registrado en los casos entrados, siendo la Adjunta de Segundo Circuito de San José la que reporta los mayores finiquitos para el bienio 2018-2019, y donde la variación porcentual representó el 10,96% (1.531 casos)</w:t>
      </w:r>
      <w:r w:rsidR="00D15C5B" w:rsidRPr="00365E42">
        <w:rPr>
          <w:rFonts w:ascii="Book Antiqua" w:hAnsi="Book Antiqua" w:cs="Times New Roman"/>
          <w:sz w:val="24"/>
          <w:szCs w:val="24"/>
        </w:rPr>
        <w:t xml:space="preserve"> de más para el último año</w:t>
      </w:r>
      <w:r w:rsidR="001161E2" w:rsidRPr="00365E42">
        <w:rPr>
          <w:rFonts w:ascii="Book Antiqua" w:hAnsi="Book Antiqua" w:cs="Times New Roman"/>
          <w:sz w:val="24"/>
          <w:szCs w:val="24"/>
        </w:rPr>
        <w:t>.</w:t>
      </w:r>
      <w:r w:rsidR="008050B2" w:rsidRPr="00365E42">
        <w:rPr>
          <w:rFonts w:ascii="Book Antiqua" w:hAnsi="Book Antiqua" w:cs="Times New Roman"/>
          <w:sz w:val="24"/>
          <w:szCs w:val="24"/>
        </w:rPr>
        <w:t xml:space="preserve"> </w:t>
      </w:r>
    </w:p>
    <w:p w14:paraId="4D6B94DD" w14:textId="03D0F9E4" w:rsidR="00143AFE" w:rsidRPr="00365E42" w:rsidRDefault="008050B2" w:rsidP="004C1EE3">
      <w:pPr>
        <w:spacing w:line="360" w:lineRule="auto"/>
        <w:jc w:val="both"/>
        <w:rPr>
          <w:rFonts w:ascii="Book Antiqua" w:hAnsi="Book Antiqua" w:cs="Times New Roman"/>
          <w:color w:val="FF0000"/>
          <w:sz w:val="24"/>
          <w:szCs w:val="24"/>
        </w:rPr>
      </w:pPr>
      <w:r w:rsidRPr="00365E42">
        <w:rPr>
          <w:rFonts w:ascii="Book Antiqua" w:hAnsi="Book Antiqua" w:cs="Times New Roman"/>
          <w:sz w:val="24"/>
          <w:szCs w:val="24"/>
        </w:rPr>
        <w:t xml:space="preserve">Para este caso, a nivel absoluto la Fiscalía Adjunta de Pavas es la que representó una mayor variación positiva entre 2018 y 2019, llegando a alcanzar los 5.862 casos (151,83%) de incremento. Este incremento </w:t>
      </w:r>
      <w:r w:rsidR="00074471" w:rsidRPr="00365E42">
        <w:rPr>
          <w:rFonts w:ascii="Book Antiqua" w:hAnsi="Book Antiqua" w:cs="Times New Roman"/>
          <w:sz w:val="24"/>
          <w:szCs w:val="24"/>
        </w:rPr>
        <w:t xml:space="preserve">según conversaciones con el Coordinador Judicial de esta fiscalía, pueden atribuirse a la intervención que realizó la Unidad de Capacitación donde se presentó un incremento en </w:t>
      </w:r>
      <w:r w:rsidR="007C4055" w:rsidRPr="00365E42">
        <w:rPr>
          <w:rFonts w:ascii="Book Antiqua" w:hAnsi="Book Antiqua" w:cs="Times New Roman"/>
          <w:sz w:val="24"/>
          <w:szCs w:val="24"/>
        </w:rPr>
        <w:t xml:space="preserve">la cantidad de </w:t>
      </w:r>
      <w:r w:rsidR="00074471" w:rsidRPr="00365E42">
        <w:rPr>
          <w:rFonts w:ascii="Book Antiqua" w:hAnsi="Book Antiqua" w:cs="Times New Roman"/>
          <w:sz w:val="24"/>
          <w:szCs w:val="24"/>
        </w:rPr>
        <w:t>fiscales que dieron apoyo y soporte en todas las gestiones realizadas p</w:t>
      </w:r>
      <w:r w:rsidR="006F4613" w:rsidRPr="00365E42">
        <w:rPr>
          <w:rFonts w:ascii="Book Antiqua" w:hAnsi="Book Antiqua" w:cs="Times New Roman"/>
          <w:sz w:val="24"/>
          <w:szCs w:val="24"/>
        </w:rPr>
        <w:t>ara el 2019</w:t>
      </w:r>
      <w:r w:rsidR="00074471" w:rsidRPr="00365E42">
        <w:rPr>
          <w:rFonts w:ascii="Book Antiqua" w:hAnsi="Book Antiqua" w:cs="Times New Roman"/>
          <w:sz w:val="24"/>
          <w:szCs w:val="24"/>
        </w:rPr>
        <w:t>.</w:t>
      </w:r>
    </w:p>
    <w:p w14:paraId="6890E397" w14:textId="3E372770" w:rsidR="00EE33B4" w:rsidRPr="00365E42" w:rsidRDefault="00EE33B4"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lastRenderedPageBreak/>
        <w:t xml:space="preserve">Se determina igualmente que los </w:t>
      </w:r>
      <w:r w:rsidR="000E4A9F" w:rsidRPr="00365E42">
        <w:rPr>
          <w:rFonts w:ascii="Book Antiqua" w:hAnsi="Book Antiqua" w:cs="Times New Roman"/>
          <w:sz w:val="24"/>
          <w:szCs w:val="24"/>
        </w:rPr>
        <w:t>motivos de término</w:t>
      </w:r>
      <w:r w:rsidRPr="00365E42">
        <w:rPr>
          <w:rFonts w:ascii="Book Antiqua" w:hAnsi="Book Antiqua" w:cs="Times New Roman"/>
          <w:sz w:val="24"/>
          <w:szCs w:val="24"/>
        </w:rPr>
        <w:t xml:space="preserve"> que más variaciones </w:t>
      </w:r>
      <w:r w:rsidR="000E4A9F" w:rsidRPr="00365E42">
        <w:rPr>
          <w:rFonts w:ascii="Book Antiqua" w:hAnsi="Book Antiqua" w:cs="Times New Roman"/>
          <w:sz w:val="24"/>
          <w:szCs w:val="24"/>
        </w:rPr>
        <w:t xml:space="preserve">mostraron </w:t>
      </w:r>
      <w:r w:rsidRPr="00365E42">
        <w:rPr>
          <w:rFonts w:ascii="Book Antiqua" w:hAnsi="Book Antiqua" w:cs="Times New Roman"/>
          <w:sz w:val="24"/>
          <w:szCs w:val="24"/>
        </w:rPr>
        <w:t xml:space="preserve">para esta fiscalía </w:t>
      </w:r>
      <w:r w:rsidR="000E4A9F" w:rsidRPr="00365E42">
        <w:rPr>
          <w:rFonts w:ascii="Book Antiqua" w:hAnsi="Book Antiqua" w:cs="Times New Roman"/>
          <w:sz w:val="24"/>
          <w:szCs w:val="24"/>
        </w:rPr>
        <w:t xml:space="preserve">y que aportaron para el incremento </w:t>
      </w:r>
      <w:r w:rsidR="00A8391D" w:rsidRPr="00365E42">
        <w:rPr>
          <w:rFonts w:ascii="Book Antiqua" w:hAnsi="Book Antiqua" w:cs="Times New Roman"/>
          <w:sz w:val="24"/>
          <w:szCs w:val="24"/>
        </w:rPr>
        <w:t>me</w:t>
      </w:r>
      <w:r w:rsidR="007050E9" w:rsidRPr="00365E42">
        <w:rPr>
          <w:rFonts w:ascii="Book Antiqua" w:hAnsi="Book Antiqua" w:cs="Times New Roman"/>
          <w:sz w:val="24"/>
          <w:szCs w:val="24"/>
        </w:rPr>
        <w:t>n</w:t>
      </w:r>
      <w:r w:rsidR="00A8391D" w:rsidRPr="00365E42">
        <w:rPr>
          <w:rFonts w:ascii="Book Antiqua" w:hAnsi="Book Antiqua" w:cs="Times New Roman"/>
          <w:sz w:val="24"/>
          <w:szCs w:val="24"/>
        </w:rPr>
        <w:t>cionado</w:t>
      </w:r>
      <w:r w:rsidR="000E4A9F"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fueron: </w:t>
      </w:r>
      <w:r w:rsidRPr="00365E42">
        <w:rPr>
          <w:rFonts w:ascii="Book Antiqua" w:hAnsi="Book Antiqua" w:cs="Times New Roman"/>
          <w:i/>
          <w:iCs/>
          <w:sz w:val="24"/>
          <w:szCs w:val="24"/>
        </w:rPr>
        <w:t>Archivo Fiscal</w:t>
      </w:r>
      <w:r w:rsidRPr="00365E42">
        <w:rPr>
          <w:rFonts w:ascii="Book Antiqua" w:hAnsi="Book Antiqua" w:cs="Times New Roman"/>
          <w:sz w:val="24"/>
          <w:szCs w:val="24"/>
        </w:rPr>
        <w:t xml:space="preserve"> el cual pasa de 445 a 3.290 (639,33% de incremento), </w:t>
      </w:r>
      <w:r w:rsidRPr="00365E42">
        <w:rPr>
          <w:rFonts w:ascii="Book Antiqua" w:hAnsi="Book Antiqua" w:cs="Times New Roman"/>
          <w:i/>
          <w:iCs/>
          <w:sz w:val="24"/>
          <w:szCs w:val="24"/>
        </w:rPr>
        <w:t>Remisión a otro despacho del MP</w:t>
      </w:r>
      <w:r w:rsidRPr="00365E42">
        <w:rPr>
          <w:rFonts w:ascii="Book Antiqua" w:hAnsi="Book Antiqua" w:cs="Times New Roman"/>
          <w:sz w:val="24"/>
          <w:szCs w:val="24"/>
        </w:rPr>
        <w:t xml:space="preserve"> no estaba en el 2018 y registra 710 casos </w:t>
      </w:r>
      <w:r w:rsidR="000E4A9F" w:rsidRPr="00365E42">
        <w:rPr>
          <w:rFonts w:ascii="Book Antiqua" w:hAnsi="Book Antiqua" w:cs="Times New Roman"/>
          <w:sz w:val="24"/>
          <w:szCs w:val="24"/>
        </w:rPr>
        <w:t xml:space="preserve">para este periodo </w:t>
      </w:r>
      <w:r w:rsidRPr="00365E42">
        <w:rPr>
          <w:rFonts w:ascii="Book Antiqua" w:hAnsi="Book Antiqua" w:cs="Times New Roman"/>
          <w:sz w:val="24"/>
          <w:szCs w:val="24"/>
        </w:rPr>
        <w:t xml:space="preserve">y las </w:t>
      </w:r>
      <w:r w:rsidRPr="00365E42">
        <w:rPr>
          <w:rFonts w:ascii="Book Antiqua" w:hAnsi="Book Antiqua" w:cs="Times New Roman"/>
          <w:i/>
          <w:iCs/>
          <w:sz w:val="24"/>
          <w:szCs w:val="24"/>
        </w:rPr>
        <w:t>desestimaciones</w:t>
      </w:r>
      <w:r w:rsidRPr="00365E42">
        <w:rPr>
          <w:rFonts w:ascii="Book Antiqua" w:hAnsi="Book Antiqua" w:cs="Times New Roman"/>
          <w:sz w:val="24"/>
          <w:szCs w:val="24"/>
        </w:rPr>
        <w:t xml:space="preserve"> en general pasan de 1.415 a 3.075 (117,31% de incremento).</w:t>
      </w:r>
    </w:p>
    <w:p w14:paraId="546C1CEF" w14:textId="32750D2D" w:rsidR="00AF3E83" w:rsidRPr="00365E42" w:rsidRDefault="008050B2" w:rsidP="00680F1A">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En el siguiente cuadro puede visualizarse </w:t>
      </w:r>
      <w:r w:rsidR="00FD2209" w:rsidRPr="00365E42">
        <w:rPr>
          <w:rFonts w:ascii="Book Antiqua" w:hAnsi="Book Antiqua" w:cs="Times New Roman"/>
          <w:sz w:val="24"/>
          <w:szCs w:val="24"/>
        </w:rPr>
        <w:t>la tendencia</w:t>
      </w:r>
      <w:r w:rsidRPr="00365E42">
        <w:rPr>
          <w:rFonts w:ascii="Book Antiqua" w:hAnsi="Book Antiqua" w:cs="Times New Roman"/>
          <w:sz w:val="24"/>
          <w:szCs w:val="24"/>
        </w:rPr>
        <w:t xml:space="preserve"> </w:t>
      </w:r>
      <w:r w:rsidR="00660D74" w:rsidRPr="00365E42">
        <w:rPr>
          <w:rFonts w:ascii="Book Antiqua" w:hAnsi="Book Antiqua" w:cs="Times New Roman"/>
          <w:sz w:val="24"/>
          <w:szCs w:val="24"/>
        </w:rPr>
        <w:t xml:space="preserve">registrada para las fiscalías con mayores variaciones </w:t>
      </w:r>
      <w:r w:rsidR="00FD2209" w:rsidRPr="00365E42">
        <w:rPr>
          <w:rFonts w:ascii="Book Antiqua" w:hAnsi="Book Antiqua" w:cs="Times New Roman"/>
          <w:sz w:val="24"/>
          <w:szCs w:val="24"/>
        </w:rPr>
        <w:t>durante</w:t>
      </w:r>
      <w:r w:rsidR="00660D74" w:rsidRPr="00365E42">
        <w:rPr>
          <w:rFonts w:ascii="Book Antiqua" w:hAnsi="Book Antiqua" w:cs="Times New Roman"/>
          <w:sz w:val="24"/>
          <w:szCs w:val="24"/>
        </w:rPr>
        <w:t xml:space="preserve"> el bienio 2018-2019</w:t>
      </w:r>
    </w:p>
    <w:tbl>
      <w:tblPr>
        <w:tblW w:w="5000" w:type="pct"/>
        <w:tblLayout w:type="fixed"/>
        <w:tblCellMar>
          <w:left w:w="70" w:type="dxa"/>
          <w:right w:w="70" w:type="dxa"/>
        </w:tblCellMar>
        <w:tblLook w:val="04A0" w:firstRow="1" w:lastRow="0" w:firstColumn="1" w:lastColumn="0" w:noHBand="0" w:noVBand="1"/>
      </w:tblPr>
      <w:tblGrid>
        <w:gridCol w:w="4253"/>
        <w:gridCol w:w="1131"/>
        <w:gridCol w:w="995"/>
        <w:gridCol w:w="990"/>
        <w:gridCol w:w="1278"/>
        <w:gridCol w:w="191"/>
      </w:tblGrid>
      <w:tr w:rsidR="00765E47" w:rsidRPr="00365E42" w14:paraId="03628A43" w14:textId="77777777" w:rsidTr="00765E47">
        <w:trPr>
          <w:gridAfter w:val="1"/>
          <w:wAfter w:w="108" w:type="pct"/>
          <w:trHeight w:val="455"/>
        </w:trPr>
        <w:tc>
          <w:tcPr>
            <w:tcW w:w="4892" w:type="pct"/>
            <w:gridSpan w:val="5"/>
            <w:vMerge w:val="restart"/>
            <w:tcBorders>
              <w:top w:val="nil"/>
              <w:left w:val="nil"/>
              <w:bottom w:val="single" w:sz="4" w:space="0" w:color="000000"/>
              <w:right w:val="nil"/>
            </w:tcBorders>
            <w:shd w:val="clear" w:color="000000" w:fill="FFFFFF"/>
            <w:vAlign w:val="center"/>
            <w:hideMark/>
          </w:tcPr>
          <w:p w14:paraId="1D77436E" w14:textId="4EA8C202" w:rsidR="00765E47" w:rsidRPr="00365E42" w:rsidRDefault="00765E47" w:rsidP="00765E47">
            <w:pPr>
              <w:spacing w:after="0" w:line="240" w:lineRule="auto"/>
              <w:jc w:val="center"/>
              <w:rPr>
                <w:rFonts w:ascii="Book Antiqua" w:eastAsia="Times New Roman" w:hAnsi="Book Antiqua" w:cs="Calibri"/>
                <w:b/>
                <w:bCs/>
                <w:color w:val="000000"/>
                <w:lang w:eastAsia="es-CR"/>
              </w:rPr>
            </w:pPr>
            <w:r w:rsidRPr="00365E42">
              <w:rPr>
                <w:rFonts w:ascii="Book Antiqua" w:eastAsia="Times New Roman" w:hAnsi="Book Antiqua" w:cs="Calibri"/>
                <w:b/>
                <w:bCs/>
                <w:color w:val="000000"/>
                <w:lang w:eastAsia="es-CR"/>
              </w:rPr>
              <w:t>Cuadro 3. Fiscalías con mayor cantidad de casos terminados durante el bienio 2018-2019</w:t>
            </w:r>
          </w:p>
        </w:tc>
      </w:tr>
      <w:tr w:rsidR="00765E47" w:rsidRPr="00365E42" w14:paraId="16A55622" w14:textId="77777777" w:rsidTr="00765E47">
        <w:trPr>
          <w:trHeight w:val="290"/>
        </w:trPr>
        <w:tc>
          <w:tcPr>
            <w:tcW w:w="4892" w:type="pct"/>
            <w:gridSpan w:val="5"/>
            <w:vMerge/>
            <w:tcBorders>
              <w:top w:val="nil"/>
              <w:left w:val="nil"/>
              <w:bottom w:val="single" w:sz="4" w:space="0" w:color="000000"/>
              <w:right w:val="nil"/>
            </w:tcBorders>
            <w:vAlign w:val="center"/>
            <w:hideMark/>
          </w:tcPr>
          <w:p w14:paraId="765EE1C3" w14:textId="77777777" w:rsidR="00765E47" w:rsidRPr="00365E42" w:rsidRDefault="00765E47" w:rsidP="00765E47">
            <w:pPr>
              <w:spacing w:after="0" w:line="240" w:lineRule="auto"/>
              <w:rPr>
                <w:rFonts w:ascii="Book Antiqua" w:eastAsia="Times New Roman" w:hAnsi="Book Antiqua" w:cs="Calibri"/>
                <w:b/>
                <w:bCs/>
                <w:color w:val="000000"/>
                <w:sz w:val="20"/>
                <w:szCs w:val="20"/>
                <w:lang w:eastAsia="es-CR"/>
              </w:rPr>
            </w:pPr>
          </w:p>
        </w:tc>
        <w:tc>
          <w:tcPr>
            <w:tcW w:w="108" w:type="pct"/>
            <w:tcBorders>
              <w:top w:val="nil"/>
              <w:left w:val="nil"/>
              <w:bottom w:val="nil"/>
              <w:right w:val="nil"/>
            </w:tcBorders>
            <w:shd w:val="clear" w:color="auto" w:fill="auto"/>
            <w:noWrap/>
            <w:vAlign w:val="bottom"/>
            <w:hideMark/>
          </w:tcPr>
          <w:p w14:paraId="3107E33D"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p>
        </w:tc>
      </w:tr>
      <w:tr w:rsidR="00765E47" w:rsidRPr="00365E42" w14:paraId="57E1988D" w14:textId="77777777" w:rsidTr="00765E47">
        <w:trPr>
          <w:trHeight w:val="310"/>
        </w:trPr>
        <w:tc>
          <w:tcPr>
            <w:tcW w:w="2406"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14:paraId="5FE607F4"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Fiscalía</w:t>
            </w:r>
          </w:p>
        </w:tc>
        <w:tc>
          <w:tcPr>
            <w:tcW w:w="120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6CBFEEC"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Casos entrados</w:t>
            </w:r>
          </w:p>
        </w:tc>
        <w:tc>
          <w:tcPr>
            <w:tcW w:w="1283" w:type="pct"/>
            <w:gridSpan w:val="2"/>
            <w:tcBorders>
              <w:left w:val="single" w:sz="4" w:space="0" w:color="auto"/>
              <w:bottom w:val="single" w:sz="4" w:space="0" w:color="auto"/>
            </w:tcBorders>
            <w:shd w:val="clear" w:color="000000" w:fill="FFFFFF"/>
            <w:noWrap/>
            <w:vAlign w:val="center"/>
            <w:hideMark/>
          </w:tcPr>
          <w:p w14:paraId="2AFF7110"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Variación</w:t>
            </w:r>
          </w:p>
        </w:tc>
        <w:tc>
          <w:tcPr>
            <w:tcW w:w="108" w:type="pct"/>
            <w:tcBorders>
              <w:left w:val="nil"/>
            </w:tcBorders>
            <w:vAlign w:val="center"/>
            <w:hideMark/>
          </w:tcPr>
          <w:p w14:paraId="24A137AC"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4CE8DA43" w14:textId="77777777" w:rsidTr="00765E47">
        <w:trPr>
          <w:trHeight w:val="320"/>
        </w:trPr>
        <w:tc>
          <w:tcPr>
            <w:tcW w:w="2406" w:type="pct"/>
            <w:vMerge/>
            <w:tcBorders>
              <w:top w:val="single" w:sz="4" w:space="0" w:color="auto"/>
              <w:left w:val="single" w:sz="4" w:space="0" w:color="auto"/>
              <w:bottom w:val="single" w:sz="8" w:space="0" w:color="000000"/>
              <w:right w:val="single" w:sz="4" w:space="0" w:color="auto"/>
            </w:tcBorders>
            <w:vAlign w:val="center"/>
            <w:hideMark/>
          </w:tcPr>
          <w:p w14:paraId="04A6359D" w14:textId="77777777" w:rsidR="00765E47" w:rsidRPr="00365E42" w:rsidRDefault="00765E47" w:rsidP="00765E47">
            <w:pPr>
              <w:spacing w:after="0" w:line="240" w:lineRule="auto"/>
              <w:rPr>
                <w:rFonts w:ascii="Book Antiqua" w:eastAsia="Times New Roman" w:hAnsi="Book Antiqua" w:cs="Calibri"/>
                <w:b/>
                <w:bCs/>
                <w:color w:val="000000"/>
                <w:sz w:val="20"/>
                <w:szCs w:val="20"/>
                <w:lang w:eastAsia="es-CR"/>
              </w:rPr>
            </w:pPr>
          </w:p>
        </w:tc>
        <w:tc>
          <w:tcPr>
            <w:tcW w:w="640" w:type="pct"/>
            <w:tcBorders>
              <w:top w:val="single" w:sz="4" w:space="0" w:color="auto"/>
              <w:left w:val="nil"/>
              <w:bottom w:val="single" w:sz="8" w:space="0" w:color="auto"/>
              <w:right w:val="single" w:sz="4" w:space="0" w:color="auto"/>
            </w:tcBorders>
            <w:shd w:val="clear" w:color="000000" w:fill="FFFFFF"/>
            <w:noWrap/>
            <w:vAlign w:val="center"/>
            <w:hideMark/>
          </w:tcPr>
          <w:p w14:paraId="77637A16"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2018</w:t>
            </w:r>
          </w:p>
        </w:tc>
        <w:tc>
          <w:tcPr>
            <w:tcW w:w="563" w:type="pct"/>
            <w:tcBorders>
              <w:top w:val="single" w:sz="4" w:space="0" w:color="auto"/>
              <w:left w:val="nil"/>
              <w:bottom w:val="single" w:sz="8" w:space="0" w:color="auto"/>
              <w:right w:val="single" w:sz="4" w:space="0" w:color="auto"/>
            </w:tcBorders>
            <w:shd w:val="clear" w:color="000000" w:fill="FFFFFF"/>
            <w:noWrap/>
            <w:vAlign w:val="center"/>
            <w:hideMark/>
          </w:tcPr>
          <w:p w14:paraId="3E4F84B8"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2019</w:t>
            </w:r>
          </w:p>
        </w:tc>
        <w:tc>
          <w:tcPr>
            <w:tcW w:w="560" w:type="pct"/>
            <w:tcBorders>
              <w:top w:val="single" w:sz="4" w:space="0" w:color="auto"/>
              <w:left w:val="nil"/>
              <w:bottom w:val="single" w:sz="8" w:space="0" w:color="auto"/>
              <w:right w:val="single" w:sz="4" w:space="0" w:color="auto"/>
            </w:tcBorders>
            <w:shd w:val="clear" w:color="000000" w:fill="FFFFFF"/>
            <w:noWrap/>
            <w:vAlign w:val="center"/>
            <w:hideMark/>
          </w:tcPr>
          <w:p w14:paraId="0BA361E3"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Absoluta</w:t>
            </w:r>
          </w:p>
        </w:tc>
        <w:tc>
          <w:tcPr>
            <w:tcW w:w="723" w:type="pct"/>
            <w:tcBorders>
              <w:top w:val="single" w:sz="4" w:space="0" w:color="auto"/>
              <w:left w:val="nil"/>
              <w:bottom w:val="single" w:sz="8" w:space="0" w:color="auto"/>
              <w:right w:val="nil"/>
            </w:tcBorders>
            <w:shd w:val="clear" w:color="000000" w:fill="FFFFFF"/>
            <w:noWrap/>
            <w:vAlign w:val="center"/>
            <w:hideMark/>
          </w:tcPr>
          <w:p w14:paraId="15EEE92E" w14:textId="77777777" w:rsidR="00765E47" w:rsidRPr="00365E42" w:rsidRDefault="00765E47" w:rsidP="00765E47">
            <w:pPr>
              <w:spacing w:after="0" w:line="240" w:lineRule="auto"/>
              <w:jc w:val="center"/>
              <w:rPr>
                <w:rFonts w:ascii="Book Antiqua" w:eastAsia="Times New Roman" w:hAnsi="Book Antiqua" w:cs="Calibri"/>
                <w:b/>
                <w:bCs/>
                <w:color w:val="000000"/>
                <w:sz w:val="20"/>
                <w:szCs w:val="20"/>
                <w:lang w:eastAsia="es-CR"/>
              </w:rPr>
            </w:pPr>
            <w:r w:rsidRPr="00365E42">
              <w:rPr>
                <w:rFonts w:ascii="Book Antiqua" w:eastAsia="Times New Roman" w:hAnsi="Book Antiqua" w:cs="Calibri"/>
                <w:b/>
                <w:bCs/>
                <w:color w:val="000000"/>
                <w:sz w:val="20"/>
                <w:szCs w:val="20"/>
                <w:lang w:eastAsia="es-CR"/>
              </w:rPr>
              <w:t>Porcentual</w:t>
            </w:r>
          </w:p>
        </w:tc>
        <w:tc>
          <w:tcPr>
            <w:tcW w:w="108" w:type="pct"/>
            <w:vAlign w:val="center"/>
            <w:hideMark/>
          </w:tcPr>
          <w:p w14:paraId="09744788"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2B899FDD" w14:textId="77777777" w:rsidTr="00765E47">
        <w:trPr>
          <w:trHeight w:val="310"/>
        </w:trPr>
        <w:tc>
          <w:tcPr>
            <w:tcW w:w="2406" w:type="pct"/>
            <w:tcBorders>
              <w:top w:val="nil"/>
              <w:left w:val="nil"/>
              <w:bottom w:val="nil"/>
              <w:right w:val="nil"/>
            </w:tcBorders>
            <w:shd w:val="clear" w:color="000000" w:fill="FFFFFF"/>
            <w:noWrap/>
            <w:vAlign w:val="bottom"/>
            <w:hideMark/>
          </w:tcPr>
          <w:p w14:paraId="1C0A1C7A"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II Circ. Jud. San José</w:t>
            </w:r>
          </w:p>
        </w:tc>
        <w:tc>
          <w:tcPr>
            <w:tcW w:w="640" w:type="pct"/>
            <w:tcBorders>
              <w:top w:val="nil"/>
              <w:left w:val="nil"/>
              <w:bottom w:val="nil"/>
              <w:right w:val="nil"/>
            </w:tcBorders>
            <w:shd w:val="clear" w:color="000000" w:fill="FFFFFF"/>
            <w:noWrap/>
            <w:vAlign w:val="center"/>
            <w:hideMark/>
          </w:tcPr>
          <w:p w14:paraId="4AF32985"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13 972</w:t>
            </w:r>
          </w:p>
        </w:tc>
        <w:tc>
          <w:tcPr>
            <w:tcW w:w="563" w:type="pct"/>
            <w:tcBorders>
              <w:top w:val="nil"/>
              <w:left w:val="nil"/>
              <w:bottom w:val="nil"/>
              <w:right w:val="nil"/>
            </w:tcBorders>
            <w:shd w:val="clear" w:color="000000" w:fill="FFFFFF"/>
            <w:noWrap/>
            <w:vAlign w:val="center"/>
            <w:hideMark/>
          </w:tcPr>
          <w:p w14:paraId="6D8CABCE"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15 503</w:t>
            </w:r>
          </w:p>
        </w:tc>
        <w:tc>
          <w:tcPr>
            <w:tcW w:w="560" w:type="pct"/>
            <w:tcBorders>
              <w:top w:val="nil"/>
              <w:left w:val="nil"/>
              <w:bottom w:val="nil"/>
              <w:right w:val="nil"/>
            </w:tcBorders>
            <w:shd w:val="clear" w:color="000000" w:fill="FFFFFF"/>
            <w:noWrap/>
            <w:vAlign w:val="center"/>
            <w:hideMark/>
          </w:tcPr>
          <w:p w14:paraId="48A7EB88"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1 531</w:t>
            </w:r>
          </w:p>
        </w:tc>
        <w:tc>
          <w:tcPr>
            <w:tcW w:w="723" w:type="pct"/>
            <w:tcBorders>
              <w:top w:val="nil"/>
              <w:left w:val="nil"/>
              <w:bottom w:val="nil"/>
              <w:right w:val="nil"/>
            </w:tcBorders>
            <w:shd w:val="clear" w:color="000000" w:fill="FFFFFF"/>
            <w:noWrap/>
            <w:vAlign w:val="center"/>
            <w:hideMark/>
          </w:tcPr>
          <w:p w14:paraId="6D03973F"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10,96%</w:t>
            </w:r>
          </w:p>
        </w:tc>
        <w:tc>
          <w:tcPr>
            <w:tcW w:w="108" w:type="pct"/>
            <w:vAlign w:val="center"/>
            <w:hideMark/>
          </w:tcPr>
          <w:p w14:paraId="3DCE39BB"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4D78DE4F" w14:textId="77777777" w:rsidTr="00765E47">
        <w:trPr>
          <w:trHeight w:val="310"/>
        </w:trPr>
        <w:tc>
          <w:tcPr>
            <w:tcW w:w="2406" w:type="pct"/>
            <w:tcBorders>
              <w:top w:val="nil"/>
              <w:left w:val="nil"/>
              <w:bottom w:val="nil"/>
              <w:right w:val="nil"/>
            </w:tcBorders>
            <w:shd w:val="clear" w:color="000000" w:fill="FFFFFF"/>
            <w:noWrap/>
            <w:vAlign w:val="bottom"/>
            <w:hideMark/>
          </w:tcPr>
          <w:p w14:paraId="59C6AE76"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Unidad de Trámite Rápido del Ministerio Público</w:t>
            </w:r>
          </w:p>
        </w:tc>
        <w:tc>
          <w:tcPr>
            <w:tcW w:w="640" w:type="pct"/>
            <w:tcBorders>
              <w:top w:val="nil"/>
              <w:left w:val="nil"/>
              <w:bottom w:val="nil"/>
              <w:right w:val="nil"/>
            </w:tcBorders>
            <w:shd w:val="clear" w:color="000000" w:fill="FFFFFF"/>
            <w:noWrap/>
            <w:vAlign w:val="center"/>
            <w:hideMark/>
          </w:tcPr>
          <w:p w14:paraId="361FC227"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10 482</w:t>
            </w:r>
          </w:p>
        </w:tc>
        <w:tc>
          <w:tcPr>
            <w:tcW w:w="563" w:type="pct"/>
            <w:tcBorders>
              <w:top w:val="nil"/>
              <w:left w:val="nil"/>
              <w:bottom w:val="nil"/>
              <w:right w:val="nil"/>
            </w:tcBorders>
            <w:shd w:val="clear" w:color="000000" w:fill="FFFFFF"/>
            <w:noWrap/>
            <w:vAlign w:val="center"/>
            <w:hideMark/>
          </w:tcPr>
          <w:p w14:paraId="7B683179"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14 414</w:t>
            </w:r>
          </w:p>
        </w:tc>
        <w:tc>
          <w:tcPr>
            <w:tcW w:w="560" w:type="pct"/>
            <w:tcBorders>
              <w:top w:val="nil"/>
              <w:left w:val="nil"/>
              <w:bottom w:val="nil"/>
              <w:right w:val="nil"/>
            </w:tcBorders>
            <w:shd w:val="clear" w:color="000000" w:fill="FFFFFF"/>
            <w:noWrap/>
            <w:vAlign w:val="center"/>
            <w:hideMark/>
          </w:tcPr>
          <w:p w14:paraId="673EF0F5"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3 932</w:t>
            </w:r>
          </w:p>
        </w:tc>
        <w:tc>
          <w:tcPr>
            <w:tcW w:w="723" w:type="pct"/>
            <w:tcBorders>
              <w:top w:val="nil"/>
              <w:left w:val="nil"/>
              <w:bottom w:val="nil"/>
              <w:right w:val="nil"/>
            </w:tcBorders>
            <w:shd w:val="clear" w:color="000000" w:fill="FFFFFF"/>
            <w:noWrap/>
            <w:vAlign w:val="center"/>
            <w:hideMark/>
          </w:tcPr>
          <w:p w14:paraId="74AEC689"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37,51%</w:t>
            </w:r>
          </w:p>
        </w:tc>
        <w:tc>
          <w:tcPr>
            <w:tcW w:w="108" w:type="pct"/>
            <w:vAlign w:val="center"/>
            <w:hideMark/>
          </w:tcPr>
          <w:p w14:paraId="7003664F"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23B26C26" w14:textId="77777777" w:rsidTr="00765E47">
        <w:trPr>
          <w:trHeight w:val="310"/>
        </w:trPr>
        <w:tc>
          <w:tcPr>
            <w:tcW w:w="2406" w:type="pct"/>
            <w:tcBorders>
              <w:top w:val="nil"/>
              <w:left w:val="nil"/>
              <w:bottom w:val="nil"/>
              <w:right w:val="nil"/>
            </w:tcBorders>
            <w:shd w:val="clear" w:color="000000" w:fill="FFFFFF"/>
            <w:noWrap/>
            <w:vAlign w:val="bottom"/>
            <w:hideMark/>
          </w:tcPr>
          <w:p w14:paraId="30F54F0C"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 Circ. Jud. Alajuela</w:t>
            </w:r>
          </w:p>
        </w:tc>
        <w:tc>
          <w:tcPr>
            <w:tcW w:w="640" w:type="pct"/>
            <w:tcBorders>
              <w:top w:val="nil"/>
              <w:left w:val="nil"/>
              <w:bottom w:val="nil"/>
              <w:right w:val="nil"/>
            </w:tcBorders>
            <w:shd w:val="clear" w:color="000000" w:fill="FFFFFF"/>
            <w:noWrap/>
            <w:vAlign w:val="center"/>
            <w:hideMark/>
          </w:tcPr>
          <w:p w14:paraId="4DE64ABD"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14 211</w:t>
            </w:r>
          </w:p>
        </w:tc>
        <w:tc>
          <w:tcPr>
            <w:tcW w:w="563" w:type="pct"/>
            <w:tcBorders>
              <w:top w:val="nil"/>
              <w:left w:val="nil"/>
              <w:bottom w:val="nil"/>
              <w:right w:val="nil"/>
            </w:tcBorders>
            <w:shd w:val="clear" w:color="000000" w:fill="FFFFFF"/>
            <w:noWrap/>
            <w:vAlign w:val="center"/>
            <w:hideMark/>
          </w:tcPr>
          <w:p w14:paraId="16CE0429"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13 932</w:t>
            </w:r>
          </w:p>
        </w:tc>
        <w:tc>
          <w:tcPr>
            <w:tcW w:w="560" w:type="pct"/>
            <w:tcBorders>
              <w:top w:val="nil"/>
              <w:left w:val="nil"/>
              <w:bottom w:val="nil"/>
              <w:right w:val="nil"/>
            </w:tcBorders>
            <w:shd w:val="clear" w:color="000000" w:fill="FFFFFF"/>
            <w:noWrap/>
            <w:vAlign w:val="center"/>
            <w:hideMark/>
          </w:tcPr>
          <w:p w14:paraId="78826804"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-279</w:t>
            </w:r>
          </w:p>
        </w:tc>
        <w:tc>
          <w:tcPr>
            <w:tcW w:w="723" w:type="pct"/>
            <w:tcBorders>
              <w:top w:val="nil"/>
              <w:left w:val="nil"/>
              <w:bottom w:val="nil"/>
              <w:right w:val="nil"/>
            </w:tcBorders>
            <w:shd w:val="clear" w:color="000000" w:fill="FFFFFF"/>
            <w:noWrap/>
            <w:vAlign w:val="center"/>
            <w:hideMark/>
          </w:tcPr>
          <w:p w14:paraId="3DDD5A76"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-1,96%</w:t>
            </w:r>
          </w:p>
        </w:tc>
        <w:tc>
          <w:tcPr>
            <w:tcW w:w="108" w:type="pct"/>
            <w:vAlign w:val="center"/>
            <w:hideMark/>
          </w:tcPr>
          <w:p w14:paraId="6FE44831"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49847C2D" w14:textId="77777777" w:rsidTr="00765E47">
        <w:trPr>
          <w:trHeight w:val="310"/>
        </w:trPr>
        <w:tc>
          <w:tcPr>
            <w:tcW w:w="2406" w:type="pct"/>
            <w:tcBorders>
              <w:top w:val="nil"/>
              <w:left w:val="nil"/>
              <w:bottom w:val="nil"/>
              <w:right w:val="nil"/>
            </w:tcBorders>
            <w:shd w:val="clear" w:color="000000" w:fill="FFFFFF"/>
            <w:noWrap/>
            <w:vAlign w:val="bottom"/>
            <w:hideMark/>
          </w:tcPr>
          <w:p w14:paraId="0EEBBA76"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de Heredia</w:t>
            </w:r>
          </w:p>
        </w:tc>
        <w:tc>
          <w:tcPr>
            <w:tcW w:w="640" w:type="pct"/>
            <w:tcBorders>
              <w:top w:val="nil"/>
              <w:left w:val="nil"/>
              <w:bottom w:val="nil"/>
              <w:right w:val="nil"/>
            </w:tcBorders>
            <w:shd w:val="clear" w:color="000000" w:fill="FFFFFF"/>
            <w:noWrap/>
            <w:vAlign w:val="center"/>
            <w:hideMark/>
          </w:tcPr>
          <w:p w14:paraId="045CED61"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10 619</w:t>
            </w:r>
          </w:p>
        </w:tc>
        <w:tc>
          <w:tcPr>
            <w:tcW w:w="563" w:type="pct"/>
            <w:tcBorders>
              <w:top w:val="nil"/>
              <w:left w:val="nil"/>
              <w:bottom w:val="nil"/>
              <w:right w:val="nil"/>
            </w:tcBorders>
            <w:shd w:val="clear" w:color="000000" w:fill="FFFFFF"/>
            <w:noWrap/>
            <w:vAlign w:val="center"/>
            <w:hideMark/>
          </w:tcPr>
          <w:p w14:paraId="7C0B51AA"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12 097</w:t>
            </w:r>
          </w:p>
        </w:tc>
        <w:tc>
          <w:tcPr>
            <w:tcW w:w="560" w:type="pct"/>
            <w:tcBorders>
              <w:top w:val="nil"/>
              <w:left w:val="nil"/>
              <w:bottom w:val="nil"/>
              <w:right w:val="nil"/>
            </w:tcBorders>
            <w:shd w:val="clear" w:color="000000" w:fill="FFFFFF"/>
            <w:noWrap/>
            <w:vAlign w:val="center"/>
            <w:hideMark/>
          </w:tcPr>
          <w:p w14:paraId="5948E622"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1 478</w:t>
            </w:r>
          </w:p>
        </w:tc>
        <w:tc>
          <w:tcPr>
            <w:tcW w:w="723" w:type="pct"/>
            <w:tcBorders>
              <w:top w:val="nil"/>
              <w:left w:val="nil"/>
              <w:bottom w:val="nil"/>
              <w:right w:val="nil"/>
            </w:tcBorders>
            <w:shd w:val="clear" w:color="000000" w:fill="FFFFFF"/>
            <w:noWrap/>
            <w:vAlign w:val="center"/>
            <w:hideMark/>
          </w:tcPr>
          <w:p w14:paraId="5CB19E76"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13,92%</w:t>
            </w:r>
          </w:p>
        </w:tc>
        <w:tc>
          <w:tcPr>
            <w:tcW w:w="108" w:type="pct"/>
            <w:vAlign w:val="center"/>
            <w:hideMark/>
          </w:tcPr>
          <w:p w14:paraId="2518F53A"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02418C0A" w14:textId="77777777" w:rsidTr="00765E47">
        <w:trPr>
          <w:trHeight w:val="310"/>
        </w:trPr>
        <w:tc>
          <w:tcPr>
            <w:tcW w:w="2406" w:type="pct"/>
            <w:tcBorders>
              <w:top w:val="nil"/>
              <w:left w:val="nil"/>
              <w:bottom w:val="nil"/>
              <w:right w:val="nil"/>
            </w:tcBorders>
            <w:shd w:val="clear" w:color="000000" w:fill="FFFFFF"/>
            <w:noWrap/>
            <w:vAlign w:val="bottom"/>
            <w:hideMark/>
          </w:tcPr>
          <w:p w14:paraId="7A9C9679"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de Cartago</w:t>
            </w:r>
          </w:p>
        </w:tc>
        <w:tc>
          <w:tcPr>
            <w:tcW w:w="640" w:type="pct"/>
            <w:tcBorders>
              <w:top w:val="nil"/>
              <w:left w:val="nil"/>
              <w:bottom w:val="nil"/>
              <w:right w:val="nil"/>
            </w:tcBorders>
            <w:shd w:val="clear" w:color="000000" w:fill="FFFFFF"/>
            <w:noWrap/>
            <w:vAlign w:val="center"/>
            <w:hideMark/>
          </w:tcPr>
          <w:p w14:paraId="64458EC6"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8 519</w:t>
            </w:r>
          </w:p>
        </w:tc>
        <w:tc>
          <w:tcPr>
            <w:tcW w:w="563" w:type="pct"/>
            <w:tcBorders>
              <w:top w:val="nil"/>
              <w:left w:val="nil"/>
              <w:bottom w:val="nil"/>
              <w:right w:val="nil"/>
            </w:tcBorders>
            <w:shd w:val="clear" w:color="000000" w:fill="FFFFFF"/>
            <w:noWrap/>
            <w:vAlign w:val="center"/>
            <w:hideMark/>
          </w:tcPr>
          <w:p w14:paraId="5B8334A5"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10 400</w:t>
            </w:r>
          </w:p>
        </w:tc>
        <w:tc>
          <w:tcPr>
            <w:tcW w:w="560" w:type="pct"/>
            <w:tcBorders>
              <w:top w:val="nil"/>
              <w:left w:val="nil"/>
              <w:bottom w:val="nil"/>
              <w:right w:val="nil"/>
            </w:tcBorders>
            <w:shd w:val="clear" w:color="000000" w:fill="FFFFFF"/>
            <w:noWrap/>
            <w:vAlign w:val="center"/>
            <w:hideMark/>
          </w:tcPr>
          <w:p w14:paraId="53877B4D"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1 881</w:t>
            </w:r>
          </w:p>
        </w:tc>
        <w:tc>
          <w:tcPr>
            <w:tcW w:w="723" w:type="pct"/>
            <w:tcBorders>
              <w:top w:val="nil"/>
              <w:left w:val="nil"/>
              <w:bottom w:val="nil"/>
              <w:right w:val="nil"/>
            </w:tcBorders>
            <w:shd w:val="clear" w:color="000000" w:fill="FFFFFF"/>
            <w:noWrap/>
            <w:vAlign w:val="center"/>
            <w:hideMark/>
          </w:tcPr>
          <w:p w14:paraId="0F921F41"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22,08%</w:t>
            </w:r>
          </w:p>
        </w:tc>
        <w:tc>
          <w:tcPr>
            <w:tcW w:w="108" w:type="pct"/>
            <w:vAlign w:val="center"/>
            <w:hideMark/>
          </w:tcPr>
          <w:p w14:paraId="73C5B1C3"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6D0AA197" w14:textId="77777777" w:rsidTr="00765E47">
        <w:trPr>
          <w:trHeight w:val="310"/>
        </w:trPr>
        <w:tc>
          <w:tcPr>
            <w:tcW w:w="2406" w:type="pct"/>
            <w:tcBorders>
              <w:top w:val="nil"/>
              <w:left w:val="nil"/>
              <w:bottom w:val="nil"/>
              <w:right w:val="nil"/>
            </w:tcBorders>
            <w:shd w:val="clear" w:color="000000" w:fill="FFFFFF"/>
            <w:noWrap/>
            <w:vAlign w:val="bottom"/>
            <w:hideMark/>
          </w:tcPr>
          <w:p w14:paraId="27A61B66"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Pavas</w:t>
            </w:r>
          </w:p>
        </w:tc>
        <w:tc>
          <w:tcPr>
            <w:tcW w:w="640" w:type="pct"/>
            <w:tcBorders>
              <w:top w:val="nil"/>
              <w:left w:val="nil"/>
              <w:bottom w:val="nil"/>
              <w:right w:val="nil"/>
            </w:tcBorders>
            <w:shd w:val="clear" w:color="000000" w:fill="FFFFFF"/>
            <w:noWrap/>
            <w:vAlign w:val="center"/>
            <w:hideMark/>
          </w:tcPr>
          <w:p w14:paraId="2A75E1A3"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3 861</w:t>
            </w:r>
          </w:p>
        </w:tc>
        <w:tc>
          <w:tcPr>
            <w:tcW w:w="563" w:type="pct"/>
            <w:tcBorders>
              <w:top w:val="nil"/>
              <w:left w:val="nil"/>
              <w:bottom w:val="nil"/>
              <w:right w:val="nil"/>
            </w:tcBorders>
            <w:shd w:val="clear" w:color="000000" w:fill="FFFFFF"/>
            <w:noWrap/>
            <w:vAlign w:val="center"/>
            <w:hideMark/>
          </w:tcPr>
          <w:p w14:paraId="075E02EF"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9 723</w:t>
            </w:r>
          </w:p>
        </w:tc>
        <w:tc>
          <w:tcPr>
            <w:tcW w:w="560" w:type="pct"/>
            <w:tcBorders>
              <w:top w:val="nil"/>
              <w:left w:val="nil"/>
              <w:bottom w:val="nil"/>
              <w:right w:val="nil"/>
            </w:tcBorders>
            <w:shd w:val="clear" w:color="000000" w:fill="FFFFFF"/>
            <w:noWrap/>
            <w:vAlign w:val="center"/>
            <w:hideMark/>
          </w:tcPr>
          <w:p w14:paraId="3CA340B3"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5 862</w:t>
            </w:r>
          </w:p>
        </w:tc>
        <w:tc>
          <w:tcPr>
            <w:tcW w:w="723" w:type="pct"/>
            <w:tcBorders>
              <w:top w:val="nil"/>
              <w:left w:val="nil"/>
              <w:bottom w:val="nil"/>
              <w:right w:val="nil"/>
            </w:tcBorders>
            <w:shd w:val="clear" w:color="000000" w:fill="FFFFFF"/>
            <w:noWrap/>
            <w:vAlign w:val="center"/>
            <w:hideMark/>
          </w:tcPr>
          <w:p w14:paraId="5DF5DD81"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151,83%</w:t>
            </w:r>
          </w:p>
        </w:tc>
        <w:tc>
          <w:tcPr>
            <w:tcW w:w="108" w:type="pct"/>
            <w:vAlign w:val="center"/>
            <w:hideMark/>
          </w:tcPr>
          <w:p w14:paraId="3C3F8CD5"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67445285" w14:textId="77777777" w:rsidTr="00765E47">
        <w:trPr>
          <w:trHeight w:val="310"/>
        </w:trPr>
        <w:tc>
          <w:tcPr>
            <w:tcW w:w="2406" w:type="pct"/>
            <w:tcBorders>
              <w:top w:val="nil"/>
              <w:left w:val="nil"/>
              <w:bottom w:val="nil"/>
              <w:right w:val="nil"/>
            </w:tcBorders>
            <w:shd w:val="clear" w:color="000000" w:fill="FFFFFF"/>
            <w:noWrap/>
            <w:vAlign w:val="bottom"/>
            <w:hideMark/>
          </w:tcPr>
          <w:p w14:paraId="4BE6125E"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Fiscalía Adj. I Circ. Jud. Zona Sur</w:t>
            </w:r>
          </w:p>
        </w:tc>
        <w:tc>
          <w:tcPr>
            <w:tcW w:w="640" w:type="pct"/>
            <w:tcBorders>
              <w:top w:val="nil"/>
              <w:left w:val="nil"/>
              <w:bottom w:val="nil"/>
              <w:right w:val="nil"/>
            </w:tcBorders>
            <w:shd w:val="clear" w:color="000000" w:fill="FFFFFF"/>
            <w:noWrap/>
            <w:vAlign w:val="center"/>
            <w:hideMark/>
          </w:tcPr>
          <w:p w14:paraId="545B8B5F"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5 379</w:t>
            </w:r>
          </w:p>
        </w:tc>
        <w:tc>
          <w:tcPr>
            <w:tcW w:w="563" w:type="pct"/>
            <w:tcBorders>
              <w:top w:val="nil"/>
              <w:left w:val="nil"/>
              <w:bottom w:val="nil"/>
              <w:right w:val="nil"/>
            </w:tcBorders>
            <w:shd w:val="clear" w:color="000000" w:fill="FFFFFF"/>
            <w:noWrap/>
            <w:vAlign w:val="center"/>
            <w:hideMark/>
          </w:tcPr>
          <w:p w14:paraId="56FE9294"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9 519</w:t>
            </w:r>
          </w:p>
        </w:tc>
        <w:tc>
          <w:tcPr>
            <w:tcW w:w="560" w:type="pct"/>
            <w:tcBorders>
              <w:top w:val="nil"/>
              <w:left w:val="nil"/>
              <w:bottom w:val="nil"/>
              <w:right w:val="nil"/>
            </w:tcBorders>
            <w:shd w:val="clear" w:color="000000" w:fill="FFFFFF"/>
            <w:noWrap/>
            <w:vAlign w:val="center"/>
            <w:hideMark/>
          </w:tcPr>
          <w:p w14:paraId="7F4A1426"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4 140</w:t>
            </w:r>
          </w:p>
        </w:tc>
        <w:tc>
          <w:tcPr>
            <w:tcW w:w="723" w:type="pct"/>
            <w:tcBorders>
              <w:top w:val="nil"/>
              <w:left w:val="nil"/>
              <w:bottom w:val="nil"/>
              <w:right w:val="nil"/>
            </w:tcBorders>
            <w:shd w:val="clear" w:color="000000" w:fill="FFFFFF"/>
            <w:noWrap/>
            <w:vAlign w:val="center"/>
            <w:hideMark/>
          </w:tcPr>
          <w:p w14:paraId="57F3F495"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76,97%</w:t>
            </w:r>
          </w:p>
        </w:tc>
        <w:tc>
          <w:tcPr>
            <w:tcW w:w="108" w:type="pct"/>
            <w:vAlign w:val="center"/>
            <w:hideMark/>
          </w:tcPr>
          <w:p w14:paraId="44FADEDB"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5694769E" w14:textId="77777777" w:rsidTr="00765E47">
        <w:trPr>
          <w:trHeight w:val="320"/>
        </w:trPr>
        <w:tc>
          <w:tcPr>
            <w:tcW w:w="2406" w:type="pct"/>
            <w:tcBorders>
              <w:top w:val="nil"/>
              <w:left w:val="nil"/>
              <w:bottom w:val="single" w:sz="8" w:space="0" w:color="auto"/>
              <w:right w:val="nil"/>
            </w:tcBorders>
            <w:shd w:val="clear" w:color="000000" w:fill="FFFFFF"/>
            <w:noWrap/>
            <w:vAlign w:val="bottom"/>
            <w:hideMark/>
          </w:tcPr>
          <w:p w14:paraId="431EA5C9" w14:textId="77777777"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 xml:space="preserve">Fiscalía Adj. II Circ. Jud. Zona Atlántica </w:t>
            </w:r>
          </w:p>
        </w:tc>
        <w:tc>
          <w:tcPr>
            <w:tcW w:w="640" w:type="pct"/>
            <w:tcBorders>
              <w:top w:val="nil"/>
              <w:left w:val="nil"/>
              <w:bottom w:val="single" w:sz="8" w:space="0" w:color="auto"/>
              <w:right w:val="nil"/>
            </w:tcBorders>
            <w:shd w:val="clear" w:color="000000" w:fill="FFFFFF"/>
            <w:noWrap/>
            <w:vAlign w:val="center"/>
            <w:hideMark/>
          </w:tcPr>
          <w:p w14:paraId="09CAF853"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7 261</w:t>
            </w:r>
          </w:p>
        </w:tc>
        <w:tc>
          <w:tcPr>
            <w:tcW w:w="563" w:type="pct"/>
            <w:tcBorders>
              <w:top w:val="nil"/>
              <w:left w:val="nil"/>
              <w:bottom w:val="single" w:sz="8" w:space="0" w:color="auto"/>
              <w:right w:val="nil"/>
            </w:tcBorders>
            <w:shd w:val="clear" w:color="000000" w:fill="FFFFFF"/>
            <w:noWrap/>
            <w:vAlign w:val="center"/>
            <w:hideMark/>
          </w:tcPr>
          <w:p w14:paraId="4AA535A2"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7 739</w:t>
            </w:r>
          </w:p>
        </w:tc>
        <w:tc>
          <w:tcPr>
            <w:tcW w:w="560" w:type="pct"/>
            <w:tcBorders>
              <w:top w:val="nil"/>
              <w:left w:val="nil"/>
              <w:bottom w:val="single" w:sz="8" w:space="0" w:color="auto"/>
              <w:right w:val="nil"/>
            </w:tcBorders>
            <w:shd w:val="clear" w:color="000000" w:fill="FFFFFF"/>
            <w:noWrap/>
            <w:vAlign w:val="center"/>
            <w:hideMark/>
          </w:tcPr>
          <w:p w14:paraId="3F076B82"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478</w:t>
            </w:r>
          </w:p>
        </w:tc>
        <w:tc>
          <w:tcPr>
            <w:tcW w:w="723" w:type="pct"/>
            <w:tcBorders>
              <w:top w:val="nil"/>
              <w:left w:val="nil"/>
              <w:bottom w:val="single" w:sz="8" w:space="0" w:color="auto"/>
              <w:right w:val="nil"/>
            </w:tcBorders>
            <w:shd w:val="clear" w:color="000000" w:fill="FFFFFF"/>
            <w:noWrap/>
            <w:vAlign w:val="center"/>
            <w:hideMark/>
          </w:tcPr>
          <w:p w14:paraId="1AB42409" w14:textId="77777777" w:rsidR="00765E47" w:rsidRPr="00365E42" w:rsidRDefault="00765E47" w:rsidP="00765E47">
            <w:pPr>
              <w:spacing w:after="0" w:line="240" w:lineRule="auto"/>
              <w:jc w:val="center"/>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6,58%</w:t>
            </w:r>
          </w:p>
        </w:tc>
        <w:tc>
          <w:tcPr>
            <w:tcW w:w="108" w:type="pct"/>
            <w:vAlign w:val="center"/>
            <w:hideMark/>
          </w:tcPr>
          <w:p w14:paraId="0BD71D87"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r w:rsidR="00765E47" w:rsidRPr="00365E42" w14:paraId="4FC3EB3D" w14:textId="77777777" w:rsidTr="00765E47">
        <w:trPr>
          <w:trHeight w:val="290"/>
        </w:trPr>
        <w:tc>
          <w:tcPr>
            <w:tcW w:w="4892" w:type="pct"/>
            <w:gridSpan w:val="5"/>
            <w:tcBorders>
              <w:top w:val="nil"/>
              <w:left w:val="nil"/>
              <w:bottom w:val="nil"/>
              <w:right w:val="nil"/>
            </w:tcBorders>
            <w:shd w:val="clear" w:color="000000" w:fill="FFFFFF"/>
            <w:noWrap/>
            <w:vAlign w:val="bottom"/>
            <w:hideMark/>
          </w:tcPr>
          <w:p w14:paraId="292F2442" w14:textId="1552DF93" w:rsidR="00765E47" w:rsidRPr="00365E42" w:rsidRDefault="00765E47" w:rsidP="00765E47">
            <w:pPr>
              <w:spacing w:after="0" w:line="240" w:lineRule="auto"/>
              <w:rPr>
                <w:rFonts w:ascii="Book Antiqua" w:eastAsia="Times New Roman" w:hAnsi="Book Antiqua" w:cs="Calibri"/>
                <w:color w:val="000000"/>
                <w:sz w:val="20"/>
                <w:szCs w:val="20"/>
                <w:lang w:eastAsia="es-CR"/>
              </w:rPr>
            </w:pPr>
            <w:r w:rsidRPr="00365E42">
              <w:rPr>
                <w:rFonts w:ascii="Book Antiqua" w:eastAsia="Times New Roman" w:hAnsi="Book Antiqua" w:cs="Calibri"/>
                <w:color w:val="000000"/>
                <w:sz w:val="20"/>
                <w:szCs w:val="20"/>
                <w:lang w:eastAsia="es-CR"/>
              </w:rPr>
              <w:t>Elaborado por: Subproceso de Estadística, Dirección de Planificación.</w:t>
            </w:r>
          </w:p>
        </w:tc>
        <w:tc>
          <w:tcPr>
            <w:tcW w:w="108" w:type="pct"/>
            <w:vAlign w:val="center"/>
            <w:hideMark/>
          </w:tcPr>
          <w:p w14:paraId="108EC262" w14:textId="77777777" w:rsidR="00765E47" w:rsidRPr="00365E42" w:rsidRDefault="00765E47" w:rsidP="00765E47">
            <w:pPr>
              <w:spacing w:after="0" w:line="240" w:lineRule="auto"/>
              <w:rPr>
                <w:rFonts w:ascii="Book Antiqua" w:eastAsia="Times New Roman" w:hAnsi="Book Antiqua" w:cs="Times New Roman"/>
                <w:sz w:val="20"/>
                <w:szCs w:val="20"/>
                <w:lang w:eastAsia="es-CR"/>
              </w:rPr>
            </w:pPr>
          </w:p>
        </w:tc>
      </w:tr>
    </w:tbl>
    <w:p w14:paraId="486AD2DA" w14:textId="43A0C199" w:rsidR="0075548B" w:rsidRPr="00365E42" w:rsidRDefault="0075548B" w:rsidP="00DE315A">
      <w:pPr>
        <w:jc w:val="both"/>
        <w:outlineLvl w:val="0"/>
        <w:rPr>
          <w:rFonts w:ascii="Book Antiqua" w:hAnsi="Book Antiqua" w:cs="Times New Roman"/>
          <w:b/>
          <w:bCs/>
          <w:sz w:val="24"/>
          <w:szCs w:val="24"/>
        </w:rPr>
      </w:pPr>
    </w:p>
    <w:p w14:paraId="13A5FDFC" w14:textId="2FA0CD7C" w:rsidR="000E4A9F" w:rsidRPr="00365E42" w:rsidRDefault="003028C8"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En relación con los motivos de término que finalizan el expe</w:t>
      </w:r>
      <w:r w:rsidR="00150C6A" w:rsidRPr="00365E42">
        <w:rPr>
          <w:rFonts w:ascii="Book Antiqua" w:hAnsi="Book Antiqua" w:cs="Times New Roman"/>
          <w:sz w:val="24"/>
          <w:szCs w:val="24"/>
        </w:rPr>
        <w:t>diente</w:t>
      </w:r>
      <w:r w:rsidRPr="00365E42">
        <w:rPr>
          <w:rFonts w:ascii="Book Antiqua" w:hAnsi="Book Antiqua" w:cs="Times New Roman"/>
          <w:sz w:val="24"/>
          <w:szCs w:val="24"/>
        </w:rPr>
        <w:t xml:space="preserve">, a nivel general se tiene que la </w:t>
      </w:r>
      <w:r w:rsidRPr="00365E42">
        <w:rPr>
          <w:rFonts w:ascii="Book Antiqua" w:hAnsi="Book Antiqua" w:cs="Times New Roman"/>
          <w:i/>
          <w:iCs/>
          <w:sz w:val="24"/>
          <w:szCs w:val="24"/>
        </w:rPr>
        <w:t>Solicitud de desestimación</w:t>
      </w:r>
      <w:r w:rsidRPr="00365E42">
        <w:rPr>
          <w:rFonts w:ascii="Book Antiqua" w:hAnsi="Book Antiqua" w:cs="Times New Roman"/>
          <w:sz w:val="24"/>
          <w:szCs w:val="24"/>
        </w:rPr>
        <w:t xml:space="preserve"> acaparan en promedio, el 38,33% (72.336 casos)</w:t>
      </w:r>
      <w:r w:rsidR="00013DF3" w:rsidRPr="00365E42">
        <w:rPr>
          <w:rFonts w:ascii="Book Antiqua" w:hAnsi="Book Antiqua" w:cs="Times New Roman"/>
          <w:sz w:val="24"/>
          <w:szCs w:val="24"/>
        </w:rPr>
        <w:t xml:space="preserve"> para el periodo bajo estudio, y registró un importante incremento del 19,46% (13.930 casos) para el bienio 2018-2019. </w:t>
      </w:r>
    </w:p>
    <w:p w14:paraId="23914AA7" w14:textId="43275E9D" w:rsidR="00013DF3" w:rsidRPr="00365E42" w:rsidRDefault="00013DF3"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Por otro lado, el comportamiento de las</w:t>
      </w:r>
      <w:r w:rsidR="00150C6A" w:rsidRPr="00365E42">
        <w:rPr>
          <w:rFonts w:ascii="Book Antiqua" w:hAnsi="Book Antiqua" w:cs="Times New Roman"/>
          <w:sz w:val="24"/>
          <w:szCs w:val="24"/>
        </w:rPr>
        <w:t xml:space="preserve"> incompetencias o</w:t>
      </w:r>
      <w:r w:rsidRPr="00365E42">
        <w:rPr>
          <w:rFonts w:ascii="Book Antiqua" w:hAnsi="Book Antiqua" w:cs="Times New Roman"/>
          <w:sz w:val="24"/>
          <w:szCs w:val="24"/>
        </w:rPr>
        <w:t xml:space="preserve"> </w:t>
      </w:r>
      <w:r w:rsidR="00150C6A" w:rsidRPr="00365E42">
        <w:rPr>
          <w:rFonts w:ascii="Book Antiqua" w:hAnsi="Book Antiqua" w:cs="Times New Roman"/>
          <w:i/>
          <w:iCs/>
          <w:sz w:val="24"/>
          <w:szCs w:val="24"/>
        </w:rPr>
        <w:t>Remitido a otra jurisdicción</w:t>
      </w:r>
      <w:r w:rsidRPr="00365E42">
        <w:rPr>
          <w:rFonts w:ascii="Book Antiqua" w:hAnsi="Book Antiqua" w:cs="Times New Roman"/>
          <w:i/>
          <w:iCs/>
          <w:sz w:val="24"/>
          <w:szCs w:val="24"/>
        </w:rPr>
        <w:t xml:space="preserve"> </w:t>
      </w:r>
      <w:r w:rsidRPr="00365E42">
        <w:rPr>
          <w:rFonts w:ascii="Book Antiqua" w:hAnsi="Book Antiqua" w:cs="Times New Roman"/>
          <w:sz w:val="24"/>
          <w:szCs w:val="24"/>
        </w:rPr>
        <w:t>se ha mantenido hasta cierta forma “estable”</w:t>
      </w:r>
      <w:r w:rsidR="00150C6A" w:rsidRPr="00365E42">
        <w:rPr>
          <w:rFonts w:ascii="Book Antiqua" w:hAnsi="Book Antiqua" w:cs="Times New Roman"/>
          <w:sz w:val="24"/>
          <w:szCs w:val="24"/>
        </w:rPr>
        <w:t>,</w:t>
      </w:r>
      <w:r w:rsidRPr="00365E42">
        <w:rPr>
          <w:rFonts w:ascii="Book Antiqua" w:hAnsi="Book Antiqua" w:cs="Times New Roman"/>
          <w:sz w:val="24"/>
          <w:szCs w:val="24"/>
        </w:rPr>
        <w:t xml:space="preserve"> alrededor de los 9.695 casos en promedio durante los últimos cinco años, y </w:t>
      </w:r>
      <w:r w:rsidR="005B2D03" w:rsidRPr="00365E42">
        <w:rPr>
          <w:rFonts w:ascii="Book Antiqua" w:hAnsi="Book Antiqua" w:cs="Times New Roman"/>
          <w:sz w:val="24"/>
          <w:szCs w:val="24"/>
        </w:rPr>
        <w:t>el comportamiento</w:t>
      </w:r>
      <w:r w:rsidRPr="00365E42">
        <w:rPr>
          <w:rFonts w:ascii="Book Antiqua" w:hAnsi="Book Antiqua" w:cs="Times New Roman"/>
          <w:sz w:val="24"/>
          <w:szCs w:val="24"/>
        </w:rPr>
        <w:t xml:space="preserve"> registrad</w:t>
      </w:r>
      <w:r w:rsidR="005B2D03" w:rsidRPr="00365E42">
        <w:rPr>
          <w:rFonts w:ascii="Book Antiqua" w:hAnsi="Book Antiqua" w:cs="Times New Roman"/>
          <w:sz w:val="24"/>
          <w:szCs w:val="24"/>
        </w:rPr>
        <w:t>o</w:t>
      </w:r>
      <w:r w:rsidRPr="00365E42">
        <w:rPr>
          <w:rFonts w:ascii="Book Antiqua" w:hAnsi="Book Antiqua" w:cs="Times New Roman"/>
          <w:sz w:val="24"/>
          <w:szCs w:val="24"/>
        </w:rPr>
        <w:t xml:space="preserve"> </w:t>
      </w:r>
      <w:r w:rsidR="00150C6A" w:rsidRPr="00365E42">
        <w:rPr>
          <w:rFonts w:ascii="Book Antiqua" w:hAnsi="Book Antiqua" w:cs="Times New Roman"/>
          <w:sz w:val="24"/>
          <w:szCs w:val="24"/>
        </w:rPr>
        <w:t xml:space="preserve">tiende </w:t>
      </w:r>
      <w:r w:rsidRPr="00365E42">
        <w:rPr>
          <w:rFonts w:ascii="Book Antiqua" w:hAnsi="Book Antiqua" w:cs="Times New Roman"/>
          <w:sz w:val="24"/>
          <w:szCs w:val="24"/>
        </w:rPr>
        <w:t xml:space="preserve">al decrecimiento, siendo </w:t>
      </w:r>
      <w:r w:rsidR="005B2D03" w:rsidRPr="00365E42">
        <w:rPr>
          <w:rFonts w:ascii="Book Antiqua" w:hAnsi="Book Antiqua" w:cs="Times New Roman"/>
          <w:sz w:val="24"/>
          <w:szCs w:val="24"/>
        </w:rPr>
        <w:t>é</w:t>
      </w:r>
      <w:r w:rsidRPr="00365E42">
        <w:rPr>
          <w:rFonts w:ascii="Book Antiqua" w:hAnsi="Book Antiqua" w:cs="Times New Roman"/>
          <w:sz w:val="24"/>
          <w:szCs w:val="24"/>
        </w:rPr>
        <w:t>st</w:t>
      </w:r>
      <w:r w:rsidR="00150C6A" w:rsidRPr="00365E42">
        <w:rPr>
          <w:rFonts w:ascii="Book Antiqua" w:hAnsi="Book Antiqua" w:cs="Times New Roman"/>
          <w:sz w:val="24"/>
          <w:szCs w:val="24"/>
        </w:rPr>
        <w:t>a</w:t>
      </w:r>
      <w:r w:rsidRPr="00365E42">
        <w:rPr>
          <w:rFonts w:ascii="Book Antiqua" w:hAnsi="Book Antiqua" w:cs="Times New Roman"/>
          <w:sz w:val="24"/>
          <w:szCs w:val="24"/>
        </w:rPr>
        <w:t xml:space="preserve"> del 2,19% (273 casos menos)</w:t>
      </w:r>
      <w:r w:rsidR="00150C6A" w:rsidRPr="00365E42">
        <w:rPr>
          <w:rFonts w:ascii="Book Antiqua" w:hAnsi="Book Antiqua" w:cs="Times New Roman"/>
          <w:sz w:val="24"/>
          <w:szCs w:val="24"/>
        </w:rPr>
        <w:t xml:space="preserve">. Comparativamente </w:t>
      </w:r>
      <w:r w:rsidR="00150C6A" w:rsidRPr="00365E42">
        <w:rPr>
          <w:rFonts w:ascii="Book Antiqua" w:hAnsi="Book Antiqua" w:cs="Times New Roman"/>
          <w:sz w:val="24"/>
          <w:szCs w:val="24"/>
        </w:rPr>
        <w:lastRenderedPageBreak/>
        <w:t xml:space="preserve">hablando, el 2019 en tema de </w:t>
      </w:r>
      <w:r w:rsidR="0066400E" w:rsidRPr="00365E42">
        <w:rPr>
          <w:rFonts w:ascii="Book Antiqua" w:hAnsi="Book Antiqua" w:cs="Times New Roman"/>
          <w:sz w:val="24"/>
          <w:szCs w:val="24"/>
        </w:rPr>
        <w:t>incompetencias</w:t>
      </w:r>
      <w:r w:rsidR="00150C6A" w:rsidRPr="00365E42">
        <w:rPr>
          <w:rFonts w:ascii="Book Antiqua" w:hAnsi="Book Antiqua" w:cs="Times New Roman"/>
          <w:sz w:val="24"/>
          <w:szCs w:val="24"/>
        </w:rPr>
        <w:t xml:space="preserve"> refleja una disminución </w:t>
      </w:r>
      <w:r w:rsidRPr="00365E42">
        <w:rPr>
          <w:rFonts w:ascii="Book Antiqua" w:hAnsi="Book Antiqua" w:cs="Times New Roman"/>
          <w:sz w:val="24"/>
          <w:szCs w:val="24"/>
        </w:rPr>
        <w:t xml:space="preserve">del </w:t>
      </w:r>
      <w:r w:rsidR="00150C6A" w:rsidRPr="00365E42">
        <w:rPr>
          <w:rFonts w:ascii="Book Antiqua" w:hAnsi="Book Antiqua" w:cs="Times New Roman"/>
          <w:sz w:val="24"/>
          <w:szCs w:val="24"/>
        </w:rPr>
        <w:t>10,68% (1.099 casos menos) en relación con un</w:t>
      </w:r>
      <w:r w:rsidR="00A42C18" w:rsidRPr="00365E42">
        <w:rPr>
          <w:rFonts w:ascii="Book Antiqua" w:hAnsi="Book Antiqua" w:cs="Times New Roman"/>
          <w:sz w:val="24"/>
          <w:szCs w:val="24"/>
        </w:rPr>
        <w:t xml:space="preserve"> año</w:t>
      </w:r>
      <w:r w:rsidR="00150C6A" w:rsidRPr="00365E42">
        <w:rPr>
          <w:rFonts w:ascii="Book Antiqua" w:hAnsi="Book Antiqua" w:cs="Times New Roman"/>
          <w:sz w:val="24"/>
          <w:szCs w:val="24"/>
        </w:rPr>
        <w:t xml:space="preserve"> antes.</w:t>
      </w:r>
    </w:p>
    <w:p w14:paraId="2B2B9E9A" w14:textId="662CA623" w:rsidR="00256B1B" w:rsidRPr="00365E42" w:rsidRDefault="00E22CE2" w:rsidP="000E3275">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En el siguiente cuadro se muestra la tendencia de los motivos de termino más representativos </w:t>
      </w:r>
      <w:r w:rsidR="00256B1B" w:rsidRPr="00365E42">
        <w:rPr>
          <w:rFonts w:ascii="Book Antiqua" w:hAnsi="Book Antiqua" w:cs="Times New Roman"/>
          <w:sz w:val="24"/>
          <w:szCs w:val="24"/>
        </w:rPr>
        <w:t>desde el año 2015, y que dado su volumen acaparan en promedio, el 89,97% (169.793 casos) de la totalidad de casos términos según motivo:</w:t>
      </w:r>
    </w:p>
    <w:tbl>
      <w:tblPr>
        <w:tblW w:w="5213" w:type="pct"/>
        <w:jc w:val="center"/>
        <w:tblLayout w:type="fixed"/>
        <w:tblCellMar>
          <w:left w:w="70" w:type="dxa"/>
          <w:right w:w="70" w:type="dxa"/>
        </w:tblCellMar>
        <w:tblLook w:val="04A0" w:firstRow="1" w:lastRow="0" w:firstColumn="1" w:lastColumn="0" w:noHBand="0" w:noVBand="1"/>
      </w:tblPr>
      <w:tblGrid>
        <w:gridCol w:w="3546"/>
        <w:gridCol w:w="1135"/>
        <w:gridCol w:w="1275"/>
        <w:gridCol w:w="1133"/>
        <w:gridCol w:w="1135"/>
        <w:gridCol w:w="990"/>
      </w:tblGrid>
      <w:tr w:rsidR="00967DEF" w:rsidRPr="00365E42" w14:paraId="014B514F" w14:textId="77777777" w:rsidTr="00967DEF">
        <w:trPr>
          <w:trHeight w:val="310"/>
          <w:jc w:val="center"/>
        </w:trPr>
        <w:tc>
          <w:tcPr>
            <w:tcW w:w="5000" w:type="pct"/>
            <w:gridSpan w:val="6"/>
            <w:tcBorders>
              <w:top w:val="nil"/>
              <w:left w:val="nil"/>
              <w:bottom w:val="nil"/>
              <w:right w:val="nil"/>
            </w:tcBorders>
            <w:shd w:val="clear" w:color="000000" w:fill="FFFFFF"/>
            <w:vAlign w:val="center"/>
            <w:hideMark/>
          </w:tcPr>
          <w:p w14:paraId="125FD3C1" w14:textId="45E230C9" w:rsidR="00967DEF" w:rsidRPr="00365E42" w:rsidRDefault="00967DEF" w:rsidP="00967DEF">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 xml:space="preserve">Cuadro </w:t>
            </w:r>
            <w:r w:rsidR="00013DF3" w:rsidRPr="00365E42">
              <w:rPr>
                <w:rFonts w:ascii="Book Antiqua" w:eastAsia="Times New Roman" w:hAnsi="Book Antiqua" w:cs="Times New Roman"/>
                <w:b/>
                <w:bCs/>
                <w:color w:val="000000"/>
                <w:sz w:val="24"/>
                <w:szCs w:val="24"/>
                <w:lang w:eastAsia="es-CR"/>
              </w:rPr>
              <w:t>4</w:t>
            </w:r>
          </w:p>
        </w:tc>
      </w:tr>
      <w:tr w:rsidR="00967DEF" w:rsidRPr="00365E42" w14:paraId="240A9ACD" w14:textId="77777777" w:rsidTr="00967DEF">
        <w:trPr>
          <w:trHeight w:val="310"/>
          <w:jc w:val="center"/>
        </w:trPr>
        <w:tc>
          <w:tcPr>
            <w:tcW w:w="5000" w:type="pct"/>
            <w:gridSpan w:val="6"/>
            <w:tcBorders>
              <w:top w:val="nil"/>
              <w:left w:val="nil"/>
              <w:bottom w:val="nil"/>
              <w:right w:val="nil"/>
            </w:tcBorders>
            <w:shd w:val="clear" w:color="000000" w:fill="FFFFFF"/>
            <w:vAlign w:val="center"/>
            <w:hideMark/>
          </w:tcPr>
          <w:p w14:paraId="417AEE09" w14:textId="77777777" w:rsidR="00967DEF" w:rsidRPr="00365E42" w:rsidRDefault="00967DEF" w:rsidP="00967DEF">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Distribución absoluta y relativa para los cinco motivos de término más</w:t>
            </w:r>
          </w:p>
        </w:tc>
      </w:tr>
      <w:tr w:rsidR="00967DEF" w:rsidRPr="00365E42" w14:paraId="741FCAF4" w14:textId="77777777" w:rsidTr="00967DEF">
        <w:trPr>
          <w:trHeight w:val="310"/>
          <w:jc w:val="center"/>
        </w:trPr>
        <w:tc>
          <w:tcPr>
            <w:tcW w:w="5000" w:type="pct"/>
            <w:gridSpan w:val="6"/>
            <w:tcBorders>
              <w:top w:val="nil"/>
              <w:left w:val="nil"/>
              <w:bottom w:val="nil"/>
              <w:right w:val="nil"/>
            </w:tcBorders>
            <w:shd w:val="clear" w:color="000000" w:fill="FFFFFF"/>
            <w:vAlign w:val="center"/>
            <w:hideMark/>
          </w:tcPr>
          <w:p w14:paraId="45E16D02" w14:textId="77777777" w:rsidR="00967DEF" w:rsidRPr="00365E42" w:rsidRDefault="00967DEF" w:rsidP="00967DEF">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frecuentes en las fiscalías penales de adultos durante el período 2015-2019</w:t>
            </w:r>
          </w:p>
        </w:tc>
      </w:tr>
      <w:tr w:rsidR="00967DEF" w:rsidRPr="00365E42" w14:paraId="2F2DE241" w14:textId="77777777" w:rsidTr="00967DEF">
        <w:trPr>
          <w:trHeight w:val="310"/>
          <w:jc w:val="center"/>
        </w:trPr>
        <w:tc>
          <w:tcPr>
            <w:tcW w:w="5000" w:type="pct"/>
            <w:gridSpan w:val="6"/>
            <w:tcBorders>
              <w:top w:val="nil"/>
              <w:left w:val="nil"/>
              <w:bottom w:val="single" w:sz="8" w:space="0" w:color="auto"/>
              <w:right w:val="nil"/>
            </w:tcBorders>
            <w:shd w:val="clear" w:color="000000" w:fill="FFFFFF"/>
            <w:vAlign w:val="center"/>
            <w:hideMark/>
          </w:tcPr>
          <w:p w14:paraId="02B9DBB2"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r>
      <w:tr w:rsidR="00967DEF" w:rsidRPr="00365E42" w14:paraId="3BBF9CBA" w14:textId="77777777" w:rsidTr="00967DEF">
        <w:trPr>
          <w:trHeight w:val="310"/>
          <w:jc w:val="center"/>
        </w:trPr>
        <w:tc>
          <w:tcPr>
            <w:tcW w:w="1924" w:type="pct"/>
            <w:vMerge w:val="restart"/>
            <w:tcBorders>
              <w:top w:val="nil"/>
              <w:left w:val="nil"/>
              <w:bottom w:val="single" w:sz="8" w:space="0" w:color="000000"/>
              <w:right w:val="single" w:sz="8" w:space="0" w:color="auto"/>
            </w:tcBorders>
            <w:shd w:val="clear" w:color="000000" w:fill="8AF8F8"/>
            <w:vAlign w:val="center"/>
            <w:hideMark/>
          </w:tcPr>
          <w:p w14:paraId="0E4DA000"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Motivo de Término</w:t>
            </w:r>
          </w:p>
        </w:tc>
        <w:tc>
          <w:tcPr>
            <w:tcW w:w="3076" w:type="pct"/>
            <w:gridSpan w:val="5"/>
            <w:tcBorders>
              <w:top w:val="single" w:sz="8" w:space="0" w:color="auto"/>
              <w:left w:val="nil"/>
              <w:bottom w:val="single" w:sz="8" w:space="0" w:color="auto"/>
              <w:right w:val="nil"/>
            </w:tcBorders>
            <w:shd w:val="clear" w:color="000000" w:fill="8AF8F8"/>
            <w:vAlign w:val="center"/>
            <w:hideMark/>
          </w:tcPr>
          <w:p w14:paraId="52FFD5F3"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Casos terminados</w:t>
            </w:r>
          </w:p>
        </w:tc>
      </w:tr>
      <w:tr w:rsidR="00967DEF" w:rsidRPr="00365E42" w14:paraId="6AC1537A" w14:textId="77777777" w:rsidTr="00967DEF">
        <w:trPr>
          <w:trHeight w:val="310"/>
          <w:jc w:val="center"/>
        </w:trPr>
        <w:tc>
          <w:tcPr>
            <w:tcW w:w="1924" w:type="pct"/>
            <w:vMerge/>
            <w:tcBorders>
              <w:top w:val="nil"/>
              <w:left w:val="nil"/>
              <w:bottom w:val="single" w:sz="8" w:space="0" w:color="000000"/>
              <w:right w:val="single" w:sz="8" w:space="0" w:color="auto"/>
            </w:tcBorders>
            <w:vAlign w:val="center"/>
            <w:hideMark/>
          </w:tcPr>
          <w:p w14:paraId="40EC500E" w14:textId="77777777" w:rsidR="00967DEF" w:rsidRPr="00365E42" w:rsidRDefault="00967DEF" w:rsidP="00967DEF">
            <w:pPr>
              <w:spacing w:after="0" w:line="240" w:lineRule="auto"/>
              <w:rPr>
                <w:rFonts w:ascii="Book Antiqua" w:eastAsia="Times New Roman" w:hAnsi="Book Antiqua" w:cs="Times New Roman"/>
                <w:b/>
                <w:bCs/>
                <w:color w:val="000000"/>
                <w:sz w:val="20"/>
                <w:szCs w:val="20"/>
                <w:lang w:eastAsia="es-CR"/>
              </w:rPr>
            </w:pPr>
          </w:p>
        </w:tc>
        <w:tc>
          <w:tcPr>
            <w:tcW w:w="616" w:type="pct"/>
            <w:tcBorders>
              <w:top w:val="nil"/>
              <w:left w:val="nil"/>
              <w:bottom w:val="single" w:sz="8" w:space="0" w:color="auto"/>
              <w:right w:val="single" w:sz="8" w:space="0" w:color="auto"/>
            </w:tcBorders>
            <w:shd w:val="clear" w:color="000000" w:fill="8AF8F8"/>
            <w:noWrap/>
            <w:vAlign w:val="center"/>
            <w:hideMark/>
          </w:tcPr>
          <w:p w14:paraId="44C803AD"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2015</w:t>
            </w:r>
          </w:p>
        </w:tc>
        <w:tc>
          <w:tcPr>
            <w:tcW w:w="692" w:type="pct"/>
            <w:tcBorders>
              <w:top w:val="nil"/>
              <w:left w:val="nil"/>
              <w:bottom w:val="single" w:sz="8" w:space="0" w:color="auto"/>
              <w:right w:val="single" w:sz="8" w:space="0" w:color="auto"/>
            </w:tcBorders>
            <w:shd w:val="clear" w:color="000000" w:fill="8AF8F8"/>
            <w:noWrap/>
            <w:vAlign w:val="center"/>
            <w:hideMark/>
          </w:tcPr>
          <w:p w14:paraId="4841CE7A"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2016</w:t>
            </w:r>
          </w:p>
        </w:tc>
        <w:tc>
          <w:tcPr>
            <w:tcW w:w="615" w:type="pct"/>
            <w:tcBorders>
              <w:top w:val="nil"/>
              <w:left w:val="nil"/>
              <w:bottom w:val="single" w:sz="8" w:space="0" w:color="auto"/>
              <w:right w:val="nil"/>
            </w:tcBorders>
            <w:shd w:val="clear" w:color="000000" w:fill="8AF8F8"/>
            <w:noWrap/>
            <w:vAlign w:val="center"/>
            <w:hideMark/>
          </w:tcPr>
          <w:p w14:paraId="1F9AF4DD"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2017</w:t>
            </w:r>
          </w:p>
        </w:tc>
        <w:tc>
          <w:tcPr>
            <w:tcW w:w="616" w:type="pct"/>
            <w:tcBorders>
              <w:top w:val="nil"/>
              <w:left w:val="single" w:sz="8" w:space="0" w:color="auto"/>
              <w:bottom w:val="single" w:sz="8" w:space="0" w:color="auto"/>
              <w:right w:val="nil"/>
            </w:tcBorders>
            <w:shd w:val="clear" w:color="000000" w:fill="8AF8F8"/>
            <w:noWrap/>
            <w:vAlign w:val="center"/>
            <w:hideMark/>
          </w:tcPr>
          <w:p w14:paraId="16B09442"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2018</w:t>
            </w:r>
          </w:p>
        </w:tc>
        <w:tc>
          <w:tcPr>
            <w:tcW w:w="538" w:type="pct"/>
            <w:tcBorders>
              <w:top w:val="nil"/>
              <w:left w:val="single" w:sz="8" w:space="0" w:color="auto"/>
              <w:bottom w:val="single" w:sz="8" w:space="0" w:color="auto"/>
              <w:right w:val="nil"/>
            </w:tcBorders>
            <w:shd w:val="clear" w:color="000000" w:fill="8AF8F8"/>
            <w:noWrap/>
            <w:vAlign w:val="center"/>
            <w:hideMark/>
          </w:tcPr>
          <w:p w14:paraId="0F3476E1"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2019</w:t>
            </w:r>
          </w:p>
        </w:tc>
      </w:tr>
      <w:tr w:rsidR="00967DEF" w:rsidRPr="00365E42" w14:paraId="5746C962" w14:textId="77777777" w:rsidTr="00967DEF">
        <w:trPr>
          <w:trHeight w:val="310"/>
          <w:jc w:val="center"/>
        </w:trPr>
        <w:tc>
          <w:tcPr>
            <w:tcW w:w="1924" w:type="pct"/>
            <w:tcBorders>
              <w:top w:val="nil"/>
              <w:left w:val="nil"/>
              <w:bottom w:val="nil"/>
              <w:right w:val="nil"/>
            </w:tcBorders>
            <w:shd w:val="clear" w:color="000000" w:fill="FFFFFF"/>
            <w:vAlign w:val="center"/>
            <w:hideMark/>
          </w:tcPr>
          <w:p w14:paraId="15AC62F0"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115C4F15"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92" w:type="pct"/>
            <w:tcBorders>
              <w:top w:val="nil"/>
              <w:left w:val="nil"/>
              <w:bottom w:val="nil"/>
              <w:right w:val="nil"/>
            </w:tcBorders>
            <w:shd w:val="clear" w:color="000000" w:fill="FFFFFF"/>
            <w:noWrap/>
            <w:vAlign w:val="center"/>
            <w:hideMark/>
          </w:tcPr>
          <w:p w14:paraId="1D528D75"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15" w:type="pct"/>
            <w:tcBorders>
              <w:top w:val="nil"/>
              <w:left w:val="nil"/>
              <w:bottom w:val="nil"/>
              <w:right w:val="nil"/>
            </w:tcBorders>
            <w:shd w:val="clear" w:color="000000" w:fill="FFFFFF"/>
            <w:noWrap/>
            <w:vAlign w:val="center"/>
            <w:hideMark/>
          </w:tcPr>
          <w:p w14:paraId="03097728"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1D2CEF1C"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538" w:type="pct"/>
            <w:tcBorders>
              <w:top w:val="nil"/>
              <w:left w:val="nil"/>
              <w:bottom w:val="nil"/>
              <w:right w:val="nil"/>
            </w:tcBorders>
            <w:shd w:val="clear" w:color="000000" w:fill="FFFFFF"/>
            <w:noWrap/>
            <w:vAlign w:val="center"/>
            <w:hideMark/>
          </w:tcPr>
          <w:p w14:paraId="5FDDB3C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967DEF" w:rsidRPr="00365E42" w14:paraId="6C33FB81" w14:textId="77777777" w:rsidTr="00967DEF">
        <w:trPr>
          <w:trHeight w:val="300"/>
          <w:jc w:val="center"/>
        </w:trPr>
        <w:tc>
          <w:tcPr>
            <w:tcW w:w="1924" w:type="pct"/>
            <w:tcBorders>
              <w:top w:val="nil"/>
              <w:left w:val="nil"/>
              <w:bottom w:val="nil"/>
              <w:right w:val="nil"/>
            </w:tcBorders>
            <w:shd w:val="clear" w:color="000000" w:fill="DDD9C3"/>
            <w:vAlign w:val="center"/>
            <w:hideMark/>
          </w:tcPr>
          <w:p w14:paraId="51A8AA9D"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Absolutos totales por año</w:t>
            </w:r>
          </w:p>
        </w:tc>
        <w:tc>
          <w:tcPr>
            <w:tcW w:w="616" w:type="pct"/>
            <w:tcBorders>
              <w:top w:val="nil"/>
              <w:left w:val="nil"/>
              <w:bottom w:val="nil"/>
              <w:right w:val="nil"/>
            </w:tcBorders>
            <w:shd w:val="clear" w:color="000000" w:fill="DDD9C3"/>
            <w:noWrap/>
            <w:vAlign w:val="center"/>
            <w:hideMark/>
          </w:tcPr>
          <w:p w14:paraId="4EA62618"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188 666</w:t>
            </w:r>
          </w:p>
        </w:tc>
        <w:tc>
          <w:tcPr>
            <w:tcW w:w="692" w:type="pct"/>
            <w:tcBorders>
              <w:top w:val="nil"/>
              <w:left w:val="nil"/>
              <w:bottom w:val="nil"/>
              <w:right w:val="nil"/>
            </w:tcBorders>
            <w:shd w:val="clear" w:color="000000" w:fill="DDD9C3"/>
            <w:noWrap/>
            <w:vAlign w:val="center"/>
            <w:hideMark/>
          </w:tcPr>
          <w:p w14:paraId="5710577C"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177 324</w:t>
            </w:r>
          </w:p>
        </w:tc>
        <w:tc>
          <w:tcPr>
            <w:tcW w:w="615" w:type="pct"/>
            <w:tcBorders>
              <w:top w:val="nil"/>
              <w:left w:val="nil"/>
              <w:bottom w:val="nil"/>
              <w:right w:val="nil"/>
            </w:tcBorders>
            <w:shd w:val="clear" w:color="000000" w:fill="DDD9C3"/>
            <w:noWrap/>
            <w:vAlign w:val="center"/>
            <w:hideMark/>
          </w:tcPr>
          <w:p w14:paraId="28F9180D"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175 298</w:t>
            </w:r>
          </w:p>
        </w:tc>
        <w:tc>
          <w:tcPr>
            <w:tcW w:w="616" w:type="pct"/>
            <w:tcBorders>
              <w:top w:val="nil"/>
              <w:left w:val="nil"/>
              <w:bottom w:val="nil"/>
              <w:right w:val="nil"/>
            </w:tcBorders>
            <w:shd w:val="clear" w:color="000000" w:fill="DDD9C3"/>
            <w:noWrap/>
            <w:vAlign w:val="center"/>
            <w:hideMark/>
          </w:tcPr>
          <w:p w14:paraId="771C62B1"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184 807</w:t>
            </w:r>
          </w:p>
        </w:tc>
        <w:tc>
          <w:tcPr>
            <w:tcW w:w="538" w:type="pct"/>
            <w:tcBorders>
              <w:top w:val="nil"/>
              <w:left w:val="nil"/>
              <w:bottom w:val="nil"/>
              <w:right w:val="nil"/>
            </w:tcBorders>
            <w:shd w:val="clear" w:color="000000" w:fill="DDD9C3"/>
            <w:noWrap/>
            <w:vAlign w:val="center"/>
            <w:hideMark/>
          </w:tcPr>
          <w:p w14:paraId="17031471"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217 590</w:t>
            </w:r>
          </w:p>
        </w:tc>
      </w:tr>
      <w:tr w:rsidR="00967DEF" w:rsidRPr="00365E42" w14:paraId="390DD1A7" w14:textId="77777777" w:rsidTr="00967DEF">
        <w:trPr>
          <w:trHeight w:val="310"/>
          <w:jc w:val="center"/>
        </w:trPr>
        <w:tc>
          <w:tcPr>
            <w:tcW w:w="1924" w:type="pct"/>
            <w:tcBorders>
              <w:top w:val="nil"/>
              <w:left w:val="nil"/>
              <w:bottom w:val="nil"/>
              <w:right w:val="nil"/>
            </w:tcBorders>
            <w:shd w:val="clear" w:color="000000" w:fill="FFFFFF"/>
            <w:vAlign w:val="center"/>
            <w:hideMark/>
          </w:tcPr>
          <w:p w14:paraId="21447681"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5A830967"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92" w:type="pct"/>
            <w:tcBorders>
              <w:top w:val="nil"/>
              <w:left w:val="nil"/>
              <w:bottom w:val="nil"/>
              <w:right w:val="nil"/>
            </w:tcBorders>
            <w:shd w:val="clear" w:color="000000" w:fill="FFFFFF"/>
            <w:noWrap/>
            <w:vAlign w:val="center"/>
            <w:hideMark/>
          </w:tcPr>
          <w:p w14:paraId="700CACC0"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615" w:type="pct"/>
            <w:tcBorders>
              <w:top w:val="nil"/>
              <w:left w:val="nil"/>
              <w:bottom w:val="nil"/>
              <w:right w:val="nil"/>
            </w:tcBorders>
            <w:shd w:val="clear" w:color="000000" w:fill="FFFFFF"/>
            <w:noWrap/>
            <w:vAlign w:val="center"/>
            <w:hideMark/>
          </w:tcPr>
          <w:p w14:paraId="314C370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53E75245"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38" w:type="pct"/>
            <w:tcBorders>
              <w:top w:val="nil"/>
              <w:left w:val="nil"/>
              <w:bottom w:val="nil"/>
              <w:right w:val="nil"/>
            </w:tcBorders>
            <w:shd w:val="clear" w:color="000000" w:fill="FFFFFF"/>
            <w:noWrap/>
            <w:vAlign w:val="center"/>
            <w:hideMark/>
          </w:tcPr>
          <w:p w14:paraId="6C4BF549"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967DEF" w:rsidRPr="00365E42" w14:paraId="500CBDA6"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6230CF4E"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Solicitud desestimación</w:t>
            </w:r>
          </w:p>
        </w:tc>
        <w:tc>
          <w:tcPr>
            <w:tcW w:w="616" w:type="pct"/>
            <w:tcBorders>
              <w:top w:val="nil"/>
              <w:left w:val="nil"/>
              <w:bottom w:val="nil"/>
              <w:right w:val="nil"/>
            </w:tcBorders>
            <w:shd w:val="clear" w:color="000000" w:fill="FFFFFF"/>
            <w:noWrap/>
            <w:vAlign w:val="center"/>
            <w:hideMark/>
          </w:tcPr>
          <w:p w14:paraId="058DC2CC"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68 828</w:t>
            </w:r>
          </w:p>
        </w:tc>
        <w:tc>
          <w:tcPr>
            <w:tcW w:w="692" w:type="pct"/>
            <w:tcBorders>
              <w:top w:val="nil"/>
              <w:left w:val="nil"/>
              <w:bottom w:val="nil"/>
              <w:right w:val="nil"/>
            </w:tcBorders>
            <w:shd w:val="clear" w:color="000000" w:fill="FFFFFF"/>
            <w:noWrap/>
            <w:vAlign w:val="center"/>
            <w:hideMark/>
          </w:tcPr>
          <w:p w14:paraId="2A76CF52"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68 546</w:t>
            </w:r>
          </w:p>
        </w:tc>
        <w:tc>
          <w:tcPr>
            <w:tcW w:w="615" w:type="pct"/>
            <w:tcBorders>
              <w:top w:val="nil"/>
              <w:left w:val="nil"/>
              <w:bottom w:val="nil"/>
              <w:right w:val="nil"/>
            </w:tcBorders>
            <w:shd w:val="clear" w:color="000000" w:fill="FFFFFF"/>
            <w:noWrap/>
            <w:vAlign w:val="center"/>
            <w:hideMark/>
          </w:tcPr>
          <w:p w14:paraId="2AFC5402"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67 192</w:t>
            </w:r>
          </w:p>
        </w:tc>
        <w:tc>
          <w:tcPr>
            <w:tcW w:w="616" w:type="pct"/>
            <w:tcBorders>
              <w:top w:val="nil"/>
              <w:left w:val="nil"/>
              <w:bottom w:val="nil"/>
              <w:right w:val="nil"/>
            </w:tcBorders>
            <w:shd w:val="clear" w:color="000000" w:fill="FFFFFF"/>
            <w:noWrap/>
            <w:vAlign w:val="center"/>
            <w:hideMark/>
          </w:tcPr>
          <w:p w14:paraId="2D2F94B0"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71 591</w:t>
            </w:r>
          </w:p>
        </w:tc>
        <w:tc>
          <w:tcPr>
            <w:tcW w:w="538" w:type="pct"/>
            <w:tcBorders>
              <w:top w:val="nil"/>
              <w:left w:val="nil"/>
              <w:bottom w:val="nil"/>
              <w:right w:val="nil"/>
            </w:tcBorders>
            <w:shd w:val="clear" w:color="000000" w:fill="FFFFFF"/>
            <w:noWrap/>
            <w:vAlign w:val="center"/>
            <w:hideMark/>
          </w:tcPr>
          <w:p w14:paraId="1567F41D"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85 521</w:t>
            </w:r>
          </w:p>
        </w:tc>
      </w:tr>
      <w:tr w:rsidR="00967DEF" w:rsidRPr="00365E42" w14:paraId="2EF07AA8"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13D45D3A"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Archivo Fiscal</w:t>
            </w:r>
          </w:p>
        </w:tc>
        <w:tc>
          <w:tcPr>
            <w:tcW w:w="616" w:type="pct"/>
            <w:tcBorders>
              <w:top w:val="nil"/>
              <w:left w:val="nil"/>
              <w:bottom w:val="nil"/>
              <w:right w:val="nil"/>
            </w:tcBorders>
            <w:shd w:val="clear" w:color="000000" w:fill="FFFFFF"/>
            <w:noWrap/>
            <w:vAlign w:val="center"/>
            <w:hideMark/>
          </w:tcPr>
          <w:p w14:paraId="55093E5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46 733</w:t>
            </w:r>
          </w:p>
        </w:tc>
        <w:tc>
          <w:tcPr>
            <w:tcW w:w="692" w:type="pct"/>
            <w:tcBorders>
              <w:top w:val="nil"/>
              <w:left w:val="nil"/>
              <w:bottom w:val="nil"/>
              <w:right w:val="nil"/>
            </w:tcBorders>
            <w:shd w:val="clear" w:color="000000" w:fill="FFFFFF"/>
            <w:noWrap/>
            <w:vAlign w:val="center"/>
            <w:hideMark/>
          </w:tcPr>
          <w:p w14:paraId="5EA90890"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40 988</w:t>
            </w:r>
          </w:p>
        </w:tc>
        <w:tc>
          <w:tcPr>
            <w:tcW w:w="615" w:type="pct"/>
            <w:tcBorders>
              <w:top w:val="nil"/>
              <w:left w:val="nil"/>
              <w:bottom w:val="nil"/>
              <w:right w:val="nil"/>
            </w:tcBorders>
            <w:shd w:val="clear" w:color="000000" w:fill="FFFFFF"/>
            <w:noWrap/>
            <w:vAlign w:val="center"/>
            <w:hideMark/>
          </w:tcPr>
          <w:p w14:paraId="15BA534F"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41 602</w:t>
            </w:r>
          </w:p>
        </w:tc>
        <w:tc>
          <w:tcPr>
            <w:tcW w:w="616" w:type="pct"/>
            <w:tcBorders>
              <w:top w:val="nil"/>
              <w:left w:val="nil"/>
              <w:bottom w:val="nil"/>
              <w:right w:val="nil"/>
            </w:tcBorders>
            <w:shd w:val="clear" w:color="000000" w:fill="FFFFFF"/>
            <w:noWrap/>
            <w:vAlign w:val="center"/>
            <w:hideMark/>
          </w:tcPr>
          <w:p w14:paraId="281AACC2"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48 265</w:t>
            </w:r>
          </w:p>
        </w:tc>
        <w:tc>
          <w:tcPr>
            <w:tcW w:w="538" w:type="pct"/>
            <w:tcBorders>
              <w:top w:val="nil"/>
              <w:left w:val="nil"/>
              <w:bottom w:val="nil"/>
              <w:right w:val="nil"/>
            </w:tcBorders>
            <w:shd w:val="clear" w:color="000000" w:fill="FFFFFF"/>
            <w:noWrap/>
            <w:vAlign w:val="center"/>
            <w:hideMark/>
          </w:tcPr>
          <w:p w14:paraId="226244A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59 538</w:t>
            </w:r>
          </w:p>
        </w:tc>
      </w:tr>
      <w:tr w:rsidR="00967DEF" w:rsidRPr="00365E42" w14:paraId="5C606F99"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5A9E5D84"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Acusación Fiscal</w:t>
            </w:r>
          </w:p>
        </w:tc>
        <w:tc>
          <w:tcPr>
            <w:tcW w:w="616" w:type="pct"/>
            <w:tcBorders>
              <w:top w:val="nil"/>
              <w:left w:val="nil"/>
              <w:bottom w:val="nil"/>
              <w:right w:val="nil"/>
            </w:tcBorders>
            <w:shd w:val="clear" w:color="000000" w:fill="FFFFFF"/>
            <w:noWrap/>
            <w:vAlign w:val="center"/>
            <w:hideMark/>
          </w:tcPr>
          <w:p w14:paraId="08766CAB"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25 983</w:t>
            </w:r>
          </w:p>
        </w:tc>
        <w:tc>
          <w:tcPr>
            <w:tcW w:w="692" w:type="pct"/>
            <w:tcBorders>
              <w:top w:val="nil"/>
              <w:left w:val="nil"/>
              <w:bottom w:val="nil"/>
              <w:right w:val="nil"/>
            </w:tcBorders>
            <w:shd w:val="clear" w:color="000000" w:fill="FFFFFF"/>
            <w:noWrap/>
            <w:vAlign w:val="center"/>
            <w:hideMark/>
          </w:tcPr>
          <w:p w14:paraId="42339C2F"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24 853</w:t>
            </w:r>
          </w:p>
        </w:tc>
        <w:tc>
          <w:tcPr>
            <w:tcW w:w="615" w:type="pct"/>
            <w:tcBorders>
              <w:top w:val="nil"/>
              <w:left w:val="nil"/>
              <w:bottom w:val="nil"/>
              <w:right w:val="nil"/>
            </w:tcBorders>
            <w:shd w:val="clear" w:color="000000" w:fill="FFFFFF"/>
            <w:noWrap/>
            <w:vAlign w:val="center"/>
            <w:hideMark/>
          </w:tcPr>
          <w:p w14:paraId="50FB9C8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24 285</w:t>
            </w:r>
          </w:p>
        </w:tc>
        <w:tc>
          <w:tcPr>
            <w:tcW w:w="616" w:type="pct"/>
            <w:tcBorders>
              <w:top w:val="nil"/>
              <w:left w:val="nil"/>
              <w:bottom w:val="nil"/>
              <w:right w:val="nil"/>
            </w:tcBorders>
            <w:shd w:val="clear" w:color="000000" w:fill="FFFFFF"/>
            <w:noWrap/>
            <w:vAlign w:val="center"/>
            <w:hideMark/>
          </w:tcPr>
          <w:p w14:paraId="5FB0BEA2"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23 336</w:t>
            </w:r>
          </w:p>
        </w:tc>
        <w:tc>
          <w:tcPr>
            <w:tcW w:w="538" w:type="pct"/>
            <w:tcBorders>
              <w:top w:val="nil"/>
              <w:left w:val="nil"/>
              <w:bottom w:val="nil"/>
              <w:right w:val="nil"/>
            </w:tcBorders>
            <w:shd w:val="clear" w:color="000000" w:fill="FFFFFF"/>
            <w:noWrap/>
            <w:vAlign w:val="center"/>
            <w:hideMark/>
          </w:tcPr>
          <w:p w14:paraId="1A8E33A8"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24 448</w:t>
            </w:r>
          </w:p>
        </w:tc>
      </w:tr>
      <w:tr w:rsidR="00967DEF" w:rsidRPr="00365E42" w14:paraId="7207AB20"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7AA629EE"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Solicitud sobreseimiento definitivo</w:t>
            </w:r>
          </w:p>
        </w:tc>
        <w:tc>
          <w:tcPr>
            <w:tcW w:w="616" w:type="pct"/>
            <w:tcBorders>
              <w:top w:val="nil"/>
              <w:left w:val="nil"/>
              <w:bottom w:val="nil"/>
              <w:right w:val="nil"/>
            </w:tcBorders>
            <w:shd w:val="clear" w:color="000000" w:fill="FFFFFF"/>
            <w:noWrap/>
            <w:vAlign w:val="center"/>
            <w:hideMark/>
          </w:tcPr>
          <w:p w14:paraId="53A37823"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18 948</w:t>
            </w:r>
          </w:p>
        </w:tc>
        <w:tc>
          <w:tcPr>
            <w:tcW w:w="692" w:type="pct"/>
            <w:tcBorders>
              <w:top w:val="nil"/>
              <w:left w:val="nil"/>
              <w:bottom w:val="nil"/>
              <w:right w:val="nil"/>
            </w:tcBorders>
            <w:shd w:val="clear" w:color="000000" w:fill="FFFFFF"/>
            <w:noWrap/>
            <w:vAlign w:val="center"/>
            <w:hideMark/>
          </w:tcPr>
          <w:p w14:paraId="4144A71D"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16 367</w:t>
            </w:r>
          </w:p>
        </w:tc>
        <w:tc>
          <w:tcPr>
            <w:tcW w:w="615" w:type="pct"/>
            <w:tcBorders>
              <w:top w:val="nil"/>
              <w:left w:val="nil"/>
              <w:bottom w:val="nil"/>
              <w:right w:val="nil"/>
            </w:tcBorders>
            <w:shd w:val="clear" w:color="000000" w:fill="FFFFFF"/>
            <w:noWrap/>
            <w:vAlign w:val="center"/>
            <w:hideMark/>
          </w:tcPr>
          <w:p w14:paraId="01CBD98F"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13 627</w:t>
            </w:r>
          </w:p>
        </w:tc>
        <w:tc>
          <w:tcPr>
            <w:tcW w:w="616" w:type="pct"/>
            <w:tcBorders>
              <w:top w:val="nil"/>
              <w:left w:val="nil"/>
              <w:bottom w:val="nil"/>
              <w:right w:val="nil"/>
            </w:tcBorders>
            <w:shd w:val="clear" w:color="000000" w:fill="FFFFFF"/>
            <w:noWrap/>
            <w:vAlign w:val="center"/>
            <w:hideMark/>
          </w:tcPr>
          <w:p w14:paraId="0465E425"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13 751</w:t>
            </w:r>
          </w:p>
        </w:tc>
        <w:tc>
          <w:tcPr>
            <w:tcW w:w="538" w:type="pct"/>
            <w:tcBorders>
              <w:top w:val="nil"/>
              <w:left w:val="nil"/>
              <w:bottom w:val="nil"/>
              <w:right w:val="nil"/>
            </w:tcBorders>
            <w:shd w:val="clear" w:color="000000" w:fill="FFFFFF"/>
            <w:noWrap/>
            <w:vAlign w:val="center"/>
            <w:hideMark/>
          </w:tcPr>
          <w:p w14:paraId="53EE24D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16 087</w:t>
            </w:r>
          </w:p>
        </w:tc>
      </w:tr>
      <w:tr w:rsidR="00967DEF" w:rsidRPr="00365E42" w14:paraId="3117CA6B"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2B3CDE8A"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Remitido a otra jurisdicción</w:t>
            </w:r>
          </w:p>
        </w:tc>
        <w:tc>
          <w:tcPr>
            <w:tcW w:w="616" w:type="pct"/>
            <w:tcBorders>
              <w:top w:val="nil"/>
              <w:left w:val="nil"/>
              <w:bottom w:val="nil"/>
              <w:right w:val="nil"/>
            </w:tcBorders>
            <w:shd w:val="clear" w:color="000000" w:fill="FFFFFF"/>
            <w:noWrap/>
            <w:vAlign w:val="center"/>
            <w:hideMark/>
          </w:tcPr>
          <w:p w14:paraId="59322DF8"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10 279</w:t>
            </w:r>
          </w:p>
        </w:tc>
        <w:tc>
          <w:tcPr>
            <w:tcW w:w="692" w:type="pct"/>
            <w:tcBorders>
              <w:top w:val="nil"/>
              <w:left w:val="nil"/>
              <w:bottom w:val="nil"/>
              <w:right w:val="nil"/>
            </w:tcBorders>
            <w:shd w:val="clear" w:color="000000" w:fill="FFFFFF"/>
            <w:noWrap/>
            <w:vAlign w:val="center"/>
            <w:hideMark/>
          </w:tcPr>
          <w:p w14:paraId="751A7B20"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8 833</w:t>
            </w:r>
          </w:p>
        </w:tc>
        <w:tc>
          <w:tcPr>
            <w:tcW w:w="615" w:type="pct"/>
            <w:tcBorders>
              <w:top w:val="nil"/>
              <w:left w:val="nil"/>
              <w:bottom w:val="nil"/>
              <w:right w:val="nil"/>
            </w:tcBorders>
            <w:shd w:val="clear" w:color="000000" w:fill="FFFFFF"/>
            <w:noWrap/>
            <w:vAlign w:val="center"/>
            <w:hideMark/>
          </w:tcPr>
          <w:p w14:paraId="13F27A61"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9 890</w:t>
            </w:r>
          </w:p>
        </w:tc>
        <w:tc>
          <w:tcPr>
            <w:tcW w:w="616" w:type="pct"/>
            <w:tcBorders>
              <w:top w:val="nil"/>
              <w:left w:val="nil"/>
              <w:bottom w:val="nil"/>
              <w:right w:val="nil"/>
            </w:tcBorders>
            <w:shd w:val="clear" w:color="000000" w:fill="FFFFFF"/>
            <w:noWrap/>
            <w:vAlign w:val="center"/>
            <w:hideMark/>
          </w:tcPr>
          <w:p w14:paraId="584DA98A"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10 287</w:t>
            </w:r>
          </w:p>
        </w:tc>
        <w:tc>
          <w:tcPr>
            <w:tcW w:w="538" w:type="pct"/>
            <w:tcBorders>
              <w:top w:val="nil"/>
              <w:left w:val="nil"/>
              <w:bottom w:val="nil"/>
              <w:right w:val="nil"/>
            </w:tcBorders>
            <w:shd w:val="clear" w:color="000000" w:fill="FFFFFF"/>
            <w:noWrap/>
            <w:vAlign w:val="center"/>
            <w:hideMark/>
          </w:tcPr>
          <w:p w14:paraId="366DE5DB"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9 188</w:t>
            </w:r>
          </w:p>
        </w:tc>
      </w:tr>
      <w:tr w:rsidR="00967DEF" w:rsidRPr="00365E42" w14:paraId="6ED77598"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78BD25C3"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0B5EA13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92" w:type="pct"/>
            <w:tcBorders>
              <w:top w:val="nil"/>
              <w:left w:val="nil"/>
              <w:bottom w:val="nil"/>
              <w:right w:val="nil"/>
            </w:tcBorders>
            <w:shd w:val="clear" w:color="000000" w:fill="FFFFFF"/>
            <w:noWrap/>
            <w:vAlign w:val="center"/>
            <w:hideMark/>
          </w:tcPr>
          <w:p w14:paraId="485B0901"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5" w:type="pct"/>
            <w:tcBorders>
              <w:top w:val="nil"/>
              <w:left w:val="nil"/>
              <w:bottom w:val="nil"/>
              <w:right w:val="nil"/>
            </w:tcBorders>
            <w:shd w:val="clear" w:color="000000" w:fill="FFFFFF"/>
            <w:noWrap/>
            <w:vAlign w:val="center"/>
            <w:hideMark/>
          </w:tcPr>
          <w:p w14:paraId="67753F48"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180997C8"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38" w:type="pct"/>
            <w:tcBorders>
              <w:top w:val="nil"/>
              <w:left w:val="nil"/>
              <w:bottom w:val="nil"/>
              <w:right w:val="nil"/>
            </w:tcBorders>
            <w:shd w:val="clear" w:color="000000" w:fill="FFFFFF"/>
            <w:noWrap/>
            <w:vAlign w:val="center"/>
            <w:hideMark/>
          </w:tcPr>
          <w:p w14:paraId="4310995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967DEF" w:rsidRPr="00365E42" w14:paraId="34BAFB92" w14:textId="77777777" w:rsidTr="00967DEF">
        <w:trPr>
          <w:trHeight w:val="300"/>
          <w:jc w:val="center"/>
        </w:trPr>
        <w:tc>
          <w:tcPr>
            <w:tcW w:w="1924" w:type="pct"/>
            <w:tcBorders>
              <w:top w:val="nil"/>
              <w:left w:val="nil"/>
              <w:bottom w:val="nil"/>
              <w:right w:val="nil"/>
            </w:tcBorders>
            <w:shd w:val="clear" w:color="000000" w:fill="DDD9C3"/>
            <w:vAlign w:val="center"/>
            <w:hideMark/>
          </w:tcPr>
          <w:p w14:paraId="5AC74400" w14:textId="1CE42F36"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xml:space="preserve">Porcentajes </w:t>
            </w:r>
            <w:r w:rsidR="00256B1B" w:rsidRPr="00365E42">
              <w:rPr>
                <w:rFonts w:ascii="Book Antiqua" w:eastAsia="Times New Roman" w:hAnsi="Book Antiqua" w:cs="Times New Roman"/>
                <w:b/>
                <w:bCs/>
                <w:color w:val="000000"/>
                <w:sz w:val="20"/>
                <w:szCs w:val="20"/>
                <w:lang w:eastAsia="es-CR"/>
              </w:rPr>
              <w:t>respecto al total para los motivos más representativos</w:t>
            </w:r>
          </w:p>
        </w:tc>
        <w:tc>
          <w:tcPr>
            <w:tcW w:w="616" w:type="pct"/>
            <w:tcBorders>
              <w:top w:val="nil"/>
              <w:left w:val="nil"/>
              <w:bottom w:val="nil"/>
              <w:right w:val="nil"/>
            </w:tcBorders>
            <w:shd w:val="clear" w:color="000000" w:fill="DDD9C3"/>
            <w:noWrap/>
            <w:vAlign w:val="center"/>
            <w:hideMark/>
          </w:tcPr>
          <w:p w14:paraId="2988908A"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90,51%</w:t>
            </w:r>
          </w:p>
        </w:tc>
        <w:tc>
          <w:tcPr>
            <w:tcW w:w="692" w:type="pct"/>
            <w:tcBorders>
              <w:top w:val="nil"/>
              <w:left w:val="nil"/>
              <w:bottom w:val="nil"/>
              <w:right w:val="nil"/>
            </w:tcBorders>
            <w:shd w:val="clear" w:color="000000" w:fill="DDD9C3"/>
            <w:noWrap/>
            <w:vAlign w:val="center"/>
            <w:hideMark/>
          </w:tcPr>
          <w:p w14:paraId="771DBE1E"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90,00%</w:t>
            </w:r>
          </w:p>
        </w:tc>
        <w:tc>
          <w:tcPr>
            <w:tcW w:w="615" w:type="pct"/>
            <w:tcBorders>
              <w:top w:val="nil"/>
              <w:left w:val="nil"/>
              <w:bottom w:val="nil"/>
              <w:right w:val="nil"/>
            </w:tcBorders>
            <w:shd w:val="clear" w:color="000000" w:fill="DDD9C3"/>
            <w:noWrap/>
            <w:vAlign w:val="center"/>
            <w:hideMark/>
          </w:tcPr>
          <w:p w14:paraId="4B1389BF"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89,33%</w:t>
            </w:r>
          </w:p>
        </w:tc>
        <w:tc>
          <w:tcPr>
            <w:tcW w:w="616" w:type="pct"/>
            <w:tcBorders>
              <w:top w:val="nil"/>
              <w:left w:val="nil"/>
              <w:bottom w:val="nil"/>
              <w:right w:val="nil"/>
            </w:tcBorders>
            <w:shd w:val="clear" w:color="000000" w:fill="DDD9C3"/>
            <w:noWrap/>
            <w:vAlign w:val="center"/>
            <w:hideMark/>
          </w:tcPr>
          <w:p w14:paraId="4798402C"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90,49%</w:t>
            </w:r>
          </w:p>
        </w:tc>
        <w:tc>
          <w:tcPr>
            <w:tcW w:w="538" w:type="pct"/>
            <w:tcBorders>
              <w:top w:val="nil"/>
              <w:left w:val="nil"/>
              <w:bottom w:val="nil"/>
              <w:right w:val="nil"/>
            </w:tcBorders>
            <w:shd w:val="clear" w:color="000000" w:fill="DDD9C3"/>
            <w:noWrap/>
            <w:vAlign w:val="center"/>
            <w:hideMark/>
          </w:tcPr>
          <w:p w14:paraId="36E2C561" w14:textId="77777777" w:rsidR="00967DEF" w:rsidRPr="00365E42" w:rsidRDefault="00967DEF" w:rsidP="00967DEF">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89,52%</w:t>
            </w:r>
          </w:p>
        </w:tc>
      </w:tr>
      <w:tr w:rsidR="00967DEF" w:rsidRPr="00365E42" w14:paraId="6EB7EB5B"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0451E802"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553E51A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92" w:type="pct"/>
            <w:tcBorders>
              <w:top w:val="nil"/>
              <w:left w:val="nil"/>
              <w:bottom w:val="nil"/>
              <w:right w:val="nil"/>
            </w:tcBorders>
            <w:shd w:val="clear" w:color="000000" w:fill="FFFFFF"/>
            <w:noWrap/>
            <w:vAlign w:val="center"/>
            <w:hideMark/>
          </w:tcPr>
          <w:p w14:paraId="52CEF44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5" w:type="pct"/>
            <w:tcBorders>
              <w:top w:val="nil"/>
              <w:left w:val="nil"/>
              <w:bottom w:val="nil"/>
              <w:right w:val="nil"/>
            </w:tcBorders>
            <w:shd w:val="clear" w:color="000000" w:fill="FFFFFF"/>
            <w:noWrap/>
            <w:vAlign w:val="center"/>
            <w:hideMark/>
          </w:tcPr>
          <w:p w14:paraId="687DBFEC"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616" w:type="pct"/>
            <w:tcBorders>
              <w:top w:val="nil"/>
              <w:left w:val="nil"/>
              <w:bottom w:val="nil"/>
              <w:right w:val="nil"/>
            </w:tcBorders>
            <w:shd w:val="clear" w:color="000000" w:fill="FFFFFF"/>
            <w:noWrap/>
            <w:vAlign w:val="center"/>
            <w:hideMark/>
          </w:tcPr>
          <w:p w14:paraId="3B38BE2A"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38" w:type="pct"/>
            <w:tcBorders>
              <w:top w:val="nil"/>
              <w:left w:val="nil"/>
              <w:bottom w:val="nil"/>
              <w:right w:val="nil"/>
            </w:tcBorders>
            <w:shd w:val="clear" w:color="000000" w:fill="FFFFFF"/>
            <w:noWrap/>
            <w:vAlign w:val="center"/>
            <w:hideMark/>
          </w:tcPr>
          <w:p w14:paraId="0AE42DA6"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967DEF" w:rsidRPr="00365E42" w14:paraId="4833C97A"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20CCE8CA"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Solicitud desestimación</w:t>
            </w:r>
          </w:p>
        </w:tc>
        <w:tc>
          <w:tcPr>
            <w:tcW w:w="616" w:type="pct"/>
            <w:tcBorders>
              <w:top w:val="nil"/>
              <w:left w:val="nil"/>
              <w:bottom w:val="nil"/>
              <w:right w:val="nil"/>
            </w:tcBorders>
            <w:shd w:val="clear" w:color="000000" w:fill="FFFFFF"/>
            <w:noWrap/>
            <w:vAlign w:val="center"/>
            <w:hideMark/>
          </w:tcPr>
          <w:p w14:paraId="700B420E"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36,48%</w:t>
            </w:r>
          </w:p>
        </w:tc>
        <w:tc>
          <w:tcPr>
            <w:tcW w:w="692" w:type="pct"/>
            <w:tcBorders>
              <w:top w:val="nil"/>
              <w:left w:val="nil"/>
              <w:bottom w:val="nil"/>
              <w:right w:val="nil"/>
            </w:tcBorders>
            <w:shd w:val="clear" w:color="000000" w:fill="FFFFFF"/>
            <w:noWrap/>
            <w:vAlign w:val="center"/>
            <w:hideMark/>
          </w:tcPr>
          <w:p w14:paraId="7AF20785"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38,66%</w:t>
            </w:r>
          </w:p>
        </w:tc>
        <w:tc>
          <w:tcPr>
            <w:tcW w:w="615" w:type="pct"/>
            <w:tcBorders>
              <w:top w:val="nil"/>
              <w:left w:val="nil"/>
              <w:bottom w:val="nil"/>
              <w:right w:val="nil"/>
            </w:tcBorders>
            <w:shd w:val="clear" w:color="000000" w:fill="FFFFFF"/>
            <w:noWrap/>
            <w:vAlign w:val="center"/>
            <w:hideMark/>
          </w:tcPr>
          <w:p w14:paraId="32178403"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38,33%</w:t>
            </w:r>
          </w:p>
        </w:tc>
        <w:tc>
          <w:tcPr>
            <w:tcW w:w="616" w:type="pct"/>
            <w:tcBorders>
              <w:top w:val="nil"/>
              <w:left w:val="nil"/>
              <w:bottom w:val="nil"/>
              <w:right w:val="nil"/>
            </w:tcBorders>
            <w:shd w:val="clear" w:color="000000" w:fill="FFFFFF"/>
            <w:noWrap/>
            <w:vAlign w:val="center"/>
            <w:hideMark/>
          </w:tcPr>
          <w:p w14:paraId="4B3022F5"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38,74%</w:t>
            </w:r>
          </w:p>
        </w:tc>
        <w:tc>
          <w:tcPr>
            <w:tcW w:w="538" w:type="pct"/>
            <w:tcBorders>
              <w:top w:val="nil"/>
              <w:left w:val="nil"/>
              <w:bottom w:val="nil"/>
              <w:right w:val="nil"/>
            </w:tcBorders>
            <w:shd w:val="clear" w:color="000000" w:fill="FFFFFF"/>
            <w:noWrap/>
            <w:vAlign w:val="center"/>
            <w:hideMark/>
          </w:tcPr>
          <w:p w14:paraId="10B9EFDE"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39,30%</w:t>
            </w:r>
          </w:p>
        </w:tc>
      </w:tr>
      <w:tr w:rsidR="00967DEF" w:rsidRPr="00365E42" w14:paraId="051E7B22"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05C51F25"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Archivo Fiscal</w:t>
            </w:r>
          </w:p>
        </w:tc>
        <w:tc>
          <w:tcPr>
            <w:tcW w:w="616" w:type="pct"/>
            <w:tcBorders>
              <w:top w:val="nil"/>
              <w:left w:val="nil"/>
              <w:bottom w:val="nil"/>
              <w:right w:val="nil"/>
            </w:tcBorders>
            <w:shd w:val="clear" w:color="000000" w:fill="FFFFFF"/>
            <w:noWrap/>
            <w:vAlign w:val="center"/>
            <w:hideMark/>
          </w:tcPr>
          <w:p w14:paraId="76488F6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24,77%</w:t>
            </w:r>
          </w:p>
        </w:tc>
        <w:tc>
          <w:tcPr>
            <w:tcW w:w="692" w:type="pct"/>
            <w:tcBorders>
              <w:top w:val="nil"/>
              <w:left w:val="nil"/>
              <w:bottom w:val="nil"/>
              <w:right w:val="nil"/>
            </w:tcBorders>
            <w:shd w:val="clear" w:color="000000" w:fill="FFFFFF"/>
            <w:noWrap/>
            <w:vAlign w:val="center"/>
            <w:hideMark/>
          </w:tcPr>
          <w:p w14:paraId="58B24EC3"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23,11%</w:t>
            </w:r>
          </w:p>
        </w:tc>
        <w:tc>
          <w:tcPr>
            <w:tcW w:w="615" w:type="pct"/>
            <w:tcBorders>
              <w:top w:val="nil"/>
              <w:left w:val="nil"/>
              <w:bottom w:val="nil"/>
              <w:right w:val="nil"/>
            </w:tcBorders>
            <w:shd w:val="clear" w:color="000000" w:fill="FFFFFF"/>
            <w:noWrap/>
            <w:vAlign w:val="center"/>
            <w:hideMark/>
          </w:tcPr>
          <w:p w14:paraId="4B8481DB"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23,73%</w:t>
            </w:r>
          </w:p>
        </w:tc>
        <w:tc>
          <w:tcPr>
            <w:tcW w:w="616" w:type="pct"/>
            <w:tcBorders>
              <w:top w:val="nil"/>
              <w:left w:val="nil"/>
              <w:bottom w:val="nil"/>
              <w:right w:val="nil"/>
            </w:tcBorders>
            <w:shd w:val="clear" w:color="000000" w:fill="FFFFFF"/>
            <w:noWrap/>
            <w:vAlign w:val="center"/>
            <w:hideMark/>
          </w:tcPr>
          <w:p w14:paraId="3576816E"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26,12%</w:t>
            </w:r>
          </w:p>
        </w:tc>
        <w:tc>
          <w:tcPr>
            <w:tcW w:w="538" w:type="pct"/>
            <w:tcBorders>
              <w:top w:val="nil"/>
              <w:left w:val="nil"/>
              <w:bottom w:val="nil"/>
              <w:right w:val="nil"/>
            </w:tcBorders>
            <w:shd w:val="clear" w:color="000000" w:fill="FFFFFF"/>
            <w:noWrap/>
            <w:vAlign w:val="center"/>
            <w:hideMark/>
          </w:tcPr>
          <w:p w14:paraId="1E502EC2"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27,36%</w:t>
            </w:r>
          </w:p>
        </w:tc>
      </w:tr>
      <w:tr w:rsidR="00967DEF" w:rsidRPr="00365E42" w14:paraId="0F45E502"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7D6672BB"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Acusación Fiscal</w:t>
            </w:r>
          </w:p>
        </w:tc>
        <w:tc>
          <w:tcPr>
            <w:tcW w:w="616" w:type="pct"/>
            <w:tcBorders>
              <w:top w:val="nil"/>
              <w:left w:val="nil"/>
              <w:bottom w:val="nil"/>
              <w:right w:val="nil"/>
            </w:tcBorders>
            <w:shd w:val="clear" w:color="000000" w:fill="FFFFFF"/>
            <w:noWrap/>
            <w:vAlign w:val="center"/>
            <w:hideMark/>
          </w:tcPr>
          <w:p w14:paraId="5E4C76A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13,77%</w:t>
            </w:r>
          </w:p>
        </w:tc>
        <w:tc>
          <w:tcPr>
            <w:tcW w:w="692" w:type="pct"/>
            <w:tcBorders>
              <w:top w:val="nil"/>
              <w:left w:val="nil"/>
              <w:bottom w:val="nil"/>
              <w:right w:val="nil"/>
            </w:tcBorders>
            <w:shd w:val="clear" w:color="000000" w:fill="FFFFFF"/>
            <w:noWrap/>
            <w:vAlign w:val="center"/>
            <w:hideMark/>
          </w:tcPr>
          <w:p w14:paraId="3670D549"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14,02%</w:t>
            </w:r>
          </w:p>
        </w:tc>
        <w:tc>
          <w:tcPr>
            <w:tcW w:w="615" w:type="pct"/>
            <w:tcBorders>
              <w:top w:val="nil"/>
              <w:left w:val="nil"/>
              <w:bottom w:val="nil"/>
              <w:right w:val="nil"/>
            </w:tcBorders>
            <w:shd w:val="clear" w:color="000000" w:fill="FFFFFF"/>
            <w:noWrap/>
            <w:vAlign w:val="center"/>
            <w:hideMark/>
          </w:tcPr>
          <w:p w14:paraId="21B32B96"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13,85%</w:t>
            </w:r>
          </w:p>
        </w:tc>
        <w:tc>
          <w:tcPr>
            <w:tcW w:w="616" w:type="pct"/>
            <w:tcBorders>
              <w:top w:val="nil"/>
              <w:left w:val="nil"/>
              <w:bottom w:val="nil"/>
              <w:right w:val="nil"/>
            </w:tcBorders>
            <w:shd w:val="clear" w:color="000000" w:fill="FFFFFF"/>
            <w:noWrap/>
            <w:vAlign w:val="center"/>
            <w:hideMark/>
          </w:tcPr>
          <w:p w14:paraId="719BD9B4"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12,63%</w:t>
            </w:r>
          </w:p>
        </w:tc>
        <w:tc>
          <w:tcPr>
            <w:tcW w:w="538" w:type="pct"/>
            <w:tcBorders>
              <w:top w:val="nil"/>
              <w:left w:val="nil"/>
              <w:bottom w:val="nil"/>
              <w:right w:val="nil"/>
            </w:tcBorders>
            <w:shd w:val="clear" w:color="000000" w:fill="FFFFFF"/>
            <w:noWrap/>
            <w:vAlign w:val="center"/>
            <w:hideMark/>
          </w:tcPr>
          <w:p w14:paraId="02FBC1C9"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11,24%</w:t>
            </w:r>
          </w:p>
        </w:tc>
      </w:tr>
      <w:tr w:rsidR="00967DEF" w:rsidRPr="00365E42" w14:paraId="0C278EBE" w14:textId="77777777" w:rsidTr="00967DEF">
        <w:trPr>
          <w:trHeight w:val="310"/>
          <w:jc w:val="center"/>
        </w:trPr>
        <w:tc>
          <w:tcPr>
            <w:tcW w:w="1924" w:type="pct"/>
            <w:tcBorders>
              <w:top w:val="nil"/>
              <w:left w:val="nil"/>
              <w:bottom w:val="nil"/>
              <w:right w:val="nil"/>
            </w:tcBorders>
            <w:shd w:val="clear" w:color="000000" w:fill="FFFFFF"/>
            <w:noWrap/>
            <w:vAlign w:val="center"/>
            <w:hideMark/>
          </w:tcPr>
          <w:p w14:paraId="076F3EEC"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Solicitud sobreseimiento definitivo</w:t>
            </w:r>
          </w:p>
        </w:tc>
        <w:tc>
          <w:tcPr>
            <w:tcW w:w="616" w:type="pct"/>
            <w:tcBorders>
              <w:top w:val="nil"/>
              <w:left w:val="nil"/>
              <w:bottom w:val="nil"/>
              <w:right w:val="nil"/>
            </w:tcBorders>
            <w:shd w:val="clear" w:color="000000" w:fill="FFFFFF"/>
            <w:noWrap/>
            <w:vAlign w:val="center"/>
            <w:hideMark/>
          </w:tcPr>
          <w:p w14:paraId="51CD88E6"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10,04%</w:t>
            </w:r>
          </w:p>
        </w:tc>
        <w:tc>
          <w:tcPr>
            <w:tcW w:w="692" w:type="pct"/>
            <w:tcBorders>
              <w:top w:val="nil"/>
              <w:left w:val="nil"/>
              <w:bottom w:val="nil"/>
              <w:right w:val="nil"/>
            </w:tcBorders>
            <w:shd w:val="clear" w:color="000000" w:fill="FFFFFF"/>
            <w:noWrap/>
            <w:vAlign w:val="center"/>
            <w:hideMark/>
          </w:tcPr>
          <w:p w14:paraId="5509BCFD"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9,23%</w:t>
            </w:r>
          </w:p>
        </w:tc>
        <w:tc>
          <w:tcPr>
            <w:tcW w:w="615" w:type="pct"/>
            <w:tcBorders>
              <w:top w:val="nil"/>
              <w:left w:val="nil"/>
              <w:bottom w:val="nil"/>
              <w:right w:val="nil"/>
            </w:tcBorders>
            <w:shd w:val="clear" w:color="000000" w:fill="FFFFFF"/>
            <w:noWrap/>
            <w:vAlign w:val="center"/>
            <w:hideMark/>
          </w:tcPr>
          <w:p w14:paraId="71A42327"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7,77%</w:t>
            </w:r>
          </w:p>
        </w:tc>
        <w:tc>
          <w:tcPr>
            <w:tcW w:w="616" w:type="pct"/>
            <w:tcBorders>
              <w:top w:val="nil"/>
              <w:left w:val="nil"/>
              <w:bottom w:val="nil"/>
              <w:right w:val="nil"/>
            </w:tcBorders>
            <w:shd w:val="clear" w:color="000000" w:fill="FFFFFF"/>
            <w:noWrap/>
            <w:vAlign w:val="center"/>
            <w:hideMark/>
          </w:tcPr>
          <w:p w14:paraId="40E588ED"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7,44%</w:t>
            </w:r>
          </w:p>
        </w:tc>
        <w:tc>
          <w:tcPr>
            <w:tcW w:w="538" w:type="pct"/>
            <w:tcBorders>
              <w:top w:val="nil"/>
              <w:left w:val="nil"/>
              <w:bottom w:val="nil"/>
              <w:right w:val="nil"/>
            </w:tcBorders>
            <w:shd w:val="clear" w:color="000000" w:fill="FFFFFF"/>
            <w:noWrap/>
            <w:vAlign w:val="center"/>
            <w:hideMark/>
          </w:tcPr>
          <w:p w14:paraId="40C2CC61"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7,39%</w:t>
            </w:r>
          </w:p>
        </w:tc>
      </w:tr>
      <w:tr w:rsidR="00967DEF" w:rsidRPr="00365E42" w14:paraId="0F30F2FA" w14:textId="77777777" w:rsidTr="00967DEF">
        <w:trPr>
          <w:trHeight w:val="320"/>
          <w:jc w:val="center"/>
        </w:trPr>
        <w:tc>
          <w:tcPr>
            <w:tcW w:w="1924" w:type="pct"/>
            <w:tcBorders>
              <w:top w:val="nil"/>
              <w:left w:val="nil"/>
              <w:bottom w:val="single" w:sz="8" w:space="0" w:color="auto"/>
              <w:right w:val="nil"/>
            </w:tcBorders>
            <w:shd w:val="clear" w:color="000000" w:fill="FFFFFF"/>
            <w:noWrap/>
            <w:vAlign w:val="center"/>
            <w:hideMark/>
          </w:tcPr>
          <w:p w14:paraId="649BB8E8" w14:textId="77777777" w:rsidR="00967DEF" w:rsidRPr="00365E42" w:rsidRDefault="00967DEF" w:rsidP="00967DEF">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Remitido a otra jurisdicción</w:t>
            </w:r>
          </w:p>
        </w:tc>
        <w:tc>
          <w:tcPr>
            <w:tcW w:w="616" w:type="pct"/>
            <w:tcBorders>
              <w:top w:val="nil"/>
              <w:left w:val="nil"/>
              <w:bottom w:val="single" w:sz="8" w:space="0" w:color="auto"/>
              <w:right w:val="nil"/>
            </w:tcBorders>
            <w:shd w:val="clear" w:color="000000" w:fill="FFFFFF"/>
            <w:noWrap/>
            <w:vAlign w:val="center"/>
            <w:hideMark/>
          </w:tcPr>
          <w:p w14:paraId="45118ABA"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5,45%</w:t>
            </w:r>
          </w:p>
        </w:tc>
        <w:tc>
          <w:tcPr>
            <w:tcW w:w="692" w:type="pct"/>
            <w:tcBorders>
              <w:top w:val="nil"/>
              <w:left w:val="nil"/>
              <w:bottom w:val="single" w:sz="8" w:space="0" w:color="auto"/>
              <w:right w:val="nil"/>
            </w:tcBorders>
            <w:shd w:val="clear" w:color="000000" w:fill="FFFFFF"/>
            <w:noWrap/>
            <w:vAlign w:val="center"/>
            <w:hideMark/>
          </w:tcPr>
          <w:p w14:paraId="4D03D15E"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4,98%</w:t>
            </w:r>
          </w:p>
        </w:tc>
        <w:tc>
          <w:tcPr>
            <w:tcW w:w="615" w:type="pct"/>
            <w:tcBorders>
              <w:top w:val="nil"/>
              <w:left w:val="nil"/>
              <w:bottom w:val="single" w:sz="8" w:space="0" w:color="auto"/>
              <w:right w:val="nil"/>
            </w:tcBorders>
            <w:shd w:val="clear" w:color="000000" w:fill="FFFFFF"/>
            <w:noWrap/>
            <w:vAlign w:val="center"/>
            <w:hideMark/>
          </w:tcPr>
          <w:p w14:paraId="2683EE26"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5,64%</w:t>
            </w:r>
          </w:p>
        </w:tc>
        <w:tc>
          <w:tcPr>
            <w:tcW w:w="616" w:type="pct"/>
            <w:tcBorders>
              <w:top w:val="nil"/>
              <w:left w:val="nil"/>
              <w:bottom w:val="single" w:sz="8" w:space="0" w:color="auto"/>
              <w:right w:val="nil"/>
            </w:tcBorders>
            <w:shd w:val="clear" w:color="000000" w:fill="FFFFFF"/>
            <w:noWrap/>
            <w:vAlign w:val="center"/>
            <w:hideMark/>
          </w:tcPr>
          <w:p w14:paraId="2E53E9F8"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5,57%</w:t>
            </w:r>
          </w:p>
        </w:tc>
        <w:tc>
          <w:tcPr>
            <w:tcW w:w="538" w:type="pct"/>
            <w:tcBorders>
              <w:top w:val="nil"/>
              <w:left w:val="nil"/>
              <w:bottom w:val="single" w:sz="8" w:space="0" w:color="auto"/>
              <w:right w:val="nil"/>
            </w:tcBorders>
            <w:shd w:val="clear" w:color="000000" w:fill="FFFFFF"/>
            <w:noWrap/>
            <w:vAlign w:val="center"/>
            <w:hideMark/>
          </w:tcPr>
          <w:p w14:paraId="6443917A" w14:textId="77777777" w:rsidR="00967DEF" w:rsidRPr="00365E42" w:rsidRDefault="00967DEF" w:rsidP="00967DEF">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4,22%</w:t>
            </w:r>
          </w:p>
        </w:tc>
      </w:tr>
      <w:tr w:rsidR="00967DEF" w:rsidRPr="00365E42" w14:paraId="6CF45D14" w14:textId="77777777" w:rsidTr="00967DEF">
        <w:trPr>
          <w:trHeight w:val="290"/>
          <w:jc w:val="center"/>
        </w:trPr>
        <w:tc>
          <w:tcPr>
            <w:tcW w:w="5000" w:type="pct"/>
            <w:gridSpan w:val="6"/>
            <w:tcBorders>
              <w:top w:val="nil"/>
              <w:left w:val="nil"/>
              <w:bottom w:val="nil"/>
            </w:tcBorders>
            <w:shd w:val="clear" w:color="auto" w:fill="auto"/>
            <w:noWrap/>
            <w:vAlign w:val="center"/>
            <w:hideMark/>
          </w:tcPr>
          <w:p w14:paraId="2B7CC73E" w14:textId="71912381" w:rsidR="00967DEF" w:rsidRPr="00365E42" w:rsidRDefault="00967DEF" w:rsidP="00967DEF">
            <w:pPr>
              <w:spacing w:after="0" w:line="240" w:lineRule="auto"/>
              <w:rPr>
                <w:rFonts w:ascii="Book Antiqua" w:eastAsia="Times New Roman" w:hAnsi="Book Antiqua" w:cs="Times New Roman"/>
                <w:sz w:val="18"/>
                <w:szCs w:val="18"/>
                <w:lang w:eastAsia="es-CR"/>
              </w:rPr>
            </w:pPr>
            <w:r w:rsidRPr="00365E42">
              <w:rPr>
                <w:rFonts w:ascii="Book Antiqua" w:eastAsia="Times New Roman" w:hAnsi="Book Antiqua" w:cs="Times New Roman"/>
                <w:color w:val="000000"/>
                <w:sz w:val="18"/>
                <w:szCs w:val="18"/>
                <w:lang w:eastAsia="es-CR"/>
              </w:rPr>
              <w:t>Elaborado por: Subproceso de Estadística, Dirección de Planificación.</w:t>
            </w:r>
          </w:p>
        </w:tc>
      </w:tr>
    </w:tbl>
    <w:p w14:paraId="61C6619C" w14:textId="231F17A9" w:rsidR="00336A2B" w:rsidRDefault="00336A2B" w:rsidP="001A087C">
      <w:pPr>
        <w:spacing w:line="360" w:lineRule="auto"/>
        <w:jc w:val="both"/>
        <w:rPr>
          <w:rFonts w:ascii="Book Antiqua" w:hAnsi="Book Antiqua" w:cs="Times New Roman"/>
          <w:sz w:val="24"/>
          <w:szCs w:val="24"/>
        </w:rPr>
      </w:pPr>
    </w:p>
    <w:p w14:paraId="7ADB7D97" w14:textId="516E09D5" w:rsidR="00336A2B" w:rsidRDefault="00336A2B" w:rsidP="001A087C">
      <w:pPr>
        <w:spacing w:line="360" w:lineRule="auto"/>
        <w:jc w:val="both"/>
        <w:rPr>
          <w:rFonts w:ascii="Book Antiqua" w:hAnsi="Book Antiqua" w:cs="Times New Roman"/>
          <w:sz w:val="24"/>
          <w:szCs w:val="24"/>
        </w:rPr>
      </w:pPr>
    </w:p>
    <w:p w14:paraId="057C1383" w14:textId="040547FC" w:rsidR="00336A2B" w:rsidRDefault="00336A2B" w:rsidP="001A087C">
      <w:pPr>
        <w:spacing w:line="360" w:lineRule="auto"/>
        <w:jc w:val="both"/>
        <w:rPr>
          <w:rFonts w:ascii="Book Antiqua" w:hAnsi="Book Antiqua" w:cs="Times New Roman"/>
          <w:sz w:val="24"/>
          <w:szCs w:val="24"/>
        </w:rPr>
      </w:pPr>
    </w:p>
    <w:p w14:paraId="59A73549" w14:textId="77777777" w:rsidR="00336A2B" w:rsidRDefault="00336A2B" w:rsidP="001A087C">
      <w:pPr>
        <w:spacing w:line="360" w:lineRule="auto"/>
        <w:jc w:val="both"/>
        <w:rPr>
          <w:rFonts w:ascii="Book Antiqua" w:hAnsi="Book Antiqua" w:cs="Times New Roman"/>
          <w:sz w:val="24"/>
          <w:szCs w:val="24"/>
        </w:rPr>
      </w:pPr>
    </w:p>
    <w:p w14:paraId="67ACC3EE" w14:textId="3F2AA345" w:rsidR="00256B1B" w:rsidRPr="00365E42" w:rsidRDefault="00FC2A16"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lastRenderedPageBreak/>
        <w:t>Como queda en evidencia, e</w:t>
      </w:r>
      <w:r w:rsidR="00256B1B" w:rsidRPr="00365E42">
        <w:rPr>
          <w:rFonts w:ascii="Book Antiqua" w:hAnsi="Book Antiqua" w:cs="Times New Roman"/>
          <w:sz w:val="24"/>
          <w:szCs w:val="24"/>
        </w:rPr>
        <w:t xml:space="preserve">n lo que concierne a los </w:t>
      </w:r>
      <w:r w:rsidRPr="00365E42">
        <w:rPr>
          <w:rFonts w:ascii="Book Antiqua" w:hAnsi="Book Antiqua" w:cs="Times New Roman"/>
          <w:i/>
          <w:iCs/>
          <w:sz w:val="24"/>
          <w:szCs w:val="24"/>
        </w:rPr>
        <w:t>S</w:t>
      </w:r>
      <w:r w:rsidR="00256B1B" w:rsidRPr="00365E42">
        <w:rPr>
          <w:rFonts w:ascii="Book Antiqua" w:hAnsi="Book Antiqua" w:cs="Times New Roman"/>
          <w:i/>
          <w:iCs/>
          <w:sz w:val="24"/>
          <w:szCs w:val="24"/>
        </w:rPr>
        <w:t>obreseimientos definitivos</w:t>
      </w:r>
      <w:r w:rsidR="00256B1B" w:rsidRPr="00365E42">
        <w:rPr>
          <w:rFonts w:ascii="Book Antiqua" w:hAnsi="Book Antiqua" w:cs="Times New Roman"/>
          <w:sz w:val="24"/>
          <w:szCs w:val="24"/>
        </w:rPr>
        <w:t xml:space="preserve">, se registra un crecimiento </w:t>
      </w:r>
      <w:r w:rsidRPr="00365E42">
        <w:rPr>
          <w:rFonts w:ascii="Book Antiqua" w:hAnsi="Book Antiqua" w:cs="Times New Roman"/>
          <w:sz w:val="24"/>
          <w:szCs w:val="24"/>
        </w:rPr>
        <w:t xml:space="preserve">del 16,99% </w:t>
      </w:r>
      <w:r w:rsidR="00256B1B" w:rsidRPr="00365E42">
        <w:rPr>
          <w:rFonts w:ascii="Book Antiqua" w:hAnsi="Book Antiqua" w:cs="Times New Roman"/>
          <w:sz w:val="24"/>
          <w:szCs w:val="24"/>
        </w:rPr>
        <w:t>(</w:t>
      </w:r>
      <w:r w:rsidRPr="00365E42">
        <w:rPr>
          <w:rFonts w:ascii="Book Antiqua" w:hAnsi="Book Antiqua" w:cs="Times New Roman"/>
          <w:sz w:val="24"/>
          <w:szCs w:val="24"/>
        </w:rPr>
        <w:t>2.336</w:t>
      </w:r>
      <w:r w:rsidR="00256B1B" w:rsidRPr="00365E42">
        <w:rPr>
          <w:rFonts w:ascii="Book Antiqua" w:hAnsi="Book Antiqua" w:cs="Times New Roman"/>
          <w:sz w:val="24"/>
          <w:szCs w:val="24"/>
        </w:rPr>
        <w:t xml:space="preserve"> casos) en comparación con el 201</w:t>
      </w:r>
      <w:r w:rsidRPr="00365E42">
        <w:rPr>
          <w:rFonts w:ascii="Book Antiqua" w:hAnsi="Book Antiqua" w:cs="Times New Roman"/>
          <w:sz w:val="24"/>
          <w:szCs w:val="24"/>
        </w:rPr>
        <w:t>8</w:t>
      </w:r>
      <w:r w:rsidR="00256B1B"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y que establece un año más de </w:t>
      </w:r>
      <w:r w:rsidR="00E2298A" w:rsidRPr="00365E42">
        <w:rPr>
          <w:rFonts w:ascii="Book Antiqua" w:hAnsi="Book Antiqua" w:cs="Times New Roman"/>
          <w:sz w:val="24"/>
          <w:szCs w:val="24"/>
        </w:rPr>
        <w:t>incremento</w:t>
      </w:r>
      <w:r w:rsidRPr="00365E42">
        <w:rPr>
          <w:rFonts w:ascii="Book Antiqua" w:hAnsi="Book Antiqua" w:cs="Times New Roman"/>
          <w:sz w:val="24"/>
          <w:szCs w:val="24"/>
        </w:rPr>
        <w:t xml:space="preserve"> para este motivo de término </w:t>
      </w:r>
      <w:r w:rsidR="00256B1B" w:rsidRPr="00365E42">
        <w:rPr>
          <w:rFonts w:ascii="Book Antiqua" w:hAnsi="Book Antiqua" w:cs="Times New Roman"/>
          <w:sz w:val="24"/>
          <w:szCs w:val="24"/>
        </w:rPr>
        <w:t xml:space="preserve">revirtiendo así la tendencia decreciente </w:t>
      </w:r>
      <w:r w:rsidRPr="00365E42">
        <w:rPr>
          <w:rFonts w:ascii="Book Antiqua" w:hAnsi="Book Antiqua" w:cs="Times New Roman"/>
          <w:sz w:val="24"/>
          <w:szCs w:val="24"/>
        </w:rPr>
        <w:t xml:space="preserve">mostrada </w:t>
      </w:r>
      <w:r w:rsidR="008438DB" w:rsidRPr="00365E42">
        <w:rPr>
          <w:rFonts w:ascii="Book Antiqua" w:hAnsi="Book Antiqua" w:cs="Times New Roman"/>
          <w:sz w:val="24"/>
          <w:szCs w:val="24"/>
        </w:rPr>
        <w:t>durante</w:t>
      </w:r>
      <w:r w:rsidRPr="00365E42">
        <w:rPr>
          <w:rFonts w:ascii="Book Antiqua" w:hAnsi="Book Antiqua" w:cs="Times New Roman"/>
          <w:sz w:val="24"/>
          <w:szCs w:val="24"/>
        </w:rPr>
        <w:t xml:space="preserve"> el periodo 2015-2017</w:t>
      </w:r>
      <w:r w:rsidR="00256B1B" w:rsidRPr="00365E42">
        <w:rPr>
          <w:rFonts w:ascii="Book Antiqua" w:hAnsi="Book Antiqua" w:cs="Times New Roman"/>
          <w:sz w:val="24"/>
          <w:szCs w:val="24"/>
        </w:rPr>
        <w:t xml:space="preserve">. </w:t>
      </w:r>
    </w:p>
    <w:p w14:paraId="53095DC0" w14:textId="3220A2CB" w:rsidR="005D0B8D" w:rsidRPr="00365E42" w:rsidRDefault="004D7E11"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Siguiendo esta temática</w:t>
      </w:r>
      <w:r w:rsidR="00256B1B" w:rsidRPr="00365E42">
        <w:rPr>
          <w:rFonts w:ascii="Book Antiqua" w:hAnsi="Book Antiqua" w:cs="Times New Roman"/>
          <w:sz w:val="24"/>
          <w:szCs w:val="24"/>
        </w:rPr>
        <w:t xml:space="preserve"> destaca l</w:t>
      </w:r>
      <w:r w:rsidRPr="00365E42">
        <w:rPr>
          <w:rFonts w:ascii="Book Antiqua" w:hAnsi="Book Antiqua" w:cs="Times New Roman"/>
          <w:sz w:val="24"/>
          <w:szCs w:val="24"/>
        </w:rPr>
        <w:t xml:space="preserve">a categorización referente </w:t>
      </w:r>
      <w:r w:rsidR="00256B1B" w:rsidRPr="00365E42">
        <w:rPr>
          <w:rFonts w:ascii="Book Antiqua" w:hAnsi="Book Antiqua" w:cs="Times New Roman"/>
          <w:sz w:val="24"/>
          <w:szCs w:val="24"/>
        </w:rPr>
        <w:t xml:space="preserve">al artículo 311, incisos a), b), c) y e) del Código Procesal Penal, </w:t>
      </w:r>
      <w:r w:rsidRPr="00365E42">
        <w:rPr>
          <w:rFonts w:ascii="Book Antiqua" w:hAnsi="Book Antiqua" w:cs="Times New Roman"/>
          <w:sz w:val="24"/>
          <w:szCs w:val="24"/>
        </w:rPr>
        <w:t xml:space="preserve">representando estos para el 2019 84,24% (13.551 casos) de la totalidad de sobreseimientos definitivos dictados </w:t>
      </w:r>
      <w:r w:rsidR="00BF7E5D" w:rsidRPr="00365E42">
        <w:rPr>
          <w:rFonts w:ascii="Book Antiqua" w:hAnsi="Book Antiqua" w:cs="Times New Roman"/>
          <w:sz w:val="24"/>
          <w:szCs w:val="24"/>
        </w:rPr>
        <w:t>revirtiendo</w:t>
      </w:r>
      <w:r w:rsidRPr="00365E42">
        <w:rPr>
          <w:rFonts w:ascii="Book Antiqua" w:hAnsi="Book Antiqua" w:cs="Times New Roman"/>
          <w:sz w:val="24"/>
          <w:szCs w:val="24"/>
        </w:rPr>
        <w:t xml:space="preserve"> el comportamiento decreciente que se venía re</w:t>
      </w:r>
      <w:r w:rsidR="00BF7E5D" w:rsidRPr="00365E42">
        <w:rPr>
          <w:rFonts w:ascii="Book Antiqua" w:hAnsi="Book Antiqua" w:cs="Times New Roman"/>
          <w:sz w:val="24"/>
          <w:szCs w:val="24"/>
        </w:rPr>
        <w:t>portando</w:t>
      </w:r>
      <w:r w:rsidRPr="00365E42">
        <w:rPr>
          <w:rFonts w:ascii="Book Antiqua" w:hAnsi="Book Antiqua" w:cs="Times New Roman"/>
          <w:sz w:val="24"/>
          <w:szCs w:val="24"/>
        </w:rPr>
        <w:t xml:space="preserve"> para el periodo bajo estudio.</w:t>
      </w:r>
      <w:r w:rsidR="00F33EB7" w:rsidRPr="00365E42">
        <w:rPr>
          <w:rFonts w:ascii="Book Antiqua" w:hAnsi="Book Antiqua" w:cs="Times New Roman"/>
          <w:sz w:val="24"/>
          <w:szCs w:val="24"/>
        </w:rPr>
        <w:t xml:space="preserve"> Por otro lado, la </w:t>
      </w:r>
      <w:r w:rsidR="00F33EB7" w:rsidRPr="00365E42">
        <w:rPr>
          <w:rFonts w:ascii="Book Antiqua" w:hAnsi="Book Antiqua" w:cs="Times New Roman"/>
          <w:i/>
          <w:iCs/>
          <w:sz w:val="24"/>
          <w:szCs w:val="24"/>
        </w:rPr>
        <w:t xml:space="preserve">Extinción de la acción Penal </w:t>
      </w:r>
      <w:r w:rsidR="00F33EB7" w:rsidRPr="00365E42">
        <w:rPr>
          <w:rFonts w:ascii="Book Antiqua" w:hAnsi="Book Antiqua" w:cs="Times New Roman"/>
          <w:sz w:val="24"/>
          <w:szCs w:val="24"/>
        </w:rPr>
        <w:t>tiene una representación promedio del 14,48% (2.270 casos) en el último quinquenio.</w:t>
      </w:r>
    </w:p>
    <w:p w14:paraId="5D83DBF6" w14:textId="7BF148DB" w:rsidR="00BF7E5D" w:rsidRPr="00365E42" w:rsidRDefault="00BF7E5D" w:rsidP="001A087C">
      <w:pPr>
        <w:spacing w:line="360" w:lineRule="auto"/>
        <w:jc w:val="both"/>
        <w:rPr>
          <w:rFonts w:ascii="Book Antiqua" w:hAnsi="Book Antiqua" w:cs="Times New Roman"/>
          <w:sz w:val="24"/>
          <w:szCs w:val="24"/>
        </w:rPr>
      </w:pPr>
      <w:r w:rsidRPr="00365E42">
        <w:rPr>
          <w:rFonts w:ascii="Book Antiqua" w:hAnsi="Book Antiqua" w:cs="Times New Roman"/>
          <w:sz w:val="24"/>
          <w:szCs w:val="24"/>
        </w:rPr>
        <w:t>A continuación, se expone el histórico del comportamiento para esta variable tanto en términos absolutos como porcentuales:</w:t>
      </w:r>
    </w:p>
    <w:tbl>
      <w:tblPr>
        <w:tblW w:w="5000" w:type="pct"/>
        <w:tblCellMar>
          <w:left w:w="70" w:type="dxa"/>
          <w:right w:w="70" w:type="dxa"/>
        </w:tblCellMar>
        <w:tblLook w:val="04A0" w:firstRow="1" w:lastRow="0" w:firstColumn="1" w:lastColumn="0" w:noHBand="0" w:noVBand="1"/>
      </w:tblPr>
      <w:tblGrid>
        <w:gridCol w:w="4101"/>
        <w:gridCol w:w="973"/>
        <w:gridCol w:w="941"/>
        <w:gridCol w:w="941"/>
        <w:gridCol w:w="941"/>
        <w:gridCol w:w="941"/>
      </w:tblGrid>
      <w:tr w:rsidR="00A24419" w:rsidRPr="00365E42" w14:paraId="6963AA8A" w14:textId="77777777" w:rsidTr="00A24419">
        <w:trPr>
          <w:trHeight w:val="310"/>
        </w:trPr>
        <w:tc>
          <w:tcPr>
            <w:tcW w:w="5000" w:type="pct"/>
            <w:gridSpan w:val="6"/>
            <w:tcBorders>
              <w:top w:val="nil"/>
              <w:left w:val="nil"/>
              <w:bottom w:val="nil"/>
              <w:right w:val="nil"/>
            </w:tcBorders>
            <w:shd w:val="clear" w:color="000000" w:fill="FFFFFF"/>
            <w:vAlign w:val="center"/>
            <w:hideMark/>
          </w:tcPr>
          <w:p w14:paraId="3B272FDB" w14:textId="77777777" w:rsidR="00A24419" w:rsidRPr="00365E42" w:rsidRDefault="00A24419" w:rsidP="00A24419">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Cuadro 5</w:t>
            </w:r>
          </w:p>
        </w:tc>
      </w:tr>
      <w:tr w:rsidR="00A24419" w:rsidRPr="00365E42" w14:paraId="1DECBBF0" w14:textId="77777777" w:rsidTr="00A24419">
        <w:trPr>
          <w:trHeight w:val="310"/>
        </w:trPr>
        <w:tc>
          <w:tcPr>
            <w:tcW w:w="5000" w:type="pct"/>
            <w:gridSpan w:val="6"/>
            <w:tcBorders>
              <w:top w:val="nil"/>
              <w:left w:val="nil"/>
              <w:bottom w:val="nil"/>
              <w:right w:val="nil"/>
            </w:tcBorders>
            <w:shd w:val="clear" w:color="000000" w:fill="FFFFFF"/>
            <w:vAlign w:val="center"/>
            <w:hideMark/>
          </w:tcPr>
          <w:p w14:paraId="2F926300" w14:textId="0276B306" w:rsidR="00A24419" w:rsidRPr="00365E42" w:rsidRDefault="00A24419" w:rsidP="00A24419">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 xml:space="preserve">Distribución de </w:t>
            </w:r>
            <w:r w:rsidR="00290735" w:rsidRPr="00365E42">
              <w:rPr>
                <w:rFonts w:ascii="Book Antiqua" w:eastAsia="Times New Roman" w:hAnsi="Book Antiqua" w:cs="Times New Roman"/>
                <w:b/>
                <w:bCs/>
                <w:color w:val="000000"/>
                <w:sz w:val="24"/>
                <w:szCs w:val="24"/>
                <w:lang w:eastAsia="es-CR"/>
              </w:rPr>
              <w:t>solicitudes</w:t>
            </w:r>
            <w:r w:rsidRPr="00365E42">
              <w:rPr>
                <w:rFonts w:ascii="Book Antiqua" w:eastAsia="Times New Roman" w:hAnsi="Book Antiqua" w:cs="Times New Roman"/>
                <w:b/>
                <w:bCs/>
                <w:color w:val="000000"/>
                <w:sz w:val="24"/>
                <w:szCs w:val="24"/>
                <w:lang w:eastAsia="es-CR"/>
              </w:rPr>
              <w:t xml:space="preserve"> sobreseimientos definitivos finiquitados por</w:t>
            </w:r>
          </w:p>
        </w:tc>
      </w:tr>
      <w:tr w:rsidR="00A24419" w:rsidRPr="00365E42" w14:paraId="7F9ED92F" w14:textId="77777777" w:rsidTr="00A24419">
        <w:trPr>
          <w:trHeight w:val="310"/>
        </w:trPr>
        <w:tc>
          <w:tcPr>
            <w:tcW w:w="5000" w:type="pct"/>
            <w:gridSpan w:val="6"/>
            <w:tcBorders>
              <w:top w:val="nil"/>
              <w:left w:val="nil"/>
              <w:bottom w:val="nil"/>
              <w:right w:val="nil"/>
            </w:tcBorders>
            <w:shd w:val="clear" w:color="000000" w:fill="FFFFFF"/>
            <w:vAlign w:val="center"/>
            <w:hideMark/>
          </w:tcPr>
          <w:p w14:paraId="1DF29DDD" w14:textId="77777777" w:rsidR="00A24419" w:rsidRPr="00365E42" w:rsidRDefault="00A24419" w:rsidP="00A24419">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las fiscalías penales de adultos para el período 2015-2019</w:t>
            </w:r>
          </w:p>
        </w:tc>
      </w:tr>
      <w:tr w:rsidR="00A24419" w:rsidRPr="00365E42" w14:paraId="4BC6975A" w14:textId="77777777" w:rsidTr="00A24419">
        <w:trPr>
          <w:trHeight w:val="300"/>
        </w:trPr>
        <w:tc>
          <w:tcPr>
            <w:tcW w:w="5000" w:type="pct"/>
            <w:gridSpan w:val="6"/>
            <w:tcBorders>
              <w:top w:val="nil"/>
              <w:left w:val="nil"/>
              <w:bottom w:val="single" w:sz="8" w:space="0" w:color="auto"/>
              <w:right w:val="nil"/>
            </w:tcBorders>
            <w:shd w:val="clear" w:color="000000" w:fill="FFFFFF"/>
            <w:vAlign w:val="center"/>
            <w:hideMark/>
          </w:tcPr>
          <w:p w14:paraId="0BFEDF3B"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r>
      <w:tr w:rsidR="00A24419" w:rsidRPr="00365E42" w14:paraId="728682B2" w14:textId="77777777" w:rsidTr="00A24419">
        <w:trPr>
          <w:trHeight w:val="300"/>
        </w:trPr>
        <w:tc>
          <w:tcPr>
            <w:tcW w:w="2376" w:type="pct"/>
            <w:vMerge w:val="restart"/>
            <w:tcBorders>
              <w:top w:val="nil"/>
              <w:left w:val="nil"/>
              <w:bottom w:val="single" w:sz="8" w:space="0" w:color="000000"/>
              <w:right w:val="single" w:sz="8" w:space="0" w:color="auto"/>
            </w:tcBorders>
            <w:shd w:val="clear" w:color="000000" w:fill="FFFFFF"/>
            <w:vAlign w:val="center"/>
            <w:hideMark/>
          </w:tcPr>
          <w:p w14:paraId="1CA92506" w14:textId="09286A77" w:rsidR="00A24419" w:rsidRPr="00365E42" w:rsidRDefault="00290735"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xml:space="preserve">Solicitudes </w:t>
            </w:r>
            <w:r w:rsidR="00A24419" w:rsidRPr="00365E42">
              <w:rPr>
                <w:rFonts w:ascii="Book Antiqua" w:eastAsia="Times New Roman" w:hAnsi="Book Antiqua" w:cs="Times New Roman"/>
                <w:b/>
                <w:bCs/>
                <w:color w:val="000000"/>
                <w:lang w:eastAsia="es-CR"/>
              </w:rPr>
              <w:t>Sobreseimientos Definitivos</w:t>
            </w:r>
          </w:p>
        </w:tc>
        <w:tc>
          <w:tcPr>
            <w:tcW w:w="2624" w:type="pct"/>
            <w:gridSpan w:val="5"/>
            <w:tcBorders>
              <w:top w:val="single" w:sz="8" w:space="0" w:color="auto"/>
              <w:left w:val="nil"/>
              <w:bottom w:val="single" w:sz="8" w:space="0" w:color="auto"/>
              <w:right w:val="nil"/>
            </w:tcBorders>
            <w:shd w:val="clear" w:color="000000" w:fill="FFFFFF"/>
            <w:vAlign w:val="center"/>
            <w:hideMark/>
          </w:tcPr>
          <w:p w14:paraId="1FFE1C0B"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Año</w:t>
            </w:r>
          </w:p>
        </w:tc>
      </w:tr>
      <w:tr w:rsidR="00A24419" w:rsidRPr="00365E42" w14:paraId="4ED17BD3" w14:textId="77777777" w:rsidTr="00A24419">
        <w:trPr>
          <w:trHeight w:val="300"/>
        </w:trPr>
        <w:tc>
          <w:tcPr>
            <w:tcW w:w="2376" w:type="pct"/>
            <w:vMerge/>
            <w:tcBorders>
              <w:top w:val="nil"/>
              <w:left w:val="nil"/>
              <w:bottom w:val="single" w:sz="8" w:space="0" w:color="000000"/>
              <w:right w:val="single" w:sz="8" w:space="0" w:color="auto"/>
            </w:tcBorders>
            <w:vAlign w:val="center"/>
            <w:hideMark/>
          </w:tcPr>
          <w:p w14:paraId="2D50E96A" w14:textId="77777777" w:rsidR="00A24419" w:rsidRPr="00365E42" w:rsidRDefault="00A24419" w:rsidP="00A24419">
            <w:pPr>
              <w:spacing w:after="0" w:line="240" w:lineRule="auto"/>
              <w:rPr>
                <w:rFonts w:ascii="Book Antiqua" w:eastAsia="Times New Roman" w:hAnsi="Book Antiqua" w:cs="Times New Roman"/>
                <w:b/>
                <w:bCs/>
                <w:color w:val="000000"/>
                <w:lang w:eastAsia="es-CR"/>
              </w:rPr>
            </w:pPr>
          </w:p>
        </w:tc>
        <w:tc>
          <w:tcPr>
            <w:tcW w:w="606" w:type="pct"/>
            <w:tcBorders>
              <w:top w:val="nil"/>
              <w:left w:val="nil"/>
              <w:bottom w:val="single" w:sz="8" w:space="0" w:color="auto"/>
              <w:right w:val="single" w:sz="8" w:space="0" w:color="auto"/>
            </w:tcBorders>
            <w:shd w:val="clear" w:color="000000" w:fill="FFFFFF"/>
            <w:noWrap/>
            <w:vAlign w:val="center"/>
            <w:hideMark/>
          </w:tcPr>
          <w:p w14:paraId="14176000"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2015</w:t>
            </w:r>
          </w:p>
        </w:tc>
        <w:tc>
          <w:tcPr>
            <w:tcW w:w="505" w:type="pct"/>
            <w:tcBorders>
              <w:top w:val="nil"/>
              <w:left w:val="nil"/>
              <w:bottom w:val="single" w:sz="8" w:space="0" w:color="auto"/>
              <w:right w:val="single" w:sz="8" w:space="0" w:color="auto"/>
            </w:tcBorders>
            <w:shd w:val="clear" w:color="000000" w:fill="FFFFFF"/>
            <w:noWrap/>
            <w:vAlign w:val="center"/>
            <w:hideMark/>
          </w:tcPr>
          <w:p w14:paraId="5FCAA755"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2016</w:t>
            </w:r>
          </w:p>
        </w:tc>
        <w:tc>
          <w:tcPr>
            <w:tcW w:w="505" w:type="pct"/>
            <w:tcBorders>
              <w:top w:val="nil"/>
              <w:left w:val="nil"/>
              <w:bottom w:val="single" w:sz="8" w:space="0" w:color="auto"/>
              <w:right w:val="nil"/>
            </w:tcBorders>
            <w:shd w:val="clear" w:color="000000" w:fill="FFFFFF"/>
            <w:noWrap/>
            <w:vAlign w:val="center"/>
            <w:hideMark/>
          </w:tcPr>
          <w:p w14:paraId="7C823EB8"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2017</w:t>
            </w:r>
          </w:p>
        </w:tc>
        <w:tc>
          <w:tcPr>
            <w:tcW w:w="505" w:type="pct"/>
            <w:tcBorders>
              <w:top w:val="nil"/>
              <w:left w:val="single" w:sz="8" w:space="0" w:color="auto"/>
              <w:bottom w:val="single" w:sz="8" w:space="0" w:color="auto"/>
              <w:right w:val="nil"/>
            </w:tcBorders>
            <w:shd w:val="clear" w:color="000000" w:fill="FFFFFF"/>
            <w:noWrap/>
            <w:vAlign w:val="center"/>
            <w:hideMark/>
          </w:tcPr>
          <w:p w14:paraId="2BAD06B1"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2018</w:t>
            </w:r>
          </w:p>
        </w:tc>
        <w:tc>
          <w:tcPr>
            <w:tcW w:w="505" w:type="pct"/>
            <w:tcBorders>
              <w:top w:val="nil"/>
              <w:left w:val="single" w:sz="8" w:space="0" w:color="auto"/>
              <w:bottom w:val="single" w:sz="8" w:space="0" w:color="auto"/>
              <w:right w:val="nil"/>
            </w:tcBorders>
            <w:shd w:val="clear" w:color="000000" w:fill="FFFFFF"/>
            <w:noWrap/>
            <w:vAlign w:val="center"/>
            <w:hideMark/>
          </w:tcPr>
          <w:p w14:paraId="27E672DE"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2019</w:t>
            </w:r>
          </w:p>
        </w:tc>
      </w:tr>
      <w:tr w:rsidR="00A24419" w:rsidRPr="00365E42" w14:paraId="3068AA9A" w14:textId="77777777" w:rsidTr="00A24419">
        <w:trPr>
          <w:trHeight w:val="290"/>
        </w:trPr>
        <w:tc>
          <w:tcPr>
            <w:tcW w:w="2376" w:type="pct"/>
            <w:tcBorders>
              <w:top w:val="nil"/>
              <w:left w:val="nil"/>
              <w:bottom w:val="nil"/>
              <w:right w:val="nil"/>
            </w:tcBorders>
            <w:shd w:val="clear" w:color="000000" w:fill="FFFFFF"/>
            <w:noWrap/>
            <w:vAlign w:val="center"/>
            <w:hideMark/>
          </w:tcPr>
          <w:p w14:paraId="55882AF0"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606" w:type="pct"/>
            <w:tcBorders>
              <w:top w:val="nil"/>
              <w:left w:val="nil"/>
              <w:bottom w:val="nil"/>
              <w:right w:val="nil"/>
            </w:tcBorders>
            <w:shd w:val="clear" w:color="000000" w:fill="FFFFFF"/>
            <w:noWrap/>
            <w:vAlign w:val="center"/>
            <w:hideMark/>
          </w:tcPr>
          <w:p w14:paraId="63E4187F"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408C9BC6"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6D40DA63"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6C06F189"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616D126C"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r>
      <w:tr w:rsidR="00A24419" w:rsidRPr="00365E42" w14:paraId="3DA134D2" w14:textId="77777777" w:rsidTr="00A24419">
        <w:trPr>
          <w:trHeight w:val="290"/>
        </w:trPr>
        <w:tc>
          <w:tcPr>
            <w:tcW w:w="2376" w:type="pct"/>
            <w:tcBorders>
              <w:top w:val="nil"/>
              <w:left w:val="nil"/>
              <w:bottom w:val="nil"/>
              <w:right w:val="nil"/>
            </w:tcBorders>
            <w:shd w:val="clear" w:color="000000" w:fill="EEECE1"/>
            <w:noWrap/>
            <w:vAlign w:val="center"/>
            <w:hideMark/>
          </w:tcPr>
          <w:p w14:paraId="3A65A8F7"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Absolutos</w:t>
            </w:r>
          </w:p>
        </w:tc>
        <w:tc>
          <w:tcPr>
            <w:tcW w:w="606" w:type="pct"/>
            <w:tcBorders>
              <w:top w:val="nil"/>
              <w:left w:val="nil"/>
              <w:bottom w:val="nil"/>
              <w:right w:val="nil"/>
            </w:tcBorders>
            <w:shd w:val="clear" w:color="000000" w:fill="EEECE1"/>
            <w:noWrap/>
            <w:vAlign w:val="center"/>
            <w:hideMark/>
          </w:tcPr>
          <w:p w14:paraId="690FEF75"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18 948</w:t>
            </w:r>
          </w:p>
        </w:tc>
        <w:tc>
          <w:tcPr>
            <w:tcW w:w="505" w:type="pct"/>
            <w:tcBorders>
              <w:top w:val="nil"/>
              <w:left w:val="nil"/>
              <w:bottom w:val="nil"/>
              <w:right w:val="nil"/>
            </w:tcBorders>
            <w:shd w:val="clear" w:color="000000" w:fill="EEECE1"/>
            <w:noWrap/>
            <w:vAlign w:val="center"/>
            <w:hideMark/>
          </w:tcPr>
          <w:p w14:paraId="236252A4"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16 367</w:t>
            </w:r>
          </w:p>
        </w:tc>
        <w:tc>
          <w:tcPr>
            <w:tcW w:w="505" w:type="pct"/>
            <w:tcBorders>
              <w:top w:val="nil"/>
              <w:left w:val="nil"/>
              <w:bottom w:val="nil"/>
              <w:right w:val="nil"/>
            </w:tcBorders>
            <w:shd w:val="clear" w:color="000000" w:fill="EEECE1"/>
            <w:noWrap/>
            <w:vAlign w:val="center"/>
            <w:hideMark/>
          </w:tcPr>
          <w:p w14:paraId="0E093014"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13 627</w:t>
            </w:r>
          </w:p>
        </w:tc>
        <w:tc>
          <w:tcPr>
            <w:tcW w:w="505" w:type="pct"/>
            <w:tcBorders>
              <w:top w:val="nil"/>
              <w:left w:val="nil"/>
              <w:bottom w:val="nil"/>
              <w:right w:val="nil"/>
            </w:tcBorders>
            <w:shd w:val="clear" w:color="000000" w:fill="EEECE1"/>
            <w:noWrap/>
            <w:vAlign w:val="center"/>
            <w:hideMark/>
          </w:tcPr>
          <w:p w14:paraId="11862238"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13 751</w:t>
            </w:r>
          </w:p>
        </w:tc>
        <w:tc>
          <w:tcPr>
            <w:tcW w:w="505" w:type="pct"/>
            <w:tcBorders>
              <w:top w:val="nil"/>
              <w:left w:val="nil"/>
              <w:bottom w:val="nil"/>
              <w:right w:val="nil"/>
            </w:tcBorders>
            <w:shd w:val="clear" w:color="000000" w:fill="EEECE1"/>
            <w:noWrap/>
            <w:vAlign w:val="center"/>
            <w:hideMark/>
          </w:tcPr>
          <w:p w14:paraId="61DB8599"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16 087</w:t>
            </w:r>
          </w:p>
        </w:tc>
      </w:tr>
      <w:tr w:rsidR="00A24419" w:rsidRPr="00365E42" w14:paraId="1D7537DA" w14:textId="77777777" w:rsidTr="00A24419">
        <w:trPr>
          <w:trHeight w:val="290"/>
        </w:trPr>
        <w:tc>
          <w:tcPr>
            <w:tcW w:w="2376" w:type="pct"/>
            <w:tcBorders>
              <w:top w:val="nil"/>
              <w:left w:val="nil"/>
              <w:bottom w:val="nil"/>
              <w:right w:val="nil"/>
            </w:tcBorders>
            <w:shd w:val="clear" w:color="000000" w:fill="FFFFFF"/>
            <w:noWrap/>
            <w:vAlign w:val="center"/>
            <w:hideMark/>
          </w:tcPr>
          <w:p w14:paraId="6C7427E4"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Artículo 311, Incisos a, b, c, e</w:t>
            </w:r>
          </w:p>
        </w:tc>
        <w:tc>
          <w:tcPr>
            <w:tcW w:w="606" w:type="pct"/>
            <w:tcBorders>
              <w:top w:val="nil"/>
              <w:left w:val="nil"/>
              <w:bottom w:val="nil"/>
              <w:right w:val="nil"/>
            </w:tcBorders>
            <w:shd w:val="clear" w:color="000000" w:fill="FFFFFF"/>
            <w:noWrap/>
            <w:vAlign w:val="center"/>
            <w:hideMark/>
          </w:tcPr>
          <w:p w14:paraId="3F2B3A3B"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16 408</w:t>
            </w:r>
          </w:p>
        </w:tc>
        <w:tc>
          <w:tcPr>
            <w:tcW w:w="505" w:type="pct"/>
            <w:tcBorders>
              <w:top w:val="nil"/>
              <w:left w:val="nil"/>
              <w:bottom w:val="nil"/>
              <w:right w:val="nil"/>
            </w:tcBorders>
            <w:shd w:val="clear" w:color="000000" w:fill="FFFFFF"/>
            <w:noWrap/>
            <w:vAlign w:val="center"/>
            <w:hideMark/>
          </w:tcPr>
          <w:p w14:paraId="7865D28E"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14 189</w:t>
            </w:r>
          </w:p>
        </w:tc>
        <w:tc>
          <w:tcPr>
            <w:tcW w:w="505" w:type="pct"/>
            <w:tcBorders>
              <w:top w:val="nil"/>
              <w:left w:val="nil"/>
              <w:bottom w:val="nil"/>
              <w:right w:val="nil"/>
            </w:tcBorders>
            <w:shd w:val="clear" w:color="000000" w:fill="FFFFFF"/>
            <w:noWrap/>
            <w:vAlign w:val="center"/>
            <w:hideMark/>
          </w:tcPr>
          <w:p w14:paraId="754B8BB7"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11 707</w:t>
            </w:r>
          </w:p>
        </w:tc>
        <w:tc>
          <w:tcPr>
            <w:tcW w:w="505" w:type="pct"/>
            <w:tcBorders>
              <w:top w:val="nil"/>
              <w:left w:val="nil"/>
              <w:bottom w:val="nil"/>
              <w:right w:val="nil"/>
            </w:tcBorders>
            <w:shd w:val="clear" w:color="000000" w:fill="FFFFFF"/>
            <w:noWrap/>
            <w:vAlign w:val="center"/>
            <w:hideMark/>
          </w:tcPr>
          <w:p w14:paraId="6E3BEEAD"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11 577</w:t>
            </w:r>
          </w:p>
        </w:tc>
        <w:tc>
          <w:tcPr>
            <w:tcW w:w="505" w:type="pct"/>
            <w:tcBorders>
              <w:top w:val="nil"/>
              <w:left w:val="nil"/>
              <w:bottom w:val="nil"/>
              <w:right w:val="nil"/>
            </w:tcBorders>
            <w:shd w:val="clear" w:color="000000" w:fill="FFFFFF"/>
            <w:noWrap/>
            <w:vAlign w:val="center"/>
            <w:hideMark/>
          </w:tcPr>
          <w:p w14:paraId="0C406527"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13 551</w:t>
            </w:r>
          </w:p>
        </w:tc>
      </w:tr>
      <w:tr w:rsidR="00A24419" w:rsidRPr="00365E42" w14:paraId="6DD9D6DC" w14:textId="77777777" w:rsidTr="00A24419">
        <w:trPr>
          <w:trHeight w:val="290"/>
        </w:trPr>
        <w:tc>
          <w:tcPr>
            <w:tcW w:w="2376" w:type="pct"/>
            <w:tcBorders>
              <w:top w:val="nil"/>
              <w:left w:val="nil"/>
              <w:bottom w:val="nil"/>
              <w:right w:val="nil"/>
            </w:tcBorders>
            <w:shd w:val="clear" w:color="000000" w:fill="FFFFFF"/>
            <w:noWrap/>
            <w:vAlign w:val="center"/>
            <w:hideMark/>
          </w:tcPr>
          <w:p w14:paraId="34EC5FE4"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Extinción de la acción Penal</w:t>
            </w:r>
          </w:p>
        </w:tc>
        <w:tc>
          <w:tcPr>
            <w:tcW w:w="606" w:type="pct"/>
            <w:tcBorders>
              <w:top w:val="nil"/>
              <w:left w:val="nil"/>
              <w:bottom w:val="nil"/>
              <w:right w:val="nil"/>
            </w:tcBorders>
            <w:shd w:val="clear" w:color="000000" w:fill="FFFFFF"/>
            <w:noWrap/>
            <w:vAlign w:val="center"/>
            <w:hideMark/>
          </w:tcPr>
          <w:p w14:paraId="6B27826B"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2 540</w:t>
            </w:r>
          </w:p>
        </w:tc>
        <w:tc>
          <w:tcPr>
            <w:tcW w:w="505" w:type="pct"/>
            <w:tcBorders>
              <w:top w:val="nil"/>
              <w:left w:val="nil"/>
              <w:bottom w:val="nil"/>
              <w:right w:val="nil"/>
            </w:tcBorders>
            <w:shd w:val="clear" w:color="000000" w:fill="FFFFFF"/>
            <w:noWrap/>
            <w:vAlign w:val="center"/>
            <w:hideMark/>
          </w:tcPr>
          <w:p w14:paraId="65C345D8"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2 178</w:t>
            </w:r>
          </w:p>
        </w:tc>
        <w:tc>
          <w:tcPr>
            <w:tcW w:w="505" w:type="pct"/>
            <w:tcBorders>
              <w:top w:val="nil"/>
              <w:left w:val="nil"/>
              <w:bottom w:val="nil"/>
              <w:right w:val="nil"/>
            </w:tcBorders>
            <w:shd w:val="clear" w:color="000000" w:fill="FFFFFF"/>
            <w:noWrap/>
            <w:vAlign w:val="center"/>
            <w:hideMark/>
          </w:tcPr>
          <w:p w14:paraId="0F5B5CCB"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1 920</w:t>
            </w:r>
          </w:p>
        </w:tc>
        <w:tc>
          <w:tcPr>
            <w:tcW w:w="505" w:type="pct"/>
            <w:tcBorders>
              <w:top w:val="nil"/>
              <w:left w:val="nil"/>
              <w:bottom w:val="nil"/>
              <w:right w:val="nil"/>
            </w:tcBorders>
            <w:shd w:val="clear" w:color="000000" w:fill="FFFFFF"/>
            <w:noWrap/>
            <w:vAlign w:val="center"/>
            <w:hideMark/>
          </w:tcPr>
          <w:p w14:paraId="3F038BBF"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2 174</w:t>
            </w:r>
          </w:p>
        </w:tc>
        <w:tc>
          <w:tcPr>
            <w:tcW w:w="505" w:type="pct"/>
            <w:tcBorders>
              <w:top w:val="nil"/>
              <w:left w:val="nil"/>
              <w:bottom w:val="nil"/>
              <w:right w:val="nil"/>
            </w:tcBorders>
            <w:shd w:val="clear" w:color="000000" w:fill="FFFFFF"/>
            <w:noWrap/>
            <w:vAlign w:val="center"/>
            <w:hideMark/>
          </w:tcPr>
          <w:p w14:paraId="0614FA7A"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2 536</w:t>
            </w:r>
          </w:p>
        </w:tc>
      </w:tr>
      <w:tr w:rsidR="00A24419" w:rsidRPr="00365E42" w14:paraId="681F01D1" w14:textId="77777777" w:rsidTr="00A24419">
        <w:trPr>
          <w:trHeight w:val="290"/>
        </w:trPr>
        <w:tc>
          <w:tcPr>
            <w:tcW w:w="2376" w:type="pct"/>
            <w:tcBorders>
              <w:top w:val="nil"/>
              <w:left w:val="nil"/>
              <w:bottom w:val="nil"/>
              <w:right w:val="nil"/>
            </w:tcBorders>
            <w:shd w:val="clear" w:color="000000" w:fill="FFFFFF"/>
            <w:noWrap/>
            <w:vAlign w:val="center"/>
            <w:hideMark/>
          </w:tcPr>
          <w:p w14:paraId="5914AD22"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606" w:type="pct"/>
            <w:tcBorders>
              <w:top w:val="nil"/>
              <w:left w:val="nil"/>
              <w:bottom w:val="nil"/>
              <w:right w:val="nil"/>
            </w:tcBorders>
            <w:shd w:val="clear" w:color="000000" w:fill="FFFFFF"/>
            <w:noWrap/>
            <w:vAlign w:val="center"/>
            <w:hideMark/>
          </w:tcPr>
          <w:p w14:paraId="0942CAE5"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626E68FD"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40BE9BC9"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6B6B3ABE"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505" w:type="pct"/>
            <w:tcBorders>
              <w:top w:val="nil"/>
              <w:left w:val="nil"/>
              <w:bottom w:val="nil"/>
              <w:right w:val="nil"/>
            </w:tcBorders>
            <w:shd w:val="clear" w:color="000000" w:fill="FFFFFF"/>
            <w:noWrap/>
            <w:vAlign w:val="center"/>
            <w:hideMark/>
          </w:tcPr>
          <w:p w14:paraId="0BB98B3B"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r>
      <w:tr w:rsidR="00A24419" w:rsidRPr="00365E42" w14:paraId="136DF0D4" w14:textId="77777777" w:rsidTr="00A24419">
        <w:trPr>
          <w:trHeight w:val="290"/>
        </w:trPr>
        <w:tc>
          <w:tcPr>
            <w:tcW w:w="2376" w:type="pct"/>
            <w:tcBorders>
              <w:top w:val="nil"/>
              <w:left w:val="nil"/>
              <w:bottom w:val="nil"/>
              <w:right w:val="nil"/>
            </w:tcBorders>
            <w:shd w:val="clear" w:color="000000" w:fill="EEECE1"/>
            <w:noWrap/>
            <w:vAlign w:val="center"/>
            <w:hideMark/>
          </w:tcPr>
          <w:p w14:paraId="08958F4A"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Porcentajes</w:t>
            </w:r>
          </w:p>
        </w:tc>
        <w:tc>
          <w:tcPr>
            <w:tcW w:w="606" w:type="pct"/>
            <w:tcBorders>
              <w:top w:val="nil"/>
              <w:left w:val="nil"/>
              <w:bottom w:val="nil"/>
              <w:right w:val="nil"/>
            </w:tcBorders>
            <w:shd w:val="clear" w:color="000000" w:fill="EEECE1"/>
            <w:noWrap/>
            <w:vAlign w:val="center"/>
            <w:hideMark/>
          </w:tcPr>
          <w:p w14:paraId="6CA6AD9F"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100,00%</w:t>
            </w:r>
          </w:p>
        </w:tc>
        <w:tc>
          <w:tcPr>
            <w:tcW w:w="505" w:type="pct"/>
            <w:tcBorders>
              <w:top w:val="nil"/>
              <w:left w:val="nil"/>
              <w:bottom w:val="nil"/>
              <w:right w:val="nil"/>
            </w:tcBorders>
            <w:shd w:val="clear" w:color="000000" w:fill="EEECE1"/>
            <w:noWrap/>
            <w:vAlign w:val="center"/>
            <w:hideMark/>
          </w:tcPr>
          <w:p w14:paraId="515F9F40"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100,00%</w:t>
            </w:r>
          </w:p>
        </w:tc>
        <w:tc>
          <w:tcPr>
            <w:tcW w:w="505" w:type="pct"/>
            <w:tcBorders>
              <w:top w:val="nil"/>
              <w:left w:val="nil"/>
              <w:bottom w:val="nil"/>
              <w:right w:val="nil"/>
            </w:tcBorders>
            <w:shd w:val="clear" w:color="000000" w:fill="EEECE1"/>
            <w:noWrap/>
            <w:vAlign w:val="center"/>
            <w:hideMark/>
          </w:tcPr>
          <w:p w14:paraId="5C6D4911"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100,00%</w:t>
            </w:r>
          </w:p>
        </w:tc>
        <w:tc>
          <w:tcPr>
            <w:tcW w:w="505" w:type="pct"/>
            <w:tcBorders>
              <w:top w:val="nil"/>
              <w:left w:val="nil"/>
              <w:bottom w:val="nil"/>
              <w:right w:val="nil"/>
            </w:tcBorders>
            <w:shd w:val="clear" w:color="000000" w:fill="EEECE1"/>
            <w:noWrap/>
            <w:vAlign w:val="center"/>
            <w:hideMark/>
          </w:tcPr>
          <w:p w14:paraId="679903D0"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100,00%</w:t>
            </w:r>
          </w:p>
        </w:tc>
        <w:tc>
          <w:tcPr>
            <w:tcW w:w="505" w:type="pct"/>
            <w:tcBorders>
              <w:top w:val="nil"/>
              <w:left w:val="nil"/>
              <w:bottom w:val="nil"/>
              <w:right w:val="nil"/>
            </w:tcBorders>
            <w:shd w:val="clear" w:color="000000" w:fill="EEECE1"/>
            <w:noWrap/>
            <w:vAlign w:val="center"/>
            <w:hideMark/>
          </w:tcPr>
          <w:p w14:paraId="74343F51" w14:textId="77777777" w:rsidR="00A24419" w:rsidRPr="00365E42" w:rsidRDefault="00A24419" w:rsidP="00A24419">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100,00%</w:t>
            </w:r>
          </w:p>
        </w:tc>
      </w:tr>
      <w:tr w:rsidR="00A24419" w:rsidRPr="00365E42" w14:paraId="16823962" w14:textId="77777777" w:rsidTr="00A24419">
        <w:trPr>
          <w:trHeight w:val="290"/>
        </w:trPr>
        <w:tc>
          <w:tcPr>
            <w:tcW w:w="2376" w:type="pct"/>
            <w:tcBorders>
              <w:top w:val="nil"/>
              <w:left w:val="nil"/>
              <w:bottom w:val="nil"/>
              <w:right w:val="nil"/>
            </w:tcBorders>
            <w:shd w:val="clear" w:color="000000" w:fill="FFFFFF"/>
            <w:noWrap/>
            <w:vAlign w:val="center"/>
            <w:hideMark/>
          </w:tcPr>
          <w:p w14:paraId="7BBCA5CA"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Artículo 311, Incisos a, b, c, e</w:t>
            </w:r>
          </w:p>
        </w:tc>
        <w:tc>
          <w:tcPr>
            <w:tcW w:w="606" w:type="pct"/>
            <w:tcBorders>
              <w:top w:val="nil"/>
              <w:left w:val="nil"/>
              <w:bottom w:val="nil"/>
              <w:right w:val="nil"/>
            </w:tcBorders>
            <w:shd w:val="clear" w:color="000000" w:fill="FFFFFF"/>
            <w:noWrap/>
            <w:vAlign w:val="center"/>
            <w:hideMark/>
          </w:tcPr>
          <w:p w14:paraId="0F31401B"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86,59%</w:t>
            </w:r>
          </w:p>
        </w:tc>
        <w:tc>
          <w:tcPr>
            <w:tcW w:w="505" w:type="pct"/>
            <w:tcBorders>
              <w:top w:val="nil"/>
              <w:left w:val="nil"/>
              <w:bottom w:val="nil"/>
              <w:right w:val="nil"/>
            </w:tcBorders>
            <w:shd w:val="clear" w:color="000000" w:fill="FFFFFF"/>
            <w:noWrap/>
            <w:vAlign w:val="center"/>
            <w:hideMark/>
          </w:tcPr>
          <w:p w14:paraId="6F74F9E3"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86,69%</w:t>
            </w:r>
          </w:p>
        </w:tc>
        <w:tc>
          <w:tcPr>
            <w:tcW w:w="505" w:type="pct"/>
            <w:tcBorders>
              <w:top w:val="nil"/>
              <w:left w:val="nil"/>
              <w:bottom w:val="nil"/>
              <w:right w:val="nil"/>
            </w:tcBorders>
            <w:shd w:val="clear" w:color="000000" w:fill="FFFFFF"/>
            <w:noWrap/>
            <w:vAlign w:val="center"/>
            <w:hideMark/>
          </w:tcPr>
          <w:p w14:paraId="75A36E80"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85,91%</w:t>
            </w:r>
          </w:p>
        </w:tc>
        <w:tc>
          <w:tcPr>
            <w:tcW w:w="505" w:type="pct"/>
            <w:tcBorders>
              <w:top w:val="nil"/>
              <w:left w:val="nil"/>
              <w:bottom w:val="nil"/>
              <w:right w:val="nil"/>
            </w:tcBorders>
            <w:shd w:val="clear" w:color="000000" w:fill="FFFFFF"/>
            <w:noWrap/>
            <w:vAlign w:val="center"/>
            <w:hideMark/>
          </w:tcPr>
          <w:p w14:paraId="19D31A37"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84,19%</w:t>
            </w:r>
          </w:p>
        </w:tc>
        <w:tc>
          <w:tcPr>
            <w:tcW w:w="505" w:type="pct"/>
            <w:tcBorders>
              <w:top w:val="nil"/>
              <w:left w:val="nil"/>
              <w:bottom w:val="nil"/>
              <w:right w:val="nil"/>
            </w:tcBorders>
            <w:shd w:val="clear" w:color="000000" w:fill="FFFFFF"/>
            <w:noWrap/>
            <w:vAlign w:val="center"/>
            <w:hideMark/>
          </w:tcPr>
          <w:p w14:paraId="52A1713E"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84,24%</w:t>
            </w:r>
          </w:p>
        </w:tc>
      </w:tr>
      <w:tr w:rsidR="00A24419" w:rsidRPr="00365E42" w14:paraId="52E733CE" w14:textId="77777777" w:rsidTr="00A24419">
        <w:trPr>
          <w:trHeight w:val="300"/>
        </w:trPr>
        <w:tc>
          <w:tcPr>
            <w:tcW w:w="2376" w:type="pct"/>
            <w:tcBorders>
              <w:top w:val="nil"/>
              <w:left w:val="nil"/>
              <w:bottom w:val="single" w:sz="8" w:space="0" w:color="auto"/>
              <w:right w:val="nil"/>
            </w:tcBorders>
            <w:shd w:val="clear" w:color="000000" w:fill="FFFFFF"/>
            <w:noWrap/>
            <w:vAlign w:val="center"/>
            <w:hideMark/>
          </w:tcPr>
          <w:p w14:paraId="1CE0209F" w14:textId="77777777" w:rsidR="00A24419" w:rsidRPr="00365E42" w:rsidRDefault="00A24419" w:rsidP="00A24419">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Extinción de la acción Penal</w:t>
            </w:r>
          </w:p>
        </w:tc>
        <w:tc>
          <w:tcPr>
            <w:tcW w:w="606" w:type="pct"/>
            <w:tcBorders>
              <w:top w:val="nil"/>
              <w:left w:val="nil"/>
              <w:bottom w:val="single" w:sz="8" w:space="0" w:color="auto"/>
              <w:right w:val="nil"/>
            </w:tcBorders>
            <w:shd w:val="clear" w:color="000000" w:fill="FFFFFF"/>
            <w:noWrap/>
            <w:vAlign w:val="center"/>
            <w:hideMark/>
          </w:tcPr>
          <w:p w14:paraId="5D503A31"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13,41%</w:t>
            </w:r>
          </w:p>
        </w:tc>
        <w:tc>
          <w:tcPr>
            <w:tcW w:w="505" w:type="pct"/>
            <w:tcBorders>
              <w:top w:val="nil"/>
              <w:left w:val="nil"/>
              <w:bottom w:val="single" w:sz="8" w:space="0" w:color="auto"/>
              <w:right w:val="nil"/>
            </w:tcBorders>
            <w:shd w:val="clear" w:color="000000" w:fill="FFFFFF"/>
            <w:noWrap/>
            <w:vAlign w:val="center"/>
            <w:hideMark/>
          </w:tcPr>
          <w:p w14:paraId="69D5601C"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13,31%</w:t>
            </w:r>
          </w:p>
        </w:tc>
        <w:tc>
          <w:tcPr>
            <w:tcW w:w="505" w:type="pct"/>
            <w:tcBorders>
              <w:top w:val="nil"/>
              <w:left w:val="nil"/>
              <w:bottom w:val="single" w:sz="8" w:space="0" w:color="auto"/>
              <w:right w:val="nil"/>
            </w:tcBorders>
            <w:shd w:val="clear" w:color="000000" w:fill="FFFFFF"/>
            <w:noWrap/>
            <w:vAlign w:val="center"/>
            <w:hideMark/>
          </w:tcPr>
          <w:p w14:paraId="39D50B1B"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14,09%</w:t>
            </w:r>
          </w:p>
        </w:tc>
        <w:tc>
          <w:tcPr>
            <w:tcW w:w="505" w:type="pct"/>
            <w:tcBorders>
              <w:top w:val="nil"/>
              <w:left w:val="nil"/>
              <w:bottom w:val="single" w:sz="8" w:space="0" w:color="auto"/>
              <w:right w:val="nil"/>
            </w:tcBorders>
            <w:shd w:val="clear" w:color="000000" w:fill="FFFFFF"/>
            <w:noWrap/>
            <w:vAlign w:val="center"/>
            <w:hideMark/>
          </w:tcPr>
          <w:p w14:paraId="3D17EB18"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15,81%</w:t>
            </w:r>
          </w:p>
        </w:tc>
        <w:tc>
          <w:tcPr>
            <w:tcW w:w="505" w:type="pct"/>
            <w:tcBorders>
              <w:top w:val="nil"/>
              <w:left w:val="nil"/>
              <w:bottom w:val="single" w:sz="8" w:space="0" w:color="auto"/>
              <w:right w:val="nil"/>
            </w:tcBorders>
            <w:shd w:val="clear" w:color="000000" w:fill="FFFFFF"/>
            <w:noWrap/>
            <w:vAlign w:val="center"/>
            <w:hideMark/>
          </w:tcPr>
          <w:p w14:paraId="59A2BADA" w14:textId="77777777" w:rsidR="00A24419" w:rsidRPr="00365E42" w:rsidRDefault="00A24419" w:rsidP="00A24419">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15,76%</w:t>
            </w:r>
          </w:p>
        </w:tc>
      </w:tr>
      <w:tr w:rsidR="00A24419" w:rsidRPr="00365E42" w14:paraId="49E8D396" w14:textId="77777777" w:rsidTr="00A24419">
        <w:trPr>
          <w:trHeight w:val="290"/>
        </w:trPr>
        <w:tc>
          <w:tcPr>
            <w:tcW w:w="5000" w:type="pct"/>
            <w:gridSpan w:val="6"/>
            <w:tcBorders>
              <w:top w:val="nil"/>
              <w:left w:val="nil"/>
              <w:bottom w:val="nil"/>
            </w:tcBorders>
            <w:shd w:val="clear" w:color="auto" w:fill="auto"/>
            <w:noWrap/>
            <w:vAlign w:val="center"/>
            <w:hideMark/>
          </w:tcPr>
          <w:p w14:paraId="5CB94069" w14:textId="0F996951" w:rsidR="00A24419" w:rsidRPr="00365E42" w:rsidRDefault="00A24419" w:rsidP="00A24419">
            <w:pPr>
              <w:spacing w:after="0" w:line="240" w:lineRule="auto"/>
              <w:rPr>
                <w:rFonts w:ascii="Book Antiqua" w:eastAsia="Times New Roman" w:hAnsi="Book Antiqua" w:cs="Times New Roman"/>
                <w:sz w:val="20"/>
                <w:szCs w:val="20"/>
                <w:lang w:eastAsia="es-CR"/>
              </w:rPr>
            </w:pPr>
            <w:r w:rsidRPr="00365E42">
              <w:rPr>
                <w:rFonts w:ascii="Book Antiqua" w:eastAsia="Times New Roman" w:hAnsi="Book Antiqua" w:cs="Times New Roman"/>
                <w:color w:val="000000"/>
                <w:sz w:val="20"/>
                <w:szCs w:val="20"/>
                <w:lang w:eastAsia="es-CR"/>
              </w:rPr>
              <w:t>Elaborado por: Subproceso de Estadística, Dirección de Planificación.</w:t>
            </w:r>
          </w:p>
        </w:tc>
      </w:tr>
    </w:tbl>
    <w:p w14:paraId="478BE8FA" w14:textId="7EB407D5" w:rsidR="005D0B8D" w:rsidRDefault="005D0B8D" w:rsidP="00DE315A">
      <w:pPr>
        <w:jc w:val="both"/>
        <w:outlineLvl w:val="0"/>
        <w:rPr>
          <w:rFonts w:ascii="Book Antiqua" w:hAnsi="Book Antiqua" w:cs="Times New Roman"/>
          <w:b/>
          <w:bCs/>
          <w:sz w:val="24"/>
          <w:szCs w:val="24"/>
        </w:rPr>
      </w:pPr>
    </w:p>
    <w:p w14:paraId="5B9D802C" w14:textId="444AF352" w:rsidR="00336A2B" w:rsidRDefault="00336A2B" w:rsidP="00DE315A">
      <w:pPr>
        <w:jc w:val="both"/>
        <w:outlineLvl w:val="0"/>
        <w:rPr>
          <w:rFonts w:ascii="Book Antiqua" w:hAnsi="Book Antiqua" w:cs="Times New Roman"/>
          <w:b/>
          <w:bCs/>
          <w:sz w:val="24"/>
          <w:szCs w:val="24"/>
        </w:rPr>
      </w:pPr>
    </w:p>
    <w:p w14:paraId="0A657ABE" w14:textId="79407456" w:rsidR="00336A2B" w:rsidRDefault="00336A2B" w:rsidP="00DE315A">
      <w:pPr>
        <w:jc w:val="both"/>
        <w:outlineLvl w:val="0"/>
        <w:rPr>
          <w:rFonts w:ascii="Book Antiqua" w:hAnsi="Book Antiqua" w:cs="Times New Roman"/>
          <w:b/>
          <w:bCs/>
          <w:sz w:val="24"/>
          <w:szCs w:val="24"/>
        </w:rPr>
      </w:pPr>
    </w:p>
    <w:p w14:paraId="38BC0379" w14:textId="77777777" w:rsidR="00336A2B" w:rsidRPr="00365E42" w:rsidRDefault="00336A2B" w:rsidP="00DE315A">
      <w:pPr>
        <w:jc w:val="both"/>
        <w:outlineLvl w:val="0"/>
        <w:rPr>
          <w:rFonts w:ascii="Book Antiqua" w:hAnsi="Book Antiqua" w:cs="Times New Roman"/>
          <w:b/>
          <w:bCs/>
          <w:sz w:val="24"/>
          <w:szCs w:val="24"/>
        </w:rPr>
      </w:pPr>
    </w:p>
    <w:p w14:paraId="44165713" w14:textId="0CFF8B87" w:rsidR="00F67896" w:rsidRPr="00365E42" w:rsidRDefault="00F67896" w:rsidP="00F67896">
      <w:pPr>
        <w:pStyle w:val="Prrafodelista"/>
        <w:numPr>
          <w:ilvl w:val="0"/>
          <w:numId w:val="1"/>
        </w:numPr>
        <w:jc w:val="both"/>
        <w:outlineLvl w:val="0"/>
        <w:rPr>
          <w:rFonts w:ascii="Book Antiqua" w:hAnsi="Book Antiqua" w:cs="Times New Roman"/>
          <w:b/>
          <w:bCs/>
          <w:sz w:val="24"/>
          <w:szCs w:val="24"/>
        </w:rPr>
      </w:pPr>
      <w:bookmarkStart w:id="5" w:name="_Toc46389675"/>
      <w:r w:rsidRPr="00365E42">
        <w:rPr>
          <w:rFonts w:ascii="Book Antiqua" w:hAnsi="Book Antiqua" w:cs="Times New Roman"/>
          <w:b/>
          <w:bCs/>
          <w:sz w:val="24"/>
          <w:szCs w:val="24"/>
        </w:rPr>
        <w:lastRenderedPageBreak/>
        <w:t>CIRCULANTE AL FINALIZAR EL AÑO</w:t>
      </w:r>
      <w:bookmarkEnd w:id="5"/>
    </w:p>
    <w:p w14:paraId="6D499201" w14:textId="790D6F3F" w:rsidR="00F67896" w:rsidRPr="00365E42" w:rsidRDefault="003515EA" w:rsidP="003515EA">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El comportamiento de esta variable a través de los últimos cinco años se puede catalogar como estrictamente creciente, registrando </w:t>
      </w:r>
      <w:r w:rsidR="00A97B80" w:rsidRPr="00365E42">
        <w:rPr>
          <w:rFonts w:ascii="Book Antiqua" w:hAnsi="Book Antiqua" w:cs="Times New Roman"/>
          <w:sz w:val="24"/>
          <w:szCs w:val="24"/>
        </w:rPr>
        <w:t xml:space="preserve">en </w:t>
      </w:r>
      <w:r w:rsidRPr="00365E42">
        <w:rPr>
          <w:rFonts w:ascii="Book Antiqua" w:hAnsi="Book Antiqua" w:cs="Times New Roman"/>
          <w:sz w:val="24"/>
          <w:szCs w:val="24"/>
        </w:rPr>
        <w:t xml:space="preserve">promedio </w:t>
      </w:r>
      <w:r w:rsidR="00A97B80" w:rsidRPr="00365E42">
        <w:rPr>
          <w:rFonts w:ascii="Book Antiqua" w:hAnsi="Book Antiqua" w:cs="Times New Roman"/>
          <w:sz w:val="24"/>
          <w:szCs w:val="24"/>
        </w:rPr>
        <w:t xml:space="preserve">incrementos </w:t>
      </w:r>
      <w:r w:rsidRPr="00365E42">
        <w:rPr>
          <w:rFonts w:ascii="Book Antiqua" w:hAnsi="Book Antiqua" w:cs="Times New Roman"/>
          <w:sz w:val="24"/>
          <w:szCs w:val="24"/>
        </w:rPr>
        <w:t>del 12,30% (6.629 casos) a nivel interanual y, el 2019 destaca como la magnitud de activos más significativa del periodo bajo estudio.</w:t>
      </w:r>
    </w:p>
    <w:p w14:paraId="42987191" w14:textId="726A764F" w:rsidR="00F67896" w:rsidRPr="00365E42" w:rsidRDefault="00B93B19" w:rsidP="003515EA">
      <w:pPr>
        <w:jc w:val="center"/>
        <w:rPr>
          <w:rFonts w:ascii="Book Antiqua" w:hAnsi="Book Antiqua" w:cs="Times New Roman"/>
          <w:b/>
          <w:bCs/>
          <w:sz w:val="24"/>
          <w:szCs w:val="24"/>
        </w:rPr>
      </w:pPr>
      <w:r w:rsidRPr="00365E42">
        <w:rPr>
          <w:rFonts w:ascii="Book Antiqua" w:hAnsi="Book Antiqua"/>
          <w:noProof/>
        </w:rPr>
        <w:drawing>
          <wp:inline distT="0" distB="0" distL="0" distR="0" wp14:anchorId="20D6078E" wp14:editId="6F773974">
            <wp:extent cx="5403850" cy="2165350"/>
            <wp:effectExtent l="0" t="0" r="6350" b="6350"/>
            <wp:docPr id="3" name="Gráfico 3">
              <a:extLst xmlns:a="http://schemas.openxmlformats.org/drawingml/2006/main">
                <a:ext uri="{FF2B5EF4-FFF2-40B4-BE49-F238E27FC236}">
                  <a16:creationId xmlns:a16="http://schemas.microsoft.com/office/drawing/2014/main" id="{2EFFDFE4-869E-4B97-9F9B-7CCFB070D9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85B190" w14:textId="2099DBCD" w:rsidR="00E52A91" w:rsidRPr="00365E42" w:rsidRDefault="004A6755" w:rsidP="004A6755">
      <w:pPr>
        <w:spacing w:line="360" w:lineRule="auto"/>
        <w:jc w:val="both"/>
        <w:rPr>
          <w:rFonts w:ascii="Book Antiqua" w:hAnsi="Book Antiqua" w:cs="Times New Roman"/>
          <w:sz w:val="24"/>
          <w:szCs w:val="24"/>
        </w:rPr>
      </w:pPr>
      <w:r w:rsidRPr="00365E42">
        <w:rPr>
          <w:rFonts w:ascii="Book Antiqua" w:hAnsi="Book Antiqua" w:cs="Times New Roman"/>
          <w:sz w:val="24"/>
          <w:szCs w:val="24"/>
        </w:rPr>
        <w:t>Cabe destacar que a pesar de la buena gestión por parte de las fiscalías penales a nivel nacional en incrementar de manera significativa la cantidad de resoluciones, donde con excepción del año 2018</w:t>
      </w:r>
      <w:r w:rsidR="00CF7805" w:rsidRPr="00365E42">
        <w:rPr>
          <w:rFonts w:ascii="Book Antiqua" w:hAnsi="Book Antiqua" w:cs="Times New Roman"/>
          <w:sz w:val="24"/>
          <w:szCs w:val="24"/>
        </w:rPr>
        <w:t>,</w:t>
      </w:r>
      <w:r w:rsidRPr="00365E42">
        <w:rPr>
          <w:rFonts w:ascii="Book Antiqua" w:hAnsi="Book Antiqua" w:cs="Times New Roman"/>
          <w:sz w:val="24"/>
          <w:szCs w:val="24"/>
        </w:rPr>
        <w:t xml:space="preserve"> siempre fueron registradas mayor cantidad de finiquitos en relación con las causas nuevas ingresadas (ver Cuadro 1)</w:t>
      </w:r>
      <w:r w:rsidR="00E52A91" w:rsidRPr="00365E42">
        <w:rPr>
          <w:rFonts w:ascii="Book Antiqua" w:hAnsi="Book Antiqua" w:cs="Times New Roman"/>
          <w:sz w:val="24"/>
          <w:szCs w:val="24"/>
        </w:rPr>
        <w:t xml:space="preserve">. </w:t>
      </w:r>
    </w:p>
    <w:p w14:paraId="79499AAC" w14:textId="129B8BD2" w:rsidR="003515EA" w:rsidRDefault="00E52A91" w:rsidP="004A6755">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En </w:t>
      </w:r>
      <w:r w:rsidR="00413B85" w:rsidRPr="00365E42">
        <w:rPr>
          <w:rFonts w:ascii="Book Antiqua" w:hAnsi="Book Antiqua" w:cs="Times New Roman"/>
          <w:sz w:val="24"/>
          <w:szCs w:val="24"/>
        </w:rPr>
        <w:t>definitiva,</w:t>
      </w:r>
      <w:r w:rsidRPr="00365E42">
        <w:rPr>
          <w:rFonts w:ascii="Book Antiqua" w:hAnsi="Book Antiqua" w:cs="Times New Roman"/>
          <w:sz w:val="24"/>
          <w:szCs w:val="24"/>
        </w:rPr>
        <w:t xml:space="preserve"> para analizar el comportamiento de los activos</w:t>
      </w:r>
      <w:r w:rsidR="007B6798" w:rsidRPr="00365E42">
        <w:rPr>
          <w:rFonts w:ascii="Book Antiqua" w:hAnsi="Book Antiqua" w:cs="Times New Roman"/>
          <w:sz w:val="24"/>
          <w:szCs w:val="24"/>
        </w:rPr>
        <w:t xml:space="preserve"> en esta instancia judicial</w:t>
      </w:r>
      <w:r w:rsidRPr="00365E42">
        <w:rPr>
          <w:rFonts w:ascii="Book Antiqua" w:hAnsi="Book Antiqua" w:cs="Times New Roman"/>
          <w:sz w:val="24"/>
          <w:szCs w:val="24"/>
        </w:rPr>
        <w:t xml:space="preserve"> se necesita abordar obligatoriamente dos de los insumos que son utilizados para su cálculo final, y que como se logra definir, influyen significativamente en el comportamiento </w:t>
      </w:r>
      <w:r w:rsidR="007B6798" w:rsidRPr="00365E42">
        <w:rPr>
          <w:rFonts w:ascii="Book Antiqua" w:hAnsi="Book Antiqua" w:cs="Times New Roman"/>
          <w:sz w:val="24"/>
          <w:szCs w:val="24"/>
        </w:rPr>
        <w:t>registrado</w:t>
      </w:r>
      <w:r w:rsidRPr="00365E42">
        <w:rPr>
          <w:rFonts w:ascii="Book Antiqua" w:hAnsi="Book Antiqua" w:cs="Times New Roman"/>
          <w:sz w:val="24"/>
          <w:szCs w:val="24"/>
        </w:rPr>
        <w:t xml:space="preserve">, y son los </w:t>
      </w:r>
      <w:r w:rsidR="007B6798" w:rsidRPr="00365E42">
        <w:rPr>
          <w:rFonts w:ascii="Book Antiqua" w:hAnsi="Book Antiqua" w:cs="Times New Roman"/>
          <w:sz w:val="24"/>
          <w:szCs w:val="24"/>
        </w:rPr>
        <w:t xml:space="preserve">referentes a los </w:t>
      </w:r>
      <w:r w:rsidRPr="00365E42">
        <w:rPr>
          <w:rFonts w:ascii="Book Antiqua" w:hAnsi="Book Antiqua" w:cs="Times New Roman"/>
          <w:sz w:val="24"/>
          <w:szCs w:val="24"/>
        </w:rPr>
        <w:t xml:space="preserve">casos reentrados y los testimonios de piezas, </w:t>
      </w:r>
      <w:r w:rsidR="00247FC6" w:rsidRPr="00365E42">
        <w:rPr>
          <w:rFonts w:ascii="Book Antiqua" w:hAnsi="Book Antiqua" w:cs="Times New Roman"/>
          <w:sz w:val="24"/>
          <w:szCs w:val="24"/>
        </w:rPr>
        <w:t xml:space="preserve">siendo que </w:t>
      </w:r>
      <w:r w:rsidR="007B6798" w:rsidRPr="00365E42">
        <w:rPr>
          <w:rFonts w:ascii="Book Antiqua" w:hAnsi="Book Antiqua" w:cs="Times New Roman"/>
          <w:sz w:val="24"/>
          <w:szCs w:val="24"/>
        </w:rPr>
        <w:t>estos</w:t>
      </w:r>
      <w:r w:rsidR="00CF7805"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en promedio </w:t>
      </w:r>
      <w:r w:rsidR="00CF7805" w:rsidRPr="00365E42">
        <w:rPr>
          <w:rFonts w:ascii="Book Antiqua" w:hAnsi="Book Antiqua" w:cs="Times New Roman"/>
          <w:sz w:val="24"/>
          <w:szCs w:val="24"/>
        </w:rPr>
        <w:t xml:space="preserve">abarcan </w:t>
      </w:r>
      <w:r w:rsidRPr="00365E42">
        <w:rPr>
          <w:rFonts w:ascii="Book Antiqua" w:hAnsi="Book Antiqua" w:cs="Times New Roman"/>
          <w:sz w:val="24"/>
          <w:szCs w:val="24"/>
        </w:rPr>
        <w:t xml:space="preserve">un no despreciable 4,81% de la totalidad de </w:t>
      </w:r>
      <w:r w:rsidR="00D44DB8" w:rsidRPr="00365E42">
        <w:rPr>
          <w:rFonts w:ascii="Book Antiqua" w:hAnsi="Book Antiqua" w:cs="Times New Roman"/>
          <w:sz w:val="24"/>
          <w:szCs w:val="24"/>
        </w:rPr>
        <w:t xml:space="preserve">la </w:t>
      </w:r>
      <w:r w:rsidRPr="00365E42">
        <w:rPr>
          <w:rFonts w:ascii="Book Antiqua" w:hAnsi="Book Antiqua" w:cs="Times New Roman"/>
          <w:sz w:val="24"/>
          <w:szCs w:val="24"/>
        </w:rPr>
        <w:t>carga de trabajo (11.778 casos)</w:t>
      </w:r>
      <w:r w:rsidR="00CF7805" w:rsidRPr="00365E42">
        <w:rPr>
          <w:rFonts w:ascii="Book Antiqua" w:hAnsi="Book Antiqua" w:cs="Times New Roman"/>
          <w:sz w:val="24"/>
          <w:szCs w:val="24"/>
        </w:rPr>
        <w:t xml:space="preserve"> para el periodo bajo análisis</w:t>
      </w:r>
      <w:r w:rsidR="007B6798" w:rsidRPr="00365E42">
        <w:rPr>
          <w:rFonts w:ascii="Book Antiqua" w:hAnsi="Book Antiqua" w:cs="Times New Roman"/>
          <w:sz w:val="24"/>
          <w:szCs w:val="24"/>
        </w:rPr>
        <w:t>.</w:t>
      </w:r>
    </w:p>
    <w:p w14:paraId="744FAB36" w14:textId="2F68321A" w:rsidR="00336A2B" w:rsidRDefault="00336A2B" w:rsidP="004A6755">
      <w:pPr>
        <w:spacing w:line="360" w:lineRule="auto"/>
        <w:jc w:val="both"/>
        <w:rPr>
          <w:rFonts w:ascii="Book Antiqua" w:hAnsi="Book Antiqua" w:cs="Times New Roman"/>
          <w:sz w:val="24"/>
          <w:szCs w:val="24"/>
        </w:rPr>
      </w:pPr>
    </w:p>
    <w:p w14:paraId="2EFC6E13" w14:textId="4383985D" w:rsidR="00413B85" w:rsidRPr="00365E42" w:rsidRDefault="00252F5F" w:rsidP="004A6755">
      <w:pPr>
        <w:spacing w:line="360" w:lineRule="auto"/>
        <w:jc w:val="both"/>
        <w:rPr>
          <w:rFonts w:ascii="Book Antiqua" w:hAnsi="Book Antiqua" w:cs="Times New Roman"/>
          <w:sz w:val="24"/>
          <w:szCs w:val="24"/>
        </w:rPr>
      </w:pPr>
      <w:r w:rsidRPr="00365E42">
        <w:rPr>
          <w:rFonts w:ascii="Book Antiqua" w:hAnsi="Book Antiqua" w:cs="Times New Roman"/>
          <w:sz w:val="24"/>
          <w:szCs w:val="24"/>
        </w:rPr>
        <w:lastRenderedPageBreak/>
        <w:t>El comportamiento de estas dos variables mencionadas se muestra a continuación</w:t>
      </w:r>
      <w:r w:rsidR="00C70EF4" w:rsidRPr="00365E42">
        <w:rPr>
          <w:rFonts w:ascii="Book Antiqua" w:hAnsi="Book Antiqua" w:cs="Times New Roman"/>
          <w:sz w:val="24"/>
          <w:szCs w:val="24"/>
        </w:rPr>
        <w:t xml:space="preserve"> </w:t>
      </w:r>
      <w:r w:rsidR="00253104" w:rsidRPr="00365E42">
        <w:rPr>
          <w:rFonts w:ascii="Book Antiqua" w:hAnsi="Book Antiqua" w:cs="Times New Roman"/>
          <w:sz w:val="24"/>
          <w:szCs w:val="24"/>
        </w:rPr>
        <w:t>desde el año 2015</w:t>
      </w:r>
      <w:r w:rsidR="00413B85" w:rsidRPr="00365E42">
        <w:rPr>
          <w:rFonts w:ascii="Book Antiqua" w:hAnsi="Book Antiqua" w:cs="Times New Roman"/>
          <w:sz w:val="24"/>
          <w:szCs w:val="24"/>
        </w:rPr>
        <w:t>:</w:t>
      </w:r>
    </w:p>
    <w:p w14:paraId="51874D48" w14:textId="17290BDD" w:rsidR="00413B85" w:rsidRPr="00365E42" w:rsidRDefault="00247FC6" w:rsidP="00247FC6">
      <w:pPr>
        <w:spacing w:line="360" w:lineRule="auto"/>
        <w:jc w:val="center"/>
        <w:rPr>
          <w:rFonts w:ascii="Book Antiqua" w:hAnsi="Book Antiqua" w:cs="Times New Roman"/>
          <w:sz w:val="24"/>
          <w:szCs w:val="24"/>
        </w:rPr>
      </w:pPr>
      <w:r w:rsidRPr="00365E42">
        <w:rPr>
          <w:rFonts w:ascii="Book Antiqua" w:hAnsi="Book Antiqua"/>
          <w:noProof/>
        </w:rPr>
        <w:drawing>
          <wp:inline distT="0" distB="0" distL="0" distR="0" wp14:anchorId="7EB630CD" wp14:editId="21B0B76D">
            <wp:extent cx="5612130" cy="2457450"/>
            <wp:effectExtent l="0" t="0" r="7620" b="0"/>
            <wp:docPr id="6" name="Gráfico 6">
              <a:extLst xmlns:a="http://schemas.openxmlformats.org/drawingml/2006/main">
                <a:ext uri="{FF2B5EF4-FFF2-40B4-BE49-F238E27FC236}">
                  <a16:creationId xmlns:a16="http://schemas.microsoft.com/office/drawing/2014/main" id="{C80637F1-A403-4B73-A519-76ABD83B1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B8E884" w14:textId="2E2DAB4E" w:rsidR="00247FC6" w:rsidRPr="00365E42" w:rsidRDefault="00247FC6" w:rsidP="00247FC6">
      <w:pPr>
        <w:spacing w:line="360" w:lineRule="auto"/>
        <w:jc w:val="both"/>
        <w:rPr>
          <w:rFonts w:ascii="Book Antiqua" w:hAnsi="Book Antiqua" w:cs="Times New Roman"/>
          <w:sz w:val="24"/>
          <w:szCs w:val="24"/>
        </w:rPr>
      </w:pPr>
      <w:r w:rsidRPr="00365E42">
        <w:rPr>
          <w:rFonts w:ascii="Book Antiqua" w:hAnsi="Book Antiqua" w:cs="Times New Roman"/>
          <w:sz w:val="24"/>
          <w:szCs w:val="24"/>
        </w:rPr>
        <w:t>Como se mencionó anteriormente, a pesar de la eficiente labor en cuanto a finiquito de causas en las fiscalías penales de adultos, el no t</w:t>
      </w:r>
      <w:r w:rsidR="005F4EDC" w:rsidRPr="00365E42">
        <w:rPr>
          <w:rFonts w:ascii="Book Antiqua" w:hAnsi="Book Antiqua" w:cs="Times New Roman"/>
          <w:sz w:val="24"/>
          <w:szCs w:val="24"/>
        </w:rPr>
        <w:t>é</w:t>
      </w:r>
      <w:r w:rsidRPr="00365E42">
        <w:rPr>
          <w:rFonts w:ascii="Book Antiqua" w:hAnsi="Book Antiqua" w:cs="Times New Roman"/>
          <w:sz w:val="24"/>
          <w:szCs w:val="24"/>
        </w:rPr>
        <w:t xml:space="preserve">rmino de expedientes principalmente por el reingreso de procesos al flujo activo del circulante, </w:t>
      </w:r>
      <w:r w:rsidR="004A435A" w:rsidRPr="00365E42">
        <w:rPr>
          <w:rFonts w:ascii="Book Antiqua" w:hAnsi="Book Antiqua" w:cs="Times New Roman"/>
          <w:sz w:val="24"/>
          <w:szCs w:val="24"/>
        </w:rPr>
        <w:t>está</w:t>
      </w:r>
      <w:r w:rsidRPr="00365E42">
        <w:rPr>
          <w:rFonts w:ascii="Book Antiqua" w:hAnsi="Book Antiqua" w:cs="Times New Roman"/>
          <w:sz w:val="24"/>
          <w:szCs w:val="24"/>
        </w:rPr>
        <w:t xml:space="preserve"> colaborando</w:t>
      </w:r>
      <w:r w:rsidR="00D66536" w:rsidRPr="00365E42">
        <w:rPr>
          <w:rFonts w:ascii="Book Antiqua" w:hAnsi="Book Antiqua" w:cs="Times New Roman"/>
          <w:sz w:val="24"/>
          <w:szCs w:val="24"/>
        </w:rPr>
        <w:t xml:space="preserve"> </w:t>
      </w:r>
      <w:r w:rsidR="00ED51AD" w:rsidRPr="00365E42">
        <w:rPr>
          <w:rFonts w:ascii="Book Antiqua" w:hAnsi="Book Antiqua" w:cs="Times New Roman"/>
          <w:sz w:val="24"/>
          <w:szCs w:val="24"/>
        </w:rPr>
        <w:t xml:space="preserve">a </w:t>
      </w:r>
      <w:r w:rsidR="004A09E4" w:rsidRPr="00365E42">
        <w:rPr>
          <w:rFonts w:ascii="Book Antiqua" w:hAnsi="Book Antiqua" w:cs="Times New Roman"/>
          <w:sz w:val="24"/>
          <w:szCs w:val="24"/>
        </w:rPr>
        <w:t>que,</w:t>
      </w:r>
      <w:r w:rsidR="00D66536" w:rsidRPr="00365E42">
        <w:rPr>
          <w:rFonts w:ascii="Book Antiqua" w:hAnsi="Book Antiqua" w:cs="Times New Roman"/>
          <w:sz w:val="24"/>
          <w:szCs w:val="24"/>
        </w:rPr>
        <w:t xml:space="preserve"> a </w:t>
      </w:r>
      <w:r w:rsidR="00ED51AD" w:rsidRPr="00365E42">
        <w:rPr>
          <w:rFonts w:ascii="Book Antiqua" w:hAnsi="Book Antiqua" w:cs="Times New Roman"/>
          <w:sz w:val="24"/>
          <w:szCs w:val="24"/>
        </w:rPr>
        <w:t>nivel</w:t>
      </w:r>
      <w:r w:rsidRPr="00365E42">
        <w:rPr>
          <w:rFonts w:ascii="Book Antiqua" w:hAnsi="Book Antiqua" w:cs="Times New Roman"/>
          <w:sz w:val="24"/>
          <w:szCs w:val="24"/>
        </w:rPr>
        <w:t xml:space="preserve"> g</w:t>
      </w:r>
      <w:r w:rsidR="00D66536" w:rsidRPr="00365E42">
        <w:rPr>
          <w:rFonts w:ascii="Book Antiqua" w:hAnsi="Book Antiqua" w:cs="Times New Roman"/>
          <w:sz w:val="24"/>
          <w:szCs w:val="24"/>
        </w:rPr>
        <w:t>eneral</w:t>
      </w:r>
      <w:r w:rsidR="005F4EDC" w:rsidRPr="00365E42">
        <w:rPr>
          <w:rFonts w:ascii="Book Antiqua" w:hAnsi="Book Antiqua" w:cs="Times New Roman"/>
          <w:sz w:val="24"/>
          <w:szCs w:val="24"/>
        </w:rPr>
        <w:t xml:space="preserve">, los activos sigan registrando un comportamiento </w:t>
      </w:r>
      <w:r w:rsidRPr="00365E42">
        <w:rPr>
          <w:rFonts w:ascii="Book Antiqua" w:hAnsi="Book Antiqua" w:cs="Times New Roman"/>
          <w:sz w:val="24"/>
          <w:szCs w:val="24"/>
        </w:rPr>
        <w:t>estrictamente creciente.</w:t>
      </w:r>
    </w:p>
    <w:p w14:paraId="6AD197CB" w14:textId="2AFBE13C" w:rsidR="0058708A" w:rsidRDefault="0058708A" w:rsidP="00247FC6">
      <w:pPr>
        <w:spacing w:line="360" w:lineRule="auto"/>
        <w:jc w:val="both"/>
        <w:rPr>
          <w:rFonts w:ascii="Book Antiqua" w:hAnsi="Book Antiqua" w:cs="Times New Roman"/>
          <w:sz w:val="24"/>
          <w:szCs w:val="24"/>
        </w:rPr>
      </w:pPr>
      <w:r w:rsidRPr="00365E42">
        <w:rPr>
          <w:rFonts w:ascii="Book Antiqua" w:hAnsi="Book Antiqua" w:cs="Times New Roman"/>
          <w:sz w:val="24"/>
          <w:szCs w:val="24"/>
        </w:rPr>
        <w:t>La distribución de los expedientes en el circulante al finalizar para el 2019 queda establecida por aquellos casos que se encuentran en trámite (95,84%), los pasivos no provisionales (4,08%) y los reportados con una resolución provisional (0,08%).</w:t>
      </w:r>
    </w:p>
    <w:p w14:paraId="1BFC8E58" w14:textId="42ED8DC0" w:rsidR="00336A2B" w:rsidRDefault="00336A2B" w:rsidP="00247FC6">
      <w:pPr>
        <w:spacing w:line="360" w:lineRule="auto"/>
        <w:jc w:val="both"/>
        <w:rPr>
          <w:rFonts w:ascii="Book Antiqua" w:hAnsi="Book Antiqua" w:cs="Times New Roman"/>
          <w:sz w:val="24"/>
          <w:szCs w:val="24"/>
        </w:rPr>
      </w:pPr>
    </w:p>
    <w:p w14:paraId="2E63D90A" w14:textId="478A29C0" w:rsidR="00336A2B" w:rsidRDefault="00336A2B" w:rsidP="00247FC6">
      <w:pPr>
        <w:spacing w:line="360" w:lineRule="auto"/>
        <w:jc w:val="both"/>
        <w:rPr>
          <w:rFonts w:ascii="Book Antiqua" w:hAnsi="Book Antiqua" w:cs="Times New Roman"/>
          <w:sz w:val="24"/>
          <w:szCs w:val="24"/>
        </w:rPr>
      </w:pPr>
    </w:p>
    <w:p w14:paraId="1A7091C7" w14:textId="6B954FC3" w:rsidR="00336A2B" w:rsidRDefault="00336A2B" w:rsidP="00247FC6">
      <w:pPr>
        <w:spacing w:line="360" w:lineRule="auto"/>
        <w:jc w:val="both"/>
        <w:rPr>
          <w:rFonts w:ascii="Book Antiqua" w:hAnsi="Book Antiqua" w:cs="Times New Roman"/>
          <w:sz w:val="24"/>
          <w:szCs w:val="24"/>
        </w:rPr>
      </w:pPr>
    </w:p>
    <w:p w14:paraId="5A21EF30" w14:textId="62E1EE4F" w:rsidR="00336A2B" w:rsidRDefault="00336A2B" w:rsidP="00247FC6">
      <w:pPr>
        <w:spacing w:line="360" w:lineRule="auto"/>
        <w:jc w:val="both"/>
        <w:rPr>
          <w:rFonts w:ascii="Book Antiqua" w:hAnsi="Book Antiqua" w:cs="Times New Roman"/>
          <w:sz w:val="24"/>
          <w:szCs w:val="24"/>
        </w:rPr>
      </w:pPr>
    </w:p>
    <w:p w14:paraId="10803FCB" w14:textId="77777777" w:rsidR="00336A2B" w:rsidRPr="00365E42" w:rsidRDefault="00336A2B" w:rsidP="00247FC6">
      <w:pPr>
        <w:spacing w:line="360" w:lineRule="auto"/>
        <w:jc w:val="both"/>
        <w:rPr>
          <w:rFonts w:ascii="Book Antiqua" w:hAnsi="Book Antiqua" w:cs="Times New Roman"/>
          <w:sz w:val="24"/>
          <w:szCs w:val="24"/>
        </w:rPr>
      </w:pPr>
    </w:p>
    <w:tbl>
      <w:tblPr>
        <w:tblW w:w="5000" w:type="pct"/>
        <w:tblCellMar>
          <w:left w:w="70" w:type="dxa"/>
          <w:right w:w="70" w:type="dxa"/>
        </w:tblCellMar>
        <w:tblLook w:val="04A0" w:firstRow="1" w:lastRow="0" w:firstColumn="1" w:lastColumn="0" w:noHBand="0" w:noVBand="1"/>
      </w:tblPr>
      <w:tblGrid>
        <w:gridCol w:w="4361"/>
        <w:gridCol w:w="1005"/>
        <w:gridCol w:w="868"/>
        <w:gridCol w:w="868"/>
        <w:gridCol w:w="868"/>
        <w:gridCol w:w="868"/>
      </w:tblGrid>
      <w:tr w:rsidR="0058708A" w:rsidRPr="00365E42" w14:paraId="5F6D6E5E" w14:textId="77777777" w:rsidTr="0058708A">
        <w:trPr>
          <w:trHeight w:val="310"/>
        </w:trPr>
        <w:tc>
          <w:tcPr>
            <w:tcW w:w="5000" w:type="pct"/>
            <w:gridSpan w:val="6"/>
            <w:tcBorders>
              <w:top w:val="nil"/>
              <w:left w:val="nil"/>
              <w:bottom w:val="nil"/>
              <w:right w:val="nil"/>
            </w:tcBorders>
            <w:shd w:val="clear" w:color="000000" w:fill="FFFFFF"/>
            <w:vAlign w:val="center"/>
            <w:hideMark/>
          </w:tcPr>
          <w:p w14:paraId="17597F18" w14:textId="77777777" w:rsidR="0058708A" w:rsidRPr="00365E42" w:rsidRDefault="0058708A" w:rsidP="0058708A">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lastRenderedPageBreak/>
              <w:t>Cuadro 6</w:t>
            </w:r>
          </w:p>
        </w:tc>
      </w:tr>
      <w:tr w:rsidR="0058708A" w:rsidRPr="00365E42" w14:paraId="41203856" w14:textId="77777777" w:rsidTr="0058708A">
        <w:trPr>
          <w:trHeight w:val="310"/>
        </w:trPr>
        <w:tc>
          <w:tcPr>
            <w:tcW w:w="5000" w:type="pct"/>
            <w:gridSpan w:val="6"/>
            <w:tcBorders>
              <w:top w:val="nil"/>
              <w:left w:val="nil"/>
              <w:bottom w:val="nil"/>
              <w:right w:val="nil"/>
            </w:tcBorders>
            <w:shd w:val="clear" w:color="000000" w:fill="FFFFFF"/>
            <w:vAlign w:val="center"/>
            <w:hideMark/>
          </w:tcPr>
          <w:p w14:paraId="04300443" w14:textId="77777777" w:rsidR="0058708A" w:rsidRPr="00365E42" w:rsidRDefault="0058708A" w:rsidP="0058708A">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Distribución del circulante al finalizar de las fiscalías penales por año según</w:t>
            </w:r>
          </w:p>
        </w:tc>
      </w:tr>
      <w:tr w:rsidR="0058708A" w:rsidRPr="00365E42" w14:paraId="76BFF375" w14:textId="77777777" w:rsidTr="0058708A">
        <w:trPr>
          <w:trHeight w:val="310"/>
        </w:trPr>
        <w:tc>
          <w:tcPr>
            <w:tcW w:w="5000" w:type="pct"/>
            <w:gridSpan w:val="6"/>
            <w:tcBorders>
              <w:top w:val="nil"/>
              <w:left w:val="nil"/>
              <w:bottom w:val="nil"/>
              <w:right w:val="nil"/>
            </w:tcBorders>
            <w:shd w:val="clear" w:color="000000" w:fill="FFFFFF"/>
            <w:vAlign w:val="center"/>
            <w:hideMark/>
          </w:tcPr>
          <w:p w14:paraId="0C1E055A" w14:textId="77777777" w:rsidR="0058708A" w:rsidRPr="00365E42" w:rsidRDefault="0058708A" w:rsidP="0058708A">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el estado registrado para el período 2015-2019</w:t>
            </w:r>
          </w:p>
        </w:tc>
      </w:tr>
      <w:tr w:rsidR="0058708A" w:rsidRPr="00365E42" w14:paraId="3AF14281" w14:textId="77777777" w:rsidTr="0058708A">
        <w:trPr>
          <w:trHeight w:val="300"/>
        </w:trPr>
        <w:tc>
          <w:tcPr>
            <w:tcW w:w="5000" w:type="pct"/>
            <w:gridSpan w:val="6"/>
            <w:tcBorders>
              <w:top w:val="nil"/>
              <w:left w:val="nil"/>
              <w:bottom w:val="single" w:sz="8" w:space="0" w:color="auto"/>
              <w:right w:val="nil"/>
            </w:tcBorders>
            <w:shd w:val="clear" w:color="000000" w:fill="FFFFFF"/>
            <w:vAlign w:val="center"/>
            <w:hideMark/>
          </w:tcPr>
          <w:p w14:paraId="3CEBBE53" w14:textId="77777777" w:rsidR="0058708A" w:rsidRPr="00365E42" w:rsidRDefault="0058708A" w:rsidP="0058708A">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r>
      <w:tr w:rsidR="0058708A" w:rsidRPr="00365E42" w14:paraId="0813D711" w14:textId="77777777" w:rsidTr="0058708A">
        <w:trPr>
          <w:trHeight w:val="300"/>
        </w:trPr>
        <w:tc>
          <w:tcPr>
            <w:tcW w:w="2490" w:type="pct"/>
            <w:vMerge w:val="restart"/>
            <w:tcBorders>
              <w:top w:val="nil"/>
              <w:left w:val="nil"/>
              <w:bottom w:val="single" w:sz="8" w:space="0" w:color="000000"/>
              <w:right w:val="single" w:sz="8" w:space="0" w:color="auto"/>
            </w:tcBorders>
            <w:shd w:val="clear" w:color="000000" w:fill="89EEEE"/>
            <w:vAlign w:val="center"/>
            <w:hideMark/>
          </w:tcPr>
          <w:p w14:paraId="54912C39"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Circulante al Finalizar</w:t>
            </w:r>
          </w:p>
        </w:tc>
        <w:tc>
          <w:tcPr>
            <w:tcW w:w="2510" w:type="pct"/>
            <w:gridSpan w:val="5"/>
            <w:tcBorders>
              <w:top w:val="single" w:sz="8" w:space="0" w:color="auto"/>
              <w:left w:val="nil"/>
              <w:bottom w:val="single" w:sz="8" w:space="0" w:color="auto"/>
              <w:right w:val="nil"/>
            </w:tcBorders>
            <w:shd w:val="clear" w:color="000000" w:fill="89EEEE"/>
            <w:vAlign w:val="center"/>
            <w:hideMark/>
          </w:tcPr>
          <w:p w14:paraId="605A6CFC"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Año</w:t>
            </w:r>
          </w:p>
        </w:tc>
      </w:tr>
      <w:tr w:rsidR="0058708A" w:rsidRPr="00365E42" w14:paraId="26824DA7" w14:textId="77777777" w:rsidTr="0058708A">
        <w:trPr>
          <w:trHeight w:val="300"/>
        </w:trPr>
        <w:tc>
          <w:tcPr>
            <w:tcW w:w="2490" w:type="pct"/>
            <w:vMerge/>
            <w:tcBorders>
              <w:top w:val="nil"/>
              <w:left w:val="nil"/>
              <w:bottom w:val="single" w:sz="8" w:space="0" w:color="000000"/>
              <w:right w:val="single" w:sz="8" w:space="0" w:color="auto"/>
            </w:tcBorders>
            <w:vAlign w:val="center"/>
            <w:hideMark/>
          </w:tcPr>
          <w:p w14:paraId="7C2E60A4" w14:textId="77777777" w:rsidR="0058708A" w:rsidRPr="00365E42" w:rsidRDefault="0058708A" w:rsidP="0058708A">
            <w:pPr>
              <w:spacing w:after="0" w:line="240" w:lineRule="auto"/>
              <w:rPr>
                <w:rFonts w:ascii="Book Antiqua" w:eastAsia="Times New Roman" w:hAnsi="Book Antiqua" w:cs="Times New Roman"/>
                <w:b/>
                <w:bCs/>
                <w:color w:val="000000"/>
                <w:sz w:val="20"/>
                <w:szCs w:val="20"/>
                <w:lang w:eastAsia="es-CR"/>
              </w:rPr>
            </w:pPr>
          </w:p>
        </w:tc>
        <w:tc>
          <w:tcPr>
            <w:tcW w:w="591" w:type="pct"/>
            <w:tcBorders>
              <w:top w:val="nil"/>
              <w:left w:val="nil"/>
              <w:bottom w:val="single" w:sz="8" w:space="0" w:color="auto"/>
              <w:right w:val="single" w:sz="8" w:space="0" w:color="auto"/>
            </w:tcBorders>
            <w:shd w:val="clear" w:color="000000" w:fill="89EEEE"/>
            <w:noWrap/>
            <w:vAlign w:val="center"/>
            <w:hideMark/>
          </w:tcPr>
          <w:p w14:paraId="1A3E7FFF"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2015</w:t>
            </w:r>
          </w:p>
        </w:tc>
        <w:tc>
          <w:tcPr>
            <w:tcW w:w="480" w:type="pct"/>
            <w:tcBorders>
              <w:top w:val="nil"/>
              <w:left w:val="nil"/>
              <w:bottom w:val="single" w:sz="8" w:space="0" w:color="auto"/>
              <w:right w:val="single" w:sz="8" w:space="0" w:color="auto"/>
            </w:tcBorders>
            <w:shd w:val="clear" w:color="000000" w:fill="89EEEE"/>
            <w:noWrap/>
            <w:vAlign w:val="center"/>
            <w:hideMark/>
          </w:tcPr>
          <w:p w14:paraId="6AC11C65"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2016</w:t>
            </w:r>
          </w:p>
        </w:tc>
        <w:tc>
          <w:tcPr>
            <w:tcW w:w="480" w:type="pct"/>
            <w:tcBorders>
              <w:top w:val="nil"/>
              <w:left w:val="nil"/>
              <w:bottom w:val="single" w:sz="8" w:space="0" w:color="auto"/>
              <w:right w:val="nil"/>
            </w:tcBorders>
            <w:shd w:val="clear" w:color="000000" w:fill="89EEEE"/>
            <w:noWrap/>
            <w:vAlign w:val="center"/>
            <w:hideMark/>
          </w:tcPr>
          <w:p w14:paraId="0D6B48D4"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2017</w:t>
            </w:r>
          </w:p>
        </w:tc>
        <w:tc>
          <w:tcPr>
            <w:tcW w:w="480" w:type="pct"/>
            <w:tcBorders>
              <w:top w:val="nil"/>
              <w:left w:val="single" w:sz="8" w:space="0" w:color="auto"/>
              <w:bottom w:val="single" w:sz="8" w:space="0" w:color="auto"/>
              <w:right w:val="nil"/>
            </w:tcBorders>
            <w:shd w:val="clear" w:color="000000" w:fill="89EEEE"/>
            <w:noWrap/>
            <w:vAlign w:val="center"/>
            <w:hideMark/>
          </w:tcPr>
          <w:p w14:paraId="67D5A356"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2018</w:t>
            </w:r>
          </w:p>
        </w:tc>
        <w:tc>
          <w:tcPr>
            <w:tcW w:w="480" w:type="pct"/>
            <w:tcBorders>
              <w:top w:val="nil"/>
              <w:left w:val="single" w:sz="8" w:space="0" w:color="auto"/>
              <w:bottom w:val="single" w:sz="8" w:space="0" w:color="auto"/>
              <w:right w:val="nil"/>
            </w:tcBorders>
            <w:shd w:val="clear" w:color="000000" w:fill="89EEEE"/>
            <w:noWrap/>
            <w:vAlign w:val="center"/>
            <w:hideMark/>
          </w:tcPr>
          <w:p w14:paraId="09E80E89"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2019</w:t>
            </w:r>
          </w:p>
        </w:tc>
      </w:tr>
      <w:tr w:rsidR="0058708A" w:rsidRPr="00365E42" w14:paraId="673003D6" w14:textId="77777777" w:rsidTr="0058708A">
        <w:trPr>
          <w:trHeight w:val="290"/>
        </w:trPr>
        <w:tc>
          <w:tcPr>
            <w:tcW w:w="2490" w:type="pct"/>
            <w:tcBorders>
              <w:top w:val="nil"/>
              <w:left w:val="nil"/>
              <w:bottom w:val="nil"/>
              <w:right w:val="nil"/>
            </w:tcBorders>
            <w:shd w:val="clear" w:color="000000" w:fill="FFFFFF"/>
            <w:noWrap/>
            <w:vAlign w:val="bottom"/>
            <w:hideMark/>
          </w:tcPr>
          <w:p w14:paraId="6FE9B5C3"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1" w:type="pct"/>
            <w:tcBorders>
              <w:top w:val="nil"/>
              <w:left w:val="nil"/>
              <w:bottom w:val="nil"/>
              <w:right w:val="nil"/>
            </w:tcBorders>
            <w:shd w:val="clear" w:color="000000" w:fill="FFFFFF"/>
            <w:noWrap/>
            <w:vAlign w:val="center"/>
            <w:hideMark/>
          </w:tcPr>
          <w:p w14:paraId="73EEFF96"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32D0002D"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0A37A5D"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A9A2E9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17F9DA1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58708A" w:rsidRPr="00365E42" w14:paraId="13DDE615" w14:textId="77777777" w:rsidTr="0058708A">
        <w:trPr>
          <w:trHeight w:val="290"/>
        </w:trPr>
        <w:tc>
          <w:tcPr>
            <w:tcW w:w="2490" w:type="pct"/>
            <w:tcBorders>
              <w:top w:val="nil"/>
              <w:left w:val="nil"/>
              <w:bottom w:val="nil"/>
              <w:right w:val="nil"/>
            </w:tcBorders>
            <w:shd w:val="clear" w:color="000000" w:fill="EEECE1"/>
            <w:noWrap/>
            <w:vAlign w:val="center"/>
            <w:hideMark/>
          </w:tcPr>
          <w:p w14:paraId="38100907"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Absolutos</w:t>
            </w:r>
          </w:p>
        </w:tc>
        <w:tc>
          <w:tcPr>
            <w:tcW w:w="591" w:type="pct"/>
            <w:tcBorders>
              <w:top w:val="nil"/>
              <w:left w:val="nil"/>
              <w:bottom w:val="nil"/>
              <w:right w:val="nil"/>
            </w:tcBorders>
            <w:shd w:val="clear" w:color="000000" w:fill="EEECE1"/>
            <w:noWrap/>
            <w:vAlign w:val="center"/>
            <w:hideMark/>
          </w:tcPr>
          <w:p w14:paraId="5A3714AD"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45 830</w:t>
            </w:r>
          </w:p>
        </w:tc>
        <w:tc>
          <w:tcPr>
            <w:tcW w:w="480" w:type="pct"/>
            <w:tcBorders>
              <w:top w:val="nil"/>
              <w:left w:val="nil"/>
              <w:bottom w:val="nil"/>
              <w:right w:val="nil"/>
            </w:tcBorders>
            <w:shd w:val="clear" w:color="000000" w:fill="EEECE1"/>
            <w:noWrap/>
            <w:vAlign w:val="center"/>
            <w:hideMark/>
          </w:tcPr>
          <w:p w14:paraId="0E212776"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47 630</w:t>
            </w:r>
          </w:p>
        </w:tc>
        <w:tc>
          <w:tcPr>
            <w:tcW w:w="480" w:type="pct"/>
            <w:tcBorders>
              <w:top w:val="nil"/>
              <w:left w:val="nil"/>
              <w:bottom w:val="nil"/>
              <w:right w:val="nil"/>
            </w:tcBorders>
            <w:shd w:val="clear" w:color="000000" w:fill="EEECE1"/>
            <w:noWrap/>
            <w:vAlign w:val="center"/>
            <w:hideMark/>
          </w:tcPr>
          <w:p w14:paraId="28F3A1F3"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55 582</w:t>
            </w:r>
          </w:p>
        </w:tc>
        <w:tc>
          <w:tcPr>
            <w:tcW w:w="480" w:type="pct"/>
            <w:tcBorders>
              <w:top w:val="nil"/>
              <w:left w:val="nil"/>
              <w:bottom w:val="nil"/>
              <w:right w:val="nil"/>
            </w:tcBorders>
            <w:shd w:val="clear" w:color="000000" w:fill="EEECE1"/>
            <w:noWrap/>
            <w:vAlign w:val="center"/>
            <w:hideMark/>
          </w:tcPr>
          <w:p w14:paraId="2598B714"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67 380</w:t>
            </w:r>
          </w:p>
        </w:tc>
        <w:tc>
          <w:tcPr>
            <w:tcW w:w="480" w:type="pct"/>
            <w:tcBorders>
              <w:top w:val="nil"/>
              <w:left w:val="nil"/>
              <w:bottom w:val="nil"/>
              <w:right w:val="nil"/>
            </w:tcBorders>
            <w:shd w:val="clear" w:color="000000" w:fill="EEECE1"/>
            <w:noWrap/>
            <w:vAlign w:val="center"/>
            <w:hideMark/>
          </w:tcPr>
          <w:p w14:paraId="6EB43EE6"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72 344</w:t>
            </w:r>
          </w:p>
        </w:tc>
      </w:tr>
      <w:tr w:rsidR="0058708A" w:rsidRPr="00365E42" w14:paraId="433028C6" w14:textId="77777777" w:rsidTr="0058708A">
        <w:trPr>
          <w:trHeight w:val="290"/>
        </w:trPr>
        <w:tc>
          <w:tcPr>
            <w:tcW w:w="2490" w:type="pct"/>
            <w:tcBorders>
              <w:top w:val="nil"/>
              <w:left w:val="nil"/>
              <w:bottom w:val="nil"/>
              <w:right w:val="nil"/>
            </w:tcBorders>
            <w:shd w:val="clear" w:color="000000" w:fill="FFFFFF"/>
            <w:noWrap/>
            <w:vAlign w:val="bottom"/>
            <w:hideMark/>
          </w:tcPr>
          <w:p w14:paraId="42D07617"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1" w:type="pct"/>
            <w:tcBorders>
              <w:top w:val="nil"/>
              <w:left w:val="nil"/>
              <w:bottom w:val="nil"/>
              <w:right w:val="nil"/>
            </w:tcBorders>
            <w:shd w:val="clear" w:color="000000" w:fill="FFFFFF"/>
            <w:noWrap/>
            <w:vAlign w:val="center"/>
            <w:hideMark/>
          </w:tcPr>
          <w:p w14:paraId="524F2E9D"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2BC2A3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7ABFFAE"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2C7C9A8B"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341824A"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58708A" w:rsidRPr="00365E42" w14:paraId="1E93D5FD" w14:textId="77777777" w:rsidTr="0058708A">
        <w:trPr>
          <w:trHeight w:val="290"/>
        </w:trPr>
        <w:tc>
          <w:tcPr>
            <w:tcW w:w="2490" w:type="pct"/>
            <w:tcBorders>
              <w:top w:val="nil"/>
              <w:left w:val="nil"/>
              <w:bottom w:val="nil"/>
              <w:right w:val="nil"/>
            </w:tcBorders>
            <w:shd w:val="clear" w:color="000000" w:fill="FFFFFF"/>
            <w:noWrap/>
            <w:vAlign w:val="center"/>
            <w:hideMark/>
          </w:tcPr>
          <w:p w14:paraId="2999103E"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En Trámite</w:t>
            </w:r>
          </w:p>
        </w:tc>
        <w:tc>
          <w:tcPr>
            <w:tcW w:w="591" w:type="pct"/>
            <w:tcBorders>
              <w:top w:val="nil"/>
              <w:left w:val="nil"/>
              <w:bottom w:val="nil"/>
              <w:right w:val="nil"/>
            </w:tcBorders>
            <w:shd w:val="clear" w:color="000000" w:fill="FFFFFF"/>
            <w:noWrap/>
            <w:vAlign w:val="center"/>
            <w:hideMark/>
          </w:tcPr>
          <w:p w14:paraId="7010EBF8"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41 992</w:t>
            </w:r>
          </w:p>
        </w:tc>
        <w:tc>
          <w:tcPr>
            <w:tcW w:w="480" w:type="pct"/>
            <w:tcBorders>
              <w:top w:val="nil"/>
              <w:left w:val="nil"/>
              <w:bottom w:val="nil"/>
              <w:right w:val="nil"/>
            </w:tcBorders>
            <w:shd w:val="clear" w:color="000000" w:fill="FFFFFF"/>
            <w:noWrap/>
            <w:vAlign w:val="center"/>
            <w:hideMark/>
          </w:tcPr>
          <w:p w14:paraId="543973F1"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43 911</w:t>
            </w:r>
          </w:p>
        </w:tc>
        <w:tc>
          <w:tcPr>
            <w:tcW w:w="480" w:type="pct"/>
            <w:tcBorders>
              <w:top w:val="nil"/>
              <w:left w:val="nil"/>
              <w:bottom w:val="nil"/>
              <w:right w:val="nil"/>
            </w:tcBorders>
            <w:shd w:val="clear" w:color="000000" w:fill="FFFFFF"/>
            <w:noWrap/>
            <w:vAlign w:val="center"/>
            <w:hideMark/>
          </w:tcPr>
          <w:p w14:paraId="3B21BF4A"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51 508</w:t>
            </w:r>
          </w:p>
        </w:tc>
        <w:tc>
          <w:tcPr>
            <w:tcW w:w="480" w:type="pct"/>
            <w:tcBorders>
              <w:top w:val="nil"/>
              <w:left w:val="nil"/>
              <w:bottom w:val="nil"/>
              <w:right w:val="nil"/>
            </w:tcBorders>
            <w:shd w:val="clear" w:color="000000" w:fill="FFFFFF"/>
            <w:noWrap/>
            <w:vAlign w:val="center"/>
            <w:hideMark/>
          </w:tcPr>
          <w:p w14:paraId="18B45273"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64 392</w:t>
            </w:r>
          </w:p>
        </w:tc>
        <w:tc>
          <w:tcPr>
            <w:tcW w:w="480" w:type="pct"/>
            <w:tcBorders>
              <w:top w:val="nil"/>
              <w:left w:val="nil"/>
              <w:bottom w:val="nil"/>
              <w:right w:val="nil"/>
            </w:tcBorders>
            <w:shd w:val="clear" w:color="000000" w:fill="FFFFFF"/>
            <w:noWrap/>
            <w:vAlign w:val="center"/>
            <w:hideMark/>
          </w:tcPr>
          <w:p w14:paraId="58CBD414"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69 333</w:t>
            </w:r>
          </w:p>
        </w:tc>
      </w:tr>
      <w:tr w:rsidR="0058708A" w:rsidRPr="00365E42" w14:paraId="02FB79EE" w14:textId="77777777" w:rsidTr="0058708A">
        <w:trPr>
          <w:trHeight w:val="290"/>
        </w:trPr>
        <w:tc>
          <w:tcPr>
            <w:tcW w:w="2490" w:type="pct"/>
            <w:tcBorders>
              <w:top w:val="nil"/>
              <w:left w:val="nil"/>
              <w:bottom w:val="nil"/>
              <w:right w:val="nil"/>
            </w:tcBorders>
            <w:shd w:val="clear" w:color="000000" w:fill="FFFFFF"/>
            <w:noWrap/>
            <w:vAlign w:val="center"/>
            <w:hideMark/>
          </w:tcPr>
          <w:p w14:paraId="288512C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Con Resolución Provisional</w:t>
            </w:r>
          </w:p>
        </w:tc>
        <w:tc>
          <w:tcPr>
            <w:tcW w:w="591" w:type="pct"/>
            <w:tcBorders>
              <w:top w:val="nil"/>
              <w:left w:val="nil"/>
              <w:bottom w:val="nil"/>
              <w:right w:val="nil"/>
            </w:tcBorders>
            <w:shd w:val="clear" w:color="000000" w:fill="FFFFFF"/>
            <w:noWrap/>
            <w:vAlign w:val="center"/>
            <w:hideMark/>
          </w:tcPr>
          <w:p w14:paraId="142DCA77"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147</w:t>
            </w:r>
          </w:p>
        </w:tc>
        <w:tc>
          <w:tcPr>
            <w:tcW w:w="480" w:type="pct"/>
            <w:tcBorders>
              <w:top w:val="nil"/>
              <w:left w:val="nil"/>
              <w:bottom w:val="nil"/>
              <w:right w:val="nil"/>
            </w:tcBorders>
            <w:shd w:val="clear" w:color="000000" w:fill="FFFFFF"/>
            <w:noWrap/>
            <w:vAlign w:val="center"/>
            <w:hideMark/>
          </w:tcPr>
          <w:p w14:paraId="3BBCE1DE"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120</w:t>
            </w:r>
          </w:p>
        </w:tc>
        <w:tc>
          <w:tcPr>
            <w:tcW w:w="480" w:type="pct"/>
            <w:tcBorders>
              <w:top w:val="nil"/>
              <w:left w:val="nil"/>
              <w:bottom w:val="nil"/>
              <w:right w:val="nil"/>
            </w:tcBorders>
            <w:shd w:val="clear" w:color="000000" w:fill="FFFFFF"/>
            <w:noWrap/>
            <w:vAlign w:val="center"/>
            <w:hideMark/>
          </w:tcPr>
          <w:p w14:paraId="5831C2AF"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70</w:t>
            </w:r>
          </w:p>
        </w:tc>
        <w:tc>
          <w:tcPr>
            <w:tcW w:w="480" w:type="pct"/>
            <w:tcBorders>
              <w:top w:val="nil"/>
              <w:left w:val="nil"/>
              <w:bottom w:val="nil"/>
              <w:right w:val="nil"/>
            </w:tcBorders>
            <w:shd w:val="clear" w:color="000000" w:fill="FFFFFF"/>
            <w:noWrap/>
            <w:vAlign w:val="center"/>
            <w:hideMark/>
          </w:tcPr>
          <w:p w14:paraId="0806A6E5"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41</w:t>
            </w:r>
          </w:p>
        </w:tc>
        <w:tc>
          <w:tcPr>
            <w:tcW w:w="480" w:type="pct"/>
            <w:tcBorders>
              <w:top w:val="nil"/>
              <w:left w:val="nil"/>
              <w:bottom w:val="nil"/>
              <w:right w:val="nil"/>
            </w:tcBorders>
            <w:shd w:val="clear" w:color="000000" w:fill="FFFFFF"/>
            <w:noWrap/>
            <w:vAlign w:val="center"/>
            <w:hideMark/>
          </w:tcPr>
          <w:p w14:paraId="023D4137"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56</w:t>
            </w:r>
          </w:p>
        </w:tc>
      </w:tr>
      <w:tr w:rsidR="0058708A" w:rsidRPr="00365E42" w14:paraId="0584F891" w14:textId="77777777" w:rsidTr="0058708A">
        <w:trPr>
          <w:trHeight w:val="290"/>
        </w:trPr>
        <w:tc>
          <w:tcPr>
            <w:tcW w:w="2490" w:type="pct"/>
            <w:tcBorders>
              <w:top w:val="nil"/>
              <w:left w:val="nil"/>
              <w:bottom w:val="nil"/>
              <w:right w:val="nil"/>
            </w:tcBorders>
            <w:shd w:val="clear" w:color="000000" w:fill="FFFFFF"/>
            <w:noWrap/>
            <w:vAlign w:val="center"/>
            <w:hideMark/>
          </w:tcPr>
          <w:p w14:paraId="0481539E"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Pasivo no provisional</w:t>
            </w:r>
          </w:p>
        </w:tc>
        <w:tc>
          <w:tcPr>
            <w:tcW w:w="591" w:type="pct"/>
            <w:tcBorders>
              <w:top w:val="nil"/>
              <w:left w:val="nil"/>
              <w:bottom w:val="nil"/>
              <w:right w:val="nil"/>
            </w:tcBorders>
            <w:shd w:val="clear" w:color="000000" w:fill="FFFFFF"/>
            <w:noWrap/>
            <w:vAlign w:val="center"/>
            <w:hideMark/>
          </w:tcPr>
          <w:p w14:paraId="707188B1"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3 668</w:t>
            </w:r>
          </w:p>
        </w:tc>
        <w:tc>
          <w:tcPr>
            <w:tcW w:w="480" w:type="pct"/>
            <w:tcBorders>
              <w:top w:val="nil"/>
              <w:left w:val="nil"/>
              <w:bottom w:val="nil"/>
              <w:right w:val="nil"/>
            </w:tcBorders>
            <w:shd w:val="clear" w:color="000000" w:fill="FFFFFF"/>
            <w:noWrap/>
            <w:vAlign w:val="center"/>
            <w:hideMark/>
          </w:tcPr>
          <w:p w14:paraId="4E95DEA2"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3 587</w:t>
            </w:r>
          </w:p>
        </w:tc>
        <w:tc>
          <w:tcPr>
            <w:tcW w:w="480" w:type="pct"/>
            <w:tcBorders>
              <w:top w:val="nil"/>
              <w:left w:val="nil"/>
              <w:bottom w:val="nil"/>
              <w:right w:val="nil"/>
            </w:tcBorders>
            <w:shd w:val="clear" w:color="000000" w:fill="FFFFFF"/>
            <w:noWrap/>
            <w:vAlign w:val="center"/>
            <w:hideMark/>
          </w:tcPr>
          <w:p w14:paraId="668AC20B"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3 995</w:t>
            </w:r>
          </w:p>
        </w:tc>
        <w:tc>
          <w:tcPr>
            <w:tcW w:w="480" w:type="pct"/>
            <w:tcBorders>
              <w:top w:val="nil"/>
              <w:left w:val="nil"/>
              <w:bottom w:val="nil"/>
              <w:right w:val="nil"/>
            </w:tcBorders>
            <w:shd w:val="clear" w:color="000000" w:fill="FFFFFF"/>
            <w:noWrap/>
            <w:vAlign w:val="center"/>
            <w:hideMark/>
          </w:tcPr>
          <w:p w14:paraId="74430DFD"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2 928</w:t>
            </w:r>
          </w:p>
        </w:tc>
        <w:tc>
          <w:tcPr>
            <w:tcW w:w="480" w:type="pct"/>
            <w:tcBorders>
              <w:top w:val="nil"/>
              <w:left w:val="nil"/>
              <w:bottom w:val="nil"/>
              <w:right w:val="nil"/>
            </w:tcBorders>
            <w:shd w:val="clear" w:color="000000" w:fill="FFFFFF"/>
            <w:noWrap/>
            <w:vAlign w:val="center"/>
            <w:hideMark/>
          </w:tcPr>
          <w:p w14:paraId="4B7C95A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2 955</w:t>
            </w:r>
          </w:p>
        </w:tc>
      </w:tr>
      <w:tr w:rsidR="0058708A" w:rsidRPr="00365E42" w14:paraId="612754DE" w14:textId="77777777" w:rsidTr="0058708A">
        <w:trPr>
          <w:trHeight w:val="290"/>
        </w:trPr>
        <w:tc>
          <w:tcPr>
            <w:tcW w:w="2490" w:type="pct"/>
            <w:tcBorders>
              <w:top w:val="nil"/>
              <w:left w:val="nil"/>
              <w:bottom w:val="nil"/>
              <w:right w:val="nil"/>
            </w:tcBorders>
            <w:shd w:val="clear" w:color="000000" w:fill="FFFFFF"/>
            <w:noWrap/>
            <w:vAlign w:val="center"/>
            <w:hideMark/>
          </w:tcPr>
          <w:p w14:paraId="59407332"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Otra</w:t>
            </w:r>
          </w:p>
        </w:tc>
        <w:tc>
          <w:tcPr>
            <w:tcW w:w="591" w:type="pct"/>
            <w:tcBorders>
              <w:top w:val="nil"/>
              <w:left w:val="nil"/>
              <w:bottom w:val="nil"/>
              <w:right w:val="nil"/>
            </w:tcBorders>
            <w:shd w:val="clear" w:color="000000" w:fill="FFFFFF"/>
            <w:noWrap/>
            <w:vAlign w:val="center"/>
            <w:hideMark/>
          </w:tcPr>
          <w:p w14:paraId="1890189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23</w:t>
            </w:r>
          </w:p>
        </w:tc>
        <w:tc>
          <w:tcPr>
            <w:tcW w:w="480" w:type="pct"/>
            <w:tcBorders>
              <w:top w:val="nil"/>
              <w:left w:val="nil"/>
              <w:bottom w:val="nil"/>
              <w:right w:val="nil"/>
            </w:tcBorders>
            <w:shd w:val="clear" w:color="000000" w:fill="FFFFFF"/>
            <w:noWrap/>
            <w:vAlign w:val="center"/>
            <w:hideMark/>
          </w:tcPr>
          <w:p w14:paraId="6B0B0628"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12</w:t>
            </w:r>
          </w:p>
        </w:tc>
        <w:tc>
          <w:tcPr>
            <w:tcW w:w="480" w:type="pct"/>
            <w:tcBorders>
              <w:top w:val="nil"/>
              <w:left w:val="nil"/>
              <w:bottom w:val="nil"/>
              <w:right w:val="nil"/>
            </w:tcBorders>
            <w:shd w:val="clear" w:color="000000" w:fill="FFFFFF"/>
            <w:noWrap/>
            <w:vAlign w:val="center"/>
            <w:hideMark/>
          </w:tcPr>
          <w:p w14:paraId="20F80F1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w:t>
            </w:r>
          </w:p>
        </w:tc>
        <w:tc>
          <w:tcPr>
            <w:tcW w:w="480" w:type="pct"/>
            <w:tcBorders>
              <w:top w:val="nil"/>
              <w:left w:val="nil"/>
              <w:bottom w:val="nil"/>
              <w:right w:val="nil"/>
            </w:tcBorders>
            <w:shd w:val="clear" w:color="000000" w:fill="FFFFFF"/>
            <w:noWrap/>
            <w:vAlign w:val="center"/>
            <w:hideMark/>
          </w:tcPr>
          <w:p w14:paraId="6766AD41"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19</w:t>
            </w:r>
          </w:p>
        </w:tc>
        <w:tc>
          <w:tcPr>
            <w:tcW w:w="480" w:type="pct"/>
            <w:tcBorders>
              <w:top w:val="nil"/>
              <w:left w:val="nil"/>
              <w:bottom w:val="nil"/>
              <w:right w:val="nil"/>
            </w:tcBorders>
            <w:shd w:val="clear" w:color="000000" w:fill="FFFFFF"/>
            <w:noWrap/>
            <w:vAlign w:val="center"/>
            <w:hideMark/>
          </w:tcPr>
          <w:p w14:paraId="69118BA6"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w:t>
            </w:r>
          </w:p>
        </w:tc>
      </w:tr>
      <w:tr w:rsidR="0058708A" w:rsidRPr="00365E42" w14:paraId="573B7FD3" w14:textId="77777777" w:rsidTr="0058708A">
        <w:trPr>
          <w:trHeight w:val="290"/>
        </w:trPr>
        <w:tc>
          <w:tcPr>
            <w:tcW w:w="2490" w:type="pct"/>
            <w:tcBorders>
              <w:top w:val="nil"/>
              <w:left w:val="nil"/>
              <w:bottom w:val="nil"/>
              <w:right w:val="nil"/>
            </w:tcBorders>
            <w:shd w:val="clear" w:color="000000" w:fill="FFFFFF"/>
            <w:noWrap/>
            <w:vAlign w:val="bottom"/>
            <w:hideMark/>
          </w:tcPr>
          <w:p w14:paraId="3CEFA243"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1" w:type="pct"/>
            <w:tcBorders>
              <w:top w:val="nil"/>
              <w:left w:val="nil"/>
              <w:bottom w:val="nil"/>
              <w:right w:val="nil"/>
            </w:tcBorders>
            <w:shd w:val="clear" w:color="000000" w:fill="FFFFFF"/>
            <w:noWrap/>
            <w:vAlign w:val="center"/>
            <w:hideMark/>
          </w:tcPr>
          <w:p w14:paraId="5030C778"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A612C58"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CEF1F6E"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C95BBB7"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174F45F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58708A" w:rsidRPr="00365E42" w14:paraId="4EF97109" w14:textId="77777777" w:rsidTr="0058708A">
        <w:trPr>
          <w:trHeight w:val="290"/>
        </w:trPr>
        <w:tc>
          <w:tcPr>
            <w:tcW w:w="2490" w:type="pct"/>
            <w:tcBorders>
              <w:top w:val="nil"/>
              <w:left w:val="nil"/>
              <w:bottom w:val="nil"/>
              <w:right w:val="nil"/>
            </w:tcBorders>
            <w:shd w:val="clear" w:color="000000" w:fill="EEECE1"/>
            <w:noWrap/>
            <w:vAlign w:val="center"/>
            <w:hideMark/>
          </w:tcPr>
          <w:p w14:paraId="20A3A7DB"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Porcentajes</w:t>
            </w:r>
          </w:p>
        </w:tc>
        <w:tc>
          <w:tcPr>
            <w:tcW w:w="591" w:type="pct"/>
            <w:tcBorders>
              <w:top w:val="nil"/>
              <w:left w:val="nil"/>
              <w:bottom w:val="nil"/>
              <w:right w:val="nil"/>
            </w:tcBorders>
            <w:shd w:val="clear" w:color="000000" w:fill="EEECE1"/>
            <w:noWrap/>
            <w:vAlign w:val="center"/>
            <w:hideMark/>
          </w:tcPr>
          <w:p w14:paraId="416B4D1B"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4C79E8C3"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7BE36684"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5DE0C273"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12909038" w14:textId="77777777" w:rsidR="0058708A" w:rsidRPr="00365E42" w:rsidRDefault="0058708A" w:rsidP="0058708A">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r>
      <w:tr w:rsidR="0058708A" w:rsidRPr="00365E42" w14:paraId="66F7952C" w14:textId="77777777" w:rsidTr="0058708A">
        <w:trPr>
          <w:trHeight w:val="290"/>
        </w:trPr>
        <w:tc>
          <w:tcPr>
            <w:tcW w:w="2490" w:type="pct"/>
            <w:tcBorders>
              <w:top w:val="nil"/>
              <w:left w:val="nil"/>
              <w:bottom w:val="nil"/>
              <w:right w:val="nil"/>
            </w:tcBorders>
            <w:shd w:val="clear" w:color="000000" w:fill="FFFFFF"/>
            <w:noWrap/>
            <w:vAlign w:val="bottom"/>
            <w:hideMark/>
          </w:tcPr>
          <w:p w14:paraId="5272450E"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1" w:type="pct"/>
            <w:tcBorders>
              <w:top w:val="nil"/>
              <w:left w:val="nil"/>
              <w:bottom w:val="nil"/>
              <w:right w:val="nil"/>
            </w:tcBorders>
            <w:shd w:val="clear" w:color="000000" w:fill="FFFFFF"/>
            <w:noWrap/>
            <w:vAlign w:val="center"/>
            <w:hideMark/>
          </w:tcPr>
          <w:p w14:paraId="04CFFB50"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39E8DBA5"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353F0988"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E5D6FE9"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19B1EC0"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58708A" w:rsidRPr="00365E42" w14:paraId="20C8FC1B" w14:textId="77777777" w:rsidTr="0058708A">
        <w:trPr>
          <w:trHeight w:val="290"/>
        </w:trPr>
        <w:tc>
          <w:tcPr>
            <w:tcW w:w="2490" w:type="pct"/>
            <w:tcBorders>
              <w:top w:val="nil"/>
              <w:left w:val="nil"/>
              <w:bottom w:val="nil"/>
              <w:right w:val="nil"/>
            </w:tcBorders>
            <w:shd w:val="clear" w:color="000000" w:fill="FFFFFF"/>
            <w:noWrap/>
            <w:vAlign w:val="center"/>
            <w:hideMark/>
          </w:tcPr>
          <w:p w14:paraId="4322A8B4"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En Trámite</w:t>
            </w:r>
          </w:p>
        </w:tc>
        <w:tc>
          <w:tcPr>
            <w:tcW w:w="591" w:type="pct"/>
            <w:tcBorders>
              <w:top w:val="nil"/>
              <w:left w:val="nil"/>
              <w:bottom w:val="nil"/>
              <w:right w:val="nil"/>
            </w:tcBorders>
            <w:shd w:val="clear" w:color="000000" w:fill="FFFFFF"/>
            <w:noWrap/>
            <w:vAlign w:val="center"/>
            <w:hideMark/>
          </w:tcPr>
          <w:p w14:paraId="23AED49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91,63%</w:t>
            </w:r>
          </w:p>
        </w:tc>
        <w:tc>
          <w:tcPr>
            <w:tcW w:w="480" w:type="pct"/>
            <w:tcBorders>
              <w:top w:val="nil"/>
              <w:left w:val="nil"/>
              <w:bottom w:val="nil"/>
              <w:right w:val="nil"/>
            </w:tcBorders>
            <w:shd w:val="clear" w:color="000000" w:fill="FFFFFF"/>
            <w:noWrap/>
            <w:vAlign w:val="center"/>
            <w:hideMark/>
          </w:tcPr>
          <w:p w14:paraId="051D639F"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92,19%</w:t>
            </w:r>
          </w:p>
        </w:tc>
        <w:tc>
          <w:tcPr>
            <w:tcW w:w="480" w:type="pct"/>
            <w:tcBorders>
              <w:top w:val="nil"/>
              <w:left w:val="nil"/>
              <w:bottom w:val="nil"/>
              <w:right w:val="nil"/>
            </w:tcBorders>
            <w:shd w:val="clear" w:color="000000" w:fill="FFFFFF"/>
            <w:noWrap/>
            <w:vAlign w:val="center"/>
            <w:hideMark/>
          </w:tcPr>
          <w:p w14:paraId="53836CEE"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92,67%</w:t>
            </w:r>
          </w:p>
        </w:tc>
        <w:tc>
          <w:tcPr>
            <w:tcW w:w="480" w:type="pct"/>
            <w:tcBorders>
              <w:top w:val="nil"/>
              <w:left w:val="nil"/>
              <w:bottom w:val="nil"/>
              <w:right w:val="nil"/>
            </w:tcBorders>
            <w:shd w:val="clear" w:color="000000" w:fill="FFFFFF"/>
            <w:noWrap/>
            <w:vAlign w:val="center"/>
            <w:hideMark/>
          </w:tcPr>
          <w:p w14:paraId="73F6B9B4"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95,57%</w:t>
            </w:r>
          </w:p>
        </w:tc>
        <w:tc>
          <w:tcPr>
            <w:tcW w:w="480" w:type="pct"/>
            <w:tcBorders>
              <w:top w:val="nil"/>
              <w:left w:val="nil"/>
              <w:bottom w:val="nil"/>
              <w:right w:val="nil"/>
            </w:tcBorders>
            <w:shd w:val="clear" w:color="000000" w:fill="FFFFFF"/>
            <w:noWrap/>
            <w:vAlign w:val="center"/>
            <w:hideMark/>
          </w:tcPr>
          <w:p w14:paraId="5B3F2706"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95,84%</w:t>
            </w:r>
          </w:p>
        </w:tc>
      </w:tr>
      <w:tr w:rsidR="0058708A" w:rsidRPr="00365E42" w14:paraId="346DC207" w14:textId="77777777" w:rsidTr="0058708A">
        <w:trPr>
          <w:trHeight w:val="290"/>
        </w:trPr>
        <w:tc>
          <w:tcPr>
            <w:tcW w:w="2490" w:type="pct"/>
            <w:tcBorders>
              <w:top w:val="nil"/>
              <w:left w:val="nil"/>
              <w:bottom w:val="nil"/>
              <w:right w:val="nil"/>
            </w:tcBorders>
            <w:shd w:val="clear" w:color="000000" w:fill="FFFFFF"/>
            <w:noWrap/>
            <w:vAlign w:val="center"/>
            <w:hideMark/>
          </w:tcPr>
          <w:p w14:paraId="597C5300"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Con Resolución Provisional</w:t>
            </w:r>
          </w:p>
        </w:tc>
        <w:tc>
          <w:tcPr>
            <w:tcW w:w="591" w:type="pct"/>
            <w:tcBorders>
              <w:top w:val="nil"/>
              <w:left w:val="nil"/>
              <w:bottom w:val="nil"/>
              <w:right w:val="nil"/>
            </w:tcBorders>
            <w:shd w:val="clear" w:color="000000" w:fill="FFFFFF"/>
            <w:noWrap/>
            <w:vAlign w:val="center"/>
            <w:hideMark/>
          </w:tcPr>
          <w:p w14:paraId="118913E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0,32%</w:t>
            </w:r>
          </w:p>
        </w:tc>
        <w:tc>
          <w:tcPr>
            <w:tcW w:w="480" w:type="pct"/>
            <w:tcBorders>
              <w:top w:val="nil"/>
              <w:left w:val="nil"/>
              <w:bottom w:val="nil"/>
              <w:right w:val="nil"/>
            </w:tcBorders>
            <w:shd w:val="clear" w:color="000000" w:fill="FFFFFF"/>
            <w:noWrap/>
            <w:vAlign w:val="center"/>
            <w:hideMark/>
          </w:tcPr>
          <w:p w14:paraId="52CC28ED"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0,25%</w:t>
            </w:r>
          </w:p>
        </w:tc>
        <w:tc>
          <w:tcPr>
            <w:tcW w:w="480" w:type="pct"/>
            <w:tcBorders>
              <w:top w:val="nil"/>
              <w:left w:val="nil"/>
              <w:bottom w:val="nil"/>
              <w:right w:val="nil"/>
            </w:tcBorders>
            <w:shd w:val="clear" w:color="000000" w:fill="FFFFFF"/>
            <w:noWrap/>
            <w:vAlign w:val="center"/>
            <w:hideMark/>
          </w:tcPr>
          <w:p w14:paraId="7D4B00E8"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0,13%</w:t>
            </w:r>
          </w:p>
        </w:tc>
        <w:tc>
          <w:tcPr>
            <w:tcW w:w="480" w:type="pct"/>
            <w:tcBorders>
              <w:top w:val="nil"/>
              <w:left w:val="nil"/>
              <w:bottom w:val="nil"/>
              <w:right w:val="nil"/>
            </w:tcBorders>
            <w:shd w:val="clear" w:color="000000" w:fill="FFFFFF"/>
            <w:noWrap/>
            <w:vAlign w:val="center"/>
            <w:hideMark/>
          </w:tcPr>
          <w:p w14:paraId="416ECB4D"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0,06%</w:t>
            </w:r>
          </w:p>
        </w:tc>
        <w:tc>
          <w:tcPr>
            <w:tcW w:w="480" w:type="pct"/>
            <w:tcBorders>
              <w:top w:val="nil"/>
              <w:left w:val="nil"/>
              <w:bottom w:val="nil"/>
              <w:right w:val="nil"/>
            </w:tcBorders>
            <w:shd w:val="clear" w:color="000000" w:fill="FFFFFF"/>
            <w:noWrap/>
            <w:vAlign w:val="center"/>
            <w:hideMark/>
          </w:tcPr>
          <w:p w14:paraId="527A2F19"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0,08%</w:t>
            </w:r>
          </w:p>
        </w:tc>
      </w:tr>
      <w:tr w:rsidR="0058708A" w:rsidRPr="00365E42" w14:paraId="4359B049" w14:textId="77777777" w:rsidTr="0058708A">
        <w:trPr>
          <w:trHeight w:val="290"/>
        </w:trPr>
        <w:tc>
          <w:tcPr>
            <w:tcW w:w="2490" w:type="pct"/>
            <w:tcBorders>
              <w:top w:val="nil"/>
              <w:left w:val="nil"/>
              <w:bottom w:val="nil"/>
              <w:right w:val="nil"/>
            </w:tcBorders>
            <w:shd w:val="clear" w:color="000000" w:fill="FFFFFF"/>
            <w:noWrap/>
            <w:vAlign w:val="center"/>
            <w:hideMark/>
          </w:tcPr>
          <w:p w14:paraId="71B94841"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Pasivo no provisional</w:t>
            </w:r>
          </w:p>
        </w:tc>
        <w:tc>
          <w:tcPr>
            <w:tcW w:w="591" w:type="pct"/>
            <w:tcBorders>
              <w:top w:val="nil"/>
              <w:left w:val="nil"/>
              <w:bottom w:val="nil"/>
              <w:right w:val="nil"/>
            </w:tcBorders>
            <w:shd w:val="clear" w:color="000000" w:fill="FFFFFF"/>
            <w:noWrap/>
            <w:vAlign w:val="center"/>
            <w:hideMark/>
          </w:tcPr>
          <w:p w14:paraId="6C15CAEA"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8,00%</w:t>
            </w:r>
          </w:p>
        </w:tc>
        <w:tc>
          <w:tcPr>
            <w:tcW w:w="480" w:type="pct"/>
            <w:tcBorders>
              <w:top w:val="nil"/>
              <w:left w:val="nil"/>
              <w:bottom w:val="nil"/>
              <w:right w:val="nil"/>
            </w:tcBorders>
            <w:shd w:val="clear" w:color="000000" w:fill="FFFFFF"/>
            <w:noWrap/>
            <w:vAlign w:val="center"/>
            <w:hideMark/>
          </w:tcPr>
          <w:p w14:paraId="1B166307"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7,53%</w:t>
            </w:r>
          </w:p>
        </w:tc>
        <w:tc>
          <w:tcPr>
            <w:tcW w:w="480" w:type="pct"/>
            <w:tcBorders>
              <w:top w:val="nil"/>
              <w:left w:val="nil"/>
              <w:bottom w:val="nil"/>
              <w:right w:val="nil"/>
            </w:tcBorders>
            <w:shd w:val="clear" w:color="000000" w:fill="FFFFFF"/>
            <w:noWrap/>
            <w:vAlign w:val="center"/>
            <w:hideMark/>
          </w:tcPr>
          <w:p w14:paraId="44E1CC4C"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7,19%</w:t>
            </w:r>
          </w:p>
        </w:tc>
        <w:tc>
          <w:tcPr>
            <w:tcW w:w="480" w:type="pct"/>
            <w:tcBorders>
              <w:top w:val="nil"/>
              <w:left w:val="nil"/>
              <w:bottom w:val="nil"/>
              <w:right w:val="nil"/>
            </w:tcBorders>
            <w:shd w:val="clear" w:color="000000" w:fill="FFFFFF"/>
            <w:noWrap/>
            <w:vAlign w:val="center"/>
            <w:hideMark/>
          </w:tcPr>
          <w:p w14:paraId="256767C3"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4,35%</w:t>
            </w:r>
          </w:p>
        </w:tc>
        <w:tc>
          <w:tcPr>
            <w:tcW w:w="480" w:type="pct"/>
            <w:tcBorders>
              <w:top w:val="nil"/>
              <w:left w:val="nil"/>
              <w:bottom w:val="nil"/>
              <w:right w:val="nil"/>
            </w:tcBorders>
            <w:shd w:val="clear" w:color="000000" w:fill="FFFFFF"/>
            <w:noWrap/>
            <w:vAlign w:val="center"/>
            <w:hideMark/>
          </w:tcPr>
          <w:p w14:paraId="0B0469C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4,08%</w:t>
            </w:r>
          </w:p>
        </w:tc>
      </w:tr>
      <w:tr w:rsidR="0058708A" w:rsidRPr="00365E42" w14:paraId="18DFD8C9" w14:textId="77777777" w:rsidTr="0058708A">
        <w:trPr>
          <w:trHeight w:val="300"/>
        </w:trPr>
        <w:tc>
          <w:tcPr>
            <w:tcW w:w="2490" w:type="pct"/>
            <w:tcBorders>
              <w:top w:val="nil"/>
              <w:left w:val="nil"/>
              <w:bottom w:val="single" w:sz="8" w:space="0" w:color="auto"/>
              <w:right w:val="nil"/>
            </w:tcBorders>
            <w:shd w:val="clear" w:color="000000" w:fill="FFFFFF"/>
            <w:noWrap/>
            <w:vAlign w:val="center"/>
            <w:hideMark/>
          </w:tcPr>
          <w:p w14:paraId="62CCA993" w14:textId="77777777" w:rsidR="0058708A" w:rsidRPr="00365E42" w:rsidRDefault="0058708A" w:rsidP="0058708A">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Otra</w:t>
            </w:r>
          </w:p>
        </w:tc>
        <w:tc>
          <w:tcPr>
            <w:tcW w:w="591" w:type="pct"/>
            <w:tcBorders>
              <w:top w:val="nil"/>
              <w:left w:val="nil"/>
              <w:bottom w:val="single" w:sz="8" w:space="0" w:color="auto"/>
              <w:right w:val="nil"/>
            </w:tcBorders>
            <w:shd w:val="clear" w:color="000000" w:fill="FFFFFF"/>
            <w:noWrap/>
            <w:vAlign w:val="center"/>
            <w:hideMark/>
          </w:tcPr>
          <w:p w14:paraId="60924A10"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0,05%</w:t>
            </w:r>
          </w:p>
        </w:tc>
        <w:tc>
          <w:tcPr>
            <w:tcW w:w="480" w:type="pct"/>
            <w:tcBorders>
              <w:top w:val="nil"/>
              <w:left w:val="nil"/>
              <w:bottom w:val="single" w:sz="8" w:space="0" w:color="auto"/>
              <w:right w:val="nil"/>
            </w:tcBorders>
            <w:shd w:val="clear" w:color="000000" w:fill="FFFFFF"/>
            <w:noWrap/>
            <w:vAlign w:val="center"/>
            <w:hideMark/>
          </w:tcPr>
          <w:p w14:paraId="67302399"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0,03%</w:t>
            </w:r>
          </w:p>
        </w:tc>
        <w:tc>
          <w:tcPr>
            <w:tcW w:w="480" w:type="pct"/>
            <w:tcBorders>
              <w:top w:val="nil"/>
              <w:left w:val="nil"/>
              <w:bottom w:val="single" w:sz="8" w:space="0" w:color="auto"/>
              <w:right w:val="nil"/>
            </w:tcBorders>
            <w:shd w:val="clear" w:color="000000" w:fill="FFFFFF"/>
            <w:noWrap/>
            <w:vAlign w:val="center"/>
            <w:hideMark/>
          </w:tcPr>
          <w:p w14:paraId="3CD291FA"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0,02%</w:t>
            </w:r>
          </w:p>
        </w:tc>
        <w:tc>
          <w:tcPr>
            <w:tcW w:w="480" w:type="pct"/>
            <w:tcBorders>
              <w:top w:val="nil"/>
              <w:left w:val="nil"/>
              <w:bottom w:val="single" w:sz="8" w:space="0" w:color="auto"/>
              <w:right w:val="nil"/>
            </w:tcBorders>
            <w:shd w:val="clear" w:color="000000" w:fill="FFFFFF"/>
            <w:noWrap/>
            <w:vAlign w:val="center"/>
            <w:hideMark/>
          </w:tcPr>
          <w:p w14:paraId="75370526"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0,03%</w:t>
            </w:r>
          </w:p>
        </w:tc>
        <w:tc>
          <w:tcPr>
            <w:tcW w:w="480" w:type="pct"/>
            <w:tcBorders>
              <w:top w:val="nil"/>
              <w:left w:val="nil"/>
              <w:bottom w:val="single" w:sz="8" w:space="0" w:color="auto"/>
              <w:right w:val="nil"/>
            </w:tcBorders>
            <w:shd w:val="clear" w:color="000000" w:fill="FFFFFF"/>
            <w:noWrap/>
            <w:vAlign w:val="center"/>
            <w:hideMark/>
          </w:tcPr>
          <w:p w14:paraId="5ACD8122" w14:textId="77777777" w:rsidR="0058708A" w:rsidRPr="00365E42" w:rsidRDefault="0058708A" w:rsidP="0058708A">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0,00%</w:t>
            </w:r>
          </w:p>
        </w:tc>
      </w:tr>
      <w:tr w:rsidR="0058708A" w:rsidRPr="00365E42" w14:paraId="2CDB27CD" w14:textId="77777777" w:rsidTr="0058708A">
        <w:trPr>
          <w:trHeight w:val="290"/>
        </w:trPr>
        <w:tc>
          <w:tcPr>
            <w:tcW w:w="5000" w:type="pct"/>
            <w:gridSpan w:val="6"/>
            <w:tcBorders>
              <w:top w:val="nil"/>
              <w:left w:val="nil"/>
              <w:bottom w:val="nil"/>
              <w:right w:val="nil"/>
            </w:tcBorders>
            <w:shd w:val="clear" w:color="auto" w:fill="auto"/>
            <w:noWrap/>
            <w:vAlign w:val="center"/>
            <w:hideMark/>
          </w:tcPr>
          <w:p w14:paraId="38263565" w14:textId="3AC8253B" w:rsidR="0058708A" w:rsidRPr="00365E42" w:rsidRDefault="0058708A" w:rsidP="0058708A">
            <w:pPr>
              <w:spacing w:after="0" w:line="240" w:lineRule="auto"/>
              <w:rPr>
                <w:rFonts w:ascii="Book Antiqua" w:eastAsia="Times New Roman" w:hAnsi="Book Antiqua" w:cs="Times New Roman"/>
                <w:sz w:val="20"/>
                <w:szCs w:val="20"/>
                <w:lang w:eastAsia="es-CR"/>
              </w:rPr>
            </w:pPr>
            <w:r w:rsidRPr="00365E42">
              <w:rPr>
                <w:rFonts w:ascii="Book Antiqua" w:eastAsia="Times New Roman" w:hAnsi="Book Antiqua" w:cs="Times New Roman"/>
                <w:color w:val="000000"/>
                <w:sz w:val="20"/>
                <w:szCs w:val="20"/>
                <w:lang w:eastAsia="es-CR"/>
              </w:rPr>
              <w:t>Elaborado por: Subproceso de Estadística, Dirección de Planificación.</w:t>
            </w:r>
          </w:p>
        </w:tc>
      </w:tr>
    </w:tbl>
    <w:p w14:paraId="1A5DCABB" w14:textId="77777777" w:rsidR="007D104D" w:rsidRPr="00365E42" w:rsidRDefault="007D104D" w:rsidP="00247FC6">
      <w:pPr>
        <w:spacing w:line="360" w:lineRule="auto"/>
        <w:jc w:val="both"/>
        <w:rPr>
          <w:rFonts w:ascii="Book Antiqua" w:hAnsi="Book Antiqua" w:cs="Times New Roman"/>
          <w:sz w:val="24"/>
          <w:szCs w:val="24"/>
        </w:rPr>
      </w:pPr>
    </w:p>
    <w:p w14:paraId="30A33E5E" w14:textId="1DFD52CA" w:rsidR="0058708A" w:rsidRPr="00365E42" w:rsidRDefault="00362F85" w:rsidP="00247FC6">
      <w:pPr>
        <w:spacing w:line="360" w:lineRule="auto"/>
        <w:jc w:val="both"/>
        <w:rPr>
          <w:rFonts w:ascii="Book Antiqua" w:hAnsi="Book Antiqua" w:cs="Times New Roman"/>
          <w:sz w:val="24"/>
          <w:szCs w:val="24"/>
        </w:rPr>
      </w:pPr>
      <w:r w:rsidRPr="00365E42">
        <w:rPr>
          <w:rFonts w:ascii="Book Antiqua" w:hAnsi="Book Antiqua" w:cs="Times New Roman"/>
          <w:sz w:val="24"/>
          <w:szCs w:val="24"/>
        </w:rPr>
        <w:t>S</w:t>
      </w:r>
      <w:r w:rsidR="000E4F21" w:rsidRPr="00365E42">
        <w:rPr>
          <w:rFonts w:ascii="Book Antiqua" w:hAnsi="Book Antiqua" w:cs="Times New Roman"/>
          <w:sz w:val="24"/>
          <w:szCs w:val="24"/>
        </w:rPr>
        <w:t>e logra determinar que</w:t>
      </w:r>
      <w:r w:rsidR="00C84B76" w:rsidRPr="00365E42">
        <w:rPr>
          <w:rFonts w:ascii="Book Antiqua" w:hAnsi="Book Antiqua" w:cs="Times New Roman"/>
          <w:sz w:val="24"/>
          <w:szCs w:val="24"/>
        </w:rPr>
        <w:t>,</w:t>
      </w:r>
      <w:r w:rsidR="000E4F21" w:rsidRPr="00365E42">
        <w:rPr>
          <w:rFonts w:ascii="Book Antiqua" w:hAnsi="Book Antiqua" w:cs="Times New Roman"/>
          <w:sz w:val="24"/>
          <w:szCs w:val="24"/>
        </w:rPr>
        <w:t xml:space="preserve"> según el estado del circulante al finalizar por tipo de resolución, el </w:t>
      </w:r>
      <w:r w:rsidR="000E4F21" w:rsidRPr="00365E42">
        <w:rPr>
          <w:rFonts w:ascii="Book Antiqua" w:hAnsi="Book Antiqua" w:cs="Times New Roman"/>
          <w:i/>
          <w:iCs/>
          <w:sz w:val="24"/>
          <w:szCs w:val="24"/>
        </w:rPr>
        <w:t>Pasivo no provisional</w:t>
      </w:r>
      <w:r w:rsidR="000E4F21" w:rsidRPr="00365E42">
        <w:rPr>
          <w:rFonts w:ascii="Book Antiqua" w:hAnsi="Book Antiqua" w:cs="Times New Roman"/>
          <w:sz w:val="24"/>
          <w:szCs w:val="24"/>
        </w:rPr>
        <w:t xml:space="preserve"> alberga en promedio al 97,47% (3.435 casos)</w:t>
      </w:r>
      <w:r w:rsidR="001268E5" w:rsidRPr="00365E42">
        <w:rPr>
          <w:rFonts w:ascii="Book Antiqua" w:hAnsi="Book Antiqua" w:cs="Times New Roman"/>
          <w:sz w:val="24"/>
          <w:szCs w:val="24"/>
        </w:rPr>
        <w:t xml:space="preserve">, siendo la </w:t>
      </w:r>
      <w:r w:rsidR="001268E5" w:rsidRPr="00365E42">
        <w:rPr>
          <w:rFonts w:ascii="Book Antiqua" w:hAnsi="Book Antiqua" w:cs="Times New Roman"/>
          <w:i/>
          <w:iCs/>
          <w:sz w:val="24"/>
          <w:szCs w:val="24"/>
        </w:rPr>
        <w:t xml:space="preserve">Ausencia </w:t>
      </w:r>
      <w:r w:rsidR="001268E5" w:rsidRPr="00365E42">
        <w:rPr>
          <w:rFonts w:ascii="Book Antiqua" w:hAnsi="Book Antiqua" w:cs="Times New Roman"/>
          <w:sz w:val="24"/>
          <w:szCs w:val="24"/>
        </w:rPr>
        <w:t xml:space="preserve">la que </w:t>
      </w:r>
      <w:r w:rsidR="00C84B76" w:rsidRPr="00365E42">
        <w:rPr>
          <w:rFonts w:ascii="Book Antiqua" w:hAnsi="Book Antiqua" w:cs="Times New Roman"/>
          <w:sz w:val="24"/>
          <w:szCs w:val="24"/>
        </w:rPr>
        <w:t xml:space="preserve">mayor margen de captación </w:t>
      </w:r>
      <w:r w:rsidR="001268E5" w:rsidRPr="00365E42">
        <w:rPr>
          <w:rFonts w:ascii="Book Antiqua" w:hAnsi="Book Antiqua" w:cs="Times New Roman"/>
          <w:sz w:val="24"/>
          <w:szCs w:val="24"/>
        </w:rPr>
        <w:t>representa</w:t>
      </w:r>
      <w:r w:rsidR="00C84B76" w:rsidRPr="00365E42">
        <w:rPr>
          <w:rFonts w:ascii="Book Antiqua" w:hAnsi="Book Antiqua" w:cs="Times New Roman"/>
          <w:sz w:val="24"/>
          <w:szCs w:val="24"/>
        </w:rPr>
        <w:t xml:space="preserve"> con un 80,53% (2.844 casos) en promedio para el periodo bajo estudio mientras que las </w:t>
      </w:r>
      <w:r w:rsidR="00C84B76" w:rsidRPr="00365E42">
        <w:rPr>
          <w:rFonts w:ascii="Book Antiqua" w:hAnsi="Book Antiqua" w:cs="Times New Roman"/>
          <w:i/>
          <w:iCs/>
          <w:sz w:val="24"/>
          <w:szCs w:val="24"/>
        </w:rPr>
        <w:t>Rebeldías</w:t>
      </w:r>
      <w:r w:rsidR="001268E5" w:rsidRPr="00365E42">
        <w:rPr>
          <w:rFonts w:ascii="Book Antiqua" w:hAnsi="Book Antiqua" w:cs="Times New Roman"/>
          <w:sz w:val="24"/>
          <w:szCs w:val="24"/>
        </w:rPr>
        <w:t xml:space="preserve"> </w:t>
      </w:r>
      <w:r w:rsidR="00C84B76" w:rsidRPr="00365E42">
        <w:rPr>
          <w:rFonts w:ascii="Book Antiqua" w:hAnsi="Book Antiqua" w:cs="Times New Roman"/>
          <w:sz w:val="24"/>
          <w:szCs w:val="24"/>
        </w:rPr>
        <w:t>lo hacen en un 16,71% (583 casos) en promedio para el último quinquenio.</w:t>
      </w:r>
    </w:p>
    <w:p w14:paraId="38B22F74" w14:textId="231C0239" w:rsidR="00CD4118" w:rsidRDefault="00362F85" w:rsidP="00247FC6">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Por otro lado, </w:t>
      </w:r>
      <w:r w:rsidR="00D17B4A" w:rsidRPr="00365E42">
        <w:rPr>
          <w:rFonts w:ascii="Book Antiqua" w:hAnsi="Book Antiqua" w:cs="Times New Roman"/>
          <w:sz w:val="24"/>
          <w:szCs w:val="24"/>
        </w:rPr>
        <w:t xml:space="preserve">las resoluciones provisionales representan en promedio el 2,53% (91 casos) de la totalidad de resoluciones en estado activo en el periodo abordado, siendo los </w:t>
      </w:r>
      <w:r w:rsidR="00D17B4A" w:rsidRPr="00365E42">
        <w:rPr>
          <w:rFonts w:ascii="Book Antiqua" w:hAnsi="Book Antiqua" w:cs="Times New Roman"/>
          <w:i/>
          <w:iCs/>
          <w:sz w:val="24"/>
          <w:szCs w:val="24"/>
        </w:rPr>
        <w:t>Sobreseimientos provisionales</w:t>
      </w:r>
      <w:r w:rsidR="00D17B4A" w:rsidRPr="00365E42">
        <w:rPr>
          <w:rFonts w:ascii="Book Antiqua" w:hAnsi="Book Antiqua" w:cs="Times New Roman"/>
          <w:sz w:val="24"/>
          <w:szCs w:val="24"/>
        </w:rPr>
        <w:t xml:space="preserve"> </w:t>
      </w:r>
      <w:r w:rsidR="00A117A0" w:rsidRPr="00365E42">
        <w:rPr>
          <w:rFonts w:ascii="Book Antiqua" w:hAnsi="Book Antiqua" w:cs="Times New Roman"/>
          <w:sz w:val="24"/>
          <w:szCs w:val="24"/>
        </w:rPr>
        <w:t>los más frecuentes con un promedio de 85 casos por año. En el siguiente cuadro se muestra el detalle para cada periodo según las resoluciones activas registradas:</w:t>
      </w:r>
    </w:p>
    <w:p w14:paraId="048E1662" w14:textId="77777777" w:rsidR="00336A2B" w:rsidRPr="00365E42" w:rsidRDefault="00336A2B" w:rsidP="00247FC6">
      <w:pPr>
        <w:spacing w:line="360" w:lineRule="auto"/>
        <w:jc w:val="both"/>
        <w:rPr>
          <w:rFonts w:ascii="Book Antiqua" w:hAnsi="Book Antiqua" w:cs="Times New Roman"/>
          <w:sz w:val="24"/>
          <w:szCs w:val="24"/>
        </w:rPr>
      </w:pPr>
    </w:p>
    <w:tbl>
      <w:tblPr>
        <w:tblW w:w="5000" w:type="pct"/>
        <w:tblCellMar>
          <w:left w:w="70" w:type="dxa"/>
          <w:right w:w="70" w:type="dxa"/>
        </w:tblCellMar>
        <w:tblLook w:val="04A0" w:firstRow="1" w:lastRow="0" w:firstColumn="1" w:lastColumn="0" w:noHBand="0" w:noVBand="1"/>
      </w:tblPr>
      <w:tblGrid>
        <w:gridCol w:w="4360"/>
        <w:gridCol w:w="1006"/>
        <w:gridCol w:w="868"/>
        <w:gridCol w:w="868"/>
        <w:gridCol w:w="868"/>
        <w:gridCol w:w="868"/>
      </w:tblGrid>
      <w:tr w:rsidR="00CD4118" w:rsidRPr="00365E42" w14:paraId="004D33BB" w14:textId="77777777" w:rsidTr="00CD4118">
        <w:trPr>
          <w:trHeight w:val="310"/>
        </w:trPr>
        <w:tc>
          <w:tcPr>
            <w:tcW w:w="5000" w:type="pct"/>
            <w:gridSpan w:val="6"/>
            <w:tcBorders>
              <w:top w:val="nil"/>
              <w:left w:val="nil"/>
              <w:bottom w:val="nil"/>
              <w:right w:val="nil"/>
            </w:tcBorders>
            <w:shd w:val="clear" w:color="000000" w:fill="FFFFFF"/>
            <w:vAlign w:val="center"/>
            <w:hideMark/>
          </w:tcPr>
          <w:p w14:paraId="6237588E" w14:textId="77777777" w:rsidR="00CD4118" w:rsidRPr="00365E42" w:rsidRDefault="00CD4118" w:rsidP="00CD4118">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lastRenderedPageBreak/>
              <w:t>Cuadro 7</w:t>
            </w:r>
          </w:p>
        </w:tc>
      </w:tr>
      <w:tr w:rsidR="00CD4118" w:rsidRPr="00365E42" w14:paraId="4A012C14" w14:textId="77777777" w:rsidTr="00CD4118">
        <w:trPr>
          <w:trHeight w:val="310"/>
        </w:trPr>
        <w:tc>
          <w:tcPr>
            <w:tcW w:w="5000" w:type="pct"/>
            <w:gridSpan w:val="6"/>
            <w:tcBorders>
              <w:top w:val="nil"/>
              <w:left w:val="nil"/>
              <w:bottom w:val="nil"/>
              <w:right w:val="nil"/>
            </w:tcBorders>
            <w:shd w:val="clear" w:color="000000" w:fill="FFFFFF"/>
            <w:vAlign w:val="center"/>
            <w:hideMark/>
          </w:tcPr>
          <w:p w14:paraId="2CC62EE1" w14:textId="77777777" w:rsidR="00CD4118" w:rsidRPr="00365E42" w:rsidRDefault="00CD4118" w:rsidP="00CD4118">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Distribución del circulante al finalizar en las fiscalías penales</w:t>
            </w:r>
          </w:p>
        </w:tc>
      </w:tr>
      <w:tr w:rsidR="00CD4118" w:rsidRPr="00365E42" w14:paraId="19501D60" w14:textId="77777777" w:rsidTr="00CD4118">
        <w:trPr>
          <w:trHeight w:val="310"/>
        </w:trPr>
        <w:tc>
          <w:tcPr>
            <w:tcW w:w="5000" w:type="pct"/>
            <w:gridSpan w:val="6"/>
            <w:tcBorders>
              <w:top w:val="nil"/>
              <w:left w:val="nil"/>
              <w:bottom w:val="nil"/>
              <w:right w:val="nil"/>
            </w:tcBorders>
            <w:shd w:val="clear" w:color="000000" w:fill="FFFFFF"/>
            <w:vAlign w:val="center"/>
            <w:hideMark/>
          </w:tcPr>
          <w:p w14:paraId="2A04E84A" w14:textId="77777777" w:rsidR="00CD4118" w:rsidRPr="00365E42" w:rsidRDefault="00CD4118" w:rsidP="00CD4118">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 xml:space="preserve">por año según resolución provisional y pasivo no provisional </w:t>
            </w:r>
          </w:p>
        </w:tc>
      </w:tr>
      <w:tr w:rsidR="00CD4118" w:rsidRPr="00365E42" w14:paraId="2453B10A" w14:textId="77777777" w:rsidTr="00CD4118">
        <w:trPr>
          <w:trHeight w:val="310"/>
        </w:trPr>
        <w:tc>
          <w:tcPr>
            <w:tcW w:w="5000" w:type="pct"/>
            <w:gridSpan w:val="6"/>
            <w:tcBorders>
              <w:top w:val="nil"/>
              <w:left w:val="nil"/>
              <w:bottom w:val="nil"/>
              <w:right w:val="nil"/>
            </w:tcBorders>
            <w:shd w:val="clear" w:color="000000" w:fill="FFFFFF"/>
            <w:vAlign w:val="center"/>
            <w:hideMark/>
          </w:tcPr>
          <w:p w14:paraId="3183B216" w14:textId="77777777" w:rsidR="00CD4118" w:rsidRPr="00365E42" w:rsidRDefault="00CD4118" w:rsidP="00CD4118">
            <w:pPr>
              <w:spacing w:after="0" w:line="240" w:lineRule="auto"/>
              <w:jc w:val="center"/>
              <w:rPr>
                <w:rFonts w:ascii="Book Antiqua" w:eastAsia="Times New Roman" w:hAnsi="Book Antiqua" w:cs="Times New Roman"/>
                <w:b/>
                <w:bCs/>
                <w:color w:val="000000"/>
                <w:sz w:val="24"/>
                <w:szCs w:val="24"/>
                <w:lang w:eastAsia="es-CR"/>
              </w:rPr>
            </w:pPr>
            <w:r w:rsidRPr="00365E42">
              <w:rPr>
                <w:rFonts w:ascii="Book Antiqua" w:eastAsia="Times New Roman" w:hAnsi="Book Antiqua" w:cs="Times New Roman"/>
                <w:b/>
                <w:bCs/>
                <w:color w:val="000000"/>
                <w:sz w:val="24"/>
                <w:szCs w:val="24"/>
                <w:lang w:eastAsia="es-CR"/>
              </w:rPr>
              <w:t>para el período 2015-2019</w:t>
            </w:r>
          </w:p>
        </w:tc>
      </w:tr>
      <w:tr w:rsidR="00CD4118" w:rsidRPr="00365E42" w14:paraId="69F1FB0C" w14:textId="77777777" w:rsidTr="00CD4118">
        <w:trPr>
          <w:trHeight w:val="300"/>
        </w:trPr>
        <w:tc>
          <w:tcPr>
            <w:tcW w:w="5000" w:type="pct"/>
            <w:gridSpan w:val="6"/>
            <w:tcBorders>
              <w:top w:val="nil"/>
              <w:left w:val="nil"/>
              <w:bottom w:val="single" w:sz="8" w:space="0" w:color="auto"/>
              <w:right w:val="nil"/>
            </w:tcBorders>
            <w:shd w:val="clear" w:color="000000" w:fill="FFFFFF"/>
            <w:vAlign w:val="center"/>
            <w:hideMark/>
          </w:tcPr>
          <w:p w14:paraId="39BB8534"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r>
      <w:tr w:rsidR="00CD4118" w:rsidRPr="00365E42" w14:paraId="272C5EA7" w14:textId="77777777" w:rsidTr="00CD4118">
        <w:trPr>
          <w:trHeight w:val="300"/>
        </w:trPr>
        <w:tc>
          <w:tcPr>
            <w:tcW w:w="2489" w:type="pct"/>
            <w:vMerge w:val="restart"/>
            <w:tcBorders>
              <w:top w:val="nil"/>
              <w:left w:val="nil"/>
              <w:bottom w:val="single" w:sz="8" w:space="0" w:color="000000"/>
              <w:right w:val="single" w:sz="8" w:space="0" w:color="auto"/>
            </w:tcBorders>
            <w:shd w:val="clear" w:color="000000" w:fill="8AEEEE"/>
            <w:vAlign w:val="center"/>
            <w:hideMark/>
          </w:tcPr>
          <w:p w14:paraId="0338EF6D"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xml:space="preserve">Resolución Provisional </w:t>
            </w:r>
          </w:p>
        </w:tc>
        <w:tc>
          <w:tcPr>
            <w:tcW w:w="2511" w:type="pct"/>
            <w:gridSpan w:val="5"/>
            <w:tcBorders>
              <w:top w:val="single" w:sz="8" w:space="0" w:color="auto"/>
              <w:left w:val="nil"/>
              <w:bottom w:val="single" w:sz="8" w:space="0" w:color="auto"/>
              <w:right w:val="nil"/>
            </w:tcBorders>
            <w:shd w:val="clear" w:color="000000" w:fill="8AEEEE"/>
            <w:vAlign w:val="center"/>
            <w:hideMark/>
          </w:tcPr>
          <w:p w14:paraId="3A45E9F0"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Año</w:t>
            </w:r>
          </w:p>
        </w:tc>
      </w:tr>
      <w:tr w:rsidR="00CD4118" w:rsidRPr="00365E42" w14:paraId="0A49B465" w14:textId="77777777" w:rsidTr="00CD4118">
        <w:trPr>
          <w:trHeight w:val="300"/>
        </w:trPr>
        <w:tc>
          <w:tcPr>
            <w:tcW w:w="2489" w:type="pct"/>
            <w:vMerge/>
            <w:tcBorders>
              <w:top w:val="nil"/>
              <w:left w:val="nil"/>
              <w:bottom w:val="single" w:sz="8" w:space="0" w:color="000000"/>
              <w:right w:val="single" w:sz="8" w:space="0" w:color="auto"/>
            </w:tcBorders>
            <w:vAlign w:val="center"/>
            <w:hideMark/>
          </w:tcPr>
          <w:p w14:paraId="6C37FB91" w14:textId="77777777" w:rsidR="00CD4118" w:rsidRPr="00365E42" w:rsidRDefault="00CD4118" w:rsidP="00CD4118">
            <w:pPr>
              <w:spacing w:after="0" w:line="240" w:lineRule="auto"/>
              <w:rPr>
                <w:rFonts w:ascii="Book Antiqua" w:eastAsia="Times New Roman" w:hAnsi="Book Antiqua" w:cs="Times New Roman"/>
                <w:b/>
                <w:bCs/>
                <w:color w:val="000000"/>
                <w:sz w:val="20"/>
                <w:szCs w:val="20"/>
                <w:lang w:eastAsia="es-CR"/>
              </w:rPr>
            </w:pPr>
          </w:p>
        </w:tc>
        <w:tc>
          <w:tcPr>
            <w:tcW w:w="592" w:type="pct"/>
            <w:tcBorders>
              <w:top w:val="nil"/>
              <w:left w:val="nil"/>
              <w:bottom w:val="single" w:sz="8" w:space="0" w:color="auto"/>
              <w:right w:val="single" w:sz="8" w:space="0" w:color="auto"/>
            </w:tcBorders>
            <w:shd w:val="clear" w:color="000000" w:fill="8AEEEE"/>
            <w:noWrap/>
            <w:vAlign w:val="center"/>
            <w:hideMark/>
          </w:tcPr>
          <w:p w14:paraId="3ABACDC8"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2015</w:t>
            </w:r>
          </w:p>
        </w:tc>
        <w:tc>
          <w:tcPr>
            <w:tcW w:w="480" w:type="pct"/>
            <w:tcBorders>
              <w:top w:val="nil"/>
              <w:left w:val="nil"/>
              <w:bottom w:val="single" w:sz="8" w:space="0" w:color="auto"/>
              <w:right w:val="single" w:sz="8" w:space="0" w:color="auto"/>
            </w:tcBorders>
            <w:shd w:val="clear" w:color="000000" w:fill="8AEEEE"/>
            <w:noWrap/>
            <w:vAlign w:val="center"/>
            <w:hideMark/>
          </w:tcPr>
          <w:p w14:paraId="2B753EE9"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2016</w:t>
            </w:r>
          </w:p>
        </w:tc>
        <w:tc>
          <w:tcPr>
            <w:tcW w:w="480" w:type="pct"/>
            <w:tcBorders>
              <w:top w:val="nil"/>
              <w:left w:val="nil"/>
              <w:bottom w:val="single" w:sz="8" w:space="0" w:color="auto"/>
              <w:right w:val="nil"/>
            </w:tcBorders>
            <w:shd w:val="clear" w:color="000000" w:fill="8AEEEE"/>
            <w:noWrap/>
            <w:vAlign w:val="center"/>
            <w:hideMark/>
          </w:tcPr>
          <w:p w14:paraId="4BFB2E89"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2017</w:t>
            </w:r>
          </w:p>
        </w:tc>
        <w:tc>
          <w:tcPr>
            <w:tcW w:w="480" w:type="pct"/>
            <w:tcBorders>
              <w:top w:val="nil"/>
              <w:left w:val="single" w:sz="8" w:space="0" w:color="auto"/>
              <w:bottom w:val="single" w:sz="8" w:space="0" w:color="auto"/>
              <w:right w:val="nil"/>
            </w:tcBorders>
            <w:shd w:val="clear" w:color="000000" w:fill="8AEEEE"/>
            <w:noWrap/>
            <w:vAlign w:val="center"/>
            <w:hideMark/>
          </w:tcPr>
          <w:p w14:paraId="7E3518F4"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2018</w:t>
            </w:r>
          </w:p>
        </w:tc>
        <w:tc>
          <w:tcPr>
            <w:tcW w:w="480" w:type="pct"/>
            <w:tcBorders>
              <w:top w:val="nil"/>
              <w:left w:val="single" w:sz="8" w:space="0" w:color="auto"/>
              <w:bottom w:val="single" w:sz="8" w:space="0" w:color="auto"/>
              <w:right w:val="nil"/>
            </w:tcBorders>
            <w:shd w:val="clear" w:color="000000" w:fill="8AEEEE"/>
            <w:noWrap/>
            <w:vAlign w:val="center"/>
            <w:hideMark/>
          </w:tcPr>
          <w:p w14:paraId="560B4B04"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2019</w:t>
            </w:r>
          </w:p>
        </w:tc>
      </w:tr>
      <w:tr w:rsidR="00CD4118" w:rsidRPr="00365E42" w14:paraId="3C7E464C" w14:textId="77777777" w:rsidTr="00CD4118">
        <w:trPr>
          <w:trHeight w:val="290"/>
        </w:trPr>
        <w:tc>
          <w:tcPr>
            <w:tcW w:w="2489" w:type="pct"/>
            <w:tcBorders>
              <w:top w:val="nil"/>
              <w:left w:val="nil"/>
              <w:bottom w:val="nil"/>
              <w:right w:val="nil"/>
            </w:tcBorders>
            <w:shd w:val="clear" w:color="000000" w:fill="FFFFFF"/>
            <w:noWrap/>
            <w:vAlign w:val="center"/>
            <w:hideMark/>
          </w:tcPr>
          <w:p w14:paraId="489A354C"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2" w:type="pct"/>
            <w:tcBorders>
              <w:top w:val="nil"/>
              <w:left w:val="nil"/>
              <w:bottom w:val="nil"/>
              <w:right w:val="nil"/>
            </w:tcBorders>
            <w:shd w:val="clear" w:color="000000" w:fill="FFFFFF"/>
            <w:noWrap/>
            <w:vAlign w:val="center"/>
            <w:hideMark/>
          </w:tcPr>
          <w:p w14:paraId="5EFB7DB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11214BD"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5DB2994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27AE69E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692145C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6F2E7F8E" w14:textId="77777777" w:rsidTr="00CD4118">
        <w:trPr>
          <w:trHeight w:val="290"/>
        </w:trPr>
        <w:tc>
          <w:tcPr>
            <w:tcW w:w="2489" w:type="pct"/>
            <w:tcBorders>
              <w:top w:val="nil"/>
              <w:left w:val="nil"/>
              <w:bottom w:val="nil"/>
              <w:right w:val="nil"/>
            </w:tcBorders>
            <w:shd w:val="clear" w:color="000000" w:fill="EEECE1"/>
            <w:noWrap/>
            <w:vAlign w:val="center"/>
            <w:hideMark/>
          </w:tcPr>
          <w:p w14:paraId="535BA022"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Absolutos</w:t>
            </w:r>
          </w:p>
        </w:tc>
        <w:tc>
          <w:tcPr>
            <w:tcW w:w="592" w:type="pct"/>
            <w:tcBorders>
              <w:top w:val="nil"/>
              <w:left w:val="nil"/>
              <w:bottom w:val="nil"/>
              <w:right w:val="nil"/>
            </w:tcBorders>
            <w:shd w:val="clear" w:color="000000" w:fill="EEECE1"/>
            <w:noWrap/>
            <w:vAlign w:val="center"/>
            <w:hideMark/>
          </w:tcPr>
          <w:p w14:paraId="7D1B1FF9"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3 838</w:t>
            </w:r>
          </w:p>
        </w:tc>
        <w:tc>
          <w:tcPr>
            <w:tcW w:w="480" w:type="pct"/>
            <w:tcBorders>
              <w:top w:val="nil"/>
              <w:left w:val="nil"/>
              <w:bottom w:val="nil"/>
              <w:right w:val="nil"/>
            </w:tcBorders>
            <w:shd w:val="clear" w:color="000000" w:fill="EEECE1"/>
            <w:noWrap/>
            <w:vAlign w:val="center"/>
            <w:hideMark/>
          </w:tcPr>
          <w:p w14:paraId="14A69BAE"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3 719</w:t>
            </w:r>
          </w:p>
        </w:tc>
        <w:tc>
          <w:tcPr>
            <w:tcW w:w="480" w:type="pct"/>
            <w:tcBorders>
              <w:top w:val="nil"/>
              <w:left w:val="nil"/>
              <w:bottom w:val="nil"/>
              <w:right w:val="nil"/>
            </w:tcBorders>
            <w:shd w:val="clear" w:color="000000" w:fill="EEECE1"/>
            <w:noWrap/>
            <w:vAlign w:val="center"/>
            <w:hideMark/>
          </w:tcPr>
          <w:p w14:paraId="56AF1E61"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4 074</w:t>
            </w:r>
          </w:p>
        </w:tc>
        <w:tc>
          <w:tcPr>
            <w:tcW w:w="480" w:type="pct"/>
            <w:tcBorders>
              <w:top w:val="nil"/>
              <w:left w:val="nil"/>
              <w:bottom w:val="nil"/>
              <w:right w:val="nil"/>
            </w:tcBorders>
            <w:shd w:val="clear" w:color="000000" w:fill="EEECE1"/>
            <w:noWrap/>
            <w:vAlign w:val="center"/>
            <w:hideMark/>
          </w:tcPr>
          <w:p w14:paraId="172D439C"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2 988</w:t>
            </w:r>
          </w:p>
        </w:tc>
        <w:tc>
          <w:tcPr>
            <w:tcW w:w="480" w:type="pct"/>
            <w:tcBorders>
              <w:top w:val="nil"/>
              <w:left w:val="nil"/>
              <w:bottom w:val="nil"/>
              <w:right w:val="nil"/>
            </w:tcBorders>
            <w:shd w:val="clear" w:color="000000" w:fill="EEECE1"/>
            <w:noWrap/>
            <w:vAlign w:val="center"/>
            <w:hideMark/>
          </w:tcPr>
          <w:p w14:paraId="3E877F61"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3 011</w:t>
            </w:r>
          </w:p>
        </w:tc>
      </w:tr>
      <w:tr w:rsidR="00CD4118" w:rsidRPr="00365E42" w14:paraId="5ED237CA" w14:textId="77777777" w:rsidTr="00CD4118">
        <w:trPr>
          <w:trHeight w:val="290"/>
        </w:trPr>
        <w:tc>
          <w:tcPr>
            <w:tcW w:w="2489" w:type="pct"/>
            <w:tcBorders>
              <w:top w:val="nil"/>
              <w:left w:val="nil"/>
              <w:bottom w:val="nil"/>
              <w:right w:val="nil"/>
            </w:tcBorders>
            <w:shd w:val="clear" w:color="000000" w:fill="FFFFFF"/>
            <w:noWrap/>
            <w:vAlign w:val="center"/>
            <w:hideMark/>
          </w:tcPr>
          <w:p w14:paraId="65E06A3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2" w:type="pct"/>
            <w:tcBorders>
              <w:top w:val="nil"/>
              <w:left w:val="nil"/>
              <w:bottom w:val="nil"/>
              <w:right w:val="nil"/>
            </w:tcBorders>
            <w:shd w:val="clear" w:color="000000" w:fill="FFFFFF"/>
            <w:noWrap/>
            <w:vAlign w:val="center"/>
            <w:hideMark/>
          </w:tcPr>
          <w:p w14:paraId="6D569A2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2E65183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75F09F6"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140E189B"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BD2BE0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4F03F6A4" w14:textId="77777777" w:rsidTr="00CD4118">
        <w:trPr>
          <w:trHeight w:val="290"/>
        </w:trPr>
        <w:tc>
          <w:tcPr>
            <w:tcW w:w="2489" w:type="pct"/>
            <w:tcBorders>
              <w:top w:val="nil"/>
              <w:left w:val="nil"/>
              <w:bottom w:val="nil"/>
              <w:right w:val="nil"/>
            </w:tcBorders>
            <w:shd w:val="clear" w:color="000000" w:fill="FFFFFF"/>
            <w:noWrap/>
            <w:vAlign w:val="center"/>
            <w:hideMark/>
          </w:tcPr>
          <w:p w14:paraId="41B3216A" w14:textId="77777777" w:rsidR="00CD4118" w:rsidRPr="00365E42" w:rsidRDefault="00CD4118" w:rsidP="00CD4118">
            <w:pPr>
              <w:spacing w:after="0" w:line="240" w:lineRule="auto"/>
              <w:jc w:val="right"/>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Sobreseimiento provisional </w:t>
            </w:r>
          </w:p>
        </w:tc>
        <w:tc>
          <w:tcPr>
            <w:tcW w:w="592" w:type="pct"/>
            <w:tcBorders>
              <w:top w:val="nil"/>
              <w:left w:val="nil"/>
              <w:bottom w:val="nil"/>
              <w:right w:val="nil"/>
            </w:tcBorders>
            <w:shd w:val="clear" w:color="000000" w:fill="FFFFFF"/>
            <w:noWrap/>
            <w:vAlign w:val="center"/>
            <w:hideMark/>
          </w:tcPr>
          <w:p w14:paraId="1015C1F8"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147</w:t>
            </w:r>
          </w:p>
        </w:tc>
        <w:tc>
          <w:tcPr>
            <w:tcW w:w="480" w:type="pct"/>
            <w:tcBorders>
              <w:top w:val="nil"/>
              <w:left w:val="nil"/>
              <w:bottom w:val="nil"/>
              <w:right w:val="nil"/>
            </w:tcBorders>
            <w:shd w:val="clear" w:color="000000" w:fill="FFFFFF"/>
            <w:noWrap/>
            <w:vAlign w:val="center"/>
            <w:hideMark/>
          </w:tcPr>
          <w:p w14:paraId="2DBEEE2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120</w:t>
            </w:r>
          </w:p>
        </w:tc>
        <w:tc>
          <w:tcPr>
            <w:tcW w:w="480" w:type="pct"/>
            <w:tcBorders>
              <w:top w:val="nil"/>
              <w:left w:val="nil"/>
              <w:bottom w:val="nil"/>
              <w:right w:val="nil"/>
            </w:tcBorders>
            <w:shd w:val="clear" w:color="000000" w:fill="FFFFFF"/>
            <w:noWrap/>
            <w:vAlign w:val="center"/>
            <w:hideMark/>
          </w:tcPr>
          <w:p w14:paraId="10C25A2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70</w:t>
            </w:r>
          </w:p>
        </w:tc>
        <w:tc>
          <w:tcPr>
            <w:tcW w:w="480" w:type="pct"/>
            <w:tcBorders>
              <w:top w:val="nil"/>
              <w:left w:val="nil"/>
              <w:bottom w:val="nil"/>
              <w:right w:val="nil"/>
            </w:tcBorders>
            <w:shd w:val="clear" w:color="000000" w:fill="FFFFFF"/>
            <w:noWrap/>
            <w:vAlign w:val="center"/>
            <w:hideMark/>
          </w:tcPr>
          <w:p w14:paraId="0B0A69A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41</w:t>
            </w:r>
          </w:p>
        </w:tc>
        <w:tc>
          <w:tcPr>
            <w:tcW w:w="480" w:type="pct"/>
            <w:tcBorders>
              <w:top w:val="nil"/>
              <w:left w:val="nil"/>
              <w:bottom w:val="nil"/>
              <w:right w:val="nil"/>
            </w:tcBorders>
            <w:shd w:val="clear" w:color="000000" w:fill="FFFFFF"/>
            <w:noWrap/>
            <w:vAlign w:val="center"/>
            <w:hideMark/>
          </w:tcPr>
          <w:p w14:paraId="29842ECB"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49</w:t>
            </w:r>
          </w:p>
        </w:tc>
      </w:tr>
      <w:tr w:rsidR="00CD4118" w:rsidRPr="00365E42" w14:paraId="06DC85CA" w14:textId="77777777" w:rsidTr="00CD4118">
        <w:trPr>
          <w:trHeight w:val="290"/>
        </w:trPr>
        <w:tc>
          <w:tcPr>
            <w:tcW w:w="2489" w:type="pct"/>
            <w:tcBorders>
              <w:top w:val="nil"/>
              <w:left w:val="nil"/>
              <w:bottom w:val="nil"/>
              <w:right w:val="nil"/>
            </w:tcBorders>
            <w:shd w:val="clear" w:color="000000" w:fill="FFFFFF"/>
            <w:noWrap/>
            <w:vAlign w:val="center"/>
            <w:hideMark/>
          </w:tcPr>
          <w:p w14:paraId="6619C3B3" w14:textId="77777777" w:rsidR="00CD4118" w:rsidRPr="00365E42" w:rsidRDefault="00CD4118" w:rsidP="00CD4118">
            <w:pPr>
              <w:spacing w:after="0" w:line="240" w:lineRule="auto"/>
              <w:jc w:val="right"/>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Prejudicialidad</w:t>
            </w:r>
          </w:p>
        </w:tc>
        <w:tc>
          <w:tcPr>
            <w:tcW w:w="592" w:type="pct"/>
            <w:tcBorders>
              <w:top w:val="nil"/>
              <w:left w:val="nil"/>
              <w:bottom w:val="nil"/>
              <w:right w:val="nil"/>
            </w:tcBorders>
            <w:shd w:val="clear" w:color="000000" w:fill="FFFFFF"/>
            <w:noWrap/>
            <w:vAlign w:val="center"/>
            <w:hideMark/>
          </w:tcPr>
          <w:p w14:paraId="057586DE"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w:t>
            </w:r>
          </w:p>
        </w:tc>
        <w:tc>
          <w:tcPr>
            <w:tcW w:w="480" w:type="pct"/>
            <w:tcBorders>
              <w:top w:val="nil"/>
              <w:left w:val="nil"/>
              <w:bottom w:val="nil"/>
              <w:right w:val="nil"/>
            </w:tcBorders>
            <w:shd w:val="clear" w:color="000000" w:fill="FFFFFF"/>
            <w:noWrap/>
            <w:vAlign w:val="center"/>
            <w:hideMark/>
          </w:tcPr>
          <w:p w14:paraId="08C3A827"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w:t>
            </w:r>
          </w:p>
        </w:tc>
        <w:tc>
          <w:tcPr>
            <w:tcW w:w="480" w:type="pct"/>
            <w:tcBorders>
              <w:top w:val="nil"/>
              <w:left w:val="nil"/>
              <w:bottom w:val="nil"/>
              <w:right w:val="nil"/>
            </w:tcBorders>
            <w:shd w:val="clear" w:color="000000" w:fill="FFFFFF"/>
            <w:noWrap/>
            <w:vAlign w:val="center"/>
            <w:hideMark/>
          </w:tcPr>
          <w:p w14:paraId="551687CE"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w:t>
            </w:r>
          </w:p>
        </w:tc>
        <w:tc>
          <w:tcPr>
            <w:tcW w:w="480" w:type="pct"/>
            <w:tcBorders>
              <w:top w:val="nil"/>
              <w:left w:val="nil"/>
              <w:bottom w:val="nil"/>
              <w:right w:val="nil"/>
            </w:tcBorders>
            <w:shd w:val="clear" w:color="000000" w:fill="FFFFFF"/>
            <w:noWrap/>
            <w:vAlign w:val="center"/>
            <w:hideMark/>
          </w:tcPr>
          <w:p w14:paraId="5C64C70C"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w:t>
            </w:r>
          </w:p>
        </w:tc>
        <w:tc>
          <w:tcPr>
            <w:tcW w:w="480" w:type="pct"/>
            <w:tcBorders>
              <w:top w:val="nil"/>
              <w:left w:val="nil"/>
              <w:bottom w:val="nil"/>
              <w:right w:val="nil"/>
            </w:tcBorders>
            <w:shd w:val="clear" w:color="000000" w:fill="FFFFFF"/>
            <w:noWrap/>
            <w:vAlign w:val="center"/>
            <w:hideMark/>
          </w:tcPr>
          <w:p w14:paraId="2134EFB4"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w:t>
            </w:r>
          </w:p>
        </w:tc>
      </w:tr>
      <w:tr w:rsidR="00CD4118" w:rsidRPr="00365E42" w14:paraId="1C52898B" w14:textId="77777777" w:rsidTr="00CD4118">
        <w:trPr>
          <w:trHeight w:val="290"/>
        </w:trPr>
        <w:tc>
          <w:tcPr>
            <w:tcW w:w="2489" w:type="pct"/>
            <w:tcBorders>
              <w:top w:val="nil"/>
              <w:left w:val="nil"/>
              <w:bottom w:val="nil"/>
              <w:right w:val="nil"/>
            </w:tcBorders>
            <w:shd w:val="clear" w:color="000000" w:fill="FFFFFF"/>
            <w:noWrap/>
            <w:vAlign w:val="center"/>
            <w:hideMark/>
          </w:tcPr>
          <w:p w14:paraId="55054F1A" w14:textId="77777777" w:rsidR="00CD4118" w:rsidRPr="00365E42" w:rsidRDefault="00CD4118" w:rsidP="00CD4118">
            <w:pPr>
              <w:spacing w:after="0" w:line="240" w:lineRule="auto"/>
              <w:rPr>
                <w:rFonts w:ascii="Book Antiqua" w:eastAsia="Times New Roman" w:hAnsi="Book Antiqua" w:cs="Times New Roman"/>
                <w:b/>
                <w:bCs/>
                <w:color w:val="000000"/>
                <w:sz w:val="20"/>
                <w:szCs w:val="20"/>
                <w:u w:val="single"/>
                <w:lang w:eastAsia="es-CR"/>
              </w:rPr>
            </w:pPr>
            <w:r w:rsidRPr="00365E42">
              <w:rPr>
                <w:rFonts w:ascii="Book Antiqua" w:eastAsia="Times New Roman" w:hAnsi="Book Antiqua" w:cs="Times New Roman"/>
                <w:b/>
                <w:bCs/>
                <w:color w:val="000000"/>
                <w:sz w:val="20"/>
                <w:szCs w:val="20"/>
                <w:u w:val="single"/>
                <w:lang w:eastAsia="es-CR"/>
              </w:rPr>
              <w:t>Pasivo no provisional</w:t>
            </w:r>
          </w:p>
        </w:tc>
        <w:tc>
          <w:tcPr>
            <w:tcW w:w="592" w:type="pct"/>
            <w:tcBorders>
              <w:top w:val="nil"/>
              <w:left w:val="nil"/>
              <w:bottom w:val="nil"/>
              <w:right w:val="nil"/>
            </w:tcBorders>
            <w:shd w:val="clear" w:color="000000" w:fill="FFFFFF"/>
            <w:noWrap/>
            <w:vAlign w:val="center"/>
            <w:hideMark/>
          </w:tcPr>
          <w:p w14:paraId="47B8858A"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0CE7EAF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382D7B17"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3D8032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50FD312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3762567C" w14:textId="77777777" w:rsidTr="00CD4118">
        <w:trPr>
          <w:trHeight w:val="290"/>
        </w:trPr>
        <w:tc>
          <w:tcPr>
            <w:tcW w:w="2489" w:type="pct"/>
            <w:tcBorders>
              <w:top w:val="nil"/>
              <w:left w:val="nil"/>
              <w:bottom w:val="nil"/>
              <w:right w:val="nil"/>
            </w:tcBorders>
            <w:shd w:val="clear" w:color="000000" w:fill="FFFFFF"/>
            <w:noWrap/>
            <w:vAlign w:val="center"/>
            <w:hideMark/>
          </w:tcPr>
          <w:p w14:paraId="25736912"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      Rebeldía </w:t>
            </w:r>
          </w:p>
        </w:tc>
        <w:tc>
          <w:tcPr>
            <w:tcW w:w="592" w:type="pct"/>
            <w:tcBorders>
              <w:top w:val="nil"/>
              <w:left w:val="nil"/>
              <w:bottom w:val="nil"/>
              <w:right w:val="nil"/>
            </w:tcBorders>
            <w:shd w:val="clear" w:color="000000" w:fill="FFFFFF"/>
            <w:noWrap/>
            <w:vAlign w:val="center"/>
            <w:hideMark/>
          </w:tcPr>
          <w:p w14:paraId="5792ADA1"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591</w:t>
            </w:r>
          </w:p>
        </w:tc>
        <w:tc>
          <w:tcPr>
            <w:tcW w:w="480" w:type="pct"/>
            <w:tcBorders>
              <w:top w:val="nil"/>
              <w:left w:val="nil"/>
              <w:bottom w:val="nil"/>
              <w:right w:val="nil"/>
            </w:tcBorders>
            <w:shd w:val="clear" w:color="000000" w:fill="FFFFFF"/>
            <w:noWrap/>
            <w:vAlign w:val="center"/>
            <w:hideMark/>
          </w:tcPr>
          <w:p w14:paraId="311BEE61"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617</w:t>
            </w:r>
          </w:p>
        </w:tc>
        <w:tc>
          <w:tcPr>
            <w:tcW w:w="480" w:type="pct"/>
            <w:tcBorders>
              <w:top w:val="nil"/>
              <w:left w:val="nil"/>
              <w:bottom w:val="nil"/>
              <w:right w:val="nil"/>
            </w:tcBorders>
            <w:shd w:val="clear" w:color="000000" w:fill="FFFFFF"/>
            <w:noWrap/>
            <w:vAlign w:val="center"/>
            <w:hideMark/>
          </w:tcPr>
          <w:p w14:paraId="1794C081"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607</w:t>
            </w:r>
          </w:p>
        </w:tc>
        <w:tc>
          <w:tcPr>
            <w:tcW w:w="480" w:type="pct"/>
            <w:tcBorders>
              <w:top w:val="nil"/>
              <w:left w:val="nil"/>
              <w:bottom w:val="nil"/>
              <w:right w:val="nil"/>
            </w:tcBorders>
            <w:shd w:val="clear" w:color="000000" w:fill="FFFFFF"/>
            <w:noWrap/>
            <w:vAlign w:val="center"/>
            <w:hideMark/>
          </w:tcPr>
          <w:p w14:paraId="40A9D05B"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579</w:t>
            </w:r>
          </w:p>
        </w:tc>
        <w:tc>
          <w:tcPr>
            <w:tcW w:w="480" w:type="pct"/>
            <w:tcBorders>
              <w:top w:val="nil"/>
              <w:left w:val="nil"/>
              <w:bottom w:val="nil"/>
              <w:right w:val="nil"/>
            </w:tcBorders>
            <w:shd w:val="clear" w:color="000000" w:fill="FFFFFF"/>
            <w:noWrap/>
            <w:vAlign w:val="center"/>
            <w:hideMark/>
          </w:tcPr>
          <w:p w14:paraId="4DAB157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521</w:t>
            </w:r>
          </w:p>
        </w:tc>
      </w:tr>
      <w:tr w:rsidR="00CD4118" w:rsidRPr="00365E42" w14:paraId="48D44606" w14:textId="77777777" w:rsidTr="00CD4118">
        <w:trPr>
          <w:trHeight w:val="290"/>
        </w:trPr>
        <w:tc>
          <w:tcPr>
            <w:tcW w:w="2489" w:type="pct"/>
            <w:tcBorders>
              <w:top w:val="nil"/>
              <w:left w:val="nil"/>
              <w:bottom w:val="nil"/>
              <w:right w:val="nil"/>
            </w:tcBorders>
            <w:shd w:val="clear" w:color="000000" w:fill="FFFFFF"/>
            <w:noWrap/>
            <w:vAlign w:val="center"/>
            <w:hideMark/>
          </w:tcPr>
          <w:p w14:paraId="529CA2FF"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      Ausencia </w:t>
            </w:r>
          </w:p>
        </w:tc>
        <w:tc>
          <w:tcPr>
            <w:tcW w:w="592" w:type="pct"/>
            <w:tcBorders>
              <w:top w:val="nil"/>
              <w:left w:val="nil"/>
              <w:bottom w:val="nil"/>
              <w:right w:val="nil"/>
            </w:tcBorders>
            <w:shd w:val="clear" w:color="000000" w:fill="FFFFFF"/>
            <w:noWrap/>
            <w:vAlign w:val="center"/>
            <w:hideMark/>
          </w:tcPr>
          <w:p w14:paraId="5E25E33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3 077</w:t>
            </w:r>
          </w:p>
        </w:tc>
        <w:tc>
          <w:tcPr>
            <w:tcW w:w="480" w:type="pct"/>
            <w:tcBorders>
              <w:top w:val="nil"/>
              <w:left w:val="nil"/>
              <w:bottom w:val="nil"/>
              <w:right w:val="nil"/>
            </w:tcBorders>
            <w:shd w:val="clear" w:color="000000" w:fill="FFFFFF"/>
            <w:noWrap/>
            <w:vAlign w:val="center"/>
            <w:hideMark/>
          </w:tcPr>
          <w:p w14:paraId="6E8A488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2 970</w:t>
            </w:r>
          </w:p>
        </w:tc>
        <w:tc>
          <w:tcPr>
            <w:tcW w:w="480" w:type="pct"/>
            <w:tcBorders>
              <w:top w:val="nil"/>
              <w:left w:val="nil"/>
              <w:bottom w:val="nil"/>
              <w:right w:val="nil"/>
            </w:tcBorders>
            <w:shd w:val="clear" w:color="000000" w:fill="FFFFFF"/>
            <w:noWrap/>
            <w:vAlign w:val="center"/>
            <w:hideMark/>
          </w:tcPr>
          <w:p w14:paraId="4A0D994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3 388</w:t>
            </w:r>
          </w:p>
        </w:tc>
        <w:tc>
          <w:tcPr>
            <w:tcW w:w="480" w:type="pct"/>
            <w:tcBorders>
              <w:top w:val="nil"/>
              <w:left w:val="nil"/>
              <w:bottom w:val="nil"/>
              <w:right w:val="nil"/>
            </w:tcBorders>
            <w:shd w:val="clear" w:color="000000" w:fill="FFFFFF"/>
            <w:noWrap/>
            <w:vAlign w:val="center"/>
            <w:hideMark/>
          </w:tcPr>
          <w:p w14:paraId="06BDBC5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2 349</w:t>
            </w:r>
          </w:p>
        </w:tc>
        <w:tc>
          <w:tcPr>
            <w:tcW w:w="480" w:type="pct"/>
            <w:tcBorders>
              <w:top w:val="nil"/>
              <w:left w:val="nil"/>
              <w:bottom w:val="nil"/>
              <w:right w:val="nil"/>
            </w:tcBorders>
            <w:shd w:val="clear" w:color="000000" w:fill="FFFFFF"/>
            <w:noWrap/>
            <w:vAlign w:val="center"/>
            <w:hideMark/>
          </w:tcPr>
          <w:p w14:paraId="37EE3782" w14:textId="667C58F5"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w:t>
            </w:r>
            <w:r w:rsidR="00C84B76" w:rsidRPr="00365E42">
              <w:rPr>
                <w:rFonts w:ascii="Book Antiqua" w:eastAsia="Times New Roman" w:hAnsi="Book Antiqua" w:cs="Times New Roman"/>
                <w:color w:val="000000"/>
                <w:sz w:val="20"/>
                <w:szCs w:val="20"/>
                <w:lang w:eastAsia="es-CR"/>
              </w:rPr>
              <w:t xml:space="preserve"> </w:t>
            </w:r>
            <w:r w:rsidRPr="00365E42">
              <w:rPr>
                <w:rFonts w:ascii="Book Antiqua" w:eastAsia="Times New Roman" w:hAnsi="Book Antiqua" w:cs="Times New Roman"/>
                <w:color w:val="000000"/>
                <w:sz w:val="20"/>
                <w:szCs w:val="20"/>
                <w:lang w:eastAsia="es-CR"/>
              </w:rPr>
              <w:t>434</w:t>
            </w:r>
          </w:p>
        </w:tc>
      </w:tr>
      <w:tr w:rsidR="00CD4118" w:rsidRPr="00365E42" w14:paraId="4F5B7A1B" w14:textId="77777777" w:rsidTr="00CD4118">
        <w:trPr>
          <w:trHeight w:val="290"/>
        </w:trPr>
        <w:tc>
          <w:tcPr>
            <w:tcW w:w="2489" w:type="pct"/>
            <w:tcBorders>
              <w:top w:val="nil"/>
              <w:left w:val="nil"/>
              <w:bottom w:val="nil"/>
              <w:right w:val="nil"/>
            </w:tcBorders>
            <w:shd w:val="clear" w:color="000000" w:fill="FFFFFF"/>
            <w:noWrap/>
            <w:vAlign w:val="center"/>
            <w:hideMark/>
          </w:tcPr>
          <w:p w14:paraId="128F3F2E"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Otra </w:t>
            </w:r>
          </w:p>
        </w:tc>
        <w:tc>
          <w:tcPr>
            <w:tcW w:w="592" w:type="pct"/>
            <w:tcBorders>
              <w:top w:val="nil"/>
              <w:left w:val="nil"/>
              <w:bottom w:val="nil"/>
              <w:right w:val="nil"/>
            </w:tcBorders>
            <w:shd w:val="clear" w:color="000000" w:fill="FFFFFF"/>
            <w:noWrap/>
            <w:vAlign w:val="center"/>
            <w:hideMark/>
          </w:tcPr>
          <w:p w14:paraId="1C7789E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23</w:t>
            </w:r>
          </w:p>
        </w:tc>
        <w:tc>
          <w:tcPr>
            <w:tcW w:w="480" w:type="pct"/>
            <w:tcBorders>
              <w:top w:val="nil"/>
              <w:left w:val="nil"/>
              <w:bottom w:val="nil"/>
              <w:right w:val="nil"/>
            </w:tcBorders>
            <w:shd w:val="clear" w:color="000000" w:fill="FFFFFF"/>
            <w:noWrap/>
            <w:vAlign w:val="center"/>
            <w:hideMark/>
          </w:tcPr>
          <w:p w14:paraId="30F118C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4</w:t>
            </w:r>
          </w:p>
        </w:tc>
        <w:tc>
          <w:tcPr>
            <w:tcW w:w="480" w:type="pct"/>
            <w:tcBorders>
              <w:top w:val="nil"/>
              <w:left w:val="nil"/>
              <w:bottom w:val="nil"/>
              <w:right w:val="nil"/>
            </w:tcBorders>
            <w:shd w:val="clear" w:color="000000" w:fill="FFFFFF"/>
            <w:noWrap/>
            <w:vAlign w:val="center"/>
            <w:hideMark/>
          </w:tcPr>
          <w:p w14:paraId="2C4FC82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w:t>
            </w:r>
          </w:p>
        </w:tc>
        <w:tc>
          <w:tcPr>
            <w:tcW w:w="480" w:type="pct"/>
            <w:tcBorders>
              <w:top w:val="nil"/>
              <w:left w:val="nil"/>
              <w:bottom w:val="nil"/>
              <w:right w:val="nil"/>
            </w:tcBorders>
            <w:shd w:val="clear" w:color="000000" w:fill="FFFFFF"/>
            <w:noWrap/>
            <w:vAlign w:val="center"/>
            <w:hideMark/>
          </w:tcPr>
          <w:p w14:paraId="0BBD8B4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12</w:t>
            </w:r>
          </w:p>
        </w:tc>
        <w:tc>
          <w:tcPr>
            <w:tcW w:w="480" w:type="pct"/>
            <w:tcBorders>
              <w:top w:val="nil"/>
              <w:left w:val="nil"/>
              <w:bottom w:val="nil"/>
              <w:right w:val="nil"/>
            </w:tcBorders>
            <w:shd w:val="clear" w:color="000000" w:fill="FFFFFF"/>
            <w:noWrap/>
            <w:vAlign w:val="center"/>
            <w:hideMark/>
          </w:tcPr>
          <w:p w14:paraId="01951536"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w:t>
            </w:r>
          </w:p>
        </w:tc>
      </w:tr>
      <w:tr w:rsidR="00CD4118" w:rsidRPr="00365E42" w14:paraId="7EA32A91" w14:textId="77777777" w:rsidTr="00CD4118">
        <w:trPr>
          <w:trHeight w:val="290"/>
        </w:trPr>
        <w:tc>
          <w:tcPr>
            <w:tcW w:w="2489" w:type="pct"/>
            <w:tcBorders>
              <w:top w:val="nil"/>
              <w:left w:val="nil"/>
              <w:bottom w:val="nil"/>
              <w:right w:val="nil"/>
            </w:tcBorders>
            <w:shd w:val="clear" w:color="000000" w:fill="FFFFFF"/>
            <w:noWrap/>
            <w:vAlign w:val="center"/>
            <w:hideMark/>
          </w:tcPr>
          <w:p w14:paraId="03682E36"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592" w:type="pct"/>
            <w:tcBorders>
              <w:top w:val="nil"/>
              <w:left w:val="nil"/>
              <w:bottom w:val="nil"/>
              <w:right w:val="nil"/>
            </w:tcBorders>
            <w:shd w:val="clear" w:color="000000" w:fill="FFFFFF"/>
            <w:noWrap/>
            <w:vAlign w:val="center"/>
            <w:hideMark/>
          </w:tcPr>
          <w:p w14:paraId="4EC188BC"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1A77A3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107D191"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63FF75D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5A580ACC"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763B7D1B" w14:textId="77777777" w:rsidTr="00CD4118">
        <w:trPr>
          <w:trHeight w:val="290"/>
        </w:trPr>
        <w:tc>
          <w:tcPr>
            <w:tcW w:w="2489" w:type="pct"/>
            <w:tcBorders>
              <w:top w:val="nil"/>
              <w:left w:val="nil"/>
              <w:bottom w:val="nil"/>
              <w:right w:val="nil"/>
            </w:tcBorders>
            <w:shd w:val="clear" w:color="000000" w:fill="EEECE1"/>
            <w:noWrap/>
            <w:vAlign w:val="center"/>
            <w:hideMark/>
          </w:tcPr>
          <w:p w14:paraId="54A5038C"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Porcentajes</w:t>
            </w:r>
          </w:p>
        </w:tc>
        <w:tc>
          <w:tcPr>
            <w:tcW w:w="592" w:type="pct"/>
            <w:tcBorders>
              <w:top w:val="nil"/>
              <w:left w:val="nil"/>
              <w:bottom w:val="nil"/>
              <w:right w:val="nil"/>
            </w:tcBorders>
            <w:shd w:val="clear" w:color="000000" w:fill="EEECE1"/>
            <w:noWrap/>
            <w:vAlign w:val="center"/>
            <w:hideMark/>
          </w:tcPr>
          <w:p w14:paraId="5985E9E6"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016B06CF"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01F0D60C"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0F50293C"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c>
          <w:tcPr>
            <w:tcW w:w="480" w:type="pct"/>
            <w:tcBorders>
              <w:top w:val="nil"/>
              <w:left w:val="nil"/>
              <w:bottom w:val="nil"/>
              <w:right w:val="nil"/>
            </w:tcBorders>
            <w:shd w:val="clear" w:color="000000" w:fill="EEECE1"/>
            <w:noWrap/>
            <w:vAlign w:val="center"/>
            <w:hideMark/>
          </w:tcPr>
          <w:p w14:paraId="114A9B7B"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100,00%</w:t>
            </w:r>
          </w:p>
        </w:tc>
      </w:tr>
      <w:tr w:rsidR="00CD4118" w:rsidRPr="00365E42" w14:paraId="32B93B33" w14:textId="77777777" w:rsidTr="00CD4118">
        <w:trPr>
          <w:trHeight w:val="290"/>
        </w:trPr>
        <w:tc>
          <w:tcPr>
            <w:tcW w:w="2489" w:type="pct"/>
            <w:tcBorders>
              <w:top w:val="nil"/>
              <w:left w:val="nil"/>
              <w:bottom w:val="nil"/>
              <w:right w:val="nil"/>
            </w:tcBorders>
            <w:shd w:val="clear" w:color="000000" w:fill="FFFFFF"/>
            <w:noWrap/>
            <w:vAlign w:val="center"/>
            <w:hideMark/>
          </w:tcPr>
          <w:p w14:paraId="633B7EF0"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592" w:type="pct"/>
            <w:tcBorders>
              <w:top w:val="nil"/>
              <w:left w:val="nil"/>
              <w:bottom w:val="nil"/>
              <w:right w:val="nil"/>
            </w:tcBorders>
            <w:shd w:val="clear" w:color="000000" w:fill="FFFFFF"/>
            <w:noWrap/>
            <w:vAlign w:val="center"/>
            <w:hideMark/>
          </w:tcPr>
          <w:p w14:paraId="7C81A4A9"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1496E1AE" w14:textId="77777777" w:rsidR="00CD4118" w:rsidRPr="00365E42" w:rsidRDefault="00CD4118" w:rsidP="00CD4118">
            <w:pPr>
              <w:spacing w:after="0" w:line="240" w:lineRule="auto"/>
              <w:jc w:val="center"/>
              <w:rPr>
                <w:rFonts w:ascii="Book Antiqua" w:eastAsia="Times New Roman" w:hAnsi="Book Antiqua" w:cs="Times New Roman"/>
                <w:b/>
                <w:bCs/>
                <w:color w:val="000000"/>
                <w:sz w:val="20"/>
                <w:szCs w:val="20"/>
                <w:lang w:eastAsia="es-CR"/>
              </w:rPr>
            </w:pPr>
            <w:r w:rsidRPr="00365E42">
              <w:rPr>
                <w:rFonts w:ascii="Book Antiqua" w:eastAsia="Times New Roman" w:hAnsi="Book Antiqua" w:cs="Times New Roman"/>
                <w:b/>
                <w:bCs/>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B5C9478"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29B8ABA4"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2C9D89B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44BD0AFF" w14:textId="77777777" w:rsidTr="00CD4118">
        <w:trPr>
          <w:trHeight w:val="290"/>
        </w:trPr>
        <w:tc>
          <w:tcPr>
            <w:tcW w:w="2489" w:type="pct"/>
            <w:tcBorders>
              <w:top w:val="nil"/>
              <w:left w:val="nil"/>
              <w:bottom w:val="nil"/>
              <w:right w:val="nil"/>
            </w:tcBorders>
            <w:shd w:val="clear" w:color="000000" w:fill="FFFFFF"/>
            <w:noWrap/>
            <w:vAlign w:val="center"/>
            <w:hideMark/>
          </w:tcPr>
          <w:p w14:paraId="0720E7D3" w14:textId="77777777" w:rsidR="00CD4118" w:rsidRPr="00365E42" w:rsidRDefault="00CD4118" w:rsidP="00CD4118">
            <w:pPr>
              <w:spacing w:after="0" w:line="240" w:lineRule="auto"/>
              <w:jc w:val="right"/>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Sobreseimiento provisional </w:t>
            </w:r>
          </w:p>
        </w:tc>
        <w:tc>
          <w:tcPr>
            <w:tcW w:w="592" w:type="pct"/>
            <w:tcBorders>
              <w:top w:val="nil"/>
              <w:left w:val="nil"/>
              <w:bottom w:val="nil"/>
              <w:right w:val="nil"/>
            </w:tcBorders>
            <w:shd w:val="clear" w:color="000000" w:fill="FFFFFF"/>
            <w:noWrap/>
            <w:vAlign w:val="center"/>
            <w:hideMark/>
          </w:tcPr>
          <w:p w14:paraId="146A4A6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3,83%</w:t>
            </w:r>
          </w:p>
        </w:tc>
        <w:tc>
          <w:tcPr>
            <w:tcW w:w="480" w:type="pct"/>
            <w:tcBorders>
              <w:top w:val="nil"/>
              <w:left w:val="nil"/>
              <w:bottom w:val="nil"/>
              <w:right w:val="nil"/>
            </w:tcBorders>
            <w:shd w:val="clear" w:color="000000" w:fill="FFFFFF"/>
            <w:noWrap/>
            <w:vAlign w:val="center"/>
            <w:hideMark/>
          </w:tcPr>
          <w:p w14:paraId="4CB4B5C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3,23%</w:t>
            </w:r>
          </w:p>
        </w:tc>
        <w:tc>
          <w:tcPr>
            <w:tcW w:w="480" w:type="pct"/>
            <w:tcBorders>
              <w:top w:val="nil"/>
              <w:left w:val="nil"/>
              <w:bottom w:val="nil"/>
              <w:right w:val="nil"/>
            </w:tcBorders>
            <w:shd w:val="clear" w:color="000000" w:fill="FFFFFF"/>
            <w:noWrap/>
            <w:vAlign w:val="center"/>
            <w:hideMark/>
          </w:tcPr>
          <w:p w14:paraId="4BAE1F6E"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1,72%</w:t>
            </w:r>
          </w:p>
        </w:tc>
        <w:tc>
          <w:tcPr>
            <w:tcW w:w="480" w:type="pct"/>
            <w:tcBorders>
              <w:top w:val="nil"/>
              <w:left w:val="nil"/>
              <w:bottom w:val="nil"/>
              <w:right w:val="nil"/>
            </w:tcBorders>
            <w:shd w:val="clear" w:color="000000" w:fill="FFFFFF"/>
            <w:noWrap/>
            <w:vAlign w:val="center"/>
            <w:hideMark/>
          </w:tcPr>
          <w:p w14:paraId="71F8A922"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1,37%</w:t>
            </w:r>
          </w:p>
        </w:tc>
        <w:tc>
          <w:tcPr>
            <w:tcW w:w="480" w:type="pct"/>
            <w:tcBorders>
              <w:top w:val="nil"/>
              <w:left w:val="nil"/>
              <w:bottom w:val="nil"/>
              <w:right w:val="nil"/>
            </w:tcBorders>
            <w:shd w:val="clear" w:color="000000" w:fill="FFFFFF"/>
            <w:noWrap/>
            <w:vAlign w:val="center"/>
            <w:hideMark/>
          </w:tcPr>
          <w:p w14:paraId="6B7D65F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1,63%</w:t>
            </w:r>
          </w:p>
        </w:tc>
      </w:tr>
      <w:tr w:rsidR="00CD4118" w:rsidRPr="00365E42" w14:paraId="430A8891" w14:textId="77777777" w:rsidTr="00CD4118">
        <w:trPr>
          <w:trHeight w:val="290"/>
        </w:trPr>
        <w:tc>
          <w:tcPr>
            <w:tcW w:w="2489" w:type="pct"/>
            <w:tcBorders>
              <w:top w:val="nil"/>
              <w:left w:val="nil"/>
              <w:bottom w:val="nil"/>
              <w:right w:val="nil"/>
            </w:tcBorders>
            <w:shd w:val="clear" w:color="000000" w:fill="FFFFFF"/>
            <w:noWrap/>
            <w:vAlign w:val="center"/>
            <w:hideMark/>
          </w:tcPr>
          <w:p w14:paraId="235BABE2" w14:textId="77777777" w:rsidR="00CD4118" w:rsidRPr="00365E42" w:rsidRDefault="00CD4118" w:rsidP="00CD4118">
            <w:pPr>
              <w:spacing w:after="0" w:line="240" w:lineRule="auto"/>
              <w:jc w:val="right"/>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Prejudicialidad</w:t>
            </w:r>
          </w:p>
        </w:tc>
        <w:tc>
          <w:tcPr>
            <w:tcW w:w="592" w:type="pct"/>
            <w:tcBorders>
              <w:top w:val="nil"/>
              <w:left w:val="nil"/>
              <w:bottom w:val="nil"/>
              <w:right w:val="nil"/>
            </w:tcBorders>
            <w:shd w:val="clear" w:color="000000" w:fill="FFFFFF"/>
            <w:noWrap/>
            <w:vAlign w:val="center"/>
            <w:hideMark/>
          </w:tcPr>
          <w:p w14:paraId="0EDDCF6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0,00%</w:t>
            </w:r>
          </w:p>
        </w:tc>
        <w:tc>
          <w:tcPr>
            <w:tcW w:w="480" w:type="pct"/>
            <w:tcBorders>
              <w:top w:val="nil"/>
              <w:left w:val="nil"/>
              <w:bottom w:val="nil"/>
              <w:right w:val="nil"/>
            </w:tcBorders>
            <w:shd w:val="clear" w:color="000000" w:fill="FFFFFF"/>
            <w:noWrap/>
            <w:vAlign w:val="center"/>
            <w:hideMark/>
          </w:tcPr>
          <w:p w14:paraId="6E695A48"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0,22%</w:t>
            </w:r>
          </w:p>
        </w:tc>
        <w:tc>
          <w:tcPr>
            <w:tcW w:w="480" w:type="pct"/>
            <w:tcBorders>
              <w:top w:val="nil"/>
              <w:left w:val="nil"/>
              <w:bottom w:val="nil"/>
              <w:right w:val="nil"/>
            </w:tcBorders>
            <w:shd w:val="clear" w:color="000000" w:fill="FFFFFF"/>
            <w:noWrap/>
            <w:vAlign w:val="center"/>
            <w:hideMark/>
          </w:tcPr>
          <w:p w14:paraId="5AB97623"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0,20%</w:t>
            </w:r>
          </w:p>
        </w:tc>
        <w:tc>
          <w:tcPr>
            <w:tcW w:w="480" w:type="pct"/>
            <w:tcBorders>
              <w:top w:val="nil"/>
              <w:left w:val="nil"/>
              <w:bottom w:val="nil"/>
              <w:right w:val="nil"/>
            </w:tcBorders>
            <w:shd w:val="clear" w:color="000000" w:fill="FFFFFF"/>
            <w:noWrap/>
            <w:vAlign w:val="center"/>
            <w:hideMark/>
          </w:tcPr>
          <w:p w14:paraId="17F611D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0,23%</w:t>
            </w:r>
          </w:p>
        </w:tc>
        <w:tc>
          <w:tcPr>
            <w:tcW w:w="480" w:type="pct"/>
            <w:tcBorders>
              <w:top w:val="nil"/>
              <w:left w:val="nil"/>
              <w:bottom w:val="nil"/>
              <w:right w:val="nil"/>
            </w:tcBorders>
            <w:shd w:val="clear" w:color="000000" w:fill="FFFFFF"/>
            <w:noWrap/>
            <w:vAlign w:val="center"/>
            <w:hideMark/>
          </w:tcPr>
          <w:p w14:paraId="5616C82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0,23%</w:t>
            </w:r>
          </w:p>
        </w:tc>
      </w:tr>
      <w:tr w:rsidR="00CD4118" w:rsidRPr="00365E42" w14:paraId="0F55658B" w14:textId="77777777" w:rsidTr="00CD4118">
        <w:trPr>
          <w:trHeight w:val="290"/>
        </w:trPr>
        <w:tc>
          <w:tcPr>
            <w:tcW w:w="2489" w:type="pct"/>
            <w:tcBorders>
              <w:top w:val="nil"/>
              <w:left w:val="nil"/>
              <w:bottom w:val="nil"/>
              <w:right w:val="nil"/>
            </w:tcBorders>
            <w:shd w:val="clear" w:color="000000" w:fill="FFFFFF"/>
            <w:noWrap/>
            <w:vAlign w:val="center"/>
            <w:hideMark/>
          </w:tcPr>
          <w:p w14:paraId="0626062F" w14:textId="77777777" w:rsidR="00CD4118" w:rsidRPr="00365E42" w:rsidRDefault="00CD4118" w:rsidP="00CD4118">
            <w:pPr>
              <w:spacing w:after="0" w:line="240" w:lineRule="auto"/>
              <w:rPr>
                <w:rFonts w:ascii="Book Antiqua" w:eastAsia="Times New Roman" w:hAnsi="Book Antiqua" w:cs="Times New Roman"/>
                <w:b/>
                <w:bCs/>
                <w:color w:val="000000"/>
                <w:sz w:val="20"/>
                <w:szCs w:val="20"/>
                <w:u w:val="single"/>
                <w:lang w:eastAsia="es-CR"/>
              </w:rPr>
            </w:pPr>
            <w:r w:rsidRPr="00365E42">
              <w:rPr>
                <w:rFonts w:ascii="Book Antiqua" w:eastAsia="Times New Roman" w:hAnsi="Book Antiqua" w:cs="Times New Roman"/>
                <w:b/>
                <w:bCs/>
                <w:color w:val="000000"/>
                <w:sz w:val="20"/>
                <w:szCs w:val="20"/>
                <w:u w:val="single"/>
                <w:lang w:eastAsia="es-CR"/>
              </w:rPr>
              <w:t>Pasivo no provisional</w:t>
            </w:r>
          </w:p>
        </w:tc>
        <w:tc>
          <w:tcPr>
            <w:tcW w:w="592" w:type="pct"/>
            <w:tcBorders>
              <w:top w:val="nil"/>
              <w:left w:val="nil"/>
              <w:bottom w:val="nil"/>
              <w:right w:val="nil"/>
            </w:tcBorders>
            <w:shd w:val="clear" w:color="000000" w:fill="FFFFFF"/>
            <w:noWrap/>
            <w:vAlign w:val="center"/>
            <w:hideMark/>
          </w:tcPr>
          <w:p w14:paraId="7BC7F4F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410CA069"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1C72B47D"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782D8CD"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c>
          <w:tcPr>
            <w:tcW w:w="480" w:type="pct"/>
            <w:tcBorders>
              <w:top w:val="nil"/>
              <w:left w:val="nil"/>
              <w:bottom w:val="nil"/>
              <w:right w:val="nil"/>
            </w:tcBorders>
            <w:shd w:val="clear" w:color="000000" w:fill="FFFFFF"/>
            <w:noWrap/>
            <w:vAlign w:val="center"/>
            <w:hideMark/>
          </w:tcPr>
          <w:p w14:paraId="71C435EB"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w:t>
            </w:r>
          </w:p>
        </w:tc>
      </w:tr>
      <w:tr w:rsidR="00CD4118" w:rsidRPr="00365E42" w14:paraId="522F9C26" w14:textId="77777777" w:rsidTr="00CD4118">
        <w:trPr>
          <w:trHeight w:val="290"/>
        </w:trPr>
        <w:tc>
          <w:tcPr>
            <w:tcW w:w="2489" w:type="pct"/>
            <w:tcBorders>
              <w:top w:val="nil"/>
              <w:left w:val="nil"/>
              <w:bottom w:val="nil"/>
              <w:right w:val="nil"/>
            </w:tcBorders>
            <w:shd w:val="clear" w:color="000000" w:fill="FFFFFF"/>
            <w:noWrap/>
            <w:vAlign w:val="center"/>
            <w:hideMark/>
          </w:tcPr>
          <w:p w14:paraId="5A2551FF"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      Rebeldía </w:t>
            </w:r>
          </w:p>
        </w:tc>
        <w:tc>
          <w:tcPr>
            <w:tcW w:w="592" w:type="pct"/>
            <w:tcBorders>
              <w:top w:val="nil"/>
              <w:left w:val="nil"/>
              <w:bottom w:val="nil"/>
              <w:right w:val="nil"/>
            </w:tcBorders>
            <w:shd w:val="clear" w:color="000000" w:fill="FFFFFF"/>
            <w:noWrap/>
            <w:vAlign w:val="center"/>
            <w:hideMark/>
          </w:tcPr>
          <w:p w14:paraId="64C78EE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15,40%</w:t>
            </w:r>
          </w:p>
        </w:tc>
        <w:tc>
          <w:tcPr>
            <w:tcW w:w="480" w:type="pct"/>
            <w:tcBorders>
              <w:top w:val="nil"/>
              <w:left w:val="nil"/>
              <w:bottom w:val="nil"/>
              <w:right w:val="nil"/>
            </w:tcBorders>
            <w:shd w:val="clear" w:color="000000" w:fill="FFFFFF"/>
            <w:noWrap/>
            <w:vAlign w:val="center"/>
            <w:hideMark/>
          </w:tcPr>
          <w:p w14:paraId="56C344DC"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16,59%</w:t>
            </w:r>
          </w:p>
        </w:tc>
        <w:tc>
          <w:tcPr>
            <w:tcW w:w="480" w:type="pct"/>
            <w:tcBorders>
              <w:top w:val="nil"/>
              <w:left w:val="nil"/>
              <w:bottom w:val="nil"/>
              <w:right w:val="nil"/>
            </w:tcBorders>
            <w:shd w:val="clear" w:color="000000" w:fill="FFFFFF"/>
            <w:noWrap/>
            <w:vAlign w:val="center"/>
            <w:hideMark/>
          </w:tcPr>
          <w:p w14:paraId="1C358431"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14,90%</w:t>
            </w:r>
          </w:p>
        </w:tc>
        <w:tc>
          <w:tcPr>
            <w:tcW w:w="480" w:type="pct"/>
            <w:tcBorders>
              <w:top w:val="nil"/>
              <w:left w:val="nil"/>
              <w:bottom w:val="nil"/>
              <w:right w:val="nil"/>
            </w:tcBorders>
            <w:shd w:val="clear" w:color="000000" w:fill="FFFFFF"/>
            <w:noWrap/>
            <w:vAlign w:val="center"/>
            <w:hideMark/>
          </w:tcPr>
          <w:p w14:paraId="4C1CFE3A"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19,38%</w:t>
            </w:r>
          </w:p>
        </w:tc>
        <w:tc>
          <w:tcPr>
            <w:tcW w:w="480" w:type="pct"/>
            <w:tcBorders>
              <w:top w:val="nil"/>
              <w:left w:val="nil"/>
              <w:bottom w:val="nil"/>
              <w:right w:val="nil"/>
            </w:tcBorders>
            <w:shd w:val="clear" w:color="000000" w:fill="FFFFFF"/>
            <w:noWrap/>
            <w:vAlign w:val="center"/>
            <w:hideMark/>
          </w:tcPr>
          <w:p w14:paraId="0F51DA47"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17,30%</w:t>
            </w:r>
          </w:p>
        </w:tc>
      </w:tr>
      <w:tr w:rsidR="00CD4118" w:rsidRPr="00365E42" w14:paraId="5620F3C3" w14:textId="77777777" w:rsidTr="00CD4118">
        <w:trPr>
          <w:trHeight w:val="290"/>
        </w:trPr>
        <w:tc>
          <w:tcPr>
            <w:tcW w:w="2489" w:type="pct"/>
            <w:tcBorders>
              <w:top w:val="nil"/>
              <w:left w:val="nil"/>
              <w:bottom w:val="nil"/>
              <w:right w:val="nil"/>
            </w:tcBorders>
            <w:shd w:val="clear" w:color="000000" w:fill="FFFFFF"/>
            <w:noWrap/>
            <w:vAlign w:val="center"/>
            <w:hideMark/>
          </w:tcPr>
          <w:p w14:paraId="07864D27"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      Ausencia </w:t>
            </w:r>
          </w:p>
        </w:tc>
        <w:tc>
          <w:tcPr>
            <w:tcW w:w="592" w:type="pct"/>
            <w:tcBorders>
              <w:top w:val="nil"/>
              <w:left w:val="nil"/>
              <w:bottom w:val="nil"/>
              <w:right w:val="nil"/>
            </w:tcBorders>
            <w:shd w:val="clear" w:color="000000" w:fill="FFFFFF"/>
            <w:noWrap/>
            <w:vAlign w:val="center"/>
            <w:hideMark/>
          </w:tcPr>
          <w:p w14:paraId="464A817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80,17%</w:t>
            </w:r>
          </w:p>
        </w:tc>
        <w:tc>
          <w:tcPr>
            <w:tcW w:w="480" w:type="pct"/>
            <w:tcBorders>
              <w:top w:val="nil"/>
              <w:left w:val="nil"/>
              <w:bottom w:val="nil"/>
              <w:right w:val="nil"/>
            </w:tcBorders>
            <w:shd w:val="clear" w:color="000000" w:fill="FFFFFF"/>
            <w:noWrap/>
            <w:vAlign w:val="center"/>
            <w:hideMark/>
          </w:tcPr>
          <w:p w14:paraId="3356C50C"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79,86%</w:t>
            </w:r>
          </w:p>
        </w:tc>
        <w:tc>
          <w:tcPr>
            <w:tcW w:w="480" w:type="pct"/>
            <w:tcBorders>
              <w:top w:val="nil"/>
              <w:left w:val="nil"/>
              <w:bottom w:val="nil"/>
              <w:right w:val="nil"/>
            </w:tcBorders>
            <w:shd w:val="clear" w:color="000000" w:fill="FFFFFF"/>
            <w:noWrap/>
            <w:vAlign w:val="center"/>
            <w:hideMark/>
          </w:tcPr>
          <w:p w14:paraId="22D22405"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83,16%</w:t>
            </w:r>
          </w:p>
        </w:tc>
        <w:tc>
          <w:tcPr>
            <w:tcW w:w="480" w:type="pct"/>
            <w:tcBorders>
              <w:top w:val="nil"/>
              <w:left w:val="nil"/>
              <w:bottom w:val="nil"/>
              <w:right w:val="nil"/>
            </w:tcBorders>
            <w:shd w:val="clear" w:color="000000" w:fill="FFFFFF"/>
            <w:noWrap/>
            <w:vAlign w:val="center"/>
            <w:hideMark/>
          </w:tcPr>
          <w:p w14:paraId="72BC924E"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78,61%</w:t>
            </w:r>
          </w:p>
        </w:tc>
        <w:tc>
          <w:tcPr>
            <w:tcW w:w="480" w:type="pct"/>
            <w:tcBorders>
              <w:top w:val="nil"/>
              <w:left w:val="nil"/>
              <w:bottom w:val="nil"/>
              <w:right w:val="nil"/>
            </w:tcBorders>
            <w:shd w:val="clear" w:color="000000" w:fill="FFFFFF"/>
            <w:noWrap/>
            <w:vAlign w:val="center"/>
            <w:hideMark/>
          </w:tcPr>
          <w:p w14:paraId="4745A6E8"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80,84%</w:t>
            </w:r>
          </w:p>
        </w:tc>
      </w:tr>
      <w:tr w:rsidR="00CD4118" w:rsidRPr="00365E42" w14:paraId="08D8A397" w14:textId="77777777" w:rsidTr="00CD4118">
        <w:trPr>
          <w:trHeight w:val="300"/>
        </w:trPr>
        <w:tc>
          <w:tcPr>
            <w:tcW w:w="2489" w:type="pct"/>
            <w:tcBorders>
              <w:top w:val="nil"/>
              <w:left w:val="nil"/>
              <w:bottom w:val="single" w:sz="8" w:space="0" w:color="auto"/>
              <w:right w:val="nil"/>
            </w:tcBorders>
            <w:shd w:val="clear" w:color="000000" w:fill="FFFFFF"/>
            <w:noWrap/>
            <w:vAlign w:val="center"/>
            <w:hideMark/>
          </w:tcPr>
          <w:p w14:paraId="493465BE" w14:textId="77777777" w:rsidR="00CD4118" w:rsidRPr="00365E42" w:rsidRDefault="00CD4118" w:rsidP="00CD4118">
            <w:pPr>
              <w:spacing w:after="0" w:line="240" w:lineRule="auto"/>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 xml:space="preserve">Otra </w:t>
            </w:r>
          </w:p>
        </w:tc>
        <w:tc>
          <w:tcPr>
            <w:tcW w:w="592" w:type="pct"/>
            <w:tcBorders>
              <w:top w:val="nil"/>
              <w:left w:val="nil"/>
              <w:bottom w:val="single" w:sz="8" w:space="0" w:color="auto"/>
              <w:right w:val="nil"/>
            </w:tcBorders>
            <w:shd w:val="clear" w:color="000000" w:fill="FFFFFF"/>
            <w:noWrap/>
            <w:vAlign w:val="center"/>
            <w:hideMark/>
          </w:tcPr>
          <w:p w14:paraId="7A30050F"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0,60%</w:t>
            </w:r>
          </w:p>
        </w:tc>
        <w:tc>
          <w:tcPr>
            <w:tcW w:w="480" w:type="pct"/>
            <w:tcBorders>
              <w:top w:val="nil"/>
              <w:left w:val="nil"/>
              <w:bottom w:val="single" w:sz="8" w:space="0" w:color="auto"/>
              <w:right w:val="nil"/>
            </w:tcBorders>
            <w:shd w:val="clear" w:color="000000" w:fill="FFFFFF"/>
            <w:noWrap/>
            <w:vAlign w:val="center"/>
            <w:hideMark/>
          </w:tcPr>
          <w:p w14:paraId="1F3F04E4"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0,11%</w:t>
            </w:r>
          </w:p>
        </w:tc>
        <w:tc>
          <w:tcPr>
            <w:tcW w:w="480" w:type="pct"/>
            <w:tcBorders>
              <w:top w:val="nil"/>
              <w:left w:val="nil"/>
              <w:bottom w:val="single" w:sz="8" w:space="0" w:color="auto"/>
              <w:right w:val="nil"/>
            </w:tcBorders>
            <w:shd w:val="clear" w:color="000000" w:fill="FFFFFF"/>
            <w:noWrap/>
            <w:vAlign w:val="center"/>
            <w:hideMark/>
          </w:tcPr>
          <w:p w14:paraId="4FAB5CCB"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0,02%</w:t>
            </w:r>
          </w:p>
        </w:tc>
        <w:tc>
          <w:tcPr>
            <w:tcW w:w="480" w:type="pct"/>
            <w:tcBorders>
              <w:top w:val="nil"/>
              <w:left w:val="nil"/>
              <w:bottom w:val="single" w:sz="8" w:space="0" w:color="auto"/>
              <w:right w:val="nil"/>
            </w:tcBorders>
            <w:shd w:val="clear" w:color="000000" w:fill="FFFFFF"/>
            <w:noWrap/>
            <w:vAlign w:val="center"/>
            <w:hideMark/>
          </w:tcPr>
          <w:p w14:paraId="7C13B9E6"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0,40%</w:t>
            </w:r>
          </w:p>
        </w:tc>
        <w:tc>
          <w:tcPr>
            <w:tcW w:w="480" w:type="pct"/>
            <w:tcBorders>
              <w:top w:val="nil"/>
              <w:left w:val="nil"/>
              <w:bottom w:val="single" w:sz="8" w:space="0" w:color="auto"/>
              <w:right w:val="nil"/>
            </w:tcBorders>
            <w:shd w:val="clear" w:color="000000" w:fill="FFFFFF"/>
            <w:noWrap/>
            <w:vAlign w:val="center"/>
            <w:hideMark/>
          </w:tcPr>
          <w:p w14:paraId="1BCFAAD0" w14:textId="77777777" w:rsidR="00CD4118" w:rsidRPr="00365E42" w:rsidRDefault="00CD4118" w:rsidP="00CD4118">
            <w:pPr>
              <w:spacing w:after="0" w:line="240" w:lineRule="auto"/>
              <w:jc w:val="center"/>
              <w:rPr>
                <w:rFonts w:ascii="Book Antiqua" w:eastAsia="Times New Roman" w:hAnsi="Book Antiqua" w:cs="Times New Roman"/>
                <w:color w:val="000000"/>
                <w:sz w:val="20"/>
                <w:szCs w:val="20"/>
                <w:lang w:eastAsia="es-CR"/>
              </w:rPr>
            </w:pPr>
            <w:r w:rsidRPr="00365E42">
              <w:rPr>
                <w:rFonts w:ascii="Book Antiqua" w:eastAsia="Times New Roman" w:hAnsi="Book Antiqua" w:cs="Times New Roman"/>
                <w:color w:val="000000"/>
                <w:sz w:val="20"/>
                <w:szCs w:val="20"/>
                <w:lang w:eastAsia="es-CR"/>
              </w:rPr>
              <w:t>0,00%</w:t>
            </w:r>
          </w:p>
        </w:tc>
      </w:tr>
      <w:tr w:rsidR="00CD4118" w:rsidRPr="00365E42" w14:paraId="0A12B7C1" w14:textId="77777777" w:rsidTr="00CD4118">
        <w:trPr>
          <w:trHeight w:val="290"/>
        </w:trPr>
        <w:tc>
          <w:tcPr>
            <w:tcW w:w="5000" w:type="pct"/>
            <w:gridSpan w:val="6"/>
            <w:tcBorders>
              <w:top w:val="nil"/>
              <w:left w:val="nil"/>
              <w:bottom w:val="nil"/>
              <w:right w:val="nil"/>
            </w:tcBorders>
            <w:shd w:val="clear" w:color="auto" w:fill="auto"/>
            <w:noWrap/>
            <w:vAlign w:val="center"/>
            <w:hideMark/>
          </w:tcPr>
          <w:p w14:paraId="2ED3AFF9" w14:textId="1BF4CCD0" w:rsidR="00CD4118" w:rsidRPr="00365E42" w:rsidRDefault="00CD4118" w:rsidP="00CD4118">
            <w:pPr>
              <w:spacing w:after="0" w:line="240" w:lineRule="auto"/>
              <w:rPr>
                <w:rFonts w:ascii="Book Antiqua" w:eastAsia="Times New Roman" w:hAnsi="Book Antiqua" w:cs="Times New Roman"/>
                <w:sz w:val="20"/>
                <w:szCs w:val="20"/>
                <w:lang w:eastAsia="es-CR"/>
              </w:rPr>
            </w:pPr>
            <w:r w:rsidRPr="00365E42">
              <w:rPr>
                <w:rFonts w:ascii="Book Antiqua" w:eastAsia="Times New Roman" w:hAnsi="Book Antiqua" w:cs="Times New Roman"/>
                <w:color w:val="000000"/>
                <w:sz w:val="18"/>
                <w:szCs w:val="18"/>
                <w:lang w:eastAsia="es-CR"/>
              </w:rPr>
              <w:t>Elaborado por: Subproceso de Estadística, Dirección de Planificación.</w:t>
            </w:r>
          </w:p>
        </w:tc>
      </w:tr>
    </w:tbl>
    <w:p w14:paraId="6277B74E" w14:textId="77777777" w:rsidR="00CD4118" w:rsidRPr="00365E42" w:rsidRDefault="00CD4118" w:rsidP="00247FC6">
      <w:pPr>
        <w:spacing w:line="360" w:lineRule="auto"/>
        <w:jc w:val="both"/>
        <w:rPr>
          <w:rFonts w:ascii="Book Antiqua" w:hAnsi="Book Antiqua" w:cs="Times New Roman"/>
          <w:sz w:val="24"/>
          <w:szCs w:val="24"/>
        </w:rPr>
      </w:pPr>
    </w:p>
    <w:p w14:paraId="4908E34B" w14:textId="309E5D14" w:rsidR="00F67896" w:rsidRPr="00365E42" w:rsidRDefault="00F67896" w:rsidP="00F67896">
      <w:pPr>
        <w:pStyle w:val="Prrafodelista"/>
        <w:numPr>
          <w:ilvl w:val="0"/>
          <w:numId w:val="1"/>
        </w:numPr>
        <w:jc w:val="both"/>
        <w:outlineLvl w:val="0"/>
        <w:rPr>
          <w:rFonts w:ascii="Book Antiqua" w:hAnsi="Book Antiqua" w:cs="Times New Roman"/>
          <w:b/>
          <w:bCs/>
          <w:sz w:val="24"/>
          <w:szCs w:val="24"/>
        </w:rPr>
      </w:pPr>
      <w:bookmarkStart w:id="6" w:name="_Toc46389676"/>
      <w:r w:rsidRPr="00365E42">
        <w:rPr>
          <w:rFonts w:ascii="Book Antiqua" w:hAnsi="Book Antiqua" w:cs="Times New Roman"/>
          <w:b/>
          <w:bCs/>
          <w:sz w:val="24"/>
          <w:szCs w:val="24"/>
        </w:rPr>
        <w:t>PROYECCIONES</w:t>
      </w:r>
      <w:bookmarkEnd w:id="6"/>
    </w:p>
    <w:p w14:paraId="27AE2340" w14:textId="6EF724FB" w:rsidR="002C3842" w:rsidRPr="00365E42" w:rsidRDefault="002C3842" w:rsidP="002C3842">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Se realizan proyecciones de los casos entrados y terminados para el 2020 y 2021, para lo cual se analizan diferentes modelos estadísticos de regresión, con el fin de determinar cuál de ellos podría ajustar mejor con la tendencia registrada. Entre los </w:t>
      </w:r>
      <w:r w:rsidR="008377C5" w:rsidRPr="00365E42">
        <w:rPr>
          <w:rFonts w:ascii="Book Antiqua" w:hAnsi="Book Antiqua" w:cs="Times New Roman"/>
          <w:sz w:val="24"/>
          <w:szCs w:val="24"/>
        </w:rPr>
        <w:t xml:space="preserve">tipos de regresión </w:t>
      </w:r>
      <w:r w:rsidR="00FC29DD" w:rsidRPr="00365E42">
        <w:rPr>
          <w:rFonts w:ascii="Book Antiqua" w:hAnsi="Book Antiqua" w:cs="Times New Roman"/>
          <w:sz w:val="24"/>
          <w:szCs w:val="24"/>
        </w:rPr>
        <w:t xml:space="preserve">consideradas a </w:t>
      </w:r>
      <w:r w:rsidR="008377C5" w:rsidRPr="00365E42">
        <w:rPr>
          <w:rFonts w:ascii="Book Antiqua" w:hAnsi="Book Antiqua" w:cs="Times New Roman"/>
          <w:sz w:val="24"/>
          <w:szCs w:val="24"/>
        </w:rPr>
        <w:t>utiliz</w:t>
      </w:r>
      <w:r w:rsidR="00FC29DD" w:rsidRPr="00365E42">
        <w:rPr>
          <w:rFonts w:ascii="Book Antiqua" w:hAnsi="Book Antiqua" w:cs="Times New Roman"/>
          <w:sz w:val="24"/>
          <w:szCs w:val="24"/>
        </w:rPr>
        <w:t>ar están</w:t>
      </w:r>
      <w:r w:rsidR="008377C5" w:rsidRPr="00365E42">
        <w:rPr>
          <w:rFonts w:ascii="Book Antiqua" w:hAnsi="Book Antiqua" w:cs="Times New Roman"/>
          <w:sz w:val="24"/>
          <w:szCs w:val="24"/>
        </w:rPr>
        <w:t>: exponencial, lineal</w:t>
      </w:r>
      <w:r w:rsidRPr="00365E42">
        <w:rPr>
          <w:rFonts w:ascii="Book Antiqua" w:hAnsi="Book Antiqua" w:cs="Times New Roman"/>
          <w:sz w:val="24"/>
          <w:szCs w:val="24"/>
        </w:rPr>
        <w:t xml:space="preserve">, logarítmica, polinómica </w:t>
      </w:r>
      <w:r w:rsidR="008377C5" w:rsidRPr="00365E42">
        <w:rPr>
          <w:rFonts w:ascii="Book Antiqua" w:hAnsi="Book Antiqua" w:cs="Times New Roman"/>
          <w:sz w:val="24"/>
          <w:szCs w:val="24"/>
        </w:rPr>
        <w:t>(de segundo hasta sexto grado)</w:t>
      </w:r>
      <w:r w:rsidRPr="00365E42">
        <w:rPr>
          <w:rFonts w:ascii="Book Antiqua" w:hAnsi="Book Antiqua" w:cs="Times New Roman"/>
          <w:sz w:val="24"/>
          <w:szCs w:val="24"/>
        </w:rPr>
        <w:t>,</w:t>
      </w:r>
      <w:r w:rsidR="008377C5"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potencial y </w:t>
      </w:r>
      <w:r w:rsidR="008377C5" w:rsidRPr="00365E42">
        <w:rPr>
          <w:rFonts w:ascii="Book Antiqua" w:hAnsi="Book Antiqua" w:cs="Times New Roman"/>
          <w:sz w:val="24"/>
          <w:szCs w:val="24"/>
        </w:rPr>
        <w:t xml:space="preserve">el método por </w:t>
      </w:r>
      <w:r w:rsidRPr="00365E42">
        <w:rPr>
          <w:rFonts w:ascii="Book Antiqua" w:hAnsi="Book Antiqua" w:cs="Times New Roman"/>
          <w:sz w:val="24"/>
          <w:szCs w:val="24"/>
        </w:rPr>
        <w:t>media móvil (</w:t>
      </w:r>
      <w:r w:rsidR="00B350C0" w:rsidRPr="00365E42">
        <w:rPr>
          <w:rFonts w:ascii="Book Antiqua" w:hAnsi="Book Antiqua" w:cs="Times New Roman"/>
          <w:sz w:val="24"/>
          <w:szCs w:val="24"/>
        </w:rPr>
        <w:t>v</w:t>
      </w:r>
      <w:r w:rsidRPr="00365E42">
        <w:rPr>
          <w:rFonts w:ascii="Book Antiqua" w:hAnsi="Book Antiqua" w:cs="Times New Roman"/>
          <w:sz w:val="24"/>
          <w:szCs w:val="24"/>
        </w:rPr>
        <w:t xml:space="preserve">er anexo 1).  Además, se obtiene el coeficiente de determinación </w:t>
      </w:r>
      <w:r w:rsidR="00074901" w:rsidRPr="00365E42">
        <w:rPr>
          <w:rFonts w:ascii="Book Antiqua" w:hAnsi="Book Antiqua" w:cs="Times New Roman"/>
          <w:sz w:val="24"/>
          <w:szCs w:val="24"/>
        </w:rPr>
        <w:t>“</w:t>
      </w:r>
      <w:r w:rsidRPr="00365E42">
        <w:rPr>
          <w:rFonts w:ascii="Book Antiqua" w:hAnsi="Book Antiqua" w:cs="Times New Roman"/>
          <w:sz w:val="24"/>
          <w:szCs w:val="24"/>
        </w:rPr>
        <w:t xml:space="preserve">R²” (léase “erre </w:t>
      </w:r>
      <w:r w:rsidRPr="00365E42">
        <w:rPr>
          <w:rFonts w:ascii="Book Antiqua" w:hAnsi="Book Antiqua" w:cs="Times New Roman"/>
          <w:sz w:val="24"/>
          <w:szCs w:val="24"/>
        </w:rPr>
        <w:lastRenderedPageBreak/>
        <w:t>cuadrado”), com</w:t>
      </w:r>
      <w:r w:rsidR="008377C5" w:rsidRPr="00365E42">
        <w:rPr>
          <w:rFonts w:ascii="Book Antiqua" w:hAnsi="Book Antiqua" w:cs="Times New Roman"/>
          <w:sz w:val="24"/>
          <w:szCs w:val="24"/>
        </w:rPr>
        <w:t xml:space="preserve">o </w:t>
      </w:r>
      <w:r w:rsidRPr="00365E42">
        <w:rPr>
          <w:rFonts w:ascii="Book Antiqua" w:hAnsi="Book Antiqua" w:cs="Times New Roman"/>
          <w:sz w:val="24"/>
          <w:szCs w:val="24"/>
        </w:rPr>
        <w:t>estadístico</w:t>
      </w:r>
      <w:r w:rsidR="008377C5" w:rsidRPr="00365E42">
        <w:rPr>
          <w:rFonts w:ascii="Book Antiqua" w:hAnsi="Book Antiqua" w:cs="Times New Roman"/>
          <w:sz w:val="24"/>
          <w:szCs w:val="24"/>
        </w:rPr>
        <w:t xml:space="preserve"> de decisión</w:t>
      </w:r>
      <w:r w:rsidRPr="00365E42">
        <w:rPr>
          <w:rFonts w:ascii="Book Antiqua" w:hAnsi="Book Antiqua" w:cs="Times New Roman"/>
          <w:sz w:val="24"/>
          <w:szCs w:val="24"/>
        </w:rPr>
        <w:t xml:space="preserve"> para determinar cuál</w:t>
      </w:r>
      <w:r w:rsidR="008377C5"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ecuación modela </w:t>
      </w:r>
      <w:r w:rsidR="00D45DE6" w:rsidRPr="00365E42">
        <w:rPr>
          <w:rFonts w:ascii="Book Antiqua" w:hAnsi="Book Antiqua" w:cs="Times New Roman"/>
          <w:sz w:val="24"/>
          <w:szCs w:val="24"/>
        </w:rPr>
        <w:t xml:space="preserve">o ajusta </w:t>
      </w:r>
      <w:r w:rsidRPr="00365E42">
        <w:rPr>
          <w:rFonts w:ascii="Book Antiqua" w:hAnsi="Book Antiqua" w:cs="Times New Roman"/>
          <w:sz w:val="24"/>
          <w:szCs w:val="24"/>
        </w:rPr>
        <w:t xml:space="preserve">de </w:t>
      </w:r>
      <w:r w:rsidR="008377C5" w:rsidRPr="00365E42">
        <w:rPr>
          <w:rFonts w:ascii="Book Antiqua" w:hAnsi="Book Antiqua" w:cs="Times New Roman"/>
          <w:sz w:val="24"/>
          <w:szCs w:val="24"/>
        </w:rPr>
        <w:t xml:space="preserve">una </w:t>
      </w:r>
      <w:r w:rsidRPr="00365E42">
        <w:rPr>
          <w:rFonts w:ascii="Book Antiqua" w:hAnsi="Book Antiqua" w:cs="Times New Roman"/>
          <w:sz w:val="24"/>
          <w:szCs w:val="24"/>
        </w:rPr>
        <w:t xml:space="preserve">mejor manera, la serie de datos de interés.  </w:t>
      </w:r>
    </w:p>
    <w:p w14:paraId="18F00A2A" w14:textId="12FD4754" w:rsidR="002C3842" w:rsidRPr="00365E42" w:rsidRDefault="002C3842" w:rsidP="002C3842">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Es importante aclarar que el R² </w:t>
      </w:r>
      <w:r w:rsidR="00074901" w:rsidRPr="00365E42">
        <w:rPr>
          <w:rFonts w:ascii="Book Antiqua" w:hAnsi="Book Antiqua" w:cs="Times New Roman"/>
          <w:sz w:val="24"/>
          <w:szCs w:val="24"/>
        </w:rPr>
        <w:t>por sí solo, no constituye e</w:t>
      </w:r>
      <w:r w:rsidRPr="00365E42">
        <w:rPr>
          <w:rFonts w:ascii="Book Antiqua" w:hAnsi="Book Antiqua" w:cs="Times New Roman"/>
          <w:sz w:val="24"/>
          <w:szCs w:val="24"/>
        </w:rPr>
        <w:t xml:space="preserve">l único parámetro de decisión en la elección </w:t>
      </w:r>
      <w:r w:rsidR="00074901" w:rsidRPr="00365E42">
        <w:rPr>
          <w:rFonts w:ascii="Book Antiqua" w:hAnsi="Book Antiqua" w:cs="Times New Roman"/>
          <w:sz w:val="24"/>
          <w:szCs w:val="24"/>
        </w:rPr>
        <w:t xml:space="preserve">final </w:t>
      </w:r>
      <w:r w:rsidRPr="00365E42">
        <w:rPr>
          <w:rFonts w:ascii="Book Antiqua" w:hAnsi="Book Antiqua" w:cs="Times New Roman"/>
          <w:sz w:val="24"/>
          <w:szCs w:val="24"/>
        </w:rPr>
        <w:t xml:space="preserve">del modelo a utilizar, sino que, en algunos casos se aplican procesos de “suavizamiento”, mediante el criterio experto; </w:t>
      </w:r>
      <w:r w:rsidR="003625B5" w:rsidRPr="00365E42">
        <w:rPr>
          <w:rFonts w:ascii="Book Antiqua" w:hAnsi="Book Antiqua" w:cs="Times New Roman"/>
          <w:sz w:val="24"/>
          <w:szCs w:val="24"/>
        </w:rPr>
        <w:t>que permiten ajustar los resultados</w:t>
      </w:r>
      <w:r w:rsidR="00E03DE6" w:rsidRPr="00365E42">
        <w:rPr>
          <w:rFonts w:ascii="Book Antiqua" w:hAnsi="Book Antiqua" w:cs="Times New Roman"/>
          <w:sz w:val="24"/>
          <w:szCs w:val="24"/>
        </w:rPr>
        <w:t xml:space="preserve"> con el fin de </w:t>
      </w:r>
      <w:r w:rsidR="003625B5" w:rsidRPr="00365E42">
        <w:rPr>
          <w:rFonts w:ascii="Book Antiqua" w:hAnsi="Book Antiqua" w:cs="Times New Roman"/>
          <w:sz w:val="24"/>
          <w:szCs w:val="24"/>
        </w:rPr>
        <w:t>obtener una visión del panorama proyectado más realista y coherente según lo registrado como histórico.</w:t>
      </w:r>
      <w:r w:rsidRPr="00365E42">
        <w:rPr>
          <w:rFonts w:ascii="Book Antiqua" w:hAnsi="Book Antiqua" w:cs="Times New Roman"/>
          <w:sz w:val="24"/>
          <w:szCs w:val="24"/>
        </w:rPr>
        <w:t xml:space="preserve">  </w:t>
      </w:r>
    </w:p>
    <w:p w14:paraId="46658BED" w14:textId="0060A9DE" w:rsidR="00F67896" w:rsidRDefault="002C3842" w:rsidP="002C3842">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Se ha realizado un ejercicio para determinar el comportamiento de los casos entrados y terminados para el bienio 2020-2021, siendo que al utilizar el modelo de regresión mediante la función </w:t>
      </w:r>
      <w:r w:rsidRPr="00365E42">
        <w:rPr>
          <w:rFonts w:ascii="Book Antiqua" w:hAnsi="Book Antiqua" w:cs="Times New Roman"/>
          <w:b/>
          <w:bCs/>
          <w:i/>
          <w:iCs/>
          <w:sz w:val="24"/>
          <w:szCs w:val="24"/>
        </w:rPr>
        <w:t xml:space="preserve">polinómica </w:t>
      </w:r>
      <w:r w:rsidR="00483EC4" w:rsidRPr="00365E42">
        <w:rPr>
          <w:rFonts w:ascii="Book Antiqua" w:hAnsi="Book Antiqua" w:cs="Times New Roman"/>
          <w:b/>
          <w:bCs/>
          <w:i/>
          <w:iCs/>
          <w:sz w:val="24"/>
          <w:szCs w:val="24"/>
        </w:rPr>
        <w:t xml:space="preserve">de </w:t>
      </w:r>
      <w:r w:rsidRPr="00365E42">
        <w:rPr>
          <w:rFonts w:ascii="Book Antiqua" w:hAnsi="Book Antiqua" w:cs="Times New Roman"/>
          <w:b/>
          <w:bCs/>
          <w:i/>
          <w:iCs/>
          <w:sz w:val="24"/>
          <w:szCs w:val="24"/>
        </w:rPr>
        <w:t xml:space="preserve">grado </w:t>
      </w:r>
      <w:r w:rsidR="00163426" w:rsidRPr="00365E42">
        <w:rPr>
          <w:rFonts w:ascii="Book Antiqua" w:hAnsi="Book Antiqua" w:cs="Times New Roman"/>
          <w:b/>
          <w:bCs/>
          <w:i/>
          <w:iCs/>
          <w:sz w:val="24"/>
          <w:szCs w:val="24"/>
        </w:rPr>
        <w:t>3</w:t>
      </w:r>
      <w:r w:rsidRPr="00365E42">
        <w:rPr>
          <w:rFonts w:ascii="Book Antiqua" w:hAnsi="Book Antiqua" w:cs="Times New Roman"/>
          <w:sz w:val="24"/>
          <w:szCs w:val="24"/>
        </w:rPr>
        <w:t>, se</w:t>
      </w:r>
      <w:r w:rsidR="00163426" w:rsidRPr="00365E42">
        <w:rPr>
          <w:rFonts w:ascii="Book Antiqua" w:hAnsi="Book Antiqua" w:cs="Times New Roman"/>
          <w:sz w:val="24"/>
          <w:szCs w:val="24"/>
        </w:rPr>
        <w:t xml:space="preserve"> </w:t>
      </w:r>
      <w:r w:rsidRPr="00365E42">
        <w:rPr>
          <w:rFonts w:ascii="Book Antiqua" w:hAnsi="Book Antiqua" w:cs="Times New Roman"/>
          <w:sz w:val="24"/>
          <w:szCs w:val="24"/>
        </w:rPr>
        <w:t>determina:</w:t>
      </w:r>
    </w:p>
    <w:p w14:paraId="17614A9F" w14:textId="70BADA57" w:rsidR="00336A2B" w:rsidRDefault="00336A2B" w:rsidP="002C3842">
      <w:pPr>
        <w:spacing w:line="360" w:lineRule="auto"/>
        <w:jc w:val="both"/>
        <w:rPr>
          <w:rFonts w:ascii="Book Antiqua" w:hAnsi="Book Antiqua" w:cs="Times New Roman"/>
          <w:sz w:val="24"/>
          <w:szCs w:val="24"/>
        </w:rPr>
      </w:pPr>
    </w:p>
    <w:p w14:paraId="4B573A3C" w14:textId="6C61E8BC" w:rsidR="00336A2B" w:rsidRDefault="00336A2B" w:rsidP="002C3842">
      <w:pPr>
        <w:spacing w:line="360" w:lineRule="auto"/>
        <w:jc w:val="both"/>
        <w:rPr>
          <w:rFonts w:ascii="Book Antiqua" w:hAnsi="Book Antiqua" w:cs="Times New Roman"/>
          <w:sz w:val="24"/>
          <w:szCs w:val="24"/>
        </w:rPr>
      </w:pPr>
    </w:p>
    <w:p w14:paraId="032A6571" w14:textId="0C825E52" w:rsidR="00336A2B" w:rsidRDefault="00336A2B" w:rsidP="002C3842">
      <w:pPr>
        <w:spacing w:line="360" w:lineRule="auto"/>
        <w:jc w:val="both"/>
        <w:rPr>
          <w:rFonts w:ascii="Book Antiqua" w:hAnsi="Book Antiqua" w:cs="Times New Roman"/>
          <w:sz w:val="24"/>
          <w:szCs w:val="24"/>
        </w:rPr>
      </w:pPr>
    </w:p>
    <w:p w14:paraId="00692119" w14:textId="5C27741E" w:rsidR="00336A2B" w:rsidRDefault="00336A2B" w:rsidP="002C3842">
      <w:pPr>
        <w:spacing w:line="360" w:lineRule="auto"/>
        <w:jc w:val="both"/>
        <w:rPr>
          <w:rFonts w:ascii="Book Antiqua" w:hAnsi="Book Antiqua" w:cs="Times New Roman"/>
          <w:sz w:val="24"/>
          <w:szCs w:val="24"/>
        </w:rPr>
      </w:pPr>
    </w:p>
    <w:p w14:paraId="709E8EBF" w14:textId="0DD733A5" w:rsidR="00336A2B" w:rsidRDefault="00336A2B" w:rsidP="002C3842">
      <w:pPr>
        <w:spacing w:line="360" w:lineRule="auto"/>
        <w:jc w:val="both"/>
        <w:rPr>
          <w:rFonts w:ascii="Book Antiqua" w:hAnsi="Book Antiqua" w:cs="Times New Roman"/>
          <w:sz w:val="24"/>
          <w:szCs w:val="24"/>
        </w:rPr>
      </w:pPr>
    </w:p>
    <w:p w14:paraId="13E4F6F8" w14:textId="51E33A25" w:rsidR="00336A2B" w:rsidRDefault="00336A2B" w:rsidP="002C3842">
      <w:pPr>
        <w:spacing w:line="360" w:lineRule="auto"/>
        <w:jc w:val="both"/>
        <w:rPr>
          <w:rFonts w:ascii="Book Antiqua" w:hAnsi="Book Antiqua" w:cs="Times New Roman"/>
          <w:sz w:val="24"/>
          <w:szCs w:val="24"/>
        </w:rPr>
      </w:pPr>
    </w:p>
    <w:p w14:paraId="153A842C" w14:textId="00ED4097" w:rsidR="00336A2B" w:rsidRDefault="00336A2B" w:rsidP="002C3842">
      <w:pPr>
        <w:spacing w:line="360" w:lineRule="auto"/>
        <w:jc w:val="both"/>
        <w:rPr>
          <w:rFonts w:ascii="Book Antiqua" w:hAnsi="Book Antiqua" w:cs="Times New Roman"/>
          <w:sz w:val="24"/>
          <w:szCs w:val="24"/>
        </w:rPr>
      </w:pPr>
    </w:p>
    <w:p w14:paraId="28D3819A" w14:textId="551FB2E2" w:rsidR="00336A2B" w:rsidRDefault="00336A2B" w:rsidP="002C3842">
      <w:pPr>
        <w:spacing w:line="360" w:lineRule="auto"/>
        <w:jc w:val="both"/>
        <w:rPr>
          <w:rFonts w:ascii="Book Antiqua" w:hAnsi="Book Antiqua" w:cs="Times New Roman"/>
          <w:sz w:val="24"/>
          <w:szCs w:val="24"/>
        </w:rPr>
      </w:pPr>
    </w:p>
    <w:p w14:paraId="3C1E6773" w14:textId="757372C0" w:rsidR="00336A2B" w:rsidRDefault="00336A2B" w:rsidP="002C3842">
      <w:pPr>
        <w:spacing w:line="360" w:lineRule="auto"/>
        <w:jc w:val="both"/>
        <w:rPr>
          <w:rFonts w:ascii="Book Antiqua" w:hAnsi="Book Antiqua" w:cs="Times New Roman"/>
          <w:sz w:val="24"/>
          <w:szCs w:val="24"/>
        </w:rPr>
      </w:pPr>
    </w:p>
    <w:p w14:paraId="690636FE" w14:textId="2E78A93B" w:rsidR="00336A2B" w:rsidRDefault="00336A2B" w:rsidP="002C3842">
      <w:pPr>
        <w:spacing w:line="360" w:lineRule="auto"/>
        <w:jc w:val="both"/>
        <w:rPr>
          <w:rFonts w:ascii="Book Antiqua" w:hAnsi="Book Antiqua" w:cs="Times New Roman"/>
          <w:sz w:val="24"/>
          <w:szCs w:val="24"/>
        </w:rPr>
      </w:pPr>
    </w:p>
    <w:p w14:paraId="6601190B" w14:textId="532AA851" w:rsidR="00336A2B" w:rsidRDefault="00336A2B" w:rsidP="002C3842">
      <w:pPr>
        <w:spacing w:line="360" w:lineRule="auto"/>
        <w:jc w:val="both"/>
        <w:rPr>
          <w:rFonts w:ascii="Book Antiqua" w:hAnsi="Book Antiqua" w:cs="Times New Roman"/>
          <w:sz w:val="24"/>
          <w:szCs w:val="24"/>
        </w:rPr>
      </w:pPr>
    </w:p>
    <w:p w14:paraId="268805CB" w14:textId="77777777" w:rsidR="00336A2B" w:rsidRPr="00365E42" w:rsidRDefault="00336A2B" w:rsidP="002C3842">
      <w:pPr>
        <w:spacing w:line="360" w:lineRule="auto"/>
        <w:jc w:val="both"/>
        <w:rPr>
          <w:rFonts w:ascii="Book Antiqua" w:hAnsi="Book Antiqua" w:cs="Times New Roman"/>
          <w:sz w:val="24"/>
          <w:szCs w:val="24"/>
        </w:rPr>
      </w:pPr>
    </w:p>
    <w:p w14:paraId="5444D01E" w14:textId="28F4863C" w:rsidR="00B97601" w:rsidRPr="00365E42" w:rsidRDefault="00B97601" w:rsidP="00967497">
      <w:pPr>
        <w:numPr>
          <w:ilvl w:val="0"/>
          <w:numId w:val="2"/>
        </w:numPr>
        <w:autoSpaceDN w:val="0"/>
        <w:spacing w:after="0" w:line="240" w:lineRule="auto"/>
        <w:ind w:left="357" w:hanging="357"/>
        <w:rPr>
          <w:rFonts w:ascii="Book Antiqua" w:hAnsi="Book Antiqua" w:cs="Times New Roman"/>
          <w:b/>
          <w:sz w:val="24"/>
          <w:szCs w:val="24"/>
          <w:lang w:val="es-ES_tradnl"/>
        </w:rPr>
      </w:pPr>
      <w:r w:rsidRPr="00365E42">
        <w:rPr>
          <w:rFonts w:ascii="Book Antiqua" w:hAnsi="Book Antiqua" w:cs="Times New Roman"/>
          <w:b/>
          <w:sz w:val="24"/>
          <w:szCs w:val="24"/>
          <w:lang w:val="es-ES_tradnl"/>
        </w:rPr>
        <w:lastRenderedPageBreak/>
        <w:t>Casos entrados</w:t>
      </w:r>
    </w:p>
    <w:p w14:paraId="47CE78E6" w14:textId="77777777" w:rsidR="00967497" w:rsidRPr="00365E42" w:rsidRDefault="00967497" w:rsidP="00967497">
      <w:pPr>
        <w:autoSpaceDN w:val="0"/>
        <w:spacing w:after="0" w:line="240" w:lineRule="auto"/>
        <w:ind w:left="357"/>
        <w:rPr>
          <w:rFonts w:ascii="Book Antiqua" w:hAnsi="Book Antiqua" w:cs="Times New Roman"/>
          <w:b/>
          <w:sz w:val="24"/>
          <w:szCs w:val="24"/>
          <w:lang w:val="es-ES_tradnl"/>
        </w:rPr>
      </w:pPr>
    </w:p>
    <w:p w14:paraId="6EF10056" w14:textId="47F72E5F" w:rsidR="00B97601" w:rsidRPr="00365E42" w:rsidRDefault="00B97601" w:rsidP="00B97601">
      <w:pPr>
        <w:spacing w:line="360" w:lineRule="auto"/>
        <w:jc w:val="both"/>
        <w:rPr>
          <w:rFonts w:ascii="Book Antiqua" w:hAnsi="Book Antiqua" w:cs="Times New Roman"/>
          <w:sz w:val="24"/>
          <w:szCs w:val="24"/>
          <w:lang w:val="es-ES_tradnl"/>
        </w:rPr>
      </w:pPr>
      <w:r w:rsidRPr="00365E42">
        <w:rPr>
          <w:rFonts w:ascii="Book Antiqua" w:hAnsi="Book Antiqua" w:cs="Times New Roman"/>
          <w:sz w:val="24"/>
          <w:szCs w:val="24"/>
          <w:lang w:val="es-ES_tradnl"/>
        </w:rPr>
        <w:t xml:space="preserve">Al utilizar la regresión mencionada, se tiene una proyección para los casos entrados de </w:t>
      </w:r>
      <w:r w:rsidR="00483EC4" w:rsidRPr="00365E42">
        <w:rPr>
          <w:rFonts w:ascii="Book Antiqua" w:hAnsi="Book Antiqua" w:cs="Times New Roman"/>
          <w:sz w:val="24"/>
          <w:szCs w:val="24"/>
          <w:lang w:val="es-ES_tradnl"/>
        </w:rPr>
        <w:t>219.712</w:t>
      </w:r>
      <w:r w:rsidRPr="00365E42">
        <w:rPr>
          <w:rFonts w:ascii="Book Antiqua" w:hAnsi="Book Antiqua" w:cs="Times New Roman"/>
          <w:sz w:val="24"/>
          <w:szCs w:val="24"/>
          <w:lang w:val="es-ES_tradnl"/>
        </w:rPr>
        <w:t xml:space="preserve"> en el 20</w:t>
      </w:r>
      <w:r w:rsidR="00483EC4" w:rsidRPr="00365E42">
        <w:rPr>
          <w:rFonts w:ascii="Book Antiqua" w:hAnsi="Book Antiqua" w:cs="Times New Roman"/>
          <w:sz w:val="24"/>
          <w:szCs w:val="24"/>
          <w:lang w:val="es-ES_tradnl"/>
        </w:rPr>
        <w:t>20</w:t>
      </w:r>
      <w:r w:rsidRPr="00365E42">
        <w:rPr>
          <w:rFonts w:ascii="Book Antiqua" w:hAnsi="Book Antiqua" w:cs="Times New Roman"/>
          <w:sz w:val="24"/>
          <w:szCs w:val="24"/>
          <w:lang w:val="es-ES_tradnl"/>
        </w:rPr>
        <w:t xml:space="preserve"> y de </w:t>
      </w:r>
      <w:r w:rsidR="00483EC4" w:rsidRPr="00365E42">
        <w:rPr>
          <w:rFonts w:ascii="Book Antiqua" w:hAnsi="Book Antiqua" w:cs="Times New Roman"/>
          <w:sz w:val="24"/>
          <w:szCs w:val="24"/>
          <w:lang w:val="es-ES_tradnl"/>
        </w:rPr>
        <w:t>233</w:t>
      </w:r>
      <w:r w:rsidRPr="00365E42">
        <w:rPr>
          <w:rFonts w:ascii="Book Antiqua" w:hAnsi="Book Antiqua" w:cs="Times New Roman"/>
          <w:sz w:val="24"/>
          <w:szCs w:val="24"/>
          <w:lang w:val="es-ES_tradnl"/>
        </w:rPr>
        <w:t>.</w:t>
      </w:r>
      <w:r w:rsidR="00483EC4" w:rsidRPr="00365E42">
        <w:rPr>
          <w:rFonts w:ascii="Book Antiqua" w:hAnsi="Book Antiqua" w:cs="Times New Roman"/>
          <w:sz w:val="24"/>
          <w:szCs w:val="24"/>
          <w:lang w:val="es-ES_tradnl"/>
        </w:rPr>
        <w:t>916 para el 2021, como se muestra a continuación</w:t>
      </w:r>
      <w:r w:rsidR="00336A2B">
        <w:rPr>
          <w:rFonts w:ascii="Book Antiqua" w:hAnsi="Book Antiqua" w:cs="Times New Roman"/>
          <w:sz w:val="24"/>
          <w:szCs w:val="24"/>
          <w:lang w:val="es-ES_tradnl"/>
        </w:rPr>
        <w:t>:</w:t>
      </w: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2127"/>
        <w:gridCol w:w="6848"/>
      </w:tblGrid>
      <w:tr w:rsidR="00B97601" w:rsidRPr="00365E42" w14:paraId="75209A8A" w14:textId="77777777" w:rsidTr="00CF4142">
        <w:tc>
          <w:tcPr>
            <w:tcW w:w="2127" w:type="dxa"/>
          </w:tcPr>
          <w:tbl>
            <w:tblPr>
              <w:tblpPr w:leftFromText="141" w:rightFromText="141" w:vertAnchor="text" w:horzAnchor="margin" w:tblpXSpec="center" w:tblpY="52"/>
              <w:tblOverlap w:val="never"/>
              <w:tblW w:w="1985" w:type="dxa"/>
              <w:tblLayout w:type="fixed"/>
              <w:tblLook w:val="04A0" w:firstRow="1" w:lastRow="0" w:firstColumn="1" w:lastColumn="0" w:noHBand="0" w:noVBand="1"/>
            </w:tblPr>
            <w:tblGrid>
              <w:gridCol w:w="851"/>
              <w:gridCol w:w="1134"/>
            </w:tblGrid>
            <w:tr w:rsidR="00B97601" w:rsidRPr="00365E42" w14:paraId="6287DD71" w14:textId="77777777" w:rsidTr="00B50F85">
              <w:tc>
                <w:tcPr>
                  <w:tcW w:w="851" w:type="dxa"/>
                  <w:tcBorders>
                    <w:top w:val="nil"/>
                    <w:left w:val="nil"/>
                    <w:bottom w:val="single" w:sz="4" w:space="0" w:color="auto"/>
                    <w:right w:val="nil"/>
                  </w:tcBorders>
                  <w:hideMark/>
                </w:tcPr>
                <w:p w14:paraId="4AE9F762" w14:textId="77777777" w:rsidR="00B97601" w:rsidRPr="00365E42" w:rsidRDefault="00B97601" w:rsidP="00B97601">
                  <w:pPr>
                    <w:jc w:val="center"/>
                    <w:rPr>
                      <w:rFonts w:ascii="Book Antiqua" w:hAnsi="Book Antiqua" w:cs="Times New Roman"/>
                      <w:b/>
                      <w:lang w:val="es-ES_tradnl"/>
                    </w:rPr>
                  </w:pPr>
                  <w:r w:rsidRPr="00365E42">
                    <w:rPr>
                      <w:rFonts w:ascii="Book Antiqua" w:hAnsi="Book Antiqua" w:cs="Times New Roman"/>
                      <w:b/>
                      <w:lang w:val="es-ES_tradnl"/>
                    </w:rPr>
                    <w:t>Año</w:t>
                  </w:r>
                </w:p>
              </w:tc>
              <w:tc>
                <w:tcPr>
                  <w:tcW w:w="1134" w:type="dxa"/>
                  <w:tcBorders>
                    <w:top w:val="nil"/>
                    <w:left w:val="nil"/>
                    <w:bottom w:val="single" w:sz="4" w:space="0" w:color="auto"/>
                    <w:right w:val="nil"/>
                  </w:tcBorders>
                  <w:hideMark/>
                </w:tcPr>
                <w:p w14:paraId="0CC451EE" w14:textId="77777777" w:rsidR="00B97601" w:rsidRPr="00365E42" w:rsidRDefault="00B97601" w:rsidP="00B97601">
                  <w:pPr>
                    <w:jc w:val="center"/>
                    <w:rPr>
                      <w:rFonts w:ascii="Book Antiqua" w:hAnsi="Book Antiqua" w:cs="Times New Roman"/>
                      <w:b/>
                      <w:lang w:val="es-ES_tradnl"/>
                    </w:rPr>
                  </w:pPr>
                  <w:r w:rsidRPr="00365E42">
                    <w:rPr>
                      <w:rFonts w:ascii="Book Antiqua" w:hAnsi="Book Antiqua" w:cs="Times New Roman"/>
                      <w:b/>
                      <w:lang w:val="es-ES_tradnl"/>
                    </w:rPr>
                    <w:t>Entrados</w:t>
                  </w:r>
                </w:p>
              </w:tc>
            </w:tr>
            <w:tr w:rsidR="00B97601" w:rsidRPr="00365E42" w14:paraId="0BD11460" w14:textId="77777777" w:rsidTr="00B50F85">
              <w:tc>
                <w:tcPr>
                  <w:tcW w:w="851" w:type="dxa"/>
                  <w:hideMark/>
                </w:tcPr>
                <w:p w14:paraId="11472AEB"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2013</w:t>
                  </w:r>
                </w:p>
              </w:tc>
              <w:tc>
                <w:tcPr>
                  <w:tcW w:w="1134" w:type="dxa"/>
                  <w:hideMark/>
                </w:tcPr>
                <w:p w14:paraId="72463E4D"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173.448</w:t>
                  </w:r>
                </w:p>
              </w:tc>
            </w:tr>
            <w:tr w:rsidR="00B97601" w:rsidRPr="00365E42" w14:paraId="7DF4A9DF" w14:textId="77777777" w:rsidTr="00B50F85">
              <w:tc>
                <w:tcPr>
                  <w:tcW w:w="851" w:type="dxa"/>
                  <w:hideMark/>
                </w:tcPr>
                <w:p w14:paraId="6F0758DA"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2014</w:t>
                  </w:r>
                </w:p>
              </w:tc>
              <w:tc>
                <w:tcPr>
                  <w:tcW w:w="1134" w:type="dxa"/>
                  <w:hideMark/>
                </w:tcPr>
                <w:p w14:paraId="07E882F5"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182.993</w:t>
                  </w:r>
                </w:p>
              </w:tc>
            </w:tr>
            <w:tr w:rsidR="00B97601" w:rsidRPr="00365E42" w14:paraId="2F51D858" w14:textId="77777777" w:rsidTr="00B50F85">
              <w:tc>
                <w:tcPr>
                  <w:tcW w:w="851" w:type="dxa"/>
                  <w:hideMark/>
                </w:tcPr>
                <w:p w14:paraId="2E25CB0C"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2015</w:t>
                  </w:r>
                </w:p>
              </w:tc>
              <w:tc>
                <w:tcPr>
                  <w:tcW w:w="1134" w:type="dxa"/>
                  <w:hideMark/>
                </w:tcPr>
                <w:p w14:paraId="7AEB48B9"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170.069</w:t>
                  </w:r>
                </w:p>
              </w:tc>
            </w:tr>
            <w:tr w:rsidR="00B97601" w:rsidRPr="00365E42" w14:paraId="3DE6960C" w14:textId="77777777" w:rsidTr="00B50F85">
              <w:tc>
                <w:tcPr>
                  <w:tcW w:w="851" w:type="dxa"/>
                  <w:hideMark/>
                </w:tcPr>
                <w:p w14:paraId="71E57A9D"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2016</w:t>
                  </w:r>
                </w:p>
              </w:tc>
              <w:tc>
                <w:tcPr>
                  <w:tcW w:w="1134" w:type="dxa"/>
                  <w:hideMark/>
                </w:tcPr>
                <w:p w14:paraId="0B9DC04A"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167.252</w:t>
                  </w:r>
                </w:p>
              </w:tc>
            </w:tr>
            <w:tr w:rsidR="00B97601" w:rsidRPr="00365E42" w14:paraId="041AAF08" w14:textId="77777777" w:rsidTr="00B50F85">
              <w:tc>
                <w:tcPr>
                  <w:tcW w:w="851" w:type="dxa"/>
                  <w:hideMark/>
                </w:tcPr>
                <w:p w14:paraId="521728EB"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2017</w:t>
                  </w:r>
                </w:p>
              </w:tc>
              <w:tc>
                <w:tcPr>
                  <w:tcW w:w="1134" w:type="dxa"/>
                  <w:hideMark/>
                </w:tcPr>
                <w:p w14:paraId="5D89A20D"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171.773</w:t>
                  </w:r>
                </w:p>
              </w:tc>
            </w:tr>
            <w:tr w:rsidR="00B97601" w:rsidRPr="00365E42" w14:paraId="3A326353" w14:textId="77777777" w:rsidTr="00B50F85">
              <w:tc>
                <w:tcPr>
                  <w:tcW w:w="851" w:type="dxa"/>
                  <w:hideMark/>
                </w:tcPr>
                <w:p w14:paraId="0EB98560"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2018</w:t>
                  </w:r>
                </w:p>
              </w:tc>
              <w:tc>
                <w:tcPr>
                  <w:tcW w:w="1134" w:type="dxa"/>
                  <w:hideMark/>
                </w:tcPr>
                <w:p w14:paraId="7E3E6194" w14:textId="77777777"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185.171</w:t>
                  </w:r>
                </w:p>
              </w:tc>
            </w:tr>
            <w:tr w:rsidR="00B50F85" w:rsidRPr="00365E42" w14:paraId="450187A7" w14:textId="77777777" w:rsidTr="00B50F85">
              <w:tc>
                <w:tcPr>
                  <w:tcW w:w="851" w:type="dxa"/>
                  <w:hideMark/>
                </w:tcPr>
                <w:p w14:paraId="3A194B08" w14:textId="77777777"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lang w:val="es-ES_tradnl"/>
                    </w:rPr>
                    <w:t>2019</w:t>
                  </w:r>
                </w:p>
              </w:tc>
              <w:tc>
                <w:tcPr>
                  <w:tcW w:w="1134" w:type="dxa"/>
                  <w:hideMark/>
                </w:tcPr>
                <w:p w14:paraId="7760509D" w14:textId="6C1F5CF9" w:rsidR="00B97601" w:rsidRPr="00365E42" w:rsidRDefault="00B97601" w:rsidP="00B97601">
                  <w:pPr>
                    <w:jc w:val="center"/>
                    <w:rPr>
                      <w:rFonts w:ascii="Book Antiqua" w:hAnsi="Book Antiqua" w:cs="Times New Roman"/>
                      <w:lang w:val="es-ES_tradnl"/>
                    </w:rPr>
                  </w:pPr>
                  <w:r w:rsidRPr="00365E42">
                    <w:rPr>
                      <w:rFonts w:ascii="Book Antiqua" w:hAnsi="Book Antiqua" w:cs="Times New Roman"/>
                      <w:lang w:val="es-ES_tradnl"/>
                    </w:rPr>
                    <w:t>210.337</w:t>
                  </w:r>
                </w:p>
              </w:tc>
            </w:tr>
            <w:tr w:rsidR="00B50F85" w:rsidRPr="00365E42" w14:paraId="30E91782" w14:textId="77777777" w:rsidTr="00B50F85">
              <w:tc>
                <w:tcPr>
                  <w:tcW w:w="851" w:type="dxa"/>
                  <w:tcBorders>
                    <w:top w:val="nil"/>
                    <w:left w:val="nil"/>
                    <w:right w:val="nil"/>
                  </w:tcBorders>
                  <w:hideMark/>
                </w:tcPr>
                <w:p w14:paraId="66BDEBCE" w14:textId="1317F94A" w:rsidR="00B97601" w:rsidRPr="00365E42" w:rsidRDefault="00B97601" w:rsidP="00B97601">
                  <w:pPr>
                    <w:jc w:val="both"/>
                    <w:rPr>
                      <w:rFonts w:ascii="Book Antiqua" w:hAnsi="Book Antiqua" w:cs="Times New Roman"/>
                      <w:b/>
                      <w:bCs/>
                      <w:i/>
                      <w:iCs/>
                      <w:color w:val="FF0000"/>
                      <w:lang w:val="es-ES_tradnl"/>
                    </w:rPr>
                  </w:pPr>
                  <w:r w:rsidRPr="00365E42">
                    <w:rPr>
                      <w:rFonts w:ascii="Book Antiqua" w:hAnsi="Book Antiqua" w:cs="Times New Roman"/>
                      <w:b/>
                      <w:bCs/>
                      <w:i/>
                      <w:iCs/>
                      <w:color w:val="FF0000"/>
                      <w:lang w:val="es-ES_tradnl"/>
                    </w:rPr>
                    <w:t>2020</w:t>
                  </w:r>
                  <w:r w:rsidRPr="00365E42">
                    <w:rPr>
                      <w:rFonts w:ascii="Book Antiqua" w:hAnsi="Book Antiqua" w:cs="Times New Roman"/>
                      <w:b/>
                      <w:bCs/>
                      <w:i/>
                      <w:iCs/>
                      <w:color w:val="FF0000"/>
                      <w:vertAlign w:val="superscript"/>
                      <w:lang w:val="es-ES_tradnl"/>
                    </w:rPr>
                    <w:t>a/</w:t>
                  </w:r>
                </w:p>
              </w:tc>
              <w:tc>
                <w:tcPr>
                  <w:tcW w:w="1134" w:type="dxa"/>
                  <w:tcBorders>
                    <w:top w:val="nil"/>
                    <w:left w:val="nil"/>
                    <w:right w:val="nil"/>
                  </w:tcBorders>
                  <w:hideMark/>
                </w:tcPr>
                <w:p w14:paraId="1F0C2B62" w14:textId="747E9221" w:rsidR="00B97601" w:rsidRPr="00365E42" w:rsidRDefault="00B97601" w:rsidP="00B97601">
                  <w:pPr>
                    <w:jc w:val="center"/>
                    <w:rPr>
                      <w:rFonts w:ascii="Book Antiqua" w:hAnsi="Book Antiqua" w:cs="Times New Roman"/>
                      <w:b/>
                      <w:bCs/>
                      <w:i/>
                      <w:iCs/>
                      <w:color w:val="FF0000"/>
                      <w:lang w:val="es-ES_tradnl"/>
                    </w:rPr>
                  </w:pPr>
                  <w:r w:rsidRPr="00365E42">
                    <w:rPr>
                      <w:rFonts w:ascii="Book Antiqua" w:hAnsi="Book Antiqua" w:cs="Times New Roman"/>
                      <w:b/>
                      <w:bCs/>
                      <w:i/>
                      <w:iCs/>
                      <w:color w:val="FF0000"/>
                      <w:lang w:val="es-ES_tradnl"/>
                    </w:rPr>
                    <w:t>219.712</w:t>
                  </w:r>
                </w:p>
              </w:tc>
            </w:tr>
            <w:tr w:rsidR="00B97601" w:rsidRPr="00365E42" w14:paraId="2A17800F" w14:textId="77777777" w:rsidTr="00B50F85">
              <w:tc>
                <w:tcPr>
                  <w:tcW w:w="851" w:type="dxa"/>
                  <w:tcBorders>
                    <w:left w:val="nil"/>
                    <w:bottom w:val="single" w:sz="4" w:space="0" w:color="auto"/>
                    <w:right w:val="nil"/>
                  </w:tcBorders>
                </w:tcPr>
                <w:p w14:paraId="7937A5F2" w14:textId="77777777" w:rsidR="00B97601" w:rsidRPr="00365E42" w:rsidRDefault="00B97601" w:rsidP="00B97601">
                  <w:pPr>
                    <w:jc w:val="both"/>
                    <w:rPr>
                      <w:rFonts w:ascii="Book Antiqua" w:hAnsi="Book Antiqua" w:cs="Times New Roman"/>
                      <w:b/>
                      <w:bCs/>
                      <w:i/>
                      <w:iCs/>
                      <w:color w:val="FF0000"/>
                      <w:lang w:val="es-ES_tradnl"/>
                    </w:rPr>
                  </w:pPr>
                  <w:r w:rsidRPr="00365E42">
                    <w:rPr>
                      <w:rFonts w:ascii="Book Antiqua" w:hAnsi="Book Antiqua" w:cs="Times New Roman"/>
                      <w:b/>
                      <w:bCs/>
                      <w:i/>
                      <w:iCs/>
                      <w:color w:val="FF0000"/>
                      <w:lang w:val="es-ES_tradnl"/>
                    </w:rPr>
                    <w:t>2021</w:t>
                  </w:r>
                  <w:r w:rsidRPr="00365E42">
                    <w:rPr>
                      <w:rFonts w:ascii="Book Antiqua" w:hAnsi="Book Antiqua" w:cs="Times New Roman"/>
                      <w:b/>
                      <w:bCs/>
                      <w:i/>
                      <w:iCs/>
                      <w:color w:val="FF0000"/>
                      <w:vertAlign w:val="superscript"/>
                      <w:lang w:val="es-ES_tradnl"/>
                    </w:rPr>
                    <w:t>a/</w:t>
                  </w:r>
                </w:p>
              </w:tc>
              <w:tc>
                <w:tcPr>
                  <w:tcW w:w="1134" w:type="dxa"/>
                  <w:tcBorders>
                    <w:left w:val="nil"/>
                    <w:bottom w:val="single" w:sz="4" w:space="0" w:color="auto"/>
                    <w:right w:val="nil"/>
                  </w:tcBorders>
                </w:tcPr>
                <w:p w14:paraId="66E63F4E" w14:textId="5177269F" w:rsidR="00B97601" w:rsidRPr="00365E42" w:rsidRDefault="00B97601" w:rsidP="00B97601">
                  <w:pPr>
                    <w:jc w:val="center"/>
                    <w:rPr>
                      <w:rFonts w:ascii="Book Antiqua" w:hAnsi="Book Antiqua" w:cs="Times New Roman"/>
                      <w:b/>
                      <w:bCs/>
                      <w:i/>
                      <w:iCs/>
                      <w:color w:val="FF0000"/>
                      <w:lang w:val="es-ES_tradnl"/>
                    </w:rPr>
                  </w:pPr>
                  <w:r w:rsidRPr="00365E42">
                    <w:rPr>
                      <w:rFonts w:ascii="Book Antiqua" w:hAnsi="Book Antiqua" w:cs="Times New Roman"/>
                      <w:b/>
                      <w:bCs/>
                      <w:i/>
                      <w:iCs/>
                      <w:color w:val="FF0000"/>
                      <w:lang w:val="es-ES_tradnl"/>
                    </w:rPr>
                    <w:t>233.916</w:t>
                  </w:r>
                </w:p>
              </w:tc>
            </w:tr>
            <w:tr w:rsidR="00B97601" w:rsidRPr="00365E42" w14:paraId="10B6BAA8" w14:textId="77777777" w:rsidTr="00B50F85">
              <w:tc>
                <w:tcPr>
                  <w:tcW w:w="1985" w:type="dxa"/>
                  <w:gridSpan w:val="2"/>
                  <w:tcBorders>
                    <w:top w:val="single" w:sz="4" w:space="0" w:color="auto"/>
                    <w:left w:val="nil"/>
                    <w:bottom w:val="nil"/>
                    <w:right w:val="nil"/>
                  </w:tcBorders>
                  <w:hideMark/>
                </w:tcPr>
                <w:p w14:paraId="6298886D" w14:textId="05226245" w:rsidR="00B97601" w:rsidRPr="00365E42" w:rsidRDefault="00B97601" w:rsidP="00B97601">
                  <w:pPr>
                    <w:jc w:val="both"/>
                    <w:rPr>
                      <w:rFonts w:ascii="Book Antiqua" w:hAnsi="Book Antiqua" w:cs="Times New Roman"/>
                      <w:lang w:val="es-ES_tradnl"/>
                    </w:rPr>
                  </w:pPr>
                  <w:r w:rsidRPr="00365E42">
                    <w:rPr>
                      <w:rFonts w:ascii="Book Antiqua" w:hAnsi="Book Antiqua" w:cs="Times New Roman"/>
                      <w:sz w:val="18"/>
                      <w:szCs w:val="18"/>
                      <w:lang w:val="es-ES_tradnl"/>
                    </w:rPr>
                    <w:t>a/</w:t>
                  </w:r>
                  <w:r w:rsidR="00B50F85" w:rsidRPr="00365E42">
                    <w:rPr>
                      <w:rFonts w:ascii="Book Antiqua" w:hAnsi="Book Antiqua" w:cs="Times New Roman"/>
                      <w:sz w:val="18"/>
                      <w:szCs w:val="18"/>
                      <w:lang w:val="es-ES_tradnl"/>
                    </w:rPr>
                    <w:t xml:space="preserve"> </w:t>
                  </w:r>
                  <w:r w:rsidRPr="00365E42">
                    <w:rPr>
                      <w:rFonts w:ascii="Book Antiqua" w:hAnsi="Book Antiqua" w:cs="Times New Roman"/>
                      <w:sz w:val="18"/>
                      <w:szCs w:val="18"/>
                      <w:lang w:val="es-ES_tradnl"/>
                    </w:rPr>
                    <w:t>Datos proyectados</w:t>
                  </w:r>
                </w:p>
              </w:tc>
            </w:tr>
          </w:tbl>
          <w:p w14:paraId="57B0B991" w14:textId="77777777" w:rsidR="00B97601" w:rsidRPr="00365E42" w:rsidRDefault="00B97601" w:rsidP="00B97601">
            <w:pPr>
              <w:spacing w:line="360" w:lineRule="auto"/>
              <w:jc w:val="both"/>
              <w:rPr>
                <w:rFonts w:ascii="Book Antiqua" w:hAnsi="Book Antiqua" w:cs="Times New Roman"/>
                <w:lang w:val="es-ES_tradnl"/>
              </w:rPr>
            </w:pPr>
          </w:p>
        </w:tc>
        <w:tc>
          <w:tcPr>
            <w:tcW w:w="6848" w:type="dxa"/>
          </w:tcPr>
          <w:p w14:paraId="31CBDE6C" w14:textId="44782362" w:rsidR="00B97601" w:rsidRPr="00365E42" w:rsidRDefault="00B97601" w:rsidP="00B97601">
            <w:pPr>
              <w:spacing w:line="360" w:lineRule="auto"/>
              <w:jc w:val="both"/>
              <w:rPr>
                <w:rFonts w:ascii="Book Antiqua" w:hAnsi="Book Antiqua" w:cs="Times New Roman"/>
                <w:lang w:val="es-ES_tradnl"/>
              </w:rPr>
            </w:pPr>
            <w:r w:rsidRPr="00365E42">
              <w:rPr>
                <w:rFonts w:ascii="Book Antiqua" w:hAnsi="Book Antiqua"/>
                <w:noProof/>
              </w:rPr>
              <w:drawing>
                <wp:inline distT="0" distB="0" distL="0" distR="0" wp14:anchorId="4FF24576" wp14:editId="579BB788">
                  <wp:extent cx="4305300" cy="2940050"/>
                  <wp:effectExtent l="0" t="0" r="0" b="12700"/>
                  <wp:docPr id="10" name="Gráfico 10">
                    <a:extLst xmlns:a="http://schemas.openxmlformats.org/drawingml/2006/main">
                      <a:ext uri="{FF2B5EF4-FFF2-40B4-BE49-F238E27FC236}">
                        <a16:creationId xmlns:a16="http://schemas.microsoft.com/office/drawing/2014/main" id="{9528BFE9-3574-41CC-9207-29EE281EC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3D9ED70D" w14:textId="77777777" w:rsidR="00F96456" w:rsidRPr="00365E42" w:rsidRDefault="00F96456" w:rsidP="00DD5868">
      <w:pPr>
        <w:spacing w:line="360" w:lineRule="auto"/>
        <w:rPr>
          <w:rFonts w:ascii="Book Antiqua" w:hAnsi="Book Antiqua" w:cs="Times New Roman"/>
          <w:sz w:val="24"/>
          <w:szCs w:val="24"/>
          <w:lang w:val="es-ES_tradnl" w:eastAsia="es-ES"/>
        </w:rPr>
      </w:pPr>
    </w:p>
    <w:p w14:paraId="4256C60A" w14:textId="74AF6833" w:rsidR="00DE01BF" w:rsidRDefault="00483EC4" w:rsidP="00F96456">
      <w:pPr>
        <w:spacing w:line="360" w:lineRule="auto"/>
        <w:jc w:val="both"/>
        <w:rPr>
          <w:rFonts w:ascii="Book Antiqua" w:hAnsi="Book Antiqua" w:cs="Times New Roman"/>
          <w:sz w:val="24"/>
          <w:szCs w:val="24"/>
        </w:rPr>
      </w:pPr>
      <w:r w:rsidRPr="00365E42">
        <w:rPr>
          <w:rFonts w:ascii="Book Antiqua" w:hAnsi="Book Antiqua" w:cs="Times New Roman"/>
          <w:sz w:val="24"/>
          <w:szCs w:val="24"/>
          <w:lang w:val="es-ES_tradnl" w:eastAsia="es-ES"/>
        </w:rPr>
        <w:t xml:space="preserve">Cabe destacar que la obtención de un </w:t>
      </w:r>
      <w:r w:rsidRPr="00365E42">
        <w:rPr>
          <w:rFonts w:ascii="Book Antiqua" w:hAnsi="Book Antiqua" w:cs="Times New Roman"/>
          <w:sz w:val="24"/>
          <w:szCs w:val="24"/>
        </w:rPr>
        <w:t xml:space="preserve">R² de 0,79 se considera como aceptable en cuanto al ajuste que </w:t>
      </w:r>
      <w:r w:rsidR="004C1EE3" w:rsidRPr="00365E42">
        <w:rPr>
          <w:rFonts w:ascii="Book Antiqua" w:hAnsi="Book Antiqua" w:cs="Times New Roman"/>
          <w:sz w:val="24"/>
          <w:szCs w:val="24"/>
        </w:rPr>
        <w:t>está</w:t>
      </w:r>
      <w:r w:rsidRPr="00365E42">
        <w:rPr>
          <w:rFonts w:ascii="Book Antiqua" w:hAnsi="Book Antiqua" w:cs="Times New Roman"/>
          <w:sz w:val="24"/>
          <w:szCs w:val="24"/>
        </w:rPr>
        <w:t xml:space="preserve"> realizando el método de proyección utilizado </w:t>
      </w:r>
      <w:r w:rsidR="007C594C" w:rsidRPr="00365E42">
        <w:rPr>
          <w:rFonts w:ascii="Book Antiqua" w:hAnsi="Book Antiqua" w:cs="Times New Roman"/>
          <w:sz w:val="24"/>
          <w:szCs w:val="24"/>
        </w:rPr>
        <w:t>en</w:t>
      </w:r>
      <w:r w:rsidRPr="00365E42">
        <w:rPr>
          <w:rFonts w:ascii="Book Antiqua" w:hAnsi="Book Antiqua" w:cs="Times New Roman"/>
          <w:sz w:val="24"/>
          <w:szCs w:val="24"/>
        </w:rPr>
        <w:t xml:space="preserve"> los datos abordados.</w:t>
      </w:r>
      <w:r w:rsidR="007C594C" w:rsidRPr="00365E42">
        <w:rPr>
          <w:rFonts w:ascii="Book Antiqua" w:hAnsi="Book Antiqua" w:cs="Times New Roman"/>
          <w:sz w:val="24"/>
          <w:szCs w:val="24"/>
        </w:rPr>
        <w:t xml:space="preserve"> Así mismo, y como queda en evidencia mediante el Gráfico 7, el histórico de análisis toma </w:t>
      </w:r>
      <w:r w:rsidR="00F96456" w:rsidRPr="00365E42">
        <w:rPr>
          <w:rFonts w:ascii="Book Antiqua" w:hAnsi="Book Antiqua" w:cs="Times New Roman"/>
          <w:sz w:val="24"/>
          <w:szCs w:val="24"/>
        </w:rPr>
        <w:t xml:space="preserve">los periodos </w:t>
      </w:r>
      <w:r w:rsidR="007C594C" w:rsidRPr="00365E42">
        <w:rPr>
          <w:rFonts w:ascii="Book Antiqua" w:hAnsi="Book Antiqua" w:cs="Times New Roman"/>
          <w:sz w:val="24"/>
          <w:szCs w:val="24"/>
        </w:rPr>
        <w:t xml:space="preserve">desde el año 2010, es decir, un total de 10 periodos. </w:t>
      </w:r>
    </w:p>
    <w:p w14:paraId="083D6BE9" w14:textId="4B52F278" w:rsidR="00336A2B" w:rsidRDefault="00336A2B" w:rsidP="00F96456">
      <w:pPr>
        <w:spacing w:line="360" w:lineRule="auto"/>
        <w:jc w:val="both"/>
        <w:rPr>
          <w:rFonts w:ascii="Book Antiqua" w:hAnsi="Book Antiqua" w:cs="Times New Roman"/>
          <w:sz w:val="24"/>
          <w:szCs w:val="24"/>
        </w:rPr>
      </w:pPr>
    </w:p>
    <w:p w14:paraId="482CC880" w14:textId="7914A758" w:rsidR="00336A2B" w:rsidRDefault="00336A2B" w:rsidP="00F96456">
      <w:pPr>
        <w:spacing w:line="360" w:lineRule="auto"/>
        <w:jc w:val="both"/>
        <w:rPr>
          <w:rFonts w:ascii="Book Antiqua" w:hAnsi="Book Antiqua" w:cs="Times New Roman"/>
          <w:sz w:val="24"/>
          <w:szCs w:val="24"/>
        </w:rPr>
      </w:pPr>
    </w:p>
    <w:p w14:paraId="2864DACC" w14:textId="402A9974" w:rsidR="00336A2B" w:rsidRDefault="00336A2B" w:rsidP="00F96456">
      <w:pPr>
        <w:spacing w:line="360" w:lineRule="auto"/>
        <w:jc w:val="both"/>
        <w:rPr>
          <w:rFonts w:ascii="Book Antiqua" w:hAnsi="Book Antiqua" w:cs="Times New Roman"/>
          <w:sz w:val="24"/>
          <w:szCs w:val="24"/>
        </w:rPr>
      </w:pPr>
    </w:p>
    <w:p w14:paraId="3D4DCCB6" w14:textId="6CB32639" w:rsidR="00336A2B" w:rsidRDefault="00336A2B" w:rsidP="00F96456">
      <w:pPr>
        <w:spacing w:line="360" w:lineRule="auto"/>
        <w:jc w:val="both"/>
        <w:rPr>
          <w:rFonts w:ascii="Book Antiqua" w:hAnsi="Book Antiqua" w:cs="Times New Roman"/>
          <w:sz w:val="24"/>
          <w:szCs w:val="24"/>
        </w:rPr>
      </w:pPr>
    </w:p>
    <w:p w14:paraId="2FCE5D2E" w14:textId="77777777" w:rsidR="00336A2B" w:rsidRPr="00365E42" w:rsidRDefault="00336A2B" w:rsidP="00F96456">
      <w:pPr>
        <w:spacing w:line="360" w:lineRule="auto"/>
        <w:jc w:val="both"/>
        <w:rPr>
          <w:rFonts w:ascii="Book Antiqua" w:hAnsi="Book Antiqua" w:cs="Times New Roman"/>
          <w:sz w:val="24"/>
          <w:szCs w:val="24"/>
        </w:rPr>
      </w:pPr>
    </w:p>
    <w:p w14:paraId="3152E703" w14:textId="77777777" w:rsidR="00516603" w:rsidRPr="00365E42" w:rsidRDefault="00B97601" w:rsidP="00516603">
      <w:pPr>
        <w:numPr>
          <w:ilvl w:val="0"/>
          <w:numId w:val="2"/>
        </w:numPr>
        <w:autoSpaceDN w:val="0"/>
        <w:spacing w:after="0" w:line="360" w:lineRule="auto"/>
        <w:ind w:left="357" w:hanging="357"/>
        <w:rPr>
          <w:rFonts w:ascii="Book Antiqua" w:hAnsi="Book Antiqua" w:cs="Times New Roman"/>
          <w:b/>
          <w:sz w:val="24"/>
          <w:szCs w:val="24"/>
          <w:lang w:val="es-ES_tradnl"/>
        </w:rPr>
      </w:pPr>
      <w:r w:rsidRPr="00365E42">
        <w:rPr>
          <w:rFonts w:ascii="Book Antiqua" w:hAnsi="Book Antiqua" w:cs="Times New Roman"/>
          <w:b/>
          <w:sz w:val="24"/>
          <w:szCs w:val="24"/>
          <w:lang w:val="es-ES_tradnl"/>
        </w:rPr>
        <w:lastRenderedPageBreak/>
        <w:t>Casos terminados</w:t>
      </w:r>
    </w:p>
    <w:p w14:paraId="6943ADA7" w14:textId="7F00BC46" w:rsidR="00CF4142" w:rsidRDefault="00B97601" w:rsidP="00564076">
      <w:pPr>
        <w:autoSpaceDN w:val="0"/>
        <w:spacing w:after="0" w:line="360" w:lineRule="auto"/>
        <w:jc w:val="both"/>
        <w:rPr>
          <w:rFonts w:ascii="Book Antiqua" w:hAnsi="Book Antiqua" w:cs="Times New Roman"/>
          <w:sz w:val="24"/>
          <w:szCs w:val="24"/>
          <w:lang w:val="es-ES_tradnl"/>
        </w:rPr>
      </w:pPr>
      <w:r w:rsidRPr="00365E42">
        <w:rPr>
          <w:rFonts w:ascii="Book Antiqua" w:hAnsi="Book Antiqua" w:cs="Times New Roman"/>
          <w:sz w:val="24"/>
          <w:szCs w:val="24"/>
          <w:lang w:val="es-ES_tradnl"/>
        </w:rPr>
        <w:t xml:space="preserve">Respecto de los casos terminados, </w:t>
      </w:r>
      <w:r w:rsidR="007C594C" w:rsidRPr="00365E42">
        <w:rPr>
          <w:rFonts w:ascii="Book Antiqua" w:hAnsi="Book Antiqua" w:cs="Times New Roman"/>
          <w:sz w:val="24"/>
          <w:szCs w:val="24"/>
          <w:lang w:val="es-ES_tradnl"/>
        </w:rPr>
        <w:t xml:space="preserve">mediante la utilización de </w:t>
      </w:r>
      <w:r w:rsidR="007C594C" w:rsidRPr="00365E42">
        <w:rPr>
          <w:rFonts w:ascii="Book Antiqua" w:hAnsi="Book Antiqua" w:cs="Times New Roman"/>
          <w:sz w:val="24"/>
          <w:szCs w:val="24"/>
        </w:rPr>
        <w:t xml:space="preserve">la función </w:t>
      </w:r>
      <w:r w:rsidR="007C594C" w:rsidRPr="00365E42">
        <w:rPr>
          <w:rFonts w:ascii="Book Antiqua" w:hAnsi="Book Antiqua" w:cs="Times New Roman"/>
          <w:b/>
          <w:bCs/>
          <w:i/>
          <w:iCs/>
          <w:sz w:val="24"/>
          <w:szCs w:val="24"/>
        </w:rPr>
        <w:t xml:space="preserve">polinómica de grado 2 </w:t>
      </w:r>
      <w:r w:rsidR="00564076" w:rsidRPr="00365E42">
        <w:rPr>
          <w:rFonts w:ascii="Book Antiqua" w:hAnsi="Book Antiqua" w:cs="Times New Roman"/>
          <w:sz w:val="24"/>
          <w:szCs w:val="24"/>
          <w:lang w:val="es-ES_tradnl"/>
        </w:rPr>
        <w:t xml:space="preserve">estima </w:t>
      </w:r>
      <w:r w:rsidRPr="00365E42">
        <w:rPr>
          <w:rFonts w:ascii="Book Antiqua" w:hAnsi="Book Antiqua" w:cs="Times New Roman"/>
          <w:sz w:val="24"/>
          <w:szCs w:val="24"/>
          <w:lang w:val="es-ES_tradnl"/>
        </w:rPr>
        <w:t xml:space="preserve">que la </w:t>
      </w:r>
      <w:r w:rsidR="00564076" w:rsidRPr="00365E42">
        <w:rPr>
          <w:rFonts w:ascii="Book Antiqua" w:hAnsi="Book Antiqua" w:cs="Times New Roman"/>
          <w:sz w:val="24"/>
          <w:szCs w:val="24"/>
          <w:lang w:val="es-ES_tradnl"/>
        </w:rPr>
        <w:t>cantidad de casos</w:t>
      </w:r>
      <w:r w:rsidRPr="00365E42">
        <w:rPr>
          <w:rFonts w:ascii="Book Antiqua" w:hAnsi="Book Antiqua" w:cs="Times New Roman"/>
          <w:sz w:val="24"/>
          <w:szCs w:val="24"/>
          <w:lang w:val="es-ES_tradnl"/>
        </w:rPr>
        <w:t xml:space="preserve"> para el 20</w:t>
      </w:r>
      <w:r w:rsidR="007C594C" w:rsidRPr="00365E42">
        <w:rPr>
          <w:rFonts w:ascii="Book Antiqua" w:hAnsi="Book Antiqua" w:cs="Times New Roman"/>
          <w:sz w:val="24"/>
          <w:szCs w:val="24"/>
          <w:lang w:val="es-ES_tradnl"/>
        </w:rPr>
        <w:t>20</w:t>
      </w:r>
      <w:r w:rsidRPr="00365E42">
        <w:rPr>
          <w:rFonts w:ascii="Book Antiqua" w:hAnsi="Book Antiqua" w:cs="Times New Roman"/>
          <w:sz w:val="24"/>
          <w:szCs w:val="24"/>
          <w:lang w:val="es-ES_tradnl"/>
        </w:rPr>
        <w:t xml:space="preserve"> </w:t>
      </w:r>
      <w:r w:rsidR="00564076" w:rsidRPr="00365E42">
        <w:rPr>
          <w:rFonts w:ascii="Book Antiqua" w:hAnsi="Book Antiqua" w:cs="Times New Roman"/>
          <w:sz w:val="24"/>
          <w:szCs w:val="24"/>
          <w:lang w:val="es-ES_tradnl"/>
        </w:rPr>
        <w:t>será</w:t>
      </w:r>
      <w:r w:rsidRPr="00365E42">
        <w:rPr>
          <w:rFonts w:ascii="Book Antiqua" w:hAnsi="Book Antiqua" w:cs="Times New Roman"/>
          <w:sz w:val="24"/>
          <w:szCs w:val="24"/>
          <w:lang w:val="es-ES_tradnl"/>
        </w:rPr>
        <w:t xml:space="preserve"> de </w:t>
      </w:r>
      <w:r w:rsidR="007C594C" w:rsidRPr="00365E42">
        <w:rPr>
          <w:rFonts w:ascii="Book Antiqua" w:hAnsi="Book Antiqua" w:cs="Times New Roman"/>
          <w:sz w:val="24"/>
          <w:szCs w:val="24"/>
          <w:lang w:val="es-ES_tradnl"/>
        </w:rPr>
        <w:t>220.274</w:t>
      </w:r>
      <w:r w:rsidRPr="00365E42">
        <w:rPr>
          <w:rFonts w:ascii="Book Antiqua" w:hAnsi="Book Antiqua" w:cs="Times New Roman"/>
          <w:sz w:val="24"/>
          <w:szCs w:val="24"/>
          <w:lang w:val="es-ES_tradnl"/>
        </w:rPr>
        <w:t xml:space="preserve"> expedientes</w:t>
      </w:r>
      <w:r w:rsidR="00564076" w:rsidRPr="00365E42">
        <w:rPr>
          <w:rFonts w:ascii="Book Antiqua" w:hAnsi="Book Antiqua" w:cs="Times New Roman"/>
          <w:sz w:val="24"/>
          <w:szCs w:val="24"/>
          <w:lang w:val="es-ES_tradnl"/>
        </w:rPr>
        <w:t xml:space="preserve">, mientras que </w:t>
      </w:r>
      <w:r w:rsidRPr="00365E42">
        <w:rPr>
          <w:rFonts w:ascii="Book Antiqua" w:hAnsi="Book Antiqua" w:cs="Times New Roman"/>
          <w:sz w:val="24"/>
          <w:szCs w:val="24"/>
          <w:lang w:val="es-ES_tradnl"/>
        </w:rPr>
        <w:t>para el 202</w:t>
      </w:r>
      <w:r w:rsidR="007C594C" w:rsidRPr="00365E42">
        <w:rPr>
          <w:rFonts w:ascii="Book Antiqua" w:hAnsi="Book Antiqua" w:cs="Times New Roman"/>
          <w:sz w:val="24"/>
          <w:szCs w:val="24"/>
          <w:lang w:val="es-ES_tradnl"/>
        </w:rPr>
        <w:t>1</w:t>
      </w:r>
      <w:r w:rsidRPr="00365E42">
        <w:rPr>
          <w:rFonts w:ascii="Book Antiqua" w:hAnsi="Book Antiqua" w:cs="Times New Roman"/>
          <w:sz w:val="24"/>
          <w:szCs w:val="24"/>
          <w:lang w:val="es-ES_tradnl"/>
        </w:rPr>
        <w:t xml:space="preserve"> </w:t>
      </w:r>
      <w:r w:rsidR="00564076" w:rsidRPr="00365E42">
        <w:rPr>
          <w:rFonts w:ascii="Book Antiqua" w:hAnsi="Book Antiqua" w:cs="Times New Roman"/>
          <w:sz w:val="24"/>
          <w:szCs w:val="24"/>
          <w:lang w:val="es-ES_tradnl"/>
        </w:rPr>
        <w:t>será de aproximadamente</w:t>
      </w:r>
      <w:r w:rsidRPr="00365E42">
        <w:rPr>
          <w:rFonts w:ascii="Book Antiqua" w:hAnsi="Book Antiqua" w:cs="Times New Roman"/>
          <w:sz w:val="24"/>
          <w:szCs w:val="24"/>
          <w:lang w:val="es-ES_tradnl"/>
        </w:rPr>
        <w:t xml:space="preserve"> </w:t>
      </w:r>
      <w:r w:rsidR="007C594C" w:rsidRPr="00365E42">
        <w:rPr>
          <w:rFonts w:ascii="Book Antiqua" w:hAnsi="Book Antiqua" w:cs="Times New Roman"/>
          <w:sz w:val="24"/>
          <w:szCs w:val="24"/>
          <w:lang w:val="es-ES_tradnl"/>
        </w:rPr>
        <w:t>245.878</w:t>
      </w:r>
      <w:r w:rsidR="00564076" w:rsidRPr="00365E42">
        <w:rPr>
          <w:rFonts w:ascii="Book Antiqua" w:hAnsi="Book Antiqua" w:cs="Times New Roman"/>
          <w:sz w:val="24"/>
          <w:szCs w:val="24"/>
          <w:lang w:val="es-ES_tradnl"/>
        </w:rPr>
        <w:t xml:space="preserve"> casos</w:t>
      </w:r>
      <w:r w:rsidR="007C594C" w:rsidRPr="00365E42">
        <w:rPr>
          <w:rFonts w:ascii="Book Antiqua" w:hAnsi="Book Antiqua" w:cs="Times New Roman"/>
          <w:sz w:val="24"/>
          <w:szCs w:val="24"/>
          <w:lang w:val="es-ES_tradnl"/>
        </w:rPr>
        <w:t>. El detalle se muestra a continuación:</w:t>
      </w:r>
    </w:p>
    <w:p w14:paraId="5A43C37D" w14:textId="77777777" w:rsidR="00336A2B" w:rsidRPr="00365E42" w:rsidRDefault="00336A2B" w:rsidP="00564076">
      <w:pPr>
        <w:autoSpaceDN w:val="0"/>
        <w:spacing w:after="0" w:line="360" w:lineRule="auto"/>
        <w:jc w:val="both"/>
        <w:rPr>
          <w:rFonts w:ascii="Book Antiqua" w:hAnsi="Book Antiqua" w:cs="Times New Roman"/>
          <w:b/>
          <w:sz w:val="24"/>
          <w:szCs w:val="24"/>
          <w:lang w:val="es-ES_tradnl"/>
        </w:rPr>
      </w:pPr>
    </w:p>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2127"/>
        <w:gridCol w:w="6848"/>
      </w:tblGrid>
      <w:tr w:rsidR="00CF4142" w:rsidRPr="00365E42" w14:paraId="495B0072" w14:textId="77777777" w:rsidTr="00CF4142">
        <w:tc>
          <w:tcPr>
            <w:tcW w:w="2127" w:type="dxa"/>
          </w:tcPr>
          <w:tbl>
            <w:tblPr>
              <w:tblpPr w:leftFromText="141" w:rightFromText="141" w:vertAnchor="text" w:horzAnchor="margin" w:tblpXSpec="center" w:tblpY="52"/>
              <w:tblOverlap w:val="never"/>
              <w:tblW w:w="2268" w:type="dxa"/>
              <w:tblLayout w:type="fixed"/>
              <w:tblLook w:val="04A0" w:firstRow="1" w:lastRow="0" w:firstColumn="1" w:lastColumn="0" w:noHBand="0" w:noVBand="1"/>
            </w:tblPr>
            <w:tblGrid>
              <w:gridCol w:w="851"/>
              <w:gridCol w:w="1417"/>
            </w:tblGrid>
            <w:tr w:rsidR="00CF4142" w:rsidRPr="00365E42" w14:paraId="68FC3156" w14:textId="77777777" w:rsidTr="00CF4142">
              <w:tc>
                <w:tcPr>
                  <w:tcW w:w="851" w:type="dxa"/>
                  <w:tcBorders>
                    <w:top w:val="nil"/>
                    <w:left w:val="nil"/>
                    <w:bottom w:val="single" w:sz="4" w:space="0" w:color="auto"/>
                    <w:right w:val="nil"/>
                  </w:tcBorders>
                  <w:hideMark/>
                </w:tcPr>
                <w:p w14:paraId="18C55387" w14:textId="77777777" w:rsidR="00CF4142" w:rsidRPr="00365E42" w:rsidRDefault="00CF4142" w:rsidP="001A087C">
                  <w:pPr>
                    <w:jc w:val="center"/>
                    <w:rPr>
                      <w:rFonts w:ascii="Book Antiqua" w:hAnsi="Book Antiqua" w:cs="Bookman Old Style"/>
                      <w:b/>
                      <w:sz w:val="20"/>
                      <w:szCs w:val="20"/>
                      <w:lang w:val="es-ES_tradnl"/>
                    </w:rPr>
                  </w:pPr>
                  <w:r w:rsidRPr="00365E42">
                    <w:rPr>
                      <w:rFonts w:ascii="Book Antiqua" w:hAnsi="Book Antiqua" w:cs="Bookman Old Style"/>
                      <w:b/>
                      <w:sz w:val="20"/>
                      <w:szCs w:val="20"/>
                      <w:lang w:val="es-ES_tradnl"/>
                    </w:rPr>
                    <w:t>Año</w:t>
                  </w:r>
                </w:p>
              </w:tc>
              <w:tc>
                <w:tcPr>
                  <w:tcW w:w="1417" w:type="dxa"/>
                  <w:tcBorders>
                    <w:top w:val="nil"/>
                    <w:left w:val="nil"/>
                    <w:bottom w:val="single" w:sz="4" w:space="0" w:color="auto"/>
                    <w:right w:val="nil"/>
                  </w:tcBorders>
                  <w:hideMark/>
                </w:tcPr>
                <w:p w14:paraId="65221E95" w14:textId="674ECD95" w:rsidR="00CF4142" w:rsidRPr="00365E42" w:rsidRDefault="00CF4142" w:rsidP="001A087C">
                  <w:pPr>
                    <w:jc w:val="center"/>
                    <w:rPr>
                      <w:rFonts w:ascii="Book Antiqua" w:hAnsi="Book Antiqua" w:cs="Bookman Old Style"/>
                      <w:b/>
                      <w:sz w:val="20"/>
                      <w:szCs w:val="20"/>
                      <w:lang w:val="es-ES_tradnl"/>
                    </w:rPr>
                  </w:pPr>
                  <w:r w:rsidRPr="00365E42">
                    <w:rPr>
                      <w:rFonts w:ascii="Book Antiqua" w:hAnsi="Book Antiqua" w:cs="Bookman Old Style"/>
                      <w:b/>
                      <w:sz w:val="20"/>
                      <w:szCs w:val="20"/>
                      <w:lang w:val="es-ES_tradnl"/>
                    </w:rPr>
                    <w:t>Terminados</w:t>
                  </w:r>
                </w:p>
              </w:tc>
            </w:tr>
            <w:tr w:rsidR="00CF4142" w:rsidRPr="00365E42" w14:paraId="74F62EED" w14:textId="77777777" w:rsidTr="00CF4142">
              <w:tc>
                <w:tcPr>
                  <w:tcW w:w="851" w:type="dxa"/>
                  <w:hideMark/>
                </w:tcPr>
                <w:p w14:paraId="2DFDB012"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2013</w:t>
                  </w:r>
                </w:p>
              </w:tc>
              <w:tc>
                <w:tcPr>
                  <w:tcW w:w="1417" w:type="dxa"/>
                  <w:hideMark/>
                </w:tcPr>
                <w:p w14:paraId="785877BB" w14:textId="001877FC"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189.452</w:t>
                  </w:r>
                </w:p>
              </w:tc>
            </w:tr>
            <w:tr w:rsidR="00CF4142" w:rsidRPr="00365E42" w14:paraId="344B97E2" w14:textId="77777777" w:rsidTr="00CF4142">
              <w:tc>
                <w:tcPr>
                  <w:tcW w:w="851" w:type="dxa"/>
                  <w:hideMark/>
                </w:tcPr>
                <w:p w14:paraId="23732CD1"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2014</w:t>
                  </w:r>
                </w:p>
              </w:tc>
              <w:tc>
                <w:tcPr>
                  <w:tcW w:w="1417" w:type="dxa"/>
                  <w:hideMark/>
                </w:tcPr>
                <w:p w14:paraId="148B0500" w14:textId="6153F7B4"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203.466</w:t>
                  </w:r>
                </w:p>
              </w:tc>
            </w:tr>
            <w:tr w:rsidR="00CF4142" w:rsidRPr="00365E42" w14:paraId="19E94681" w14:textId="77777777" w:rsidTr="00CF4142">
              <w:tc>
                <w:tcPr>
                  <w:tcW w:w="851" w:type="dxa"/>
                  <w:hideMark/>
                </w:tcPr>
                <w:p w14:paraId="530E8C7F"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2015</w:t>
                  </w:r>
                </w:p>
              </w:tc>
              <w:tc>
                <w:tcPr>
                  <w:tcW w:w="1417" w:type="dxa"/>
                  <w:hideMark/>
                </w:tcPr>
                <w:p w14:paraId="7030C458" w14:textId="2516EC0C"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188.666</w:t>
                  </w:r>
                </w:p>
              </w:tc>
            </w:tr>
            <w:tr w:rsidR="00CF4142" w:rsidRPr="00365E42" w14:paraId="227CEA0F" w14:textId="77777777" w:rsidTr="00CF4142">
              <w:tc>
                <w:tcPr>
                  <w:tcW w:w="851" w:type="dxa"/>
                  <w:hideMark/>
                </w:tcPr>
                <w:p w14:paraId="254270F2"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2016</w:t>
                  </w:r>
                </w:p>
              </w:tc>
              <w:tc>
                <w:tcPr>
                  <w:tcW w:w="1417" w:type="dxa"/>
                  <w:hideMark/>
                </w:tcPr>
                <w:p w14:paraId="00F3C298" w14:textId="7D47A924"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177.324</w:t>
                  </w:r>
                </w:p>
              </w:tc>
            </w:tr>
            <w:tr w:rsidR="00CF4142" w:rsidRPr="00365E42" w14:paraId="55E3D26E" w14:textId="77777777" w:rsidTr="00CF4142">
              <w:tc>
                <w:tcPr>
                  <w:tcW w:w="851" w:type="dxa"/>
                  <w:hideMark/>
                </w:tcPr>
                <w:p w14:paraId="2D2BF4B4"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2017</w:t>
                  </w:r>
                </w:p>
              </w:tc>
              <w:tc>
                <w:tcPr>
                  <w:tcW w:w="1417" w:type="dxa"/>
                  <w:hideMark/>
                </w:tcPr>
                <w:p w14:paraId="0A5765AA" w14:textId="7C1E6F4C"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175.298</w:t>
                  </w:r>
                </w:p>
              </w:tc>
            </w:tr>
            <w:tr w:rsidR="00CF4142" w:rsidRPr="00365E42" w14:paraId="3D418AC6" w14:textId="77777777" w:rsidTr="00CF4142">
              <w:tc>
                <w:tcPr>
                  <w:tcW w:w="851" w:type="dxa"/>
                  <w:hideMark/>
                </w:tcPr>
                <w:p w14:paraId="200CB9D7"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2018</w:t>
                  </w:r>
                </w:p>
              </w:tc>
              <w:tc>
                <w:tcPr>
                  <w:tcW w:w="1417" w:type="dxa"/>
                  <w:hideMark/>
                </w:tcPr>
                <w:p w14:paraId="2342303E" w14:textId="00609834"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184.807</w:t>
                  </w:r>
                </w:p>
              </w:tc>
            </w:tr>
            <w:tr w:rsidR="00CF4142" w:rsidRPr="00365E42" w14:paraId="42DCAF76" w14:textId="77777777" w:rsidTr="00CF4142">
              <w:tc>
                <w:tcPr>
                  <w:tcW w:w="851" w:type="dxa"/>
                  <w:hideMark/>
                </w:tcPr>
                <w:p w14:paraId="16759603"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20"/>
                      <w:szCs w:val="20"/>
                      <w:lang w:val="es-ES_tradnl"/>
                    </w:rPr>
                    <w:t>2019</w:t>
                  </w:r>
                </w:p>
              </w:tc>
              <w:tc>
                <w:tcPr>
                  <w:tcW w:w="1417" w:type="dxa"/>
                  <w:hideMark/>
                </w:tcPr>
                <w:p w14:paraId="3808C0E4" w14:textId="747E870B" w:rsidR="00CF4142" w:rsidRPr="00365E42" w:rsidRDefault="00CF4142" w:rsidP="001A087C">
                  <w:pPr>
                    <w:jc w:val="center"/>
                    <w:rPr>
                      <w:rFonts w:ascii="Book Antiqua" w:hAnsi="Book Antiqua" w:cs="Bookman Old Style"/>
                      <w:sz w:val="20"/>
                      <w:szCs w:val="20"/>
                      <w:lang w:val="es-ES_tradnl"/>
                    </w:rPr>
                  </w:pPr>
                  <w:r w:rsidRPr="00365E42">
                    <w:rPr>
                      <w:rFonts w:ascii="Book Antiqua" w:hAnsi="Book Antiqua" w:cs="Bookman Old Style"/>
                      <w:sz w:val="20"/>
                      <w:szCs w:val="20"/>
                      <w:lang w:val="es-ES_tradnl"/>
                    </w:rPr>
                    <w:t>217.590</w:t>
                  </w:r>
                </w:p>
              </w:tc>
            </w:tr>
            <w:tr w:rsidR="00CF4142" w:rsidRPr="00365E42" w14:paraId="15B7018F" w14:textId="77777777" w:rsidTr="00CF4142">
              <w:tc>
                <w:tcPr>
                  <w:tcW w:w="851" w:type="dxa"/>
                  <w:tcBorders>
                    <w:top w:val="nil"/>
                    <w:left w:val="nil"/>
                    <w:right w:val="nil"/>
                  </w:tcBorders>
                  <w:hideMark/>
                </w:tcPr>
                <w:p w14:paraId="27442A65" w14:textId="77777777" w:rsidR="00CF4142" w:rsidRPr="00365E42" w:rsidRDefault="00CF4142" w:rsidP="001A087C">
                  <w:pPr>
                    <w:jc w:val="both"/>
                    <w:rPr>
                      <w:rFonts w:ascii="Book Antiqua" w:hAnsi="Book Antiqua" w:cs="Bookman Old Style"/>
                      <w:b/>
                      <w:bCs/>
                      <w:i/>
                      <w:iCs/>
                      <w:color w:val="FF0000"/>
                      <w:sz w:val="20"/>
                      <w:szCs w:val="20"/>
                      <w:lang w:val="es-ES_tradnl"/>
                    </w:rPr>
                  </w:pPr>
                  <w:r w:rsidRPr="00365E42">
                    <w:rPr>
                      <w:rFonts w:ascii="Book Antiqua" w:hAnsi="Book Antiqua" w:cs="Bookman Old Style"/>
                      <w:b/>
                      <w:bCs/>
                      <w:i/>
                      <w:iCs/>
                      <w:color w:val="FF0000"/>
                      <w:sz w:val="20"/>
                      <w:szCs w:val="20"/>
                      <w:lang w:val="es-ES_tradnl"/>
                    </w:rPr>
                    <w:t>2020</w:t>
                  </w:r>
                  <w:r w:rsidRPr="00365E42">
                    <w:rPr>
                      <w:rFonts w:ascii="Book Antiqua" w:hAnsi="Book Antiqua" w:cs="Bookman Old Style"/>
                      <w:b/>
                      <w:bCs/>
                      <w:i/>
                      <w:iCs/>
                      <w:color w:val="FF0000"/>
                      <w:sz w:val="20"/>
                      <w:szCs w:val="20"/>
                      <w:vertAlign w:val="superscript"/>
                      <w:lang w:val="es-ES_tradnl"/>
                    </w:rPr>
                    <w:t>a/</w:t>
                  </w:r>
                </w:p>
              </w:tc>
              <w:tc>
                <w:tcPr>
                  <w:tcW w:w="1417" w:type="dxa"/>
                  <w:tcBorders>
                    <w:top w:val="nil"/>
                    <w:left w:val="nil"/>
                    <w:right w:val="nil"/>
                  </w:tcBorders>
                  <w:hideMark/>
                </w:tcPr>
                <w:p w14:paraId="7D1B2713" w14:textId="5454FA97" w:rsidR="00CF4142" w:rsidRPr="00365E42" w:rsidRDefault="00CF4142" w:rsidP="001A087C">
                  <w:pPr>
                    <w:jc w:val="center"/>
                    <w:rPr>
                      <w:rFonts w:ascii="Book Antiqua" w:hAnsi="Book Antiqua" w:cs="Bookman Old Style"/>
                      <w:b/>
                      <w:bCs/>
                      <w:i/>
                      <w:iCs/>
                      <w:color w:val="FF0000"/>
                      <w:sz w:val="20"/>
                      <w:szCs w:val="20"/>
                      <w:lang w:val="es-ES_tradnl"/>
                    </w:rPr>
                  </w:pPr>
                  <w:r w:rsidRPr="00365E42">
                    <w:rPr>
                      <w:rFonts w:ascii="Book Antiqua" w:hAnsi="Book Antiqua" w:cs="Bookman Old Style"/>
                      <w:b/>
                      <w:bCs/>
                      <w:i/>
                      <w:iCs/>
                      <w:color w:val="FF0000"/>
                      <w:sz w:val="20"/>
                      <w:szCs w:val="20"/>
                      <w:lang w:val="es-ES_tradnl"/>
                    </w:rPr>
                    <w:t>220.274</w:t>
                  </w:r>
                </w:p>
              </w:tc>
            </w:tr>
            <w:tr w:rsidR="00CF4142" w:rsidRPr="00365E42" w14:paraId="625A2B1F" w14:textId="77777777" w:rsidTr="00CF4142">
              <w:tc>
                <w:tcPr>
                  <w:tcW w:w="851" w:type="dxa"/>
                  <w:tcBorders>
                    <w:left w:val="nil"/>
                    <w:bottom w:val="single" w:sz="4" w:space="0" w:color="auto"/>
                    <w:right w:val="nil"/>
                  </w:tcBorders>
                </w:tcPr>
                <w:p w14:paraId="28C395F4" w14:textId="77777777" w:rsidR="00CF4142" w:rsidRPr="00365E42" w:rsidRDefault="00CF4142" w:rsidP="001A087C">
                  <w:pPr>
                    <w:jc w:val="both"/>
                    <w:rPr>
                      <w:rFonts w:ascii="Book Antiqua" w:hAnsi="Book Antiqua" w:cs="Bookman Old Style"/>
                      <w:b/>
                      <w:bCs/>
                      <w:i/>
                      <w:iCs/>
                      <w:color w:val="FF0000"/>
                      <w:sz w:val="20"/>
                      <w:szCs w:val="20"/>
                      <w:lang w:val="es-ES_tradnl"/>
                    </w:rPr>
                  </w:pPr>
                  <w:r w:rsidRPr="00365E42">
                    <w:rPr>
                      <w:rFonts w:ascii="Book Antiqua" w:hAnsi="Book Antiqua" w:cs="Bookman Old Style"/>
                      <w:b/>
                      <w:bCs/>
                      <w:i/>
                      <w:iCs/>
                      <w:color w:val="FF0000"/>
                      <w:sz w:val="20"/>
                      <w:szCs w:val="20"/>
                      <w:lang w:val="es-ES_tradnl"/>
                    </w:rPr>
                    <w:t>2021</w:t>
                  </w:r>
                  <w:r w:rsidRPr="00365E42">
                    <w:rPr>
                      <w:rFonts w:ascii="Book Antiqua" w:hAnsi="Book Antiqua" w:cs="Bookman Old Style"/>
                      <w:b/>
                      <w:bCs/>
                      <w:i/>
                      <w:iCs/>
                      <w:color w:val="FF0000"/>
                      <w:sz w:val="20"/>
                      <w:szCs w:val="20"/>
                      <w:vertAlign w:val="superscript"/>
                      <w:lang w:val="es-ES_tradnl"/>
                    </w:rPr>
                    <w:t>a/</w:t>
                  </w:r>
                </w:p>
              </w:tc>
              <w:tc>
                <w:tcPr>
                  <w:tcW w:w="1417" w:type="dxa"/>
                  <w:tcBorders>
                    <w:left w:val="nil"/>
                    <w:bottom w:val="single" w:sz="4" w:space="0" w:color="auto"/>
                    <w:right w:val="nil"/>
                  </w:tcBorders>
                </w:tcPr>
                <w:p w14:paraId="725C84A9" w14:textId="38154EDC" w:rsidR="00CF4142" w:rsidRPr="00365E42" w:rsidRDefault="00CF4142" w:rsidP="001A087C">
                  <w:pPr>
                    <w:jc w:val="center"/>
                    <w:rPr>
                      <w:rFonts w:ascii="Book Antiqua" w:hAnsi="Book Antiqua" w:cs="Bookman Old Style"/>
                      <w:b/>
                      <w:bCs/>
                      <w:i/>
                      <w:iCs/>
                      <w:color w:val="FF0000"/>
                      <w:sz w:val="20"/>
                      <w:szCs w:val="20"/>
                      <w:lang w:val="es-ES_tradnl"/>
                    </w:rPr>
                  </w:pPr>
                  <w:r w:rsidRPr="00365E42">
                    <w:rPr>
                      <w:rFonts w:ascii="Book Antiqua" w:hAnsi="Book Antiqua" w:cs="Bookman Old Style"/>
                      <w:b/>
                      <w:bCs/>
                      <w:i/>
                      <w:iCs/>
                      <w:color w:val="FF0000"/>
                      <w:sz w:val="20"/>
                      <w:szCs w:val="20"/>
                      <w:lang w:val="es-ES_tradnl"/>
                    </w:rPr>
                    <w:t>245.878</w:t>
                  </w:r>
                </w:p>
              </w:tc>
            </w:tr>
            <w:tr w:rsidR="00CF4142" w:rsidRPr="00365E42" w14:paraId="6D376A6B" w14:textId="77777777" w:rsidTr="00CF4142">
              <w:tc>
                <w:tcPr>
                  <w:tcW w:w="2268" w:type="dxa"/>
                  <w:gridSpan w:val="2"/>
                  <w:tcBorders>
                    <w:top w:val="single" w:sz="4" w:space="0" w:color="auto"/>
                    <w:left w:val="nil"/>
                    <w:bottom w:val="nil"/>
                    <w:right w:val="nil"/>
                  </w:tcBorders>
                  <w:hideMark/>
                </w:tcPr>
                <w:p w14:paraId="38353B79" w14:textId="77777777" w:rsidR="00CF4142" w:rsidRPr="00365E42" w:rsidRDefault="00CF4142" w:rsidP="001A087C">
                  <w:pPr>
                    <w:jc w:val="both"/>
                    <w:rPr>
                      <w:rFonts w:ascii="Book Antiqua" w:hAnsi="Book Antiqua" w:cs="Bookman Old Style"/>
                      <w:sz w:val="20"/>
                      <w:szCs w:val="20"/>
                      <w:lang w:val="es-ES_tradnl"/>
                    </w:rPr>
                  </w:pPr>
                  <w:r w:rsidRPr="00365E42">
                    <w:rPr>
                      <w:rFonts w:ascii="Book Antiqua" w:hAnsi="Book Antiqua" w:cs="Bookman Old Style"/>
                      <w:sz w:val="14"/>
                      <w:szCs w:val="14"/>
                      <w:lang w:val="es-ES_tradnl"/>
                    </w:rPr>
                    <w:t>a/ Datos proyectados</w:t>
                  </w:r>
                </w:p>
              </w:tc>
            </w:tr>
          </w:tbl>
          <w:p w14:paraId="01FA866F" w14:textId="77777777" w:rsidR="00CF4142" w:rsidRPr="00365E42" w:rsidRDefault="00CF4142" w:rsidP="001A087C">
            <w:pPr>
              <w:spacing w:line="360" w:lineRule="auto"/>
              <w:jc w:val="both"/>
              <w:rPr>
                <w:rFonts w:ascii="Book Antiqua" w:hAnsi="Book Antiqua" w:cs="Times New Roman"/>
                <w:lang w:val="es-ES_tradnl"/>
              </w:rPr>
            </w:pPr>
          </w:p>
        </w:tc>
        <w:tc>
          <w:tcPr>
            <w:tcW w:w="6848" w:type="dxa"/>
          </w:tcPr>
          <w:p w14:paraId="0303F1AC" w14:textId="097927A2" w:rsidR="00CF4142" w:rsidRPr="00365E42" w:rsidRDefault="00CF4142" w:rsidP="001A087C">
            <w:pPr>
              <w:spacing w:line="360" w:lineRule="auto"/>
              <w:jc w:val="both"/>
              <w:rPr>
                <w:rFonts w:ascii="Book Antiqua" w:hAnsi="Book Antiqua" w:cs="Times New Roman"/>
                <w:lang w:val="es-ES_tradnl"/>
              </w:rPr>
            </w:pPr>
            <w:r w:rsidRPr="00365E42">
              <w:rPr>
                <w:rFonts w:ascii="Book Antiqua" w:hAnsi="Book Antiqua"/>
                <w:noProof/>
              </w:rPr>
              <w:drawing>
                <wp:inline distT="0" distB="0" distL="0" distR="0" wp14:anchorId="07F22E53" wp14:editId="01F80BC6">
                  <wp:extent cx="4259580" cy="2870200"/>
                  <wp:effectExtent l="0" t="0" r="7620" b="6350"/>
                  <wp:docPr id="12" name="Gráfico 12">
                    <a:extLst xmlns:a="http://schemas.openxmlformats.org/drawingml/2006/main">
                      <a:ext uri="{FF2B5EF4-FFF2-40B4-BE49-F238E27FC236}">
                        <a16:creationId xmlns:a16="http://schemas.microsoft.com/office/drawing/2014/main" id="{BFFAF285-952E-4B5C-B252-30092D88F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30D36DE7" w14:textId="77777777" w:rsidR="00336A2B" w:rsidRDefault="00336A2B" w:rsidP="00C850BE">
      <w:pPr>
        <w:spacing w:line="360" w:lineRule="auto"/>
        <w:jc w:val="both"/>
        <w:rPr>
          <w:rFonts w:ascii="Book Antiqua" w:hAnsi="Book Antiqua" w:cs="Times New Roman"/>
          <w:sz w:val="24"/>
          <w:szCs w:val="24"/>
          <w:lang w:val="es-ES_tradnl" w:eastAsia="es-ES"/>
        </w:rPr>
      </w:pPr>
    </w:p>
    <w:p w14:paraId="6FE3BAE7" w14:textId="37617507" w:rsidR="007C594C" w:rsidRPr="00365E42" w:rsidRDefault="007C594C" w:rsidP="00C850BE">
      <w:pPr>
        <w:spacing w:line="360" w:lineRule="auto"/>
        <w:jc w:val="both"/>
        <w:rPr>
          <w:rFonts w:ascii="Book Antiqua" w:hAnsi="Book Antiqua" w:cs="Times New Roman"/>
          <w:sz w:val="24"/>
          <w:szCs w:val="24"/>
          <w:lang w:val="es-ES_tradnl"/>
        </w:rPr>
      </w:pPr>
      <w:r w:rsidRPr="00365E42">
        <w:rPr>
          <w:rFonts w:ascii="Book Antiqua" w:hAnsi="Book Antiqua" w:cs="Times New Roman"/>
          <w:sz w:val="24"/>
          <w:szCs w:val="24"/>
          <w:lang w:val="es-ES_tradnl" w:eastAsia="es-ES"/>
        </w:rPr>
        <w:t xml:space="preserve">El </w:t>
      </w:r>
      <w:r w:rsidRPr="00365E42">
        <w:rPr>
          <w:rFonts w:ascii="Book Antiqua" w:hAnsi="Book Antiqua" w:cs="Times New Roman"/>
          <w:sz w:val="24"/>
          <w:szCs w:val="24"/>
        </w:rPr>
        <w:t>R² obtenido de 0,75 se considera igualmente como aceptable en cuanto al ajuste que está realizando el método de proyección utilizado en los datos abordados.</w:t>
      </w:r>
    </w:p>
    <w:p w14:paraId="45300F4F" w14:textId="1AD98CF3" w:rsidR="00336A2B" w:rsidRPr="00365E42" w:rsidRDefault="00B97601" w:rsidP="00516603">
      <w:pPr>
        <w:spacing w:line="360" w:lineRule="auto"/>
        <w:jc w:val="both"/>
        <w:rPr>
          <w:rFonts w:ascii="Book Antiqua" w:hAnsi="Book Antiqua" w:cs="Times New Roman"/>
          <w:sz w:val="24"/>
          <w:szCs w:val="24"/>
          <w:lang w:val="es-ES_tradnl"/>
        </w:rPr>
      </w:pPr>
      <w:r w:rsidRPr="00365E42">
        <w:rPr>
          <w:rFonts w:ascii="Book Antiqua" w:hAnsi="Book Antiqua" w:cs="Times New Roman"/>
          <w:sz w:val="24"/>
          <w:szCs w:val="24"/>
          <w:lang w:val="es-ES_tradnl"/>
        </w:rPr>
        <w:t xml:space="preserve">En lo que a las proyecciones se refiere, se </w:t>
      </w:r>
      <w:r w:rsidR="00E3426A" w:rsidRPr="00365E42">
        <w:rPr>
          <w:rFonts w:ascii="Book Antiqua" w:hAnsi="Book Antiqua" w:cs="Times New Roman"/>
          <w:sz w:val="24"/>
          <w:szCs w:val="24"/>
          <w:lang w:val="es-ES_tradnl"/>
        </w:rPr>
        <w:t xml:space="preserve">hace la salvedad de que </w:t>
      </w:r>
      <w:r w:rsidRPr="00365E42">
        <w:rPr>
          <w:rFonts w:ascii="Book Antiqua" w:hAnsi="Book Antiqua" w:cs="Times New Roman"/>
          <w:sz w:val="24"/>
          <w:szCs w:val="24"/>
          <w:lang w:val="es-ES_tradnl"/>
        </w:rPr>
        <w:t xml:space="preserve">son </w:t>
      </w:r>
      <w:r w:rsidR="00BC0B81" w:rsidRPr="00365E42">
        <w:rPr>
          <w:rFonts w:ascii="Book Antiqua" w:hAnsi="Book Antiqua" w:cs="Times New Roman"/>
          <w:sz w:val="24"/>
          <w:szCs w:val="24"/>
          <w:lang w:val="es-ES_tradnl"/>
        </w:rPr>
        <w:t>estimaciones</w:t>
      </w:r>
      <w:r w:rsidRPr="00365E42">
        <w:rPr>
          <w:rFonts w:ascii="Book Antiqua" w:hAnsi="Book Antiqua" w:cs="Times New Roman"/>
          <w:sz w:val="24"/>
          <w:szCs w:val="24"/>
          <w:lang w:val="es-ES_tradnl"/>
        </w:rPr>
        <w:t xml:space="preserve"> que genera el método utilizado; basado en el comportamiento de los casos registrados por el SIGMA (entrados y terminados) de años anteriores; no obstante, por la variabilidad de la información se concibe que bien podría verse incrementado o disminuido el volumen de casos entrados, tal y como se puede apreciar en la serie de datos. De igual forma ocurre con los casos terminados.</w:t>
      </w:r>
    </w:p>
    <w:p w14:paraId="347DA5D6" w14:textId="36B101A9" w:rsidR="00F67896" w:rsidRPr="00365E42" w:rsidRDefault="00F67896" w:rsidP="00F67896">
      <w:pPr>
        <w:pStyle w:val="Prrafodelista"/>
        <w:numPr>
          <w:ilvl w:val="0"/>
          <w:numId w:val="1"/>
        </w:numPr>
        <w:jc w:val="both"/>
        <w:outlineLvl w:val="0"/>
        <w:rPr>
          <w:rFonts w:ascii="Book Antiqua" w:hAnsi="Book Antiqua" w:cs="Times New Roman"/>
          <w:b/>
          <w:bCs/>
          <w:sz w:val="24"/>
          <w:szCs w:val="24"/>
        </w:rPr>
      </w:pPr>
      <w:bookmarkStart w:id="7" w:name="_Toc46389677"/>
      <w:r w:rsidRPr="00365E42">
        <w:rPr>
          <w:rFonts w:ascii="Book Antiqua" w:hAnsi="Book Antiqua" w:cs="Times New Roman"/>
          <w:b/>
          <w:bCs/>
          <w:sz w:val="24"/>
          <w:szCs w:val="24"/>
        </w:rPr>
        <w:lastRenderedPageBreak/>
        <w:t>PERSONAS INTERVINIENTES</w:t>
      </w:r>
      <w:bookmarkEnd w:id="7"/>
    </w:p>
    <w:p w14:paraId="3EC10EC3" w14:textId="3D04BC62" w:rsidR="001350FA" w:rsidRPr="00365E42" w:rsidRDefault="001350FA" w:rsidP="001350FA">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A nivel general se tiene que el total de personas intervinientes </w:t>
      </w:r>
      <w:r w:rsidR="00F77E67" w:rsidRPr="00365E42">
        <w:rPr>
          <w:rFonts w:ascii="Book Antiqua" w:hAnsi="Book Antiqua" w:cs="Times New Roman"/>
          <w:sz w:val="24"/>
          <w:szCs w:val="24"/>
        </w:rPr>
        <w:t xml:space="preserve">en procesos llevados a cabo </w:t>
      </w:r>
      <w:r w:rsidRPr="00365E42">
        <w:rPr>
          <w:rFonts w:ascii="Book Antiqua" w:hAnsi="Book Antiqua" w:cs="Times New Roman"/>
          <w:sz w:val="24"/>
          <w:szCs w:val="24"/>
        </w:rPr>
        <w:t xml:space="preserve">en el Ministerio Público durante el 2019 </w:t>
      </w:r>
      <w:r w:rsidR="00BC0B81" w:rsidRPr="00365E42">
        <w:rPr>
          <w:rFonts w:ascii="Book Antiqua" w:hAnsi="Book Antiqua" w:cs="Times New Roman"/>
          <w:sz w:val="24"/>
          <w:szCs w:val="24"/>
        </w:rPr>
        <w:t>alcanza los</w:t>
      </w:r>
      <w:r w:rsidRPr="00365E42">
        <w:rPr>
          <w:rFonts w:ascii="Book Antiqua" w:hAnsi="Book Antiqua" w:cs="Times New Roman"/>
          <w:sz w:val="24"/>
          <w:szCs w:val="24"/>
        </w:rPr>
        <w:t xml:space="preserve"> 340.373, </w:t>
      </w:r>
      <w:r w:rsidR="00F77E67" w:rsidRPr="00365E42">
        <w:rPr>
          <w:rFonts w:ascii="Book Antiqua" w:hAnsi="Book Antiqua" w:cs="Times New Roman"/>
          <w:sz w:val="24"/>
          <w:szCs w:val="24"/>
        </w:rPr>
        <w:t xml:space="preserve">lo que en comparación con un año antes representa una disminución del 0,5% (1.706 intervinientes). Se determina igualmente que </w:t>
      </w:r>
      <w:r w:rsidRPr="00365E42">
        <w:rPr>
          <w:rFonts w:ascii="Book Antiqua" w:hAnsi="Book Antiqua" w:cs="Times New Roman"/>
          <w:sz w:val="24"/>
          <w:szCs w:val="24"/>
        </w:rPr>
        <w:t>el 6</w:t>
      </w:r>
      <w:r w:rsidR="00F77E67" w:rsidRPr="00365E42">
        <w:rPr>
          <w:rFonts w:ascii="Book Antiqua" w:hAnsi="Book Antiqua" w:cs="Times New Roman"/>
          <w:sz w:val="24"/>
          <w:szCs w:val="24"/>
        </w:rPr>
        <w:t>2</w:t>
      </w:r>
      <w:r w:rsidRPr="00365E42">
        <w:rPr>
          <w:rFonts w:ascii="Book Antiqua" w:hAnsi="Book Antiqua" w:cs="Times New Roman"/>
          <w:sz w:val="24"/>
          <w:szCs w:val="24"/>
        </w:rPr>
        <w:t>%</w:t>
      </w:r>
      <w:r w:rsidR="00F77E67" w:rsidRPr="00365E42">
        <w:rPr>
          <w:rFonts w:ascii="Book Antiqua" w:hAnsi="Book Antiqua" w:cs="Times New Roman"/>
          <w:sz w:val="24"/>
          <w:szCs w:val="24"/>
        </w:rPr>
        <w:t xml:space="preserve"> </w:t>
      </w:r>
      <w:r w:rsidRPr="00365E42">
        <w:rPr>
          <w:rFonts w:ascii="Book Antiqua" w:hAnsi="Book Antiqua" w:cs="Times New Roman"/>
          <w:sz w:val="24"/>
          <w:szCs w:val="24"/>
        </w:rPr>
        <w:t>son personas del sexo masculino</w:t>
      </w:r>
      <w:r w:rsidR="00F77E67" w:rsidRPr="00365E42">
        <w:rPr>
          <w:rFonts w:ascii="Book Antiqua" w:hAnsi="Book Antiqua" w:cs="Times New Roman"/>
          <w:sz w:val="24"/>
          <w:szCs w:val="24"/>
        </w:rPr>
        <w:t xml:space="preserve">, mientras que en tipo de intervinientes esta mayormente representado por los </w:t>
      </w:r>
      <w:r w:rsidR="00F77E67" w:rsidRPr="00365E42">
        <w:rPr>
          <w:rFonts w:ascii="Book Antiqua" w:hAnsi="Book Antiqua" w:cs="Times New Roman"/>
          <w:i/>
          <w:iCs/>
          <w:sz w:val="24"/>
          <w:szCs w:val="24"/>
        </w:rPr>
        <w:t>ofendidos</w:t>
      </w:r>
      <w:r w:rsidR="00F77E67" w:rsidRPr="00365E42">
        <w:rPr>
          <w:rFonts w:ascii="Book Antiqua" w:hAnsi="Book Antiqua" w:cs="Times New Roman"/>
          <w:sz w:val="24"/>
          <w:szCs w:val="24"/>
        </w:rPr>
        <w:t xml:space="preserve"> con un 56% de la totalidad, y donde las mujeres reflejan mayor cantidad de observaciones</w:t>
      </w:r>
      <w:r w:rsidR="00D20F30" w:rsidRPr="00365E42">
        <w:rPr>
          <w:rFonts w:ascii="Book Antiqua" w:hAnsi="Book Antiqua" w:cs="Times New Roman"/>
          <w:sz w:val="24"/>
          <w:szCs w:val="24"/>
        </w:rPr>
        <w:t xml:space="preserve"> para este tipo</w:t>
      </w:r>
      <w:r w:rsidR="00F77E67" w:rsidRPr="00365E42">
        <w:rPr>
          <w:rFonts w:ascii="Book Antiqua" w:hAnsi="Book Antiqua" w:cs="Times New Roman"/>
          <w:sz w:val="24"/>
          <w:szCs w:val="24"/>
        </w:rPr>
        <w:t>, con un 52%.</w:t>
      </w:r>
    </w:p>
    <w:p w14:paraId="753C6171" w14:textId="30D7DC93" w:rsidR="001350FA" w:rsidRPr="00365E42" w:rsidRDefault="00F77E67" w:rsidP="001350FA">
      <w:pPr>
        <w:spacing w:line="360" w:lineRule="auto"/>
        <w:jc w:val="both"/>
        <w:rPr>
          <w:rFonts w:ascii="Book Antiqua" w:hAnsi="Book Antiqua" w:cs="Times New Roman"/>
          <w:sz w:val="24"/>
          <w:szCs w:val="24"/>
        </w:rPr>
      </w:pPr>
      <w:r w:rsidRPr="00365E42">
        <w:rPr>
          <w:rFonts w:ascii="Book Antiqua" w:hAnsi="Book Antiqua" w:cs="Times New Roman"/>
          <w:sz w:val="24"/>
          <w:szCs w:val="24"/>
        </w:rPr>
        <w:t xml:space="preserve">Por otro lado, abordando el tipo de interviniente </w:t>
      </w:r>
      <w:r w:rsidRPr="00365E42">
        <w:rPr>
          <w:rFonts w:ascii="Book Antiqua" w:hAnsi="Book Antiqua" w:cs="Times New Roman"/>
          <w:i/>
          <w:iCs/>
          <w:sz w:val="24"/>
          <w:szCs w:val="24"/>
        </w:rPr>
        <w:t xml:space="preserve">imputado, </w:t>
      </w:r>
      <w:r w:rsidRPr="00365E42">
        <w:rPr>
          <w:rFonts w:ascii="Book Antiqua" w:hAnsi="Book Antiqua" w:cs="Times New Roman"/>
          <w:sz w:val="24"/>
          <w:szCs w:val="24"/>
        </w:rPr>
        <w:t>queda claramente diferenciado al sexo masculino como el predominante, esto dado que representa</w:t>
      </w:r>
      <w:r w:rsidR="00D20F30" w:rsidRPr="00365E42">
        <w:rPr>
          <w:rFonts w:ascii="Book Antiqua" w:hAnsi="Book Antiqua" w:cs="Times New Roman"/>
          <w:sz w:val="24"/>
          <w:szCs w:val="24"/>
        </w:rPr>
        <w:t>n</w:t>
      </w:r>
      <w:r w:rsidRPr="00365E42">
        <w:rPr>
          <w:rFonts w:ascii="Book Antiqua" w:hAnsi="Book Antiqua" w:cs="Times New Roman"/>
          <w:sz w:val="24"/>
          <w:szCs w:val="24"/>
        </w:rPr>
        <w:t xml:space="preserve"> al 79% </w:t>
      </w:r>
      <w:r w:rsidR="00D20F30" w:rsidRPr="00365E42">
        <w:rPr>
          <w:rFonts w:ascii="Book Antiqua" w:hAnsi="Book Antiqua" w:cs="Times New Roman"/>
          <w:sz w:val="24"/>
          <w:szCs w:val="24"/>
        </w:rPr>
        <w:t>de personas intervinientes dentro de esta categoría para el año en cuestión.</w:t>
      </w:r>
    </w:p>
    <w:p w14:paraId="3F999087" w14:textId="1573F41A" w:rsidR="004C1EE3" w:rsidRPr="00365E42" w:rsidRDefault="00D20F30" w:rsidP="002C519C">
      <w:pPr>
        <w:spacing w:line="360" w:lineRule="auto"/>
        <w:jc w:val="both"/>
        <w:rPr>
          <w:rFonts w:ascii="Book Antiqua" w:hAnsi="Book Antiqua" w:cs="Times New Roman"/>
          <w:sz w:val="24"/>
          <w:szCs w:val="24"/>
        </w:rPr>
      </w:pPr>
      <w:r w:rsidRPr="00365E42">
        <w:rPr>
          <w:rFonts w:ascii="Book Antiqua" w:hAnsi="Book Antiqua" w:cs="Times New Roman"/>
          <w:sz w:val="24"/>
          <w:szCs w:val="24"/>
        </w:rPr>
        <w:t>Los</w:t>
      </w:r>
      <w:r w:rsidR="001350FA" w:rsidRPr="00365E42">
        <w:rPr>
          <w:rFonts w:ascii="Book Antiqua" w:hAnsi="Book Antiqua" w:cs="Times New Roman"/>
          <w:sz w:val="24"/>
          <w:szCs w:val="24"/>
        </w:rPr>
        <w:t xml:space="preserve"> grupo</w:t>
      </w:r>
      <w:r w:rsidRPr="00365E42">
        <w:rPr>
          <w:rFonts w:ascii="Book Antiqua" w:hAnsi="Book Antiqua" w:cs="Times New Roman"/>
          <w:sz w:val="24"/>
          <w:szCs w:val="24"/>
        </w:rPr>
        <w:t>s</w:t>
      </w:r>
      <w:r w:rsidR="001350FA" w:rsidRPr="00365E42">
        <w:rPr>
          <w:rFonts w:ascii="Book Antiqua" w:hAnsi="Book Antiqua" w:cs="Times New Roman"/>
          <w:sz w:val="24"/>
          <w:szCs w:val="24"/>
        </w:rPr>
        <w:t xml:space="preserve"> de edad </w:t>
      </w:r>
      <w:r w:rsidRPr="00365E42">
        <w:rPr>
          <w:rFonts w:ascii="Book Antiqua" w:hAnsi="Book Antiqua" w:cs="Times New Roman"/>
          <w:sz w:val="24"/>
          <w:szCs w:val="24"/>
        </w:rPr>
        <w:t>contenidos de los</w:t>
      </w:r>
      <w:r w:rsidR="001350FA" w:rsidRPr="00365E42">
        <w:rPr>
          <w:rFonts w:ascii="Book Antiqua" w:hAnsi="Book Antiqua" w:cs="Times New Roman"/>
          <w:sz w:val="24"/>
          <w:szCs w:val="24"/>
        </w:rPr>
        <w:t xml:space="preserve"> 18 a 44 años </w:t>
      </w:r>
      <w:r w:rsidRPr="00365E42">
        <w:rPr>
          <w:rFonts w:ascii="Book Antiqua" w:hAnsi="Book Antiqua" w:cs="Times New Roman"/>
          <w:sz w:val="24"/>
          <w:szCs w:val="24"/>
        </w:rPr>
        <w:t xml:space="preserve">son los que concentran a la mayor cantidad de intervinientes, representando el 56,9% (193.668 personas) </w:t>
      </w:r>
      <w:r w:rsidR="00336B60" w:rsidRPr="00365E42">
        <w:rPr>
          <w:rFonts w:ascii="Book Antiqua" w:hAnsi="Book Antiqua" w:cs="Times New Roman"/>
          <w:sz w:val="24"/>
          <w:szCs w:val="24"/>
        </w:rPr>
        <w:t>de la totalidad, mientras que, por estado civil la categoría más representativa resulta</w:t>
      </w:r>
      <w:r w:rsidR="00E6600C" w:rsidRPr="00365E42">
        <w:rPr>
          <w:rFonts w:ascii="Book Antiqua" w:hAnsi="Book Antiqua" w:cs="Times New Roman"/>
          <w:sz w:val="24"/>
          <w:szCs w:val="24"/>
        </w:rPr>
        <w:t>n</w:t>
      </w:r>
      <w:r w:rsidR="00336B60" w:rsidRPr="00365E42">
        <w:rPr>
          <w:rFonts w:ascii="Book Antiqua" w:hAnsi="Book Antiqua" w:cs="Times New Roman"/>
          <w:sz w:val="24"/>
          <w:szCs w:val="24"/>
        </w:rPr>
        <w:t xml:space="preserve"> ser </w:t>
      </w:r>
      <w:r w:rsidR="00E6600C" w:rsidRPr="00365E42">
        <w:rPr>
          <w:rFonts w:ascii="Book Antiqua" w:hAnsi="Book Antiqua" w:cs="Times New Roman"/>
          <w:sz w:val="24"/>
          <w:szCs w:val="24"/>
        </w:rPr>
        <w:t xml:space="preserve">los </w:t>
      </w:r>
      <w:r w:rsidR="00336B60" w:rsidRPr="00365E42">
        <w:rPr>
          <w:rFonts w:ascii="Book Antiqua" w:hAnsi="Book Antiqua" w:cs="Times New Roman"/>
          <w:i/>
          <w:iCs/>
          <w:sz w:val="24"/>
          <w:szCs w:val="24"/>
        </w:rPr>
        <w:t>Solteros(as)</w:t>
      </w:r>
      <w:r w:rsidR="001350FA" w:rsidRPr="00365E42">
        <w:rPr>
          <w:rFonts w:ascii="Book Antiqua" w:hAnsi="Book Antiqua" w:cs="Times New Roman"/>
          <w:sz w:val="24"/>
          <w:szCs w:val="24"/>
        </w:rPr>
        <w:t xml:space="preserve"> </w:t>
      </w:r>
      <w:r w:rsidR="00336B60" w:rsidRPr="00365E42">
        <w:rPr>
          <w:rFonts w:ascii="Book Antiqua" w:hAnsi="Book Antiqua" w:cs="Times New Roman"/>
          <w:sz w:val="24"/>
          <w:szCs w:val="24"/>
        </w:rPr>
        <w:t>con un 49% (166.765 personas) y como es de esperarse, de la totalidad de intervinientes los de</w:t>
      </w:r>
      <w:r w:rsidR="001350FA" w:rsidRPr="00365E42">
        <w:rPr>
          <w:rFonts w:ascii="Book Antiqua" w:hAnsi="Book Antiqua" w:cs="Times New Roman"/>
          <w:sz w:val="24"/>
          <w:szCs w:val="24"/>
        </w:rPr>
        <w:t xml:space="preserve"> nacionalidad costarricense </w:t>
      </w:r>
      <w:r w:rsidR="00336B60" w:rsidRPr="00365E42">
        <w:rPr>
          <w:rFonts w:ascii="Book Antiqua" w:hAnsi="Book Antiqua" w:cs="Times New Roman"/>
          <w:sz w:val="24"/>
          <w:szCs w:val="24"/>
        </w:rPr>
        <w:t xml:space="preserve">son </w:t>
      </w:r>
      <w:r w:rsidR="001350FA" w:rsidRPr="00365E42">
        <w:rPr>
          <w:rFonts w:ascii="Book Antiqua" w:hAnsi="Book Antiqua" w:cs="Times New Roman"/>
          <w:sz w:val="24"/>
          <w:szCs w:val="24"/>
        </w:rPr>
        <w:t>l</w:t>
      </w:r>
      <w:r w:rsidR="00336B60" w:rsidRPr="00365E42">
        <w:rPr>
          <w:rFonts w:ascii="Book Antiqua" w:hAnsi="Book Antiqua" w:cs="Times New Roman"/>
          <w:sz w:val="24"/>
          <w:szCs w:val="24"/>
        </w:rPr>
        <w:t>o</w:t>
      </w:r>
      <w:r w:rsidR="001350FA" w:rsidRPr="00365E42">
        <w:rPr>
          <w:rFonts w:ascii="Book Antiqua" w:hAnsi="Book Antiqua" w:cs="Times New Roman"/>
          <w:sz w:val="24"/>
          <w:szCs w:val="24"/>
        </w:rPr>
        <w:t xml:space="preserve">s </w:t>
      </w:r>
      <w:r w:rsidR="00E6600C" w:rsidRPr="00365E42">
        <w:rPr>
          <w:rFonts w:ascii="Book Antiqua" w:hAnsi="Book Antiqua" w:cs="Times New Roman"/>
          <w:sz w:val="24"/>
          <w:szCs w:val="24"/>
        </w:rPr>
        <w:t xml:space="preserve">que aparecen como </w:t>
      </w:r>
      <w:r w:rsidR="001350FA" w:rsidRPr="00365E42">
        <w:rPr>
          <w:rFonts w:ascii="Book Antiqua" w:hAnsi="Book Antiqua" w:cs="Times New Roman"/>
          <w:sz w:val="24"/>
          <w:szCs w:val="24"/>
        </w:rPr>
        <w:t>m</w:t>
      </w:r>
      <w:r w:rsidR="00336B60" w:rsidRPr="00365E42">
        <w:rPr>
          <w:rFonts w:ascii="Book Antiqua" w:hAnsi="Book Antiqua" w:cs="Times New Roman"/>
          <w:sz w:val="24"/>
          <w:szCs w:val="24"/>
        </w:rPr>
        <w:t>ayormente registrados con un 85% (290.339 personas)</w:t>
      </w:r>
      <w:r w:rsidR="002C519C" w:rsidRPr="00365E42">
        <w:rPr>
          <w:rFonts w:ascii="Book Antiqua" w:hAnsi="Book Antiqua" w:cs="Times New Roman"/>
          <w:sz w:val="24"/>
          <w:szCs w:val="24"/>
        </w:rPr>
        <w:t>, seguido de los nicaragüenses con un 5% (16.817 personas)</w:t>
      </w:r>
      <w:r w:rsidR="001350FA" w:rsidRPr="00365E42">
        <w:rPr>
          <w:rFonts w:ascii="Book Antiqua" w:hAnsi="Book Antiqua" w:cs="Times New Roman"/>
          <w:sz w:val="24"/>
          <w:szCs w:val="24"/>
        </w:rPr>
        <w:t xml:space="preserve">. </w:t>
      </w:r>
    </w:p>
    <w:p w14:paraId="15EBBD7E" w14:textId="2700F496" w:rsidR="00E12FCC" w:rsidRDefault="00E12FCC" w:rsidP="002C519C">
      <w:pPr>
        <w:spacing w:line="360" w:lineRule="auto"/>
        <w:jc w:val="both"/>
        <w:rPr>
          <w:rFonts w:ascii="Book Antiqua" w:hAnsi="Book Antiqua" w:cs="Times New Roman"/>
          <w:sz w:val="24"/>
          <w:szCs w:val="24"/>
        </w:rPr>
      </w:pPr>
      <w:r w:rsidRPr="00365E42">
        <w:rPr>
          <w:rFonts w:ascii="Book Antiqua" w:hAnsi="Book Antiqua" w:cs="Times New Roman"/>
          <w:sz w:val="24"/>
          <w:szCs w:val="24"/>
        </w:rPr>
        <w:t>A continuación, se muestra una de las desagregaciones realizadas en esta temática, siendo que para mayor detalle pueden ser visualizados todos los cuadros conformados para el 2019 en el Anexo 3, y que desglosan toda la información mencionada anteriormente.</w:t>
      </w:r>
    </w:p>
    <w:p w14:paraId="6AB3DBB5" w14:textId="110097F5" w:rsidR="00336A2B" w:rsidRDefault="00336A2B" w:rsidP="002C519C">
      <w:pPr>
        <w:spacing w:line="360" w:lineRule="auto"/>
        <w:jc w:val="both"/>
        <w:rPr>
          <w:rFonts w:ascii="Book Antiqua" w:hAnsi="Book Antiqua" w:cs="Times New Roman"/>
          <w:sz w:val="24"/>
          <w:szCs w:val="24"/>
        </w:rPr>
      </w:pPr>
    </w:p>
    <w:p w14:paraId="5ED24661" w14:textId="43E2CFCE" w:rsidR="00336A2B" w:rsidRDefault="00336A2B" w:rsidP="002C519C">
      <w:pPr>
        <w:spacing w:line="360" w:lineRule="auto"/>
        <w:jc w:val="both"/>
        <w:rPr>
          <w:rFonts w:ascii="Book Antiqua" w:hAnsi="Book Antiqua" w:cs="Times New Roman"/>
          <w:sz w:val="24"/>
          <w:szCs w:val="24"/>
        </w:rPr>
      </w:pPr>
    </w:p>
    <w:p w14:paraId="6F4AE022" w14:textId="77777777" w:rsidR="00336A2B" w:rsidRPr="00365E42" w:rsidRDefault="00336A2B" w:rsidP="002C519C">
      <w:pPr>
        <w:spacing w:line="360" w:lineRule="auto"/>
        <w:jc w:val="both"/>
        <w:rPr>
          <w:rFonts w:ascii="Book Antiqua" w:hAnsi="Book Antiqua" w:cs="Times New Roman"/>
          <w:sz w:val="24"/>
          <w:szCs w:val="24"/>
        </w:rPr>
      </w:pPr>
    </w:p>
    <w:p w14:paraId="07287C83" w14:textId="22BA1CA2" w:rsidR="002C519C" w:rsidRPr="00336A2B" w:rsidRDefault="002C519C" w:rsidP="00336A2B">
      <w:pPr>
        <w:spacing w:after="0" w:line="240" w:lineRule="auto"/>
        <w:jc w:val="center"/>
        <w:rPr>
          <w:rFonts w:ascii="Book Antiqua" w:eastAsia="Times New Roman" w:hAnsi="Book Antiqua" w:cs="Times New Roman"/>
          <w:b/>
          <w:bCs/>
          <w:color w:val="000000"/>
          <w:sz w:val="24"/>
          <w:szCs w:val="24"/>
          <w:lang w:eastAsia="es-CR"/>
        </w:rPr>
      </w:pPr>
      <w:r w:rsidRPr="00336A2B">
        <w:rPr>
          <w:rFonts w:ascii="Book Antiqua" w:eastAsia="Times New Roman" w:hAnsi="Book Antiqua" w:cs="Times New Roman"/>
          <w:b/>
          <w:bCs/>
          <w:color w:val="000000"/>
          <w:sz w:val="24"/>
          <w:szCs w:val="24"/>
          <w:lang w:eastAsia="es-CR"/>
        </w:rPr>
        <w:lastRenderedPageBreak/>
        <w:t>Cuadro 8</w:t>
      </w:r>
    </w:p>
    <w:p w14:paraId="373D4FD5" w14:textId="331B2D5F" w:rsidR="002C519C" w:rsidRPr="00336A2B" w:rsidRDefault="002C519C" w:rsidP="00336A2B">
      <w:pPr>
        <w:spacing w:after="0" w:line="240" w:lineRule="auto"/>
        <w:jc w:val="center"/>
        <w:rPr>
          <w:rFonts w:ascii="Book Antiqua" w:eastAsia="Times New Roman" w:hAnsi="Book Antiqua" w:cs="Times New Roman"/>
          <w:b/>
          <w:bCs/>
          <w:color w:val="000000"/>
          <w:sz w:val="24"/>
          <w:szCs w:val="24"/>
          <w:lang w:eastAsia="es-CR"/>
        </w:rPr>
      </w:pPr>
      <w:r w:rsidRPr="00336A2B">
        <w:rPr>
          <w:rFonts w:ascii="Book Antiqua" w:eastAsia="Times New Roman" w:hAnsi="Book Antiqua" w:cs="Times New Roman"/>
          <w:b/>
          <w:bCs/>
          <w:color w:val="000000"/>
          <w:sz w:val="24"/>
          <w:szCs w:val="24"/>
          <w:lang w:eastAsia="es-CR"/>
        </w:rPr>
        <w:t>Volumen de personas intervinientes en el Ministerio Público por tipo de</w:t>
      </w:r>
    </w:p>
    <w:p w14:paraId="6403D2B6" w14:textId="07227D0B" w:rsidR="002C519C" w:rsidRDefault="002C519C" w:rsidP="00336A2B">
      <w:pPr>
        <w:spacing w:after="0" w:line="240" w:lineRule="auto"/>
        <w:jc w:val="center"/>
        <w:rPr>
          <w:rFonts w:ascii="Book Antiqua" w:eastAsia="Times New Roman" w:hAnsi="Book Antiqua" w:cs="Times New Roman"/>
          <w:b/>
          <w:bCs/>
          <w:color w:val="000000"/>
          <w:sz w:val="24"/>
          <w:szCs w:val="24"/>
          <w:lang w:eastAsia="es-CR"/>
        </w:rPr>
      </w:pPr>
      <w:r w:rsidRPr="00336A2B">
        <w:rPr>
          <w:rFonts w:ascii="Book Antiqua" w:eastAsia="Times New Roman" w:hAnsi="Book Antiqua" w:cs="Times New Roman"/>
          <w:b/>
          <w:bCs/>
          <w:color w:val="000000"/>
          <w:sz w:val="24"/>
          <w:szCs w:val="24"/>
          <w:lang w:eastAsia="es-CR"/>
        </w:rPr>
        <w:t>Interviniente y sexo biológico según rango de edad. 201</w:t>
      </w:r>
      <w:r w:rsidR="00F04ECD" w:rsidRPr="00336A2B">
        <w:rPr>
          <w:rFonts w:ascii="Book Antiqua" w:eastAsia="Times New Roman" w:hAnsi="Book Antiqua" w:cs="Times New Roman"/>
          <w:b/>
          <w:bCs/>
          <w:color w:val="000000"/>
          <w:sz w:val="24"/>
          <w:szCs w:val="24"/>
          <w:lang w:eastAsia="es-CR"/>
        </w:rPr>
        <w:t>9</w:t>
      </w:r>
    </w:p>
    <w:p w14:paraId="5123B74F" w14:textId="77777777" w:rsidR="00336A2B" w:rsidRPr="00336A2B" w:rsidRDefault="00336A2B" w:rsidP="00336A2B">
      <w:pPr>
        <w:spacing w:after="0" w:line="240" w:lineRule="auto"/>
        <w:jc w:val="center"/>
        <w:rPr>
          <w:rFonts w:ascii="Book Antiqua" w:eastAsia="Times New Roman" w:hAnsi="Book Antiqua" w:cs="Times New Roman"/>
          <w:b/>
          <w:bCs/>
          <w:color w:val="000000"/>
          <w:sz w:val="24"/>
          <w:szCs w:val="24"/>
          <w:lang w:eastAsia="es-CR"/>
        </w:rPr>
      </w:pPr>
    </w:p>
    <w:tbl>
      <w:tblPr>
        <w:tblW w:w="5003" w:type="pct"/>
        <w:jc w:val="center"/>
        <w:tblCellMar>
          <w:left w:w="70" w:type="dxa"/>
          <w:right w:w="70" w:type="dxa"/>
        </w:tblCellMar>
        <w:tblLook w:val="04A0" w:firstRow="1" w:lastRow="0" w:firstColumn="1" w:lastColumn="0" w:noHBand="0" w:noVBand="1"/>
      </w:tblPr>
      <w:tblGrid>
        <w:gridCol w:w="3853"/>
        <w:gridCol w:w="1231"/>
        <w:gridCol w:w="1231"/>
        <w:gridCol w:w="1263"/>
        <w:gridCol w:w="1265"/>
      </w:tblGrid>
      <w:tr w:rsidR="00F04ECD" w:rsidRPr="00365E42" w14:paraId="4486E98A" w14:textId="77777777" w:rsidTr="00F04ECD">
        <w:trPr>
          <w:trHeight w:val="315"/>
          <w:jc w:val="center"/>
        </w:trPr>
        <w:tc>
          <w:tcPr>
            <w:tcW w:w="2179" w:type="pct"/>
            <w:vMerge w:val="restart"/>
            <w:tcBorders>
              <w:top w:val="single" w:sz="4" w:space="0" w:color="auto"/>
              <w:left w:val="nil"/>
              <w:bottom w:val="single" w:sz="8" w:space="0" w:color="000000"/>
              <w:right w:val="single" w:sz="4" w:space="0" w:color="auto"/>
            </w:tcBorders>
            <w:shd w:val="clear" w:color="auto" w:fill="auto"/>
            <w:vAlign w:val="center"/>
            <w:hideMark/>
          </w:tcPr>
          <w:p w14:paraId="6BD7EF83"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xml:space="preserve">Rango de Edad </w:t>
            </w:r>
          </w:p>
        </w:tc>
        <w:tc>
          <w:tcPr>
            <w:tcW w:w="1392" w:type="pct"/>
            <w:gridSpan w:val="2"/>
            <w:tcBorders>
              <w:top w:val="single" w:sz="4" w:space="0" w:color="auto"/>
              <w:left w:val="nil"/>
              <w:bottom w:val="single" w:sz="4" w:space="0" w:color="auto"/>
              <w:right w:val="single" w:sz="4" w:space="0" w:color="auto"/>
            </w:tcBorders>
            <w:shd w:val="clear" w:color="auto" w:fill="auto"/>
            <w:vAlign w:val="center"/>
            <w:hideMark/>
          </w:tcPr>
          <w:p w14:paraId="560C613C"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Ofendido(a)</w:t>
            </w:r>
          </w:p>
        </w:tc>
        <w:tc>
          <w:tcPr>
            <w:tcW w:w="1429" w:type="pct"/>
            <w:gridSpan w:val="2"/>
            <w:tcBorders>
              <w:top w:val="single" w:sz="4" w:space="0" w:color="auto"/>
              <w:left w:val="single" w:sz="4" w:space="0" w:color="auto"/>
              <w:bottom w:val="single" w:sz="4" w:space="0" w:color="auto"/>
            </w:tcBorders>
            <w:shd w:val="clear" w:color="auto" w:fill="auto"/>
            <w:vAlign w:val="center"/>
            <w:hideMark/>
          </w:tcPr>
          <w:p w14:paraId="33FB2353"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Imputado(a)</w:t>
            </w:r>
          </w:p>
        </w:tc>
      </w:tr>
      <w:tr w:rsidR="002C519C" w:rsidRPr="00365E42" w14:paraId="7D6790B4" w14:textId="77777777" w:rsidTr="00F04ECD">
        <w:trPr>
          <w:trHeight w:val="310"/>
          <w:jc w:val="center"/>
        </w:trPr>
        <w:tc>
          <w:tcPr>
            <w:tcW w:w="2179" w:type="pct"/>
            <w:vMerge/>
            <w:tcBorders>
              <w:top w:val="single" w:sz="4" w:space="0" w:color="auto"/>
              <w:left w:val="nil"/>
              <w:bottom w:val="single" w:sz="8" w:space="0" w:color="000000"/>
              <w:right w:val="single" w:sz="4" w:space="0" w:color="auto"/>
            </w:tcBorders>
            <w:vAlign w:val="center"/>
            <w:hideMark/>
          </w:tcPr>
          <w:p w14:paraId="06BA2A6E" w14:textId="77777777" w:rsidR="002C519C" w:rsidRPr="00365E42" w:rsidRDefault="002C519C" w:rsidP="002C519C">
            <w:pPr>
              <w:spacing w:after="0" w:line="240" w:lineRule="auto"/>
              <w:rPr>
                <w:rFonts w:ascii="Book Antiqua" w:eastAsia="Times New Roman" w:hAnsi="Book Antiqua" w:cs="Times New Roman"/>
                <w:b/>
                <w:bCs/>
                <w:color w:val="000000"/>
                <w:lang w:eastAsia="es-CR"/>
              </w:rPr>
            </w:pPr>
          </w:p>
        </w:tc>
        <w:tc>
          <w:tcPr>
            <w:tcW w:w="696" w:type="pct"/>
            <w:tcBorders>
              <w:top w:val="nil"/>
              <w:left w:val="nil"/>
              <w:bottom w:val="single" w:sz="8" w:space="0" w:color="auto"/>
              <w:right w:val="single" w:sz="4" w:space="0" w:color="auto"/>
            </w:tcBorders>
            <w:shd w:val="clear" w:color="auto" w:fill="auto"/>
            <w:noWrap/>
            <w:vAlign w:val="center"/>
            <w:hideMark/>
          </w:tcPr>
          <w:p w14:paraId="2EFA6287"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Hombre</w:t>
            </w:r>
          </w:p>
        </w:tc>
        <w:tc>
          <w:tcPr>
            <w:tcW w:w="696" w:type="pct"/>
            <w:tcBorders>
              <w:top w:val="nil"/>
              <w:left w:val="nil"/>
              <w:bottom w:val="single" w:sz="8" w:space="0" w:color="auto"/>
              <w:right w:val="double" w:sz="6" w:space="0" w:color="auto"/>
            </w:tcBorders>
            <w:shd w:val="clear" w:color="auto" w:fill="auto"/>
            <w:noWrap/>
            <w:vAlign w:val="center"/>
            <w:hideMark/>
          </w:tcPr>
          <w:p w14:paraId="56A2A118"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Mujer</w:t>
            </w:r>
          </w:p>
        </w:tc>
        <w:tc>
          <w:tcPr>
            <w:tcW w:w="714" w:type="pct"/>
            <w:tcBorders>
              <w:top w:val="single" w:sz="4" w:space="0" w:color="auto"/>
              <w:left w:val="nil"/>
              <w:bottom w:val="single" w:sz="8" w:space="0" w:color="auto"/>
              <w:right w:val="single" w:sz="4" w:space="0" w:color="auto"/>
            </w:tcBorders>
            <w:shd w:val="clear" w:color="auto" w:fill="auto"/>
            <w:noWrap/>
            <w:vAlign w:val="center"/>
            <w:hideMark/>
          </w:tcPr>
          <w:p w14:paraId="380AFD92"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Hombre</w:t>
            </w:r>
          </w:p>
        </w:tc>
        <w:tc>
          <w:tcPr>
            <w:tcW w:w="715" w:type="pct"/>
            <w:tcBorders>
              <w:top w:val="single" w:sz="4" w:space="0" w:color="auto"/>
              <w:left w:val="nil"/>
              <w:bottom w:val="single" w:sz="8" w:space="0" w:color="auto"/>
              <w:right w:val="nil"/>
            </w:tcBorders>
            <w:shd w:val="clear" w:color="auto" w:fill="auto"/>
            <w:noWrap/>
            <w:vAlign w:val="center"/>
            <w:hideMark/>
          </w:tcPr>
          <w:p w14:paraId="18AE9A71"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Mujer</w:t>
            </w:r>
          </w:p>
        </w:tc>
      </w:tr>
      <w:tr w:rsidR="002C519C" w:rsidRPr="00365E42" w14:paraId="533FC8EC" w14:textId="77777777" w:rsidTr="002C519C">
        <w:trPr>
          <w:trHeight w:val="300"/>
          <w:jc w:val="center"/>
        </w:trPr>
        <w:tc>
          <w:tcPr>
            <w:tcW w:w="2179" w:type="pct"/>
            <w:tcBorders>
              <w:top w:val="nil"/>
              <w:left w:val="nil"/>
              <w:bottom w:val="nil"/>
              <w:right w:val="single" w:sz="4" w:space="0" w:color="auto"/>
            </w:tcBorders>
            <w:shd w:val="clear" w:color="auto" w:fill="auto"/>
            <w:vAlign w:val="center"/>
            <w:hideMark/>
          </w:tcPr>
          <w:p w14:paraId="09273750"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c>
          <w:tcPr>
            <w:tcW w:w="696" w:type="pct"/>
            <w:tcBorders>
              <w:top w:val="nil"/>
              <w:left w:val="nil"/>
              <w:bottom w:val="nil"/>
              <w:right w:val="nil"/>
            </w:tcBorders>
            <w:shd w:val="clear" w:color="auto" w:fill="auto"/>
            <w:noWrap/>
            <w:vAlign w:val="center"/>
            <w:hideMark/>
          </w:tcPr>
          <w:p w14:paraId="4081BD85"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p>
        </w:tc>
        <w:tc>
          <w:tcPr>
            <w:tcW w:w="696" w:type="pct"/>
            <w:tcBorders>
              <w:top w:val="nil"/>
              <w:left w:val="nil"/>
              <w:bottom w:val="nil"/>
              <w:right w:val="double" w:sz="6" w:space="0" w:color="auto"/>
            </w:tcBorders>
            <w:shd w:val="clear" w:color="auto" w:fill="auto"/>
            <w:noWrap/>
            <w:vAlign w:val="center"/>
            <w:hideMark/>
          </w:tcPr>
          <w:p w14:paraId="4C507FC4"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c>
          <w:tcPr>
            <w:tcW w:w="714" w:type="pct"/>
            <w:tcBorders>
              <w:top w:val="single" w:sz="4" w:space="0" w:color="auto"/>
              <w:left w:val="nil"/>
              <w:bottom w:val="nil"/>
              <w:right w:val="nil"/>
            </w:tcBorders>
            <w:shd w:val="clear" w:color="auto" w:fill="auto"/>
            <w:noWrap/>
            <w:vAlign w:val="center"/>
            <w:hideMark/>
          </w:tcPr>
          <w:p w14:paraId="474263FC"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c>
          <w:tcPr>
            <w:tcW w:w="715" w:type="pct"/>
            <w:tcBorders>
              <w:top w:val="single" w:sz="4" w:space="0" w:color="auto"/>
              <w:left w:val="nil"/>
              <w:bottom w:val="nil"/>
              <w:right w:val="nil"/>
            </w:tcBorders>
            <w:shd w:val="clear" w:color="auto" w:fill="auto"/>
            <w:noWrap/>
            <w:vAlign w:val="center"/>
            <w:hideMark/>
          </w:tcPr>
          <w:p w14:paraId="590295F5"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r>
      <w:tr w:rsidR="002C519C" w:rsidRPr="00365E42" w14:paraId="27BA15EA" w14:textId="77777777" w:rsidTr="002C519C">
        <w:trPr>
          <w:trHeight w:val="300"/>
          <w:jc w:val="center"/>
        </w:trPr>
        <w:tc>
          <w:tcPr>
            <w:tcW w:w="2179" w:type="pct"/>
            <w:tcBorders>
              <w:top w:val="nil"/>
              <w:left w:val="nil"/>
              <w:bottom w:val="nil"/>
              <w:right w:val="single" w:sz="4" w:space="0" w:color="auto"/>
            </w:tcBorders>
            <w:shd w:val="clear" w:color="auto" w:fill="auto"/>
            <w:noWrap/>
            <w:vAlign w:val="center"/>
            <w:hideMark/>
          </w:tcPr>
          <w:p w14:paraId="510BD54F"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xml:space="preserve">Total </w:t>
            </w:r>
          </w:p>
        </w:tc>
        <w:tc>
          <w:tcPr>
            <w:tcW w:w="696" w:type="pct"/>
            <w:tcBorders>
              <w:top w:val="nil"/>
              <w:left w:val="nil"/>
              <w:bottom w:val="nil"/>
              <w:right w:val="nil"/>
            </w:tcBorders>
            <w:shd w:val="clear" w:color="auto" w:fill="auto"/>
            <w:noWrap/>
            <w:vAlign w:val="center"/>
            <w:hideMark/>
          </w:tcPr>
          <w:p w14:paraId="4E030DCB"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91 634</w:t>
            </w:r>
          </w:p>
        </w:tc>
        <w:tc>
          <w:tcPr>
            <w:tcW w:w="696" w:type="pct"/>
            <w:tcBorders>
              <w:top w:val="nil"/>
              <w:left w:val="nil"/>
              <w:bottom w:val="nil"/>
              <w:right w:val="double" w:sz="6" w:space="0" w:color="auto"/>
            </w:tcBorders>
            <w:shd w:val="clear" w:color="auto" w:fill="auto"/>
            <w:noWrap/>
            <w:vAlign w:val="center"/>
            <w:hideMark/>
          </w:tcPr>
          <w:p w14:paraId="6634F345"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97 442</w:t>
            </w:r>
          </w:p>
        </w:tc>
        <w:tc>
          <w:tcPr>
            <w:tcW w:w="714" w:type="pct"/>
            <w:tcBorders>
              <w:top w:val="nil"/>
              <w:left w:val="nil"/>
              <w:bottom w:val="nil"/>
              <w:right w:val="nil"/>
            </w:tcBorders>
            <w:shd w:val="clear" w:color="auto" w:fill="auto"/>
            <w:noWrap/>
            <w:vAlign w:val="center"/>
            <w:hideMark/>
          </w:tcPr>
          <w:p w14:paraId="186585B2"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119 595</w:t>
            </w:r>
          </w:p>
        </w:tc>
        <w:tc>
          <w:tcPr>
            <w:tcW w:w="715" w:type="pct"/>
            <w:tcBorders>
              <w:top w:val="nil"/>
              <w:left w:val="nil"/>
              <w:bottom w:val="nil"/>
              <w:right w:val="nil"/>
            </w:tcBorders>
            <w:shd w:val="clear" w:color="auto" w:fill="auto"/>
            <w:noWrap/>
            <w:vAlign w:val="center"/>
            <w:hideMark/>
          </w:tcPr>
          <w:p w14:paraId="09C6B929"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31 702</w:t>
            </w:r>
          </w:p>
        </w:tc>
      </w:tr>
      <w:tr w:rsidR="002C519C" w:rsidRPr="00365E42" w14:paraId="2D741822" w14:textId="77777777" w:rsidTr="002C519C">
        <w:trPr>
          <w:trHeight w:val="300"/>
          <w:jc w:val="center"/>
        </w:trPr>
        <w:tc>
          <w:tcPr>
            <w:tcW w:w="2179" w:type="pct"/>
            <w:tcBorders>
              <w:top w:val="nil"/>
              <w:left w:val="nil"/>
              <w:bottom w:val="nil"/>
              <w:right w:val="single" w:sz="4" w:space="0" w:color="auto"/>
            </w:tcBorders>
            <w:shd w:val="clear" w:color="auto" w:fill="auto"/>
            <w:noWrap/>
            <w:vAlign w:val="center"/>
            <w:hideMark/>
          </w:tcPr>
          <w:p w14:paraId="28E77871"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c>
          <w:tcPr>
            <w:tcW w:w="696" w:type="pct"/>
            <w:tcBorders>
              <w:top w:val="nil"/>
              <w:left w:val="nil"/>
              <w:bottom w:val="nil"/>
              <w:right w:val="nil"/>
            </w:tcBorders>
            <w:shd w:val="clear" w:color="auto" w:fill="auto"/>
            <w:noWrap/>
            <w:vAlign w:val="center"/>
            <w:hideMark/>
          </w:tcPr>
          <w:p w14:paraId="53045700"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p>
        </w:tc>
        <w:tc>
          <w:tcPr>
            <w:tcW w:w="696" w:type="pct"/>
            <w:tcBorders>
              <w:top w:val="nil"/>
              <w:left w:val="nil"/>
              <w:bottom w:val="nil"/>
              <w:right w:val="double" w:sz="6" w:space="0" w:color="auto"/>
            </w:tcBorders>
            <w:shd w:val="clear" w:color="auto" w:fill="auto"/>
            <w:noWrap/>
            <w:vAlign w:val="center"/>
            <w:hideMark/>
          </w:tcPr>
          <w:p w14:paraId="688A6D92"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r w:rsidRPr="00365E42">
              <w:rPr>
                <w:rFonts w:ascii="Book Antiqua" w:eastAsia="Times New Roman" w:hAnsi="Book Antiqua" w:cs="Times New Roman"/>
                <w:b/>
                <w:bCs/>
                <w:color w:val="000000"/>
                <w:lang w:eastAsia="es-CR"/>
              </w:rPr>
              <w:t> </w:t>
            </w:r>
          </w:p>
        </w:tc>
        <w:tc>
          <w:tcPr>
            <w:tcW w:w="714" w:type="pct"/>
            <w:tcBorders>
              <w:top w:val="nil"/>
              <w:left w:val="nil"/>
              <w:bottom w:val="nil"/>
              <w:right w:val="nil"/>
            </w:tcBorders>
            <w:shd w:val="clear" w:color="auto" w:fill="auto"/>
            <w:noWrap/>
            <w:vAlign w:val="center"/>
            <w:hideMark/>
          </w:tcPr>
          <w:p w14:paraId="219A5A53" w14:textId="77777777" w:rsidR="002C519C" w:rsidRPr="00365E42" w:rsidRDefault="002C519C" w:rsidP="002C519C">
            <w:pPr>
              <w:spacing w:after="0" w:line="240" w:lineRule="auto"/>
              <w:jc w:val="center"/>
              <w:rPr>
                <w:rFonts w:ascii="Book Antiqua" w:eastAsia="Times New Roman" w:hAnsi="Book Antiqua" w:cs="Times New Roman"/>
                <w:b/>
                <w:bCs/>
                <w:color w:val="000000"/>
                <w:lang w:eastAsia="es-CR"/>
              </w:rPr>
            </w:pPr>
          </w:p>
        </w:tc>
        <w:tc>
          <w:tcPr>
            <w:tcW w:w="715" w:type="pct"/>
            <w:tcBorders>
              <w:top w:val="nil"/>
              <w:left w:val="nil"/>
              <w:bottom w:val="nil"/>
              <w:right w:val="nil"/>
            </w:tcBorders>
            <w:shd w:val="clear" w:color="auto" w:fill="auto"/>
            <w:noWrap/>
            <w:vAlign w:val="center"/>
            <w:hideMark/>
          </w:tcPr>
          <w:p w14:paraId="3987E54A" w14:textId="77777777" w:rsidR="002C519C" w:rsidRPr="00365E42" w:rsidRDefault="002C519C" w:rsidP="002C519C">
            <w:pPr>
              <w:spacing w:after="0" w:line="240" w:lineRule="auto"/>
              <w:jc w:val="center"/>
              <w:rPr>
                <w:rFonts w:ascii="Book Antiqua" w:eastAsia="Times New Roman" w:hAnsi="Book Antiqua" w:cs="Times New Roman"/>
                <w:lang w:eastAsia="es-CR"/>
              </w:rPr>
            </w:pPr>
          </w:p>
        </w:tc>
      </w:tr>
      <w:tr w:rsidR="002C519C" w:rsidRPr="00365E42" w14:paraId="5E4D8F8A"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59CE986E"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0 a 8 años</w:t>
            </w:r>
          </w:p>
        </w:tc>
        <w:tc>
          <w:tcPr>
            <w:tcW w:w="696" w:type="pct"/>
            <w:tcBorders>
              <w:top w:val="nil"/>
              <w:left w:val="nil"/>
              <w:bottom w:val="nil"/>
              <w:right w:val="nil"/>
            </w:tcBorders>
            <w:shd w:val="clear" w:color="auto" w:fill="auto"/>
            <w:noWrap/>
            <w:vAlign w:val="center"/>
            <w:hideMark/>
          </w:tcPr>
          <w:p w14:paraId="65BAAA1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973</w:t>
            </w:r>
          </w:p>
        </w:tc>
        <w:tc>
          <w:tcPr>
            <w:tcW w:w="696" w:type="pct"/>
            <w:tcBorders>
              <w:top w:val="nil"/>
              <w:left w:val="nil"/>
              <w:bottom w:val="nil"/>
              <w:right w:val="double" w:sz="6" w:space="0" w:color="auto"/>
            </w:tcBorders>
            <w:shd w:val="clear" w:color="auto" w:fill="auto"/>
            <w:noWrap/>
            <w:vAlign w:val="center"/>
            <w:hideMark/>
          </w:tcPr>
          <w:p w14:paraId="451D5242"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1 577</w:t>
            </w:r>
          </w:p>
        </w:tc>
        <w:tc>
          <w:tcPr>
            <w:tcW w:w="714" w:type="pct"/>
            <w:tcBorders>
              <w:top w:val="nil"/>
              <w:left w:val="nil"/>
              <w:bottom w:val="nil"/>
              <w:right w:val="nil"/>
            </w:tcBorders>
            <w:shd w:val="clear" w:color="auto" w:fill="auto"/>
            <w:noWrap/>
            <w:vAlign w:val="center"/>
            <w:hideMark/>
          </w:tcPr>
          <w:p w14:paraId="10E9968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87</w:t>
            </w:r>
          </w:p>
        </w:tc>
        <w:tc>
          <w:tcPr>
            <w:tcW w:w="715" w:type="pct"/>
            <w:tcBorders>
              <w:top w:val="nil"/>
              <w:left w:val="nil"/>
              <w:bottom w:val="nil"/>
              <w:right w:val="nil"/>
            </w:tcBorders>
            <w:shd w:val="clear" w:color="auto" w:fill="auto"/>
            <w:noWrap/>
            <w:vAlign w:val="center"/>
            <w:hideMark/>
          </w:tcPr>
          <w:p w14:paraId="6C3F953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14</w:t>
            </w:r>
          </w:p>
        </w:tc>
      </w:tr>
      <w:tr w:rsidR="002C519C" w:rsidRPr="00365E42" w14:paraId="7FF7242F"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6088927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9 a 17 años</w:t>
            </w:r>
          </w:p>
        </w:tc>
        <w:tc>
          <w:tcPr>
            <w:tcW w:w="696" w:type="pct"/>
            <w:tcBorders>
              <w:top w:val="nil"/>
              <w:left w:val="nil"/>
              <w:bottom w:val="nil"/>
              <w:right w:val="nil"/>
            </w:tcBorders>
            <w:shd w:val="clear" w:color="auto" w:fill="auto"/>
            <w:noWrap/>
            <w:vAlign w:val="center"/>
            <w:hideMark/>
          </w:tcPr>
          <w:p w14:paraId="72690B85"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2 530</w:t>
            </w:r>
          </w:p>
        </w:tc>
        <w:tc>
          <w:tcPr>
            <w:tcW w:w="696" w:type="pct"/>
            <w:tcBorders>
              <w:top w:val="nil"/>
              <w:left w:val="nil"/>
              <w:bottom w:val="nil"/>
              <w:right w:val="double" w:sz="6" w:space="0" w:color="auto"/>
            </w:tcBorders>
            <w:shd w:val="clear" w:color="auto" w:fill="auto"/>
            <w:noWrap/>
            <w:vAlign w:val="center"/>
            <w:hideMark/>
          </w:tcPr>
          <w:p w14:paraId="42EBD10C"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7 709</w:t>
            </w:r>
          </w:p>
        </w:tc>
        <w:tc>
          <w:tcPr>
            <w:tcW w:w="714" w:type="pct"/>
            <w:tcBorders>
              <w:top w:val="nil"/>
              <w:left w:val="nil"/>
              <w:bottom w:val="nil"/>
              <w:right w:val="nil"/>
            </w:tcBorders>
            <w:shd w:val="clear" w:color="auto" w:fill="auto"/>
            <w:noWrap/>
            <w:vAlign w:val="center"/>
            <w:hideMark/>
          </w:tcPr>
          <w:p w14:paraId="6BBF8A3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564</w:t>
            </w:r>
          </w:p>
        </w:tc>
        <w:tc>
          <w:tcPr>
            <w:tcW w:w="715" w:type="pct"/>
            <w:tcBorders>
              <w:top w:val="nil"/>
              <w:left w:val="nil"/>
              <w:bottom w:val="nil"/>
              <w:right w:val="nil"/>
            </w:tcBorders>
            <w:shd w:val="clear" w:color="auto" w:fill="auto"/>
            <w:noWrap/>
            <w:vAlign w:val="center"/>
            <w:hideMark/>
          </w:tcPr>
          <w:p w14:paraId="2E25ECB8"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174</w:t>
            </w:r>
          </w:p>
        </w:tc>
      </w:tr>
      <w:tr w:rsidR="002C519C" w:rsidRPr="00365E42" w14:paraId="4753D6CE"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47341B0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18 a 26 años</w:t>
            </w:r>
          </w:p>
        </w:tc>
        <w:tc>
          <w:tcPr>
            <w:tcW w:w="696" w:type="pct"/>
            <w:tcBorders>
              <w:top w:val="nil"/>
              <w:left w:val="nil"/>
              <w:bottom w:val="nil"/>
              <w:right w:val="nil"/>
            </w:tcBorders>
            <w:shd w:val="clear" w:color="auto" w:fill="auto"/>
            <w:noWrap/>
            <w:vAlign w:val="center"/>
            <w:hideMark/>
          </w:tcPr>
          <w:p w14:paraId="34FCDFFD"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14 538</w:t>
            </w:r>
          </w:p>
        </w:tc>
        <w:tc>
          <w:tcPr>
            <w:tcW w:w="696" w:type="pct"/>
            <w:tcBorders>
              <w:top w:val="nil"/>
              <w:left w:val="nil"/>
              <w:bottom w:val="nil"/>
              <w:right w:val="double" w:sz="6" w:space="0" w:color="auto"/>
            </w:tcBorders>
            <w:shd w:val="clear" w:color="auto" w:fill="auto"/>
            <w:noWrap/>
            <w:vAlign w:val="center"/>
            <w:hideMark/>
          </w:tcPr>
          <w:p w14:paraId="6429B297"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17 258</w:t>
            </w:r>
          </w:p>
        </w:tc>
        <w:tc>
          <w:tcPr>
            <w:tcW w:w="714" w:type="pct"/>
            <w:tcBorders>
              <w:top w:val="nil"/>
              <w:left w:val="nil"/>
              <w:bottom w:val="nil"/>
              <w:right w:val="nil"/>
            </w:tcBorders>
            <w:shd w:val="clear" w:color="auto" w:fill="auto"/>
            <w:noWrap/>
            <w:vAlign w:val="center"/>
            <w:hideMark/>
          </w:tcPr>
          <w:p w14:paraId="2EB54836"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25 106</w:t>
            </w:r>
          </w:p>
        </w:tc>
        <w:tc>
          <w:tcPr>
            <w:tcW w:w="715" w:type="pct"/>
            <w:tcBorders>
              <w:top w:val="nil"/>
              <w:left w:val="nil"/>
              <w:bottom w:val="nil"/>
              <w:right w:val="nil"/>
            </w:tcBorders>
            <w:shd w:val="clear" w:color="auto" w:fill="auto"/>
            <w:noWrap/>
            <w:vAlign w:val="center"/>
            <w:hideMark/>
          </w:tcPr>
          <w:p w14:paraId="7BA01508"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4 570</w:t>
            </w:r>
          </w:p>
        </w:tc>
      </w:tr>
      <w:tr w:rsidR="002C519C" w:rsidRPr="00365E42" w14:paraId="5FCF67DA"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76648343"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27 a 35 años</w:t>
            </w:r>
          </w:p>
        </w:tc>
        <w:tc>
          <w:tcPr>
            <w:tcW w:w="696" w:type="pct"/>
            <w:tcBorders>
              <w:top w:val="nil"/>
              <w:left w:val="nil"/>
              <w:bottom w:val="nil"/>
              <w:right w:val="nil"/>
            </w:tcBorders>
            <w:shd w:val="clear" w:color="auto" w:fill="auto"/>
            <w:noWrap/>
            <w:vAlign w:val="center"/>
            <w:hideMark/>
          </w:tcPr>
          <w:p w14:paraId="090C86CC"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19 058</w:t>
            </w:r>
          </w:p>
        </w:tc>
        <w:tc>
          <w:tcPr>
            <w:tcW w:w="696" w:type="pct"/>
            <w:tcBorders>
              <w:top w:val="nil"/>
              <w:left w:val="nil"/>
              <w:bottom w:val="nil"/>
              <w:right w:val="double" w:sz="6" w:space="0" w:color="auto"/>
            </w:tcBorders>
            <w:shd w:val="clear" w:color="auto" w:fill="auto"/>
            <w:noWrap/>
            <w:vAlign w:val="center"/>
            <w:hideMark/>
          </w:tcPr>
          <w:p w14:paraId="409BF17D"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22 176</w:t>
            </w:r>
          </w:p>
        </w:tc>
        <w:tc>
          <w:tcPr>
            <w:tcW w:w="714" w:type="pct"/>
            <w:tcBorders>
              <w:top w:val="nil"/>
              <w:left w:val="nil"/>
              <w:bottom w:val="nil"/>
              <w:right w:val="nil"/>
            </w:tcBorders>
            <w:shd w:val="clear" w:color="auto" w:fill="auto"/>
            <w:noWrap/>
            <w:vAlign w:val="center"/>
            <w:hideMark/>
          </w:tcPr>
          <w:p w14:paraId="398C16C9"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28 404</w:t>
            </w:r>
          </w:p>
        </w:tc>
        <w:tc>
          <w:tcPr>
            <w:tcW w:w="715" w:type="pct"/>
            <w:tcBorders>
              <w:top w:val="nil"/>
              <w:left w:val="nil"/>
              <w:bottom w:val="nil"/>
              <w:right w:val="nil"/>
            </w:tcBorders>
            <w:shd w:val="clear" w:color="auto" w:fill="auto"/>
            <w:noWrap/>
            <w:vAlign w:val="center"/>
            <w:hideMark/>
          </w:tcPr>
          <w:p w14:paraId="4E52F6B5"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5 853</w:t>
            </w:r>
          </w:p>
        </w:tc>
      </w:tr>
      <w:tr w:rsidR="002C519C" w:rsidRPr="00365E42" w14:paraId="6313617F"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32CFF7D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36 a 44 años</w:t>
            </w:r>
          </w:p>
        </w:tc>
        <w:tc>
          <w:tcPr>
            <w:tcW w:w="696" w:type="pct"/>
            <w:tcBorders>
              <w:top w:val="nil"/>
              <w:left w:val="nil"/>
              <w:bottom w:val="nil"/>
              <w:right w:val="nil"/>
            </w:tcBorders>
            <w:shd w:val="clear" w:color="auto" w:fill="auto"/>
            <w:noWrap/>
            <w:vAlign w:val="center"/>
            <w:hideMark/>
          </w:tcPr>
          <w:p w14:paraId="6F634D7D"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16 075</w:t>
            </w:r>
          </w:p>
        </w:tc>
        <w:tc>
          <w:tcPr>
            <w:tcW w:w="696" w:type="pct"/>
            <w:tcBorders>
              <w:top w:val="nil"/>
              <w:left w:val="nil"/>
              <w:bottom w:val="nil"/>
              <w:right w:val="double" w:sz="6" w:space="0" w:color="auto"/>
            </w:tcBorders>
            <w:shd w:val="clear" w:color="auto" w:fill="auto"/>
            <w:noWrap/>
            <w:vAlign w:val="center"/>
            <w:hideMark/>
          </w:tcPr>
          <w:p w14:paraId="4FA0AD92"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17 325</w:t>
            </w:r>
          </w:p>
        </w:tc>
        <w:tc>
          <w:tcPr>
            <w:tcW w:w="714" w:type="pct"/>
            <w:tcBorders>
              <w:top w:val="nil"/>
              <w:left w:val="nil"/>
              <w:bottom w:val="nil"/>
              <w:right w:val="nil"/>
            </w:tcBorders>
            <w:shd w:val="clear" w:color="auto" w:fill="auto"/>
            <w:noWrap/>
            <w:vAlign w:val="center"/>
            <w:hideMark/>
          </w:tcPr>
          <w:p w14:paraId="622F88F0"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18 939</w:t>
            </w:r>
          </w:p>
        </w:tc>
        <w:tc>
          <w:tcPr>
            <w:tcW w:w="715" w:type="pct"/>
            <w:tcBorders>
              <w:top w:val="nil"/>
              <w:left w:val="nil"/>
              <w:bottom w:val="nil"/>
              <w:right w:val="nil"/>
            </w:tcBorders>
            <w:shd w:val="clear" w:color="auto" w:fill="auto"/>
            <w:noWrap/>
            <w:vAlign w:val="center"/>
            <w:hideMark/>
          </w:tcPr>
          <w:p w14:paraId="54A5434A"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4 366</w:t>
            </w:r>
          </w:p>
        </w:tc>
      </w:tr>
      <w:tr w:rsidR="002C519C" w:rsidRPr="00365E42" w14:paraId="1946DEA7"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79902963"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45 a 53 años</w:t>
            </w:r>
          </w:p>
        </w:tc>
        <w:tc>
          <w:tcPr>
            <w:tcW w:w="696" w:type="pct"/>
            <w:tcBorders>
              <w:top w:val="nil"/>
              <w:left w:val="nil"/>
              <w:bottom w:val="nil"/>
              <w:right w:val="nil"/>
            </w:tcBorders>
            <w:shd w:val="clear" w:color="auto" w:fill="auto"/>
            <w:noWrap/>
            <w:vAlign w:val="center"/>
            <w:hideMark/>
          </w:tcPr>
          <w:p w14:paraId="2A90BC8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12 286</w:t>
            </w:r>
          </w:p>
        </w:tc>
        <w:tc>
          <w:tcPr>
            <w:tcW w:w="696" w:type="pct"/>
            <w:tcBorders>
              <w:top w:val="nil"/>
              <w:left w:val="nil"/>
              <w:bottom w:val="nil"/>
              <w:right w:val="double" w:sz="6" w:space="0" w:color="auto"/>
            </w:tcBorders>
            <w:shd w:val="clear" w:color="auto" w:fill="auto"/>
            <w:noWrap/>
            <w:vAlign w:val="center"/>
            <w:hideMark/>
          </w:tcPr>
          <w:p w14:paraId="0D9CF00B"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10 612</w:t>
            </w:r>
          </w:p>
        </w:tc>
        <w:tc>
          <w:tcPr>
            <w:tcW w:w="714" w:type="pct"/>
            <w:tcBorders>
              <w:top w:val="nil"/>
              <w:left w:val="nil"/>
              <w:bottom w:val="nil"/>
              <w:right w:val="nil"/>
            </w:tcBorders>
            <w:shd w:val="clear" w:color="auto" w:fill="auto"/>
            <w:noWrap/>
            <w:vAlign w:val="center"/>
            <w:hideMark/>
          </w:tcPr>
          <w:p w14:paraId="58B19289"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11 305</w:t>
            </w:r>
          </w:p>
        </w:tc>
        <w:tc>
          <w:tcPr>
            <w:tcW w:w="715" w:type="pct"/>
            <w:tcBorders>
              <w:top w:val="nil"/>
              <w:left w:val="nil"/>
              <w:bottom w:val="nil"/>
              <w:right w:val="nil"/>
            </w:tcBorders>
            <w:shd w:val="clear" w:color="auto" w:fill="auto"/>
            <w:noWrap/>
            <w:vAlign w:val="center"/>
            <w:hideMark/>
          </w:tcPr>
          <w:p w14:paraId="2F4F88FB"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2 768</w:t>
            </w:r>
          </w:p>
        </w:tc>
      </w:tr>
      <w:tr w:rsidR="002C519C" w:rsidRPr="00365E42" w14:paraId="77A9EF0E"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4ED85B7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54 a 62 años</w:t>
            </w:r>
          </w:p>
        </w:tc>
        <w:tc>
          <w:tcPr>
            <w:tcW w:w="696" w:type="pct"/>
            <w:tcBorders>
              <w:top w:val="nil"/>
              <w:left w:val="nil"/>
              <w:bottom w:val="nil"/>
              <w:right w:val="nil"/>
            </w:tcBorders>
            <w:shd w:val="clear" w:color="auto" w:fill="auto"/>
            <w:noWrap/>
            <w:vAlign w:val="center"/>
            <w:hideMark/>
          </w:tcPr>
          <w:p w14:paraId="5D3B052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10 015</w:t>
            </w:r>
          </w:p>
        </w:tc>
        <w:tc>
          <w:tcPr>
            <w:tcW w:w="696" w:type="pct"/>
            <w:tcBorders>
              <w:top w:val="nil"/>
              <w:left w:val="nil"/>
              <w:bottom w:val="nil"/>
              <w:right w:val="double" w:sz="6" w:space="0" w:color="auto"/>
            </w:tcBorders>
            <w:shd w:val="clear" w:color="auto" w:fill="auto"/>
            <w:noWrap/>
            <w:vAlign w:val="center"/>
            <w:hideMark/>
          </w:tcPr>
          <w:p w14:paraId="3C40B5B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7 309</w:t>
            </w:r>
          </w:p>
        </w:tc>
        <w:tc>
          <w:tcPr>
            <w:tcW w:w="714" w:type="pct"/>
            <w:tcBorders>
              <w:top w:val="nil"/>
              <w:left w:val="nil"/>
              <w:bottom w:val="nil"/>
              <w:right w:val="nil"/>
            </w:tcBorders>
            <w:shd w:val="clear" w:color="auto" w:fill="auto"/>
            <w:noWrap/>
            <w:vAlign w:val="center"/>
            <w:hideMark/>
          </w:tcPr>
          <w:p w14:paraId="198797C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7 577</w:t>
            </w:r>
          </w:p>
        </w:tc>
        <w:tc>
          <w:tcPr>
            <w:tcW w:w="715" w:type="pct"/>
            <w:tcBorders>
              <w:top w:val="nil"/>
              <w:left w:val="nil"/>
              <w:bottom w:val="nil"/>
              <w:right w:val="nil"/>
            </w:tcBorders>
            <w:shd w:val="clear" w:color="auto" w:fill="auto"/>
            <w:noWrap/>
            <w:vAlign w:val="center"/>
            <w:hideMark/>
          </w:tcPr>
          <w:p w14:paraId="01D58708"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1 639</w:t>
            </w:r>
          </w:p>
        </w:tc>
      </w:tr>
      <w:tr w:rsidR="002C519C" w:rsidRPr="00365E42" w14:paraId="7AD43C4E"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4D44F249"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63 a 71 años</w:t>
            </w:r>
          </w:p>
        </w:tc>
        <w:tc>
          <w:tcPr>
            <w:tcW w:w="696" w:type="pct"/>
            <w:tcBorders>
              <w:top w:val="nil"/>
              <w:left w:val="nil"/>
              <w:bottom w:val="nil"/>
              <w:right w:val="nil"/>
            </w:tcBorders>
            <w:shd w:val="clear" w:color="auto" w:fill="auto"/>
            <w:noWrap/>
            <w:vAlign w:val="center"/>
            <w:hideMark/>
          </w:tcPr>
          <w:p w14:paraId="690FB136"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6 143</w:t>
            </w:r>
          </w:p>
        </w:tc>
        <w:tc>
          <w:tcPr>
            <w:tcW w:w="696" w:type="pct"/>
            <w:tcBorders>
              <w:top w:val="nil"/>
              <w:left w:val="nil"/>
              <w:bottom w:val="nil"/>
              <w:right w:val="double" w:sz="6" w:space="0" w:color="auto"/>
            </w:tcBorders>
            <w:shd w:val="clear" w:color="auto" w:fill="auto"/>
            <w:noWrap/>
            <w:vAlign w:val="center"/>
            <w:hideMark/>
          </w:tcPr>
          <w:p w14:paraId="1A0E4487"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3 835</w:t>
            </w:r>
          </w:p>
        </w:tc>
        <w:tc>
          <w:tcPr>
            <w:tcW w:w="714" w:type="pct"/>
            <w:tcBorders>
              <w:top w:val="nil"/>
              <w:left w:val="nil"/>
              <w:bottom w:val="nil"/>
              <w:right w:val="nil"/>
            </w:tcBorders>
            <w:shd w:val="clear" w:color="auto" w:fill="auto"/>
            <w:noWrap/>
            <w:vAlign w:val="center"/>
            <w:hideMark/>
          </w:tcPr>
          <w:p w14:paraId="3067B5B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3 463</w:t>
            </w:r>
          </w:p>
        </w:tc>
        <w:tc>
          <w:tcPr>
            <w:tcW w:w="715" w:type="pct"/>
            <w:tcBorders>
              <w:top w:val="nil"/>
              <w:left w:val="nil"/>
              <w:bottom w:val="nil"/>
              <w:right w:val="nil"/>
            </w:tcBorders>
            <w:shd w:val="clear" w:color="auto" w:fill="auto"/>
            <w:noWrap/>
            <w:vAlign w:val="center"/>
            <w:hideMark/>
          </w:tcPr>
          <w:p w14:paraId="15B278E2"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705</w:t>
            </w:r>
          </w:p>
        </w:tc>
      </w:tr>
      <w:tr w:rsidR="002C519C" w:rsidRPr="00365E42" w14:paraId="4BED769C"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3B1A841B"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72 a 80 años</w:t>
            </w:r>
          </w:p>
        </w:tc>
        <w:tc>
          <w:tcPr>
            <w:tcW w:w="696" w:type="pct"/>
            <w:tcBorders>
              <w:top w:val="nil"/>
              <w:left w:val="nil"/>
              <w:bottom w:val="nil"/>
              <w:right w:val="nil"/>
            </w:tcBorders>
            <w:shd w:val="clear" w:color="auto" w:fill="auto"/>
            <w:noWrap/>
            <w:vAlign w:val="center"/>
            <w:hideMark/>
          </w:tcPr>
          <w:p w14:paraId="034ADEB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2 585</w:t>
            </w:r>
          </w:p>
        </w:tc>
        <w:tc>
          <w:tcPr>
            <w:tcW w:w="696" w:type="pct"/>
            <w:tcBorders>
              <w:top w:val="nil"/>
              <w:left w:val="nil"/>
              <w:bottom w:val="nil"/>
              <w:right w:val="double" w:sz="6" w:space="0" w:color="auto"/>
            </w:tcBorders>
            <w:shd w:val="clear" w:color="auto" w:fill="auto"/>
            <w:noWrap/>
            <w:vAlign w:val="center"/>
            <w:hideMark/>
          </w:tcPr>
          <w:p w14:paraId="6A4FFE2E"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1 663</w:t>
            </w:r>
          </w:p>
        </w:tc>
        <w:tc>
          <w:tcPr>
            <w:tcW w:w="714" w:type="pct"/>
            <w:tcBorders>
              <w:top w:val="nil"/>
              <w:left w:val="nil"/>
              <w:bottom w:val="nil"/>
              <w:right w:val="nil"/>
            </w:tcBorders>
            <w:shd w:val="clear" w:color="auto" w:fill="auto"/>
            <w:noWrap/>
            <w:vAlign w:val="center"/>
            <w:hideMark/>
          </w:tcPr>
          <w:p w14:paraId="19D71EC8"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893</w:t>
            </w:r>
          </w:p>
        </w:tc>
        <w:tc>
          <w:tcPr>
            <w:tcW w:w="715" w:type="pct"/>
            <w:tcBorders>
              <w:top w:val="nil"/>
              <w:left w:val="nil"/>
              <w:bottom w:val="nil"/>
              <w:right w:val="nil"/>
            </w:tcBorders>
            <w:shd w:val="clear" w:color="auto" w:fill="auto"/>
            <w:noWrap/>
            <w:vAlign w:val="center"/>
            <w:hideMark/>
          </w:tcPr>
          <w:p w14:paraId="6CC490A2"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243</w:t>
            </w:r>
          </w:p>
        </w:tc>
      </w:tr>
      <w:tr w:rsidR="002C519C" w:rsidRPr="00365E42" w14:paraId="2C544BF4"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6FEC1DE7"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81 a 89 años</w:t>
            </w:r>
          </w:p>
        </w:tc>
        <w:tc>
          <w:tcPr>
            <w:tcW w:w="696" w:type="pct"/>
            <w:tcBorders>
              <w:top w:val="nil"/>
              <w:left w:val="nil"/>
              <w:bottom w:val="nil"/>
              <w:right w:val="nil"/>
            </w:tcBorders>
            <w:shd w:val="clear" w:color="auto" w:fill="auto"/>
            <w:noWrap/>
            <w:vAlign w:val="center"/>
            <w:hideMark/>
          </w:tcPr>
          <w:p w14:paraId="504421F3"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777</w:t>
            </w:r>
          </w:p>
        </w:tc>
        <w:tc>
          <w:tcPr>
            <w:tcW w:w="696" w:type="pct"/>
            <w:tcBorders>
              <w:top w:val="nil"/>
              <w:left w:val="nil"/>
              <w:bottom w:val="nil"/>
              <w:right w:val="double" w:sz="6" w:space="0" w:color="auto"/>
            </w:tcBorders>
            <w:shd w:val="clear" w:color="auto" w:fill="auto"/>
            <w:noWrap/>
            <w:vAlign w:val="center"/>
            <w:hideMark/>
          </w:tcPr>
          <w:p w14:paraId="60D74B0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677</w:t>
            </w:r>
          </w:p>
        </w:tc>
        <w:tc>
          <w:tcPr>
            <w:tcW w:w="714" w:type="pct"/>
            <w:tcBorders>
              <w:top w:val="nil"/>
              <w:left w:val="nil"/>
              <w:bottom w:val="nil"/>
              <w:right w:val="nil"/>
            </w:tcBorders>
            <w:shd w:val="clear" w:color="auto" w:fill="auto"/>
            <w:noWrap/>
            <w:vAlign w:val="center"/>
            <w:hideMark/>
          </w:tcPr>
          <w:p w14:paraId="3E655C80"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220</w:t>
            </w:r>
          </w:p>
        </w:tc>
        <w:tc>
          <w:tcPr>
            <w:tcW w:w="715" w:type="pct"/>
            <w:tcBorders>
              <w:top w:val="nil"/>
              <w:left w:val="nil"/>
              <w:bottom w:val="nil"/>
              <w:right w:val="nil"/>
            </w:tcBorders>
            <w:shd w:val="clear" w:color="auto" w:fill="auto"/>
            <w:noWrap/>
            <w:vAlign w:val="center"/>
            <w:hideMark/>
          </w:tcPr>
          <w:p w14:paraId="519A6CFF"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60</w:t>
            </w:r>
          </w:p>
        </w:tc>
      </w:tr>
      <w:tr w:rsidR="002C519C" w:rsidRPr="00365E42" w14:paraId="14025F15"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38F296E6"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De 90 a más años</w:t>
            </w:r>
          </w:p>
        </w:tc>
        <w:tc>
          <w:tcPr>
            <w:tcW w:w="696" w:type="pct"/>
            <w:tcBorders>
              <w:top w:val="nil"/>
              <w:left w:val="nil"/>
              <w:bottom w:val="nil"/>
              <w:right w:val="nil"/>
            </w:tcBorders>
            <w:shd w:val="clear" w:color="auto" w:fill="auto"/>
            <w:noWrap/>
            <w:vAlign w:val="center"/>
            <w:hideMark/>
          </w:tcPr>
          <w:p w14:paraId="4D93C56E"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142</w:t>
            </w:r>
          </w:p>
        </w:tc>
        <w:tc>
          <w:tcPr>
            <w:tcW w:w="696" w:type="pct"/>
            <w:tcBorders>
              <w:top w:val="nil"/>
              <w:left w:val="nil"/>
              <w:bottom w:val="nil"/>
              <w:right w:val="double" w:sz="6" w:space="0" w:color="auto"/>
            </w:tcBorders>
            <w:shd w:val="clear" w:color="auto" w:fill="auto"/>
            <w:noWrap/>
            <w:vAlign w:val="center"/>
            <w:hideMark/>
          </w:tcPr>
          <w:p w14:paraId="3909D890"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176</w:t>
            </w:r>
          </w:p>
        </w:tc>
        <w:tc>
          <w:tcPr>
            <w:tcW w:w="714" w:type="pct"/>
            <w:tcBorders>
              <w:top w:val="nil"/>
              <w:left w:val="nil"/>
              <w:bottom w:val="nil"/>
              <w:right w:val="nil"/>
            </w:tcBorders>
            <w:shd w:val="clear" w:color="auto" w:fill="auto"/>
            <w:noWrap/>
            <w:vAlign w:val="center"/>
            <w:hideMark/>
          </w:tcPr>
          <w:p w14:paraId="49C5F0B7"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38</w:t>
            </w:r>
          </w:p>
        </w:tc>
        <w:tc>
          <w:tcPr>
            <w:tcW w:w="715" w:type="pct"/>
            <w:tcBorders>
              <w:top w:val="nil"/>
              <w:left w:val="nil"/>
              <w:bottom w:val="nil"/>
              <w:right w:val="nil"/>
            </w:tcBorders>
            <w:shd w:val="clear" w:color="auto" w:fill="auto"/>
            <w:noWrap/>
            <w:vAlign w:val="center"/>
            <w:hideMark/>
          </w:tcPr>
          <w:p w14:paraId="49B0859B"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19</w:t>
            </w:r>
          </w:p>
        </w:tc>
      </w:tr>
      <w:tr w:rsidR="002C519C" w:rsidRPr="00365E42" w14:paraId="756AFC71" w14:textId="77777777" w:rsidTr="002C519C">
        <w:trPr>
          <w:trHeight w:val="310"/>
          <w:jc w:val="center"/>
        </w:trPr>
        <w:tc>
          <w:tcPr>
            <w:tcW w:w="2179" w:type="pct"/>
            <w:tcBorders>
              <w:top w:val="nil"/>
              <w:left w:val="nil"/>
              <w:bottom w:val="nil"/>
              <w:right w:val="single" w:sz="4" w:space="0" w:color="auto"/>
            </w:tcBorders>
            <w:shd w:val="clear" w:color="auto" w:fill="auto"/>
            <w:noWrap/>
            <w:vAlign w:val="center"/>
            <w:hideMark/>
          </w:tcPr>
          <w:p w14:paraId="3A065EF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Dato desconocido</w:t>
            </w:r>
          </w:p>
        </w:tc>
        <w:tc>
          <w:tcPr>
            <w:tcW w:w="696" w:type="pct"/>
            <w:tcBorders>
              <w:top w:val="nil"/>
              <w:left w:val="nil"/>
              <w:bottom w:val="nil"/>
              <w:right w:val="nil"/>
            </w:tcBorders>
            <w:shd w:val="clear" w:color="auto" w:fill="auto"/>
            <w:noWrap/>
            <w:vAlign w:val="center"/>
            <w:hideMark/>
          </w:tcPr>
          <w:p w14:paraId="2175849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6 512</w:t>
            </w:r>
          </w:p>
        </w:tc>
        <w:tc>
          <w:tcPr>
            <w:tcW w:w="696" w:type="pct"/>
            <w:tcBorders>
              <w:top w:val="nil"/>
              <w:left w:val="nil"/>
              <w:bottom w:val="nil"/>
              <w:right w:val="double" w:sz="6" w:space="0" w:color="auto"/>
            </w:tcBorders>
            <w:shd w:val="clear" w:color="auto" w:fill="auto"/>
            <w:noWrap/>
            <w:vAlign w:val="center"/>
            <w:hideMark/>
          </w:tcPr>
          <w:p w14:paraId="346B84EB"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7 125</w:t>
            </w:r>
          </w:p>
        </w:tc>
        <w:tc>
          <w:tcPr>
            <w:tcW w:w="714" w:type="pct"/>
            <w:tcBorders>
              <w:top w:val="nil"/>
              <w:left w:val="nil"/>
              <w:bottom w:val="nil"/>
              <w:right w:val="nil"/>
            </w:tcBorders>
            <w:shd w:val="clear" w:color="auto" w:fill="auto"/>
            <w:noWrap/>
            <w:vAlign w:val="center"/>
            <w:hideMark/>
          </w:tcPr>
          <w:p w14:paraId="1BD707D6"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22 999</w:t>
            </w:r>
          </w:p>
        </w:tc>
        <w:tc>
          <w:tcPr>
            <w:tcW w:w="715" w:type="pct"/>
            <w:tcBorders>
              <w:top w:val="nil"/>
              <w:left w:val="nil"/>
              <w:bottom w:val="nil"/>
              <w:right w:val="nil"/>
            </w:tcBorders>
            <w:shd w:val="clear" w:color="auto" w:fill="auto"/>
            <w:noWrap/>
            <w:vAlign w:val="center"/>
            <w:hideMark/>
          </w:tcPr>
          <w:p w14:paraId="235455C4"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11 291</w:t>
            </w:r>
          </w:p>
        </w:tc>
      </w:tr>
      <w:tr w:rsidR="002C519C" w:rsidRPr="00365E42" w14:paraId="11C4DDAE" w14:textId="77777777" w:rsidTr="002C519C">
        <w:trPr>
          <w:trHeight w:val="310"/>
          <w:jc w:val="center"/>
        </w:trPr>
        <w:tc>
          <w:tcPr>
            <w:tcW w:w="2179" w:type="pct"/>
            <w:tcBorders>
              <w:top w:val="nil"/>
              <w:left w:val="nil"/>
              <w:bottom w:val="single" w:sz="4" w:space="0" w:color="auto"/>
              <w:right w:val="single" w:sz="4" w:space="0" w:color="auto"/>
            </w:tcBorders>
            <w:shd w:val="clear" w:color="auto" w:fill="auto"/>
            <w:noWrap/>
            <w:vAlign w:val="center"/>
            <w:hideMark/>
          </w:tcPr>
          <w:p w14:paraId="24637CC1"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696" w:type="pct"/>
            <w:tcBorders>
              <w:top w:val="nil"/>
              <w:left w:val="nil"/>
              <w:bottom w:val="single" w:sz="4" w:space="0" w:color="auto"/>
              <w:right w:val="nil"/>
            </w:tcBorders>
            <w:shd w:val="clear" w:color="auto" w:fill="auto"/>
            <w:noWrap/>
            <w:vAlign w:val="center"/>
            <w:hideMark/>
          </w:tcPr>
          <w:p w14:paraId="17B5BBC7"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696" w:type="pct"/>
            <w:tcBorders>
              <w:top w:val="nil"/>
              <w:left w:val="nil"/>
              <w:bottom w:val="single" w:sz="4" w:space="0" w:color="auto"/>
              <w:right w:val="double" w:sz="6" w:space="0" w:color="auto"/>
            </w:tcBorders>
            <w:shd w:val="clear" w:color="auto" w:fill="auto"/>
            <w:noWrap/>
            <w:vAlign w:val="center"/>
            <w:hideMark/>
          </w:tcPr>
          <w:p w14:paraId="31F17598"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714" w:type="pct"/>
            <w:tcBorders>
              <w:top w:val="nil"/>
              <w:left w:val="nil"/>
              <w:bottom w:val="single" w:sz="4" w:space="0" w:color="auto"/>
              <w:right w:val="nil"/>
            </w:tcBorders>
            <w:shd w:val="clear" w:color="auto" w:fill="auto"/>
            <w:noWrap/>
            <w:vAlign w:val="center"/>
            <w:hideMark/>
          </w:tcPr>
          <w:p w14:paraId="173919D2"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c>
          <w:tcPr>
            <w:tcW w:w="715" w:type="pct"/>
            <w:tcBorders>
              <w:top w:val="nil"/>
              <w:left w:val="nil"/>
              <w:bottom w:val="single" w:sz="4" w:space="0" w:color="auto"/>
              <w:right w:val="nil"/>
            </w:tcBorders>
            <w:shd w:val="clear" w:color="auto" w:fill="auto"/>
            <w:noWrap/>
            <w:vAlign w:val="center"/>
            <w:hideMark/>
          </w:tcPr>
          <w:p w14:paraId="04A0395A" w14:textId="77777777" w:rsidR="002C519C" w:rsidRPr="00365E42" w:rsidRDefault="002C519C" w:rsidP="002C519C">
            <w:pPr>
              <w:spacing w:after="0" w:line="240" w:lineRule="auto"/>
              <w:jc w:val="center"/>
              <w:rPr>
                <w:rFonts w:ascii="Book Antiqua" w:eastAsia="Times New Roman" w:hAnsi="Book Antiqua" w:cs="Times New Roman"/>
                <w:color w:val="000000"/>
                <w:lang w:eastAsia="es-CR"/>
              </w:rPr>
            </w:pPr>
            <w:r w:rsidRPr="00365E42">
              <w:rPr>
                <w:rFonts w:ascii="Book Antiqua" w:eastAsia="Times New Roman" w:hAnsi="Book Antiqua" w:cs="Times New Roman"/>
                <w:color w:val="000000"/>
                <w:lang w:eastAsia="es-CR"/>
              </w:rPr>
              <w:t> </w:t>
            </w:r>
          </w:p>
        </w:tc>
      </w:tr>
      <w:tr w:rsidR="002C519C" w:rsidRPr="00365E42" w14:paraId="6AF09B5A" w14:textId="77777777" w:rsidTr="002C519C">
        <w:trPr>
          <w:trHeight w:val="260"/>
          <w:jc w:val="center"/>
        </w:trPr>
        <w:tc>
          <w:tcPr>
            <w:tcW w:w="5000" w:type="pct"/>
            <w:gridSpan w:val="5"/>
            <w:tcBorders>
              <w:top w:val="nil"/>
              <w:left w:val="nil"/>
              <w:bottom w:val="nil"/>
              <w:right w:val="nil"/>
            </w:tcBorders>
            <w:shd w:val="clear" w:color="auto" w:fill="auto"/>
            <w:noWrap/>
            <w:vAlign w:val="center"/>
            <w:hideMark/>
          </w:tcPr>
          <w:p w14:paraId="48792797" w14:textId="77777777" w:rsidR="002C519C" w:rsidRPr="00365E42" w:rsidRDefault="002C519C" w:rsidP="002C519C">
            <w:pPr>
              <w:spacing w:after="0" w:line="240" w:lineRule="auto"/>
              <w:rPr>
                <w:rFonts w:ascii="Book Antiqua" w:eastAsia="Times New Roman" w:hAnsi="Book Antiqua" w:cs="Times New Roman"/>
                <w:color w:val="000000"/>
                <w:lang w:eastAsia="es-CR"/>
              </w:rPr>
            </w:pPr>
            <w:r w:rsidRPr="00365E42">
              <w:rPr>
                <w:rFonts w:ascii="Book Antiqua" w:eastAsia="Times New Roman" w:hAnsi="Book Antiqua" w:cs="Times New Roman"/>
                <w:color w:val="000000"/>
                <w:sz w:val="18"/>
                <w:szCs w:val="18"/>
                <w:lang w:eastAsia="es-CR"/>
              </w:rPr>
              <w:t>Elaborado por: Subproceso de Estadística, Dirección de Planificación.</w:t>
            </w:r>
          </w:p>
        </w:tc>
      </w:tr>
    </w:tbl>
    <w:p w14:paraId="15FA11C3" w14:textId="77777777" w:rsidR="004C1EE3" w:rsidRPr="00365E42" w:rsidRDefault="004C1EE3" w:rsidP="004C1EE3">
      <w:pPr>
        <w:jc w:val="both"/>
        <w:outlineLvl w:val="0"/>
        <w:rPr>
          <w:rFonts w:ascii="Book Antiqua" w:hAnsi="Book Antiqua" w:cs="Times New Roman"/>
          <w:b/>
          <w:bCs/>
          <w:sz w:val="24"/>
          <w:szCs w:val="24"/>
        </w:rPr>
      </w:pPr>
    </w:p>
    <w:p w14:paraId="0F53DDB5" w14:textId="1A17BB51" w:rsidR="002C3842" w:rsidRPr="00365E42" w:rsidRDefault="004C1EE3" w:rsidP="002C3842">
      <w:pPr>
        <w:pStyle w:val="Prrafodelista"/>
        <w:numPr>
          <w:ilvl w:val="0"/>
          <w:numId w:val="1"/>
        </w:numPr>
        <w:jc w:val="both"/>
        <w:outlineLvl w:val="0"/>
        <w:rPr>
          <w:rFonts w:ascii="Book Antiqua" w:hAnsi="Book Antiqua" w:cs="Times New Roman"/>
          <w:b/>
          <w:bCs/>
          <w:sz w:val="24"/>
          <w:szCs w:val="24"/>
        </w:rPr>
      </w:pPr>
      <w:bookmarkStart w:id="8" w:name="_Toc46389678"/>
      <w:r w:rsidRPr="00365E42">
        <w:rPr>
          <w:rFonts w:ascii="Book Antiqua" w:hAnsi="Book Antiqua" w:cs="Times New Roman"/>
          <w:b/>
          <w:bCs/>
          <w:sz w:val="24"/>
          <w:szCs w:val="24"/>
        </w:rPr>
        <w:t>OPORTUNIDADES DE MEJORA</w:t>
      </w:r>
      <w:bookmarkEnd w:id="8"/>
    </w:p>
    <w:p w14:paraId="55F7688D" w14:textId="594D08AE" w:rsidR="004C1EE3" w:rsidRPr="00365E42" w:rsidRDefault="004C1EE3" w:rsidP="004C1EE3">
      <w:pPr>
        <w:spacing w:line="360" w:lineRule="auto"/>
        <w:jc w:val="both"/>
        <w:rPr>
          <w:rFonts w:ascii="Book Antiqua" w:hAnsi="Book Antiqua" w:cs="Times New Roman"/>
          <w:sz w:val="24"/>
          <w:szCs w:val="24"/>
        </w:rPr>
      </w:pPr>
      <w:r w:rsidRPr="00365E42">
        <w:rPr>
          <w:rFonts w:ascii="Book Antiqua" w:hAnsi="Book Antiqua" w:cs="Times New Roman"/>
          <w:sz w:val="24"/>
          <w:szCs w:val="24"/>
        </w:rPr>
        <w:t>Para el 201</w:t>
      </w:r>
      <w:r w:rsidR="0034149C" w:rsidRPr="00365E42">
        <w:rPr>
          <w:rFonts w:ascii="Book Antiqua" w:hAnsi="Book Antiqua" w:cs="Times New Roman"/>
          <w:sz w:val="24"/>
          <w:szCs w:val="24"/>
        </w:rPr>
        <w:t>9</w:t>
      </w:r>
      <w:r w:rsidRPr="00365E42">
        <w:rPr>
          <w:rFonts w:ascii="Book Antiqua" w:hAnsi="Book Antiqua" w:cs="Times New Roman"/>
          <w:sz w:val="24"/>
          <w:szCs w:val="24"/>
        </w:rPr>
        <w:t>, la generación del informe de inconsistencias en el área Penal indica que se tiene</w:t>
      </w:r>
      <w:r w:rsidR="00DD1183" w:rsidRPr="00365E42">
        <w:rPr>
          <w:rFonts w:ascii="Book Antiqua" w:hAnsi="Book Antiqua" w:cs="Times New Roman"/>
          <w:sz w:val="24"/>
          <w:szCs w:val="24"/>
        </w:rPr>
        <w:t>n</w:t>
      </w:r>
      <w:r w:rsidRPr="00365E42">
        <w:rPr>
          <w:rFonts w:ascii="Book Antiqua" w:hAnsi="Book Antiqua" w:cs="Times New Roman"/>
          <w:sz w:val="24"/>
          <w:szCs w:val="24"/>
        </w:rPr>
        <w:t xml:space="preserve"> un total de </w:t>
      </w:r>
      <w:r w:rsidR="00DD1183" w:rsidRPr="00365E42">
        <w:rPr>
          <w:rFonts w:ascii="Book Antiqua" w:hAnsi="Book Antiqua" w:cs="Times New Roman"/>
          <w:sz w:val="24"/>
          <w:szCs w:val="24"/>
        </w:rPr>
        <w:t>9.139</w:t>
      </w:r>
      <w:r w:rsidRPr="00365E42">
        <w:rPr>
          <w:rFonts w:ascii="Book Antiqua" w:hAnsi="Book Antiqua" w:cs="Times New Roman"/>
          <w:sz w:val="24"/>
          <w:szCs w:val="24"/>
        </w:rPr>
        <w:t xml:space="preserve"> procesos que presentan </w:t>
      </w:r>
      <w:r w:rsidR="003B6034" w:rsidRPr="00365E42">
        <w:rPr>
          <w:rFonts w:ascii="Book Antiqua" w:hAnsi="Book Antiqua" w:cs="Times New Roman"/>
          <w:sz w:val="24"/>
          <w:szCs w:val="24"/>
        </w:rPr>
        <w:t>algún</w:t>
      </w:r>
      <w:r w:rsidRPr="00365E42">
        <w:rPr>
          <w:rFonts w:ascii="Book Antiqua" w:hAnsi="Book Antiqua" w:cs="Times New Roman"/>
          <w:sz w:val="24"/>
          <w:szCs w:val="24"/>
        </w:rPr>
        <w:t xml:space="preserve"> tipo de problema, </w:t>
      </w:r>
      <w:r w:rsidR="00DD1183" w:rsidRPr="00365E42">
        <w:rPr>
          <w:rFonts w:ascii="Book Antiqua" w:hAnsi="Book Antiqua" w:cs="Times New Roman"/>
          <w:sz w:val="24"/>
          <w:szCs w:val="24"/>
        </w:rPr>
        <w:t xml:space="preserve">lo que en relación con un año antes, representa un incremento del 33,24% (2.280 expedientes) </w:t>
      </w:r>
      <w:r w:rsidRPr="00365E42">
        <w:rPr>
          <w:rFonts w:ascii="Book Antiqua" w:hAnsi="Book Antiqua" w:cs="Times New Roman"/>
          <w:sz w:val="24"/>
          <w:szCs w:val="24"/>
        </w:rPr>
        <w:t xml:space="preserve">por lo que se insta a los despachos en mantener los sistemas actualizados de manera que la información requerida sea registrada correctamente en </w:t>
      </w:r>
      <w:r w:rsidR="003B6034" w:rsidRPr="00365E42">
        <w:rPr>
          <w:rFonts w:ascii="Book Antiqua" w:hAnsi="Book Antiqua" w:cs="Times New Roman"/>
          <w:sz w:val="24"/>
          <w:szCs w:val="24"/>
        </w:rPr>
        <w:t>estos</w:t>
      </w:r>
      <w:r w:rsidRPr="00365E42">
        <w:rPr>
          <w:rFonts w:ascii="Book Antiqua" w:hAnsi="Book Antiqua" w:cs="Times New Roman"/>
          <w:sz w:val="24"/>
          <w:szCs w:val="24"/>
        </w:rPr>
        <w:t xml:space="preserve"> y así evitar contratiempos en la remisión de los informes finales. </w:t>
      </w:r>
    </w:p>
    <w:p w14:paraId="759D332E" w14:textId="623C20E6" w:rsidR="004C1EE3" w:rsidRDefault="004C1EE3" w:rsidP="00B704A7">
      <w:pPr>
        <w:spacing w:line="360" w:lineRule="auto"/>
        <w:jc w:val="both"/>
        <w:rPr>
          <w:rFonts w:ascii="Book Antiqua" w:hAnsi="Book Antiqua" w:cs="Times New Roman"/>
          <w:sz w:val="24"/>
          <w:szCs w:val="24"/>
        </w:rPr>
      </w:pPr>
      <w:r w:rsidRPr="00365E42">
        <w:rPr>
          <w:rFonts w:ascii="Book Antiqua" w:hAnsi="Book Antiqua" w:cs="Times New Roman"/>
          <w:sz w:val="24"/>
          <w:szCs w:val="24"/>
        </w:rPr>
        <w:t>También, se tiene un porcentaje importante de intervinientes cuyas variables sociodemográficas se desconocen</w:t>
      </w:r>
      <w:r w:rsidR="00737197" w:rsidRPr="00365E42">
        <w:rPr>
          <w:rFonts w:ascii="Book Antiqua" w:hAnsi="Book Antiqua" w:cs="Times New Roman"/>
          <w:sz w:val="24"/>
          <w:szCs w:val="24"/>
        </w:rPr>
        <w:t xml:space="preserve">, principalmente las </w:t>
      </w:r>
      <w:r w:rsidR="005B631B" w:rsidRPr="00365E42">
        <w:rPr>
          <w:rFonts w:ascii="Book Antiqua" w:hAnsi="Book Antiqua" w:cs="Times New Roman"/>
          <w:sz w:val="24"/>
          <w:szCs w:val="24"/>
        </w:rPr>
        <w:t>relacionadas con</w:t>
      </w:r>
      <w:r w:rsidR="00737197" w:rsidRPr="00365E42">
        <w:rPr>
          <w:rFonts w:ascii="Book Antiqua" w:hAnsi="Book Antiqua" w:cs="Times New Roman"/>
          <w:sz w:val="24"/>
          <w:szCs w:val="24"/>
        </w:rPr>
        <w:t xml:space="preserve"> </w:t>
      </w:r>
      <w:r w:rsidR="00737197" w:rsidRPr="00365E42">
        <w:rPr>
          <w:rFonts w:ascii="Book Antiqua" w:hAnsi="Book Antiqua" w:cs="Times New Roman"/>
          <w:i/>
          <w:iCs/>
          <w:sz w:val="24"/>
          <w:szCs w:val="24"/>
        </w:rPr>
        <w:t>discapacidad</w:t>
      </w:r>
      <w:r w:rsidR="00737197" w:rsidRPr="00365E42">
        <w:rPr>
          <w:rFonts w:ascii="Book Antiqua" w:hAnsi="Book Antiqua" w:cs="Times New Roman"/>
          <w:sz w:val="24"/>
          <w:szCs w:val="24"/>
        </w:rPr>
        <w:t xml:space="preserve"> </w:t>
      </w:r>
      <w:r w:rsidR="005B631B" w:rsidRPr="00365E42">
        <w:rPr>
          <w:rFonts w:ascii="Book Antiqua" w:hAnsi="Book Antiqua" w:cs="Times New Roman"/>
          <w:sz w:val="24"/>
          <w:szCs w:val="24"/>
        </w:rPr>
        <w:t xml:space="preserve">la cual presenta </w:t>
      </w:r>
      <w:r w:rsidR="00737197" w:rsidRPr="00365E42">
        <w:rPr>
          <w:rFonts w:ascii="Book Antiqua" w:hAnsi="Book Antiqua" w:cs="Times New Roman"/>
          <w:sz w:val="24"/>
          <w:szCs w:val="24"/>
        </w:rPr>
        <w:t xml:space="preserve">un faltante del 29,45% (100.253 personas) y </w:t>
      </w:r>
      <w:r w:rsidR="00737197" w:rsidRPr="00365E42">
        <w:rPr>
          <w:rFonts w:ascii="Book Antiqua" w:hAnsi="Book Antiqua" w:cs="Times New Roman"/>
          <w:i/>
          <w:iCs/>
          <w:sz w:val="24"/>
          <w:szCs w:val="24"/>
        </w:rPr>
        <w:t>etnia</w:t>
      </w:r>
      <w:r w:rsidR="00737197" w:rsidRPr="00365E42">
        <w:rPr>
          <w:rFonts w:ascii="Book Antiqua" w:hAnsi="Book Antiqua" w:cs="Times New Roman"/>
          <w:sz w:val="24"/>
          <w:szCs w:val="24"/>
        </w:rPr>
        <w:t xml:space="preserve"> con un 84,91% </w:t>
      </w:r>
      <w:r w:rsidR="00737197" w:rsidRPr="00365E42">
        <w:rPr>
          <w:rFonts w:ascii="Book Antiqua" w:hAnsi="Book Antiqua" w:cs="Times New Roman"/>
          <w:sz w:val="24"/>
          <w:szCs w:val="24"/>
        </w:rPr>
        <w:lastRenderedPageBreak/>
        <w:t>(289.026 personas)</w:t>
      </w:r>
      <w:r w:rsidR="005B631B" w:rsidRPr="00365E42">
        <w:rPr>
          <w:rFonts w:ascii="Book Antiqua" w:hAnsi="Book Antiqua" w:cs="Times New Roman"/>
          <w:sz w:val="24"/>
          <w:szCs w:val="24"/>
        </w:rPr>
        <w:t xml:space="preserve"> de datos ignorados</w:t>
      </w:r>
      <w:r w:rsidRPr="00365E42">
        <w:rPr>
          <w:rFonts w:ascii="Book Antiqua" w:hAnsi="Book Antiqua" w:cs="Times New Roman"/>
          <w:sz w:val="24"/>
          <w:szCs w:val="24"/>
        </w:rPr>
        <w:t>,</w:t>
      </w:r>
      <w:r w:rsidR="00737197" w:rsidRPr="00365E42">
        <w:rPr>
          <w:rFonts w:ascii="Book Antiqua" w:hAnsi="Book Antiqua" w:cs="Times New Roman"/>
          <w:sz w:val="24"/>
          <w:szCs w:val="24"/>
        </w:rPr>
        <w:t xml:space="preserve"> </w:t>
      </w:r>
      <w:r w:rsidRPr="00365E42">
        <w:rPr>
          <w:rFonts w:ascii="Book Antiqua" w:hAnsi="Book Antiqua" w:cs="Times New Roman"/>
          <w:sz w:val="24"/>
          <w:szCs w:val="24"/>
        </w:rPr>
        <w:t xml:space="preserve">por lo que es relevante registrar de manera completa la información y con ello suministrar datos confiables, precisos que coadyuven en la toma de decisiones.  </w:t>
      </w:r>
    </w:p>
    <w:p w14:paraId="37C6F12B" w14:textId="77777777" w:rsidR="00336A2B" w:rsidRPr="00365E42" w:rsidRDefault="00336A2B" w:rsidP="00B704A7">
      <w:pPr>
        <w:spacing w:line="360" w:lineRule="auto"/>
        <w:jc w:val="both"/>
        <w:rPr>
          <w:rFonts w:ascii="Book Antiqua" w:hAnsi="Book Antiqua" w:cs="Times New Roman"/>
          <w:sz w:val="24"/>
          <w:szCs w:val="24"/>
        </w:rPr>
      </w:pPr>
    </w:p>
    <w:p w14:paraId="2916F01D" w14:textId="14468117" w:rsidR="002C3842" w:rsidRPr="00365E42" w:rsidRDefault="002C3842" w:rsidP="00F67896">
      <w:pPr>
        <w:pStyle w:val="Prrafodelista"/>
        <w:numPr>
          <w:ilvl w:val="0"/>
          <w:numId w:val="1"/>
        </w:numPr>
        <w:jc w:val="both"/>
        <w:outlineLvl w:val="0"/>
        <w:rPr>
          <w:rFonts w:ascii="Book Antiqua" w:hAnsi="Book Antiqua" w:cs="Times New Roman"/>
          <w:b/>
          <w:bCs/>
          <w:sz w:val="24"/>
          <w:szCs w:val="24"/>
        </w:rPr>
      </w:pPr>
      <w:bookmarkStart w:id="9" w:name="_Toc46389679"/>
      <w:r w:rsidRPr="00365E42">
        <w:rPr>
          <w:rFonts w:ascii="Book Antiqua" w:hAnsi="Book Antiqua" w:cs="Times New Roman"/>
          <w:b/>
          <w:bCs/>
          <w:sz w:val="24"/>
          <w:szCs w:val="24"/>
        </w:rPr>
        <w:t>ANEXOS</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330"/>
      </w:tblGrid>
      <w:tr w:rsidR="002C3842" w:rsidRPr="00365E42" w14:paraId="1C728D7D" w14:textId="77777777" w:rsidTr="00336A2B">
        <w:tc>
          <w:tcPr>
            <w:tcW w:w="4498"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0923CD90" w14:textId="77777777" w:rsidR="002C3842" w:rsidRPr="00365E42" w:rsidRDefault="002C3842">
            <w:pPr>
              <w:jc w:val="center"/>
              <w:rPr>
                <w:rFonts w:ascii="Book Antiqua" w:hAnsi="Book Antiqua" w:cs="Times New Roman"/>
                <w:b/>
                <w:noProof/>
                <w:color w:val="D9E2F3"/>
                <w:sz w:val="20"/>
                <w:szCs w:val="20"/>
              </w:rPr>
            </w:pPr>
            <w:r w:rsidRPr="00365E42">
              <w:rPr>
                <w:rFonts w:ascii="Book Antiqua" w:hAnsi="Book Antiqua" w:cs="Times New Roman"/>
                <w:b/>
                <w:noProof/>
                <w:color w:val="D9E2F3"/>
                <w:sz w:val="20"/>
                <w:szCs w:val="20"/>
              </w:rPr>
              <w:t>Descripción</w:t>
            </w:r>
          </w:p>
        </w:tc>
        <w:tc>
          <w:tcPr>
            <w:tcW w:w="4330" w:type="dxa"/>
            <w:tcBorders>
              <w:top w:val="single" w:sz="4" w:space="0" w:color="auto"/>
              <w:left w:val="single" w:sz="4" w:space="0" w:color="auto"/>
              <w:bottom w:val="single" w:sz="4" w:space="0" w:color="auto"/>
              <w:right w:val="single" w:sz="4" w:space="0" w:color="auto"/>
            </w:tcBorders>
            <w:shd w:val="clear" w:color="auto" w:fill="2E74B5"/>
            <w:vAlign w:val="center"/>
            <w:hideMark/>
          </w:tcPr>
          <w:p w14:paraId="3D91C655" w14:textId="77777777" w:rsidR="002C3842" w:rsidRPr="00365E42" w:rsidRDefault="002C3842">
            <w:pPr>
              <w:jc w:val="center"/>
              <w:rPr>
                <w:rFonts w:ascii="Book Antiqua" w:hAnsi="Book Antiqua" w:cs="Times New Roman"/>
                <w:b/>
                <w:noProof/>
                <w:color w:val="D9E2F3"/>
                <w:sz w:val="20"/>
                <w:szCs w:val="20"/>
              </w:rPr>
            </w:pPr>
            <w:r w:rsidRPr="00365E42">
              <w:rPr>
                <w:rFonts w:ascii="Book Antiqua" w:hAnsi="Book Antiqua" w:cs="Times New Roman"/>
                <w:b/>
                <w:noProof/>
                <w:color w:val="D9E2F3"/>
                <w:sz w:val="20"/>
                <w:szCs w:val="20"/>
              </w:rPr>
              <w:t>Archivo</w:t>
            </w:r>
          </w:p>
        </w:tc>
      </w:tr>
      <w:tr w:rsidR="002C3842" w:rsidRPr="00365E42" w14:paraId="61A23B11" w14:textId="77777777" w:rsidTr="00336A2B">
        <w:tc>
          <w:tcPr>
            <w:tcW w:w="4498" w:type="dxa"/>
            <w:tcBorders>
              <w:top w:val="single" w:sz="4" w:space="0" w:color="auto"/>
              <w:left w:val="single" w:sz="4" w:space="0" w:color="auto"/>
              <w:bottom w:val="single" w:sz="4" w:space="0" w:color="auto"/>
              <w:right w:val="single" w:sz="4" w:space="0" w:color="auto"/>
            </w:tcBorders>
            <w:vAlign w:val="center"/>
            <w:hideMark/>
          </w:tcPr>
          <w:p w14:paraId="71AAA962" w14:textId="177D51AC" w:rsidR="002C3842" w:rsidRPr="00365E42" w:rsidRDefault="002C3842" w:rsidP="00E12FCC">
            <w:pPr>
              <w:pStyle w:val="Prrafodelista"/>
              <w:numPr>
                <w:ilvl w:val="0"/>
                <w:numId w:val="3"/>
              </w:numPr>
              <w:jc w:val="center"/>
              <w:rPr>
                <w:rFonts w:ascii="Book Antiqua" w:hAnsi="Book Antiqua" w:cs="Times New Roman"/>
                <w:b/>
                <w:bCs/>
                <w:noProof/>
                <w:sz w:val="24"/>
                <w:szCs w:val="24"/>
              </w:rPr>
            </w:pPr>
            <w:r w:rsidRPr="00365E42">
              <w:rPr>
                <w:rFonts w:ascii="Book Antiqua" w:hAnsi="Book Antiqua" w:cs="Times New Roman"/>
                <w:b/>
                <w:bCs/>
                <w:noProof/>
                <w:sz w:val="24"/>
                <w:szCs w:val="24"/>
              </w:rPr>
              <w:t>Cuadros Ministerio Público</w:t>
            </w:r>
          </w:p>
        </w:tc>
        <w:tc>
          <w:tcPr>
            <w:tcW w:w="4330" w:type="dxa"/>
            <w:tcBorders>
              <w:top w:val="single" w:sz="4" w:space="0" w:color="auto"/>
              <w:left w:val="single" w:sz="4" w:space="0" w:color="auto"/>
              <w:bottom w:val="single" w:sz="4" w:space="0" w:color="auto"/>
              <w:right w:val="single" w:sz="4" w:space="0" w:color="auto"/>
            </w:tcBorders>
            <w:vAlign w:val="center"/>
            <w:hideMark/>
          </w:tcPr>
          <w:p w14:paraId="3B30FE8D" w14:textId="7842D2CA" w:rsidR="002C3842" w:rsidRPr="00365E42" w:rsidRDefault="00336A2B">
            <w:pPr>
              <w:jc w:val="center"/>
              <w:rPr>
                <w:rFonts w:ascii="Book Antiqua" w:hAnsi="Book Antiqua" w:cs="Times New Roman"/>
                <w:noProof/>
                <w:sz w:val="20"/>
                <w:szCs w:val="20"/>
              </w:rPr>
            </w:pPr>
            <w:r w:rsidRPr="00365E42">
              <w:rPr>
                <w:rFonts w:ascii="Book Antiqua" w:hAnsi="Book Antiqua" w:cs="Times New Roman"/>
                <w:noProof/>
                <w:sz w:val="20"/>
                <w:szCs w:val="20"/>
              </w:rPr>
              <w:object w:dxaOrig="1376" w:dyaOrig="893" w14:anchorId="0EA74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7.25pt" o:ole="">
                  <v:imagedata r:id="rId17" o:title=""/>
                </v:shape>
                <o:OLEObject Type="Embed" ProgID="Excel.Sheet.12" ShapeID="_x0000_i1025" DrawAspect="Icon" ObjectID="_1676458636" r:id="rId18"/>
              </w:object>
            </w:r>
          </w:p>
        </w:tc>
      </w:tr>
      <w:tr w:rsidR="002C3842" w:rsidRPr="00365E42" w14:paraId="5983F0B1" w14:textId="77777777" w:rsidTr="00336A2B">
        <w:trPr>
          <w:trHeight w:val="1048"/>
        </w:trPr>
        <w:tc>
          <w:tcPr>
            <w:tcW w:w="4498" w:type="dxa"/>
            <w:tcBorders>
              <w:top w:val="single" w:sz="4" w:space="0" w:color="auto"/>
              <w:left w:val="single" w:sz="4" w:space="0" w:color="auto"/>
              <w:bottom w:val="single" w:sz="4" w:space="0" w:color="auto"/>
              <w:right w:val="single" w:sz="4" w:space="0" w:color="auto"/>
            </w:tcBorders>
            <w:vAlign w:val="center"/>
            <w:hideMark/>
          </w:tcPr>
          <w:p w14:paraId="27C0DED5" w14:textId="333C3D64" w:rsidR="002C3842" w:rsidRPr="00365E42" w:rsidRDefault="002C3842" w:rsidP="00E12FCC">
            <w:pPr>
              <w:pStyle w:val="Prrafodelista"/>
              <w:numPr>
                <w:ilvl w:val="0"/>
                <w:numId w:val="3"/>
              </w:numPr>
              <w:jc w:val="center"/>
              <w:rPr>
                <w:rFonts w:ascii="Book Antiqua" w:hAnsi="Book Antiqua" w:cs="Times New Roman"/>
                <w:b/>
                <w:bCs/>
                <w:noProof/>
                <w:sz w:val="24"/>
                <w:szCs w:val="24"/>
              </w:rPr>
            </w:pPr>
            <w:r w:rsidRPr="00365E42">
              <w:rPr>
                <w:rFonts w:ascii="Book Antiqua" w:hAnsi="Book Antiqua" w:cs="Times New Roman"/>
                <w:b/>
                <w:bCs/>
                <w:noProof/>
                <w:sz w:val="24"/>
                <w:szCs w:val="24"/>
              </w:rPr>
              <w:t>Cuadros Ministerio Público (Entrada neta)</w:t>
            </w:r>
          </w:p>
        </w:tc>
        <w:tc>
          <w:tcPr>
            <w:tcW w:w="4330" w:type="dxa"/>
            <w:tcBorders>
              <w:top w:val="single" w:sz="4" w:space="0" w:color="auto"/>
              <w:left w:val="single" w:sz="4" w:space="0" w:color="auto"/>
              <w:bottom w:val="single" w:sz="4" w:space="0" w:color="auto"/>
              <w:right w:val="single" w:sz="4" w:space="0" w:color="auto"/>
            </w:tcBorders>
            <w:vAlign w:val="center"/>
            <w:hideMark/>
          </w:tcPr>
          <w:p w14:paraId="2D315B2F" w14:textId="1BEBB7CE" w:rsidR="002C3842" w:rsidRPr="00365E42" w:rsidRDefault="00336A2B">
            <w:pPr>
              <w:jc w:val="center"/>
              <w:rPr>
                <w:rFonts w:ascii="Book Antiqua" w:hAnsi="Book Antiqua" w:cs="Times New Roman"/>
                <w:noProof/>
                <w:sz w:val="20"/>
                <w:szCs w:val="20"/>
              </w:rPr>
            </w:pPr>
            <w:r w:rsidRPr="00365E42">
              <w:rPr>
                <w:rFonts w:ascii="Book Antiqua" w:hAnsi="Book Antiqua" w:cs="Times New Roman"/>
                <w:noProof/>
                <w:sz w:val="20"/>
                <w:szCs w:val="20"/>
              </w:rPr>
              <w:object w:dxaOrig="1376" w:dyaOrig="893" w14:anchorId="15F5D9A6">
                <v:shape id="_x0000_i1026" type="#_x0000_t75" style="width:70.5pt;height:47.25pt" o:ole="">
                  <v:imagedata r:id="rId19" o:title=""/>
                </v:shape>
                <o:OLEObject Type="Embed" ProgID="Excel.Sheet.8" ShapeID="_x0000_i1026" DrawAspect="Icon" ObjectID="_1676458637" r:id="rId20"/>
              </w:object>
            </w:r>
          </w:p>
        </w:tc>
      </w:tr>
      <w:tr w:rsidR="002C3842" w:rsidRPr="00365E42" w14:paraId="205C5674" w14:textId="77777777" w:rsidTr="00336A2B">
        <w:trPr>
          <w:trHeight w:val="1048"/>
        </w:trPr>
        <w:tc>
          <w:tcPr>
            <w:tcW w:w="4498" w:type="dxa"/>
            <w:tcBorders>
              <w:top w:val="single" w:sz="4" w:space="0" w:color="auto"/>
              <w:left w:val="single" w:sz="4" w:space="0" w:color="auto"/>
              <w:bottom w:val="single" w:sz="4" w:space="0" w:color="auto"/>
              <w:right w:val="single" w:sz="4" w:space="0" w:color="auto"/>
            </w:tcBorders>
            <w:vAlign w:val="center"/>
            <w:hideMark/>
          </w:tcPr>
          <w:p w14:paraId="35B58F3E" w14:textId="618E7336" w:rsidR="002C3842" w:rsidRPr="00365E42" w:rsidRDefault="002C3842" w:rsidP="00E12FCC">
            <w:pPr>
              <w:pStyle w:val="Prrafodelista"/>
              <w:numPr>
                <w:ilvl w:val="0"/>
                <w:numId w:val="3"/>
              </w:numPr>
              <w:jc w:val="center"/>
              <w:rPr>
                <w:rFonts w:ascii="Book Antiqua" w:hAnsi="Book Antiqua" w:cs="Times New Roman"/>
                <w:b/>
                <w:bCs/>
                <w:noProof/>
                <w:sz w:val="24"/>
                <w:szCs w:val="24"/>
              </w:rPr>
            </w:pPr>
            <w:r w:rsidRPr="00365E42">
              <w:rPr>
                <w:rFonts w:ascii="Book Antiqua" w:hAnsi="Book Antiqua" w:cs="Times New Roman"/>
                <w:b/>
                <w:bCs/>
                <w:noProof/>
                <w:sz w:val="24"/>
                <w:szCs w:val="24"/>
              </w:rPr>
              <w:t>Intervinientes</w:t>
            </w:r>
          </w:p>
        </w:tc>
        <w:tc>
          <w:tcPr>
            <w:tcW w:w="4330" w:type="dxa"/>
            <w:tcBorders>
              <w:top w:val="single" w:sz="4" w:space="0" w:color="auto"/>
              <w:left w:val="single" w:sz="4" w:space="0" w:color="auto"/>
              <w:bottom w:val="single" w:sz="4" w:space="0" w:color="auto"/>
              <w:right w:val="single" w:sz="4" w:space="0" w:color="auto"/>
            </w:tcBorders>
            <w:vAlign w:val="center"/>
            <w:hideMark/>
          </w:tcPr>
          <w:p w14:paraId="1145084E" w14:textId="7B511931" w:rsidR="002C3842" w:rsidRPr="00365E42" w:rsidRDefault="00336A2B">
            <w:pPr>
              <w:jc w:val="center"/>
              <w:rPr>
                <w:rFonts w:ascii="Book Antiqua" w:hAnsi="Book Antiqua" w:cs="Times New Roman"/>
                <w:noProof/>
                <w:sz w:val="20"/>
                <w:szCs w:val="20"/>
              </w:rPr>
            </w:pPr>
            <w:r w:rsidRPr="00365E42">
              <w:rPr>
                <w:rFonts w:ascii="Book Antiqua" w:hAnsi="Book Antiqua" w:cs="Times New Roman"/>
                <w:noProof/>
                <w:sz w:val="20"/>
                <w:szCs w:val="20"/>
              </w:rPr>
              <w:object w:dxaOrig="1376" w:dyaOrig="893" w14:anchorId="53A7900B">
                <v:shape id="_x0000_i1027" type="#_x0000_t75" style="width:70.5pt;height:47.25pt" o:ole="">
                  <v:imagedata r:id="rId21" o:title=""/>
                </v:shape>
                <o:OLEObject Type="Embed" ProgID="Excel.Sheet.12" ShapeID="_x0000_i1027" DrawAspect="Icon" ObjectID="_1676458638" r:id="rId22"/>
              </w:object>
            </w:r>
          </w:p>
        </w:tc>
      </w:tr>
      <w:tr w:rsidR="002C3842" w:rsidRPr="00365E42" w14:paraId="23F9B375" w14:textId="77777777" w:rsidTr="00336A2B">
        <w:trPr>
          <w:trHeight w:val="1048"/>
        </w:trPr>
        <w:tc>
          <w:tcPr>
            <w:tcW w:w="4498" w:type="dxa"/>
            <w:tcBorders>
              <w:top w:val="single" w:sz="4" w:space="0" w:color="auto"/>
              <w:left w:val="single" w:sz="4" w:space="0" w:color="auto"/>
              <w:bottom w:val="single" w:sz="4" w:space="0" w:color="auto"/>
              <w:right w:val="single" w:sz="4" w:space="0" w:color="auto"/>
            </w:tcBorders>
            <w:vAlign w:val="center"/>
            <w:hideMark/>
          </w:tcPr>
          <w:p w14:paraId="116D69E0" w14:textId="0DAC50CF" w:rsidR="002C3842" w:rsidRPr="00365E42" w:rsidRDefault="002C3842" w:rsidP="00E12FCC">
            <w:pPr>
              <w:pStyle w:val="Prrafodelista"/>
              <w:numPr>
                <w:ilvl w:val="0"/>
                <w:numId w:val="3"/>
              </w:numPr>
              <w:jc w:val="center"/>
              <w:rPr>
                <w:rFonts w:ascii="Book Antiqua" w:hAnsi="Book Antiqua" w:cs="Times New Roman"/>
                <w:b/>
                <w:bCs/>
                <w:noProof/>
                <w:sz w:val="24"/>
                <w:szCs w:val="24"/>
              </w:rPr>
            </w:pPr>
            <w:r w:rsidRPr="00365E42">
              <w:rPr>
                <w:rFonts w:ascii="Book Antiqua" w:hAnsi="Book Antiqua" w:cs="Times New Roman"/>
                <w:b/>
                <w:bCs/>
                <w:noProof/>
                <w:sz w:val="24"/>
                <w:szCs w:val="24"/>
              </w:rPr>
              <w:t>Calculo de proyecciones</w:t>
            </w:r>
          </w:p>
        </w:tc>
        <w:tc>
          <w:tcPr>
            <w:tcW w:w="4330" w:type="dxa"/>
            <w:tcBorders>
              <w:top w:val="single" w:sz="4" w:space="0" w:color="auto"/>
              <w:left w:val="single" w:sz="4" w:space="0" w:color="auto"/>
              <w:bottom w:val="single" w:sz="4" w:space="0" w:color="auto"/>
              <w:right w:val="single" w:sz="4" w:space="0" w:color="auto"/>
            </w:tcBorders>
            <w:vAlign w:val="center"/>
            <w:hideMark/>
          </w:tcPr>
          <w:p w14:paraId="2D835FA9" w14:textId="3E3EBB21" w:rsidR="002C3842" w:rsidRPr="00365E42" w:rsidRDefault="00336A2B">
            <w:pPr>
              <w:jc w:val="center"/>
              <w:rPr>
                <w:rFonts w:ascii="Book Antiqua" w:hAnsi="Book Antiqua" w:cs="Times New Roman"/>
                <w:noProof/>
                <w:sz w:val="20"/>
                <w:szCs w:val="20"/>
              </w:rPr>
            </w:pPr>
            <w:r w:rsidRPr="00365E42">
              <w:rPr>
                <w:rFonts w:ascii="Book Antiqua" w:hAnsi="Book Antiqua" w:cs="Times New Roman"/>
                <w:noProof/>
                <w:sz w:val="20"/>
                <w:szCs w:val="20"/>
              </w:rPr>
              <w:object w:dxaOrig="1376" w:dyaOrig="893" w14:anchorId="011B1A86">
                <v:shape id="_x0000_i1028" type="#_x0000_t75" style="width:70.5pt;height:47.25pt" o:ole="">
                  <v:imagedata r:id="rId23" o:title=""/>
                </v:shape>
                <o:OLEObject Type="Embed" ProgID="Excel.Sheet.12" ShapeID="_x0000_i1028" DrawAspect="Icon" ObjectID="_1676458639" r:id="rId24"/>
              </w:object>
            </w:r>
          </w:p>
        </w:tc>
      </w:tr>
    </w:tbl>
    <w:p w14:paraId="59D130F3" w14:textId="77777777" w:rsidR="002C3842" w:rsidRPr="00365E42" w:rsidRDefault="002C3842" w:rsidP="002C3842">
      <w:pPr>
        <w:ind w:left="360"/>
        <w:jc w:val="both"/>
        <w:rPr>
          <w:rFonts w:ascii="Book Antiqua" w:hAnsi="Book Antiqua" w:cs="Times New Roman"/>
          <w:sz w:val="24"/>
          <w:szCs w:val="24"/>
        </w:rPr>
      </w:pPr>
    </w:p>
    <w:sectPr w:rsidR="002C3842" w:rsidRPr="00365E42" w:rsidSect="00C752E8">
      <w:headerReference w:type="default" r:id="rId25"/>
      <w:footerReference w:type="default" r:id="rId26"/>
      <w:headerReference w:type="first" r:id="rId27"/>
      <w:footerReference w:type="first" r:id="rId28"/>
      <w:pgSz w:w="12240" w:h="15840"/>
      <w:pgMar w:top="1417" w:right="1701" w:bottom="1417" w:left="1701"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3DAB3" w14:textId="77777777" w:rsidR="00610B57" w:rsidRDefault="00610B57" w:rsidP="00474DCC">
      <w:pPr>
        <w:spacing w:after="0" w:line="240" w:lineRule="auto"/>
      </w:pPr>
      <w:r>
        <w:separator/>
      </w:r>
    </w:p>
  </w:endnote>
  <w:endnote w:type="continuationSeparator" w:id="0">
    <w:p w14:paraId="33A4B544" w14:textId="77777777" w:rsidR="00610B57" w:rsidRDefault="00610B57" w:rsidP="0047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052482"/>
      <w:docPartObj>
        <w:docPartGallery w:val="Page Numbers (Bottom of Page)"/>
        <w:docPartUnique/>
      </w:docPartObj>
    </w:sdtPr>
    <w:sdtEndPr/>
    <w:sdtContent>
      <w:p w14:paraId="3F299701" w14:textId="4EFC2D93" w:rsidR="00C752E8" w:rsidRDefault="00C752E8">
        <w:pPr>
          <w:pStyle w:val="Piedepgina"/>
          <w:jc w:val="right"/>
        </w:pPr>
        <w:r>
          <w:fldChar w:fldCharType="begin"/>
        </w:r>
        <w:r>
          <w:instrText>PAGE   \* MERGEFORMAT</w:instrText>
        </w:r>
        <w:r>
          <w:fldChar w:fldCharType="separate"/>
        </w:r>
        <w:r>
          <w:rPr>
            <w:lang w:val="es-ES"/>
          </w:rPr>
          <w:t>2</w:t>
        </w:r>
        <w:r>
          <w:fldChar w:fldCharType="end"/>
        </w:r>
      </w:p>
    </w:sdtContent>
  </w:sdt>
  <w:p w14:paraId="296DD8F8" w14:textId="77777777" w:rsidR="00C752E8" w:rsidRPr="00C752E8" w:rsidRDefault="00C752E8" w:rsidP="00C752E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752E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FC6A3B8" w14:textId="77777777" w:rsidR="00C752E8" w:rsidRDefault="00C752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174970"/>
      <w:docPartObj>
        <w:docPartGallery w:val="Page Numbers (Bottom of Page)"/>
        <w:docPartUnique/>
      </w:docPartObj>
    </w:sdtPr>
    <w:sdtEndPr/>
    <w:sdtContent>
      <w:p w14:paraId="35E09FFA" w14:textId="67D7882B" w:rsidR="00C752E8" w:rsidRPr="00C752E8" w:rsidRDefault="00C752E8" w:rsidP="00C752E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C752E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FF1FB17" w14:textId="32373901" w:rsidR="00C752E8" w:rsidRPr="00C752E8" w:rsidRDefault="00C752E8" w:rsidP="00C752E8">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D68197" w14:textId="77777777" w:rsidR="00610B57" w:rsidRDefault="00610B57" w:rsidP="00474DCC">
      <w:pPr>
        <w:spacing w:after="0" w:line="240" w:lineRule="auto"/>
      </w:pPr>
      <w:r>
        <w:separator/>
      </w:r>
    </w:p>
  </w:footnote>
  <w:footnote w:type="continuationSeparator" w:id="0">
    <w:p w14:paraId="6510DF57" w14:textId="77777777" w:rsidR="00610B57" w:rsidRDefault="00610B57" w:rsidP="00474DCC">
      <w:pPr>
        <w:spacing w:after="0" w:line="240" w:lineRule="auto"/>
      </w:pPr>
      <w:r>
        <w:continuationSeparator/>
      </w:r>
    </w:p>
  </w:footnote>
  <w:footnote w:id="1">
    <w:p w14:paraId="4A71D6C6" w14:textId="5C59FAB0" w:rsidR="00C752E8" w:rsidRPr="00365E42" w:rsidRDefault="00C752E8" w:rsidP="008B2EA9">
      <w:pPr>
        <w:pStyle w:val="Textonotapie"/>
        <w:jc w:val="both"/>
        <w:rPr>
          <w:rFonts w:ascii="Book Antiqua" w:hAnsi="Book Antiqua"/>
          <w:lang w:val="es-MX"/>
        </w:rPr>
      </w:pPr>
      <w:r w:rsidRPr="00365E42">
        <w:rPr>
          <w:rStyle w:val="Refdenotaalpie"/>
          <w:rFonts w:ascii="Book Antiqua" w:hAnsi="Book Antiqua"/>
        </w:rPr>
        <w:footnoteRef/>
      </w:r>
      <w:r w:rsidRPr="00365E42">
        <w:rPr>
          <w:rFonts w:ascii="Book Antiqua" w:hAnsi="Book Antiqua"/>
        </w:rPr>
        <w:t xml:space="preserve"> Son las causas remitidas a otra competencia o fiscalía penal, y que a nivel del sistema SIGMA están representadas por los estados: Remitido a otra jurisdicción, Remitido a UTR (Unidad de Trámite Rápido), Remisión a otro despacho del Ministerio Público y Traslado a las Fiscalías Penales Juveniles.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6A03" w14:textId="77777777" w:rsidR="00C752E8" w:rsidRPr="00C752E8" w:rsidRDefault="00C752E8" w:rsidP="00C752E8">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C752E8">
      <w:rPr>
        <w:rFonts w:ascii="Book Antiqua" w:eastAsia="Times New Roman" w:hAnsi="Book Antiqua" w:cs="Book Antiqua"/>
        <w:i/>
        <w:iCs/>
        <w:sz w:val="18"/>
        <w:szCs w:val="18"/>
        <w:lang w:eastAsia="es-ES"/>
      </w:rPr>
      <w:t>Poder Judicial – Dirección de Planificación</w:t>
    </w:r>
    <w:r w:rsidR="00610B57">
      <w:rPr>
        <w:rFonts w:ascii="Times New Roman" w:eastAsia="Times New Roman" w:hAnsi="Times New Roman" w:cs="Times New Roman"/>
        <w:sz w:val="24"/>
        <w:szCs w:val="24"/>
        <w:lang w:eastAsia="es-ES"/>
      </w:rPr>
      <w:pict w14:anchorId="5E647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75pt;height:32.25pt" o:ole="">
          <v:imagedata r:id="rId1" o:title=""/>
        </v:shape>
      </w:pict>
    </w:r>
  </w:p>
  <w:p w14:paraId="3B4DD6A6" w14:textId="46B6A3FA" w:rsidR="00C752E8" w:rsidRPr="00C752E8" w:rsidRDefault="00C752E8" w:rsidP="00C752E8">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C752E8">
      <w:rPr>
        <w:rFonts w:ascii="Book Antiqua" w:eastAsia="Times New Roman" w:hAnsi="Book Antiqua" w:cs="Book Antiqua"/>
        <w:i/>
        <w:iCs/>
        <w:sz w:val="18"/>
        <w:szCs w:val="18"/>
        <w:lang w:eastAsia="es-ES"/>
      </w:rPr>
      <w:t xml:space="preserve">San José </w:t>
    </w:r>
    <w:r w:rsidR="00336A2B" w:rsidRPr="00C752E8">
      <w:rPr>
        <w:rFonts w:ascii="Book Antiqua" w:eastAsia="Times New Roman" w:hAnsi="Book Antiqua" w:cs="Book Antiqua"/>
        <w:i/>
        <w:iCs/>
        <w:sz w:val="18"/>
        <w:szCs w:val="18"/>
        <w:lang w:eastAsia="es-ES"/>
      </w:rPr>
      <w:t>- Costa</w:t>
    </w:r>
    <w:r w:rsidRPr="00C752E8">
      <w:rPr>
        <w:rFonts w:ascii="Book Antiqua" w:eastAsia="Times New Roman" w:hAnsi="Book Antiqua" w:cs="Book Antiqua"/>
        <w:i/>
        <w:iCs/>
        <w:sz w:val="18"/>
        <w:szCs w:val="18"/>
        <w:lang w:eastAsia="es-ES"/>
      </w:rPr>
      <w:t xml:space="preserve"> Rica</w:t>
    </w:r>
  </w:p>
  <w:p w14:paraId="343064D0" w14:textId="63647602" w:rsidR="00C752E8" w:rsidRPr="00C752E8" w:rsidRDefault="00C752E8" w:rsidP="00C752E8">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C752E8">
      <w:rPr>
        <w:rFonts w:ascii="Book Antiqua" w:eastAsia="Times New Roman" w:hAnsi="Book Antiqua" w:cs="Book Antiqua"/>
        <w:i/>
        <w:iCs/>
        <w:sz w:val="18"/>
        <w:szCs w:val="18"/>
        <w:lang w:val="es-ES" w:eastAsia="es-ES"/>
      </w:rPr>
      <w:t xml:space="preserve">Telf.   </w:t>
    </w:r>
    <w:r w:rsidRPr="00C752E8">
      <w:rPr>
        <w:rFonts w:ascii="Book Antiqua" w:eastAsia="Times New Roman" w:hAnsi="Book Antiqua" w:cs="Book Antiqua"/>
        <w:i/>
        <w:iCs/>
        <w:sz w:val="18"/>
        <w:szCs w:val="18"/>
        <w:lang w:eastAsia="es-ES"/>
      </w:rPr>
      <w:t xml:space="preserve">2295-3600 / </w:t>
    </w:r>
    <w:r w:rsidR="00336A2B" w:rsidRPr="00C752E8">
      <w:rPr>
        <w:rFonts w:ascii="Book Antiqua" w:eastAsia="Times New Roman" w:hAnsi="Book Antiqua" w:cs="Book Antiqua"/>
        <w:i/>
        <w:iCs/>
        <w:sz w:val="18"/>
        <w:szCs w:val="18"/>
        <w:lang w:eastAsia="es-ES"/>
      </w:rPr>
      <w:t>3599 /</w:t>
    </w:r>
    <w:r w:rsidRPr="00C752E8">
      <w:rPr>
        <w:rFonts w:ascii="Book Antiqua" w:eastAsia="Times New Roman" w:hAnsi="Book Antiqua" w:cs="Book Antiqua"/>
        <w:i/>
        <w:iCs/>
        <w:sz w:val="18"/>
        <w:szCs w:val="18"/>
        <w:lang w:eastAsia="es-ES"/>
      </w:rPr>
      <w:t xml:space="preserve"> Apdo.  95-</w:t>
    </w:r>
    <w:r w:rsidR="00336A2B" w:rsidRPr="00C752E8">
      <w:rPr>
        <w:rFonts w:ascii="Book Antiqua" w:eastAsia="Times New Roman" w:hAnsi="Book Antiqua" w:cs="Book Antiqua"/>
        <w:i/>
        <w:iCs/>
        <w:sz w:val="18"/>
        <w:szCs w:val="18"/>
        <w:lang w:eastAsia="es-ES"/>
      </w:rPr>
      <w:t>1003 /</w:t>
    </w:r>
    <w:r w:rsidRPr="00C752E8">
      <w:rPr>
        <w:rFonts w:ascii="Book Antiqua" w:eastAsia="Times New Roman" w:hAnsi="Book Antiqua" w:cs="Book Antiqua"/>
        <w:i/>
        <w:iCs/>
        <w:sz w:val="18"/>
        <w:szCs w:val="18"/>
        <w:lang w:eastAsia="es-ES"/>
      </w:rPr>
      <w:t xml:space="preserve"> planificacion@poder-judicial.go.cr</w:t>
    </w:r>
  </w:p>
  <w:p w14:paraId="3F98567B" w14:textId="77777777" w:rsidR="00C752E8" w:rsidRPr="00C752E8" w:rsidRDefault="00C752E8" w:rsidP="00C752E8">
    <w:pPr>
      <w:pBdr>
        <w:bottom w:val="single" w:sz="6" w:space="0" w:color="auto"/>
      </w:pBdr>
      <w:spacing w:after="0" w:line="240" w:lineRule="auto"/>
      <w:rPr>
        <w:rFonts w:ascii="Times New Roman" w:eastAsia="Times New Roman" w:hAnsi="Times New Roman" w:cs="Times New Roman"/>
        <w:sz w:val="20"/>
        <w:szCs w:val="20"/>
        <w:lang w:eastAsia="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5B82E" w14:textId="77777777" w:rsidR="00C752E8" w:rsidRPr="00C752E8" w:rsidRDefault="00C752E8" w:rsidP="00C752E8">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C752E8">
      <w:rPr>
        <w:rFonts w:ascii="Book Antiqua" w:eastAsia="Times New Roman" w:hAnsi="Book Antiqua" w:cs="Book Antiqua"/>
        <w:i/>
        <w:iCs/>
        <w:sz w:val="18"/>
        <w:szCs w:val="18"/>
        <w:lang w:eastAsia="es-ES"/>
      </w:rPr>
      <w:t>Poder Judicial – Dirección de Planificación</w:t>
    </w:r>
    <w:r w:rsidR="00610B57">
      <w:rPr>
        <w:rFonts w:ascii="Times New Roman" w:eastAsia="Times New Roman" w:hAnsi="Times New Roman" w:cs="Times New Roman"/>
        <w:sz w:val="24"/>
        <w:szCs w:val="24"/>
        <w:lang w:eastAsia="es-ES"/>
      </w:rPr>
      <w:pict w14:anchorId="2F801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75pt;height:32.25pt" o:ole="">
          <v:imagedata r:id="rId1" o:title=""/>
        </v:shape>
      </w:pict>
    </w:r>
  </w:p>
  <w:p w14:paraId="67D7B079" w14:textId="269F45E5" w:rsidR="00C752E8" w:rsidRPr="00C752E8" w:rsidRDefault="00C752E8" w:rsidP="00C752E8">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C752E8">
      <w:rPr>
        <w:rFonts w:ascii="Book Antiqua" w:eastAsia="Times New Roman" w:hAnsi="Book Antiqua" w:cs="Book Antiqua"/>
        <w:i/>
        <w:iCs/>
        <w:sz w:val="18"/>
        <w:szCs w:val="18"/>
        <w:lang w:eastAsia="es-ES"/>
      </w:rPr>
      <w:t xml:space="preserve">San José </w:t>
    </w:r>
    <w:r w:rsidR="00336A2B" w:rsidRPr="00C752E8">
      <w:rPr>
        <w:rFonts w:ascii="Book Antiqua" w:eastAsia="Times New Roman" w:hAnsi="Book Antiqua" w:cs="Book Antiqua"/>
        <w:i/>
        <w:iCs/>
        <w:sz w:val="18"/>
        <w:szCs w:val="18"/>
        <w:lang w:eastAsia="es-ES"/>
      </w:rPr>
      <w:t>- Costa</w:t>
    </w:r>
    <w:r w:rsidRPr="00C752E8">
      <w:rPr>
        <w:rFonts w:ascii="Book Antiqua" w:eastAsia="Times New Roman" w:hAnsi="Book Antiqua" w:cs="Book Antiqua"/>
        <w:i/>
        <w:iCs/>
        <w:sz w:val="18"/>
        <w:szCs w:val="18"/>
        <w:lang w:eastAsia="es-ES"/>
      </w:rPr>
      <w:t xml:space="preserve"> Rica</w:t>
    </w:r>
  </w:p>
  <w:p w14:paraId="589A0426" w14:textId="0FA6CCF5" w:rsidR="00C752E8" w:rsidRPr="00C752E8" w:rsidRDefault="00C752E8" w:rsidP="00C752E8">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C752E8">
      <w:rPr>
        <w:rFonts w:ascii="Book Antiqua" w:eastAsia="Times New Roman" w:hAnsi="Book Antiqua" w:cs="Book Antiqua"/>
        <w:i/>
        <w:iCs/>
        <w:sz w:val="18"/>
        <w:szCs w:val="18"/>
        <w:lang w:val="es-ES" w:eastAsia="es-ES"/>
      </w:rPr>
      <w:t xml:space="preserve">Telf.   </w:t>
    </w:r>
    <w:r w:rsidRPr="00C752E8">
      <w:rPr>
        <w:rFonts w:ascii="Book Antiqua" w:eastAsia="Times New Roman" w:hAnsi="Book Antiqua" w:cs="Book Antiqua"/>
        <w:i/>
        <w:iCs/>
        <w:sz w:val="18"/>
        <w:szCs w:val="18"/>
        <w:lang w:eastAsia="es-ES"/>
      </w:rPr>
      <w:t xml:space="preserve">2295-3600 / </w:t>
    </w:r>
    <w:r w:rsidR="00336A2B" w:rsidRPr="00C752E8">
      <w:rPr>
        <w:rFonts w:ascii="Book Antiqua" w:eastAsia="Times New Roman" w:hAnsi="Book Antiqua" w:cs="Book Antiqua"/>
        <w:i/>
        <w:iCs/>
        <w:sz w:val="18"/>
        <w:szCs w:val="18"/>
        <w:lang w:eastAsia="es-ES"/>
      </w:rPr>
      <w:t>3599 /</w:t>
    </w:r>
    <w:r w:rsidRPr="00C752E8">
      <w:rPr>
        <w:rFonts w:ascii="Book Antiqua" w:eastAsia="Times New Roman" w:hAnsi="Book Antiqua" w:cs="Book Antiqua"/>
        <w:i/>
        <w:iCs/>
        <w:sz w:val="18"/>
        <w:szCs w:val="18"/>
        <w:lang w:eastAsia="es-ES"/>
      </w:rPr>
      <w:t xml:space="preserve"> Apdo.  95-</w:t>
    </w:r>
    <w:r w:rsidR="00336A2B" w:rsidRPr="00C752E8">
      <w:rPr>
        <w:rFonts w:ascii="Book Antiqua" w:eastAsia="Times New Roman" w:hAnsi="Book Antiqua" w:cs="Book Antiqua"/>
        <w:i/>
        <w:iCs/>
        <w:sz w:val="18"/>
        <w:szCs w:val="18"/>
        <w:lang w:eastAsia="es-ES"/>
      </w:rPr>
      <w:t>1003 /</w:t>
    </w:r>
    <w:r w:rsidRPr="00C752E8">
      <w:rPr>
        <w:rFonts w:ascii="Book Antiqua" w:eastAsia="Times New Roman" w:hAnsi="Book Antiqua" w:cs="Book Antiqua"/>
        <w:i/>
        <w:iCs/>
        <w:sz w:val="18"/>
        <w:szCs w:val="18"/>
        <w:lang w:eastAsia="es-ES"/>
      </w:rPr>
      <w:t xml:space="preserve"> planificacion@poder-judicial.go.cr</w:t>
    </w:r>
  </w:p>
  <w:p w14:paraId="279DF8C1" w14:textId="77777777" w:rsidR="00C752E8" w:rsidRPr="00C752E8" w:rsidRDefault="00C752E8" w:rsidP="00C752E8">
    <w:pPr>
      <w:pBdr>
        <w:bottom w:val="single" w:sz="6" w:space="0" w:color="auto"/>
      </w:pBdr>
      <w:spacing w:after="0" w:line="240" w:lineRule="auto"/>
      <w:rPr>
        <w:rFonts w:ascii="Times New Roman" w:eastAsia="Times New Roman" w:hAnsi="Times New Roman" w:cs="Times New Roman"/>
        <w:sz w:val="20"/>
        <w:szCs w:val="20"/>
        <w:lang w:eastAsia="es-ES"/>
      </w:rPr>
    </w:pPr>
  </w:p>
  <w:p w14:paraId="24330C40" w14:textId="77777777" w:rsidR="00C752E8" w:rsidRDefault="00C752E8" w:rsidP="00C752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32563"/>
    <w:multiLevelType w:val="hybridMultilevel"/>
    <w:tmpl w:val="F9D03CFE"/>
    <w:lvl w:ilvl="0" w:tplc="1F905742">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D2A37FE"/>
    <w:multiLevelType w:val="hybridMultilevel"/>
    <w:tmpl w:val="2260FD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DB21766"/>
    <w:multiLevelType w:val="hybridMultilevel"/>
    <w:tmpl w:val="345ADE38"/>
    <w:lvl w:ilvl="0" w:tplc="9440EF98">
      <w:start w:val="1"/>
      <w:numFmt w:val="decimal"/>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3" w15:restartNumberingAfterBreak="0">
    <w:nsid w:val="47787EA0"/>
    <w:multiLevelType w:val="hybridMultilevel"/>
    <w:tmpl w:val="DF3236E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F19"/>
    <w:rsid w:val="00013DF3"/>
    <w:rsid w:val="00024B4A"/>
    <w:rsid w:val="00027515"/>
    <w:rsid w:val="0004497E"/>
    <w:rsid w:val="0006071F"/>
    <w:rsid w:val="00074471"/>
    <w:rsid w:val="00074901"/>
    <w:rsid w:val="00085025"/>
    <w:rsid w:val="000B3588"/>
    <w:rsid w:val="000C5917"/>
    <w:rsid w:val="000D3525"/>
    <w:rsid w:val="000E3275"/>
    <w:rsid w:val="000E4A9F"/>
    <w:rsid w:val="000E4F21"/>
    <w:rsid w:val="00104195"/>
    <w:rsid w:val="001133D0"/>
    <w:rsid w:val="001154AB"/>
    <w:rsid w:val="001161E2"/>
    <w:rsid w:val="001268E5"/>
    <w:rsid w:val="001350FA"/>
    <w:rsid w:val="001412FC"/>
    <w:rsid w:val="00143AFE"/>
    <w:rsid w:val="00150C6A"/>
    <w:rsid w:val="00160DC8"/>
    <w:rsid w:val="00163426"/>
    <w:rsid w:val="001719BC"/>
    <w:rsid w:val="001735A6"/>
    <w:rsid w:val="00186FDB"/>
    <w:rsid w:val="001870FE"/>
    <w:rsid w:val="001A087C"/>
    <w:rsid w:val="001A51A1"/>
    <w:rsid w:val="001E6D58"/>
    <w:rsid w:val="001F241E"/>
    <w:rsid w:val="001F60DE"/>
    <w:rsid w:val="00226069"/>
    <w:rsid w:val="00242045"/>
    <w:rsid w:val="00247FC6"/>
    <w:rsid w:val="00252F5F"/>
    <w:rsid w:val="00253084"/>
    <w:rsid w:val="00253104"/>
    <w:rsid w:val="00253866"/>
    <w:rsid w:val="0025434E"/>
    <w:rsid w:val="00256B1B"/>
    <w:rsid w:val="00290110"/>
    <w:rsid w:val="00290735"/>
    <w:rsid w:val="002A424D"/>
    <w:rsid w:val="002A4BE9"/>
    <w:rsid w:val="002A5995"/>
    <w:rsid w:val="002C3842"/>
    <w:rsid w:val="002C519C"/>
    <w:rsid w:val="003028C8"/>
    <w:rsid w:val="003054A5"/>
    <w:rsid w:val="00313C03"/>
    <w:rsid w:val="00336A2B"/>
    <w:rsid w:val="00336B60"/>
    <w:rsid w:val="0034149C"/>
    <w:rsid w:val="003515EA"/>
    <w:rsid w:val="00357E77"/>
    <w:rsid w:val="003625B5"/>
    <w:rsid w:val="00362F85"/>
    <w:rsid w:val="003654F9"/>
    <w:rsid w:val="00365E42"/>
    <w:rsid w:val="00372215"/>
    <w:rsid w:val="00396795"/>
    <w:rsid w:val="003A023D"/>
    <w:rsid w:val="003B6034"/>
    <w:rsid w:val="003F7335"/>
    <w:rsid w:val="00413B7A"/>
    <w:rsid w:val="00413B85"/>
    <w:rsid w:val="00441883"/>
    <w:rsid w:val="00473334"/>
    <w:rsid w:val="00474DCC"/>
    <w:rsid w:val="00483EC4"/>
    <w:rsid w:val="00484EE7"/>
    <w:rsid w:val="00490E48"/>
    <w:rsid w:val="004A09E4"/>
    <w:rsid w:val="004A435A"/>
    <w:rsid w:val="004A6755"/>
    <w:rsid w:val="004B32C4"/>
    <w:rsid w:val="004C1EE3"/>
    <w:rsid w:val="004C7A6F"/>
    <w:rsid w:val="004D7E11"/>
    <w:rsid w:val="004F55B9"/>
    <w:rsid w:val="00503661"/>
    <w:rsid w:val="00516603"/>
    <w:rsid w:val="00564076"/>
    <w:rsid w:val="0058708A"/>
    <w:rsid w:val="005A53C9"/>
    <w:rsid w:val="005B2D03"/>
    <w:rsid w:val="005B4A31"/>
    <w:rsid w:val="005B631B"/>
    <w:rsid w:val="005D0B8D"/>
    <w:rsid w:val="005F4EDC"/>
    <w:rsid w:val="00610B57"/>
    <w:rsid w:val="00613995"/>
    <w:rsid w:val="00624F59"/>
    <w:rsid w:val="0063465B"/>
    <w:rsid w:val="00637404"/>
    <w:rsid w:val="00660D74"/>
    <w:rsid w:val="0066400E"/>
    <w:rsid w:val="00680F1A"/>
    <w:rsid w:val="006B2F19"/>
    <w:rsid w:val="006F4613"/>
    <w:rsid w:val="007050E9"/>
    <w:rsid w:val="00732BA3"/>
    <w:rsid w:val="00737197"/>
    <w:rsid w:val="00751A33"/>
    <w:rsid w:val="0075548B"/>
    <w:rsid w:val="0076409C"/>
    <w:rsid w:val="00765E47"/>
    <w:rsid w:val="007923D4"/>
    <w:rsid w:val="007A356E"/>
    <w:rsid w:val="007B6798"/>
    <w:rsid w:val="007C4055"/>
    <w:rsid w:val="007C5875"/>
    <w:rsid w:val="007C594C"/>
    <w:rsid w:val="007D104D"/>
    <w:rsid w:val="007D5499"/>
    <w:rsid w:val="007F6BDE"/>
    <w:rsid w:val="008050B2"/>
    <w:rsid w:val="008166B5"/>
    <w:rsid w:val="008226CC"/>
    <w:rsid w:val="008377C5"/>
    <w:rsid w:val="008438DB"/>
    <w:rsid w:val="00864411"/>
    <w:rsid w:val="00866C4C"/>
    <w:rsid w:val="008703F0"/>
    <w:rsid w:val="00876BC9"/>
    <w:rsid w:val="00884DAD"/>
    <w:rsid w:val="00895456"/>
    <w:rsid w:val="008B2EA9"/>
    <w:rsid w:val="008F28B7"/>
    <w:rsid w:val="00917B50"/>
    <w:rsid w:val="00922662"/>
    <w:rsid w:val="009318A9"/>
    <w:rsid w:val="00950A0E"/>
    <w:rsid w:val="009574DC"/>
    <w:rsid w:val="00967497"/>
    <w:rsid w:val="00967DEF"/>
    <w:rsid w:val="009823AD"/>
    <w:rsid w:val="009B6572"/>
    <w:rsid w:val="009D6A0B"/>
    <w:rsid w:val="009F26E8"/>
    <w:rsid w:val="00A117A0"/>
    <w:rsid w:val="00A14708"/>
    <w:rsid w:val="00A17FDF"/>
    <w:rsid w:val="00A231A4"/>
    <w:rsid w:val="00A24419"/>
    <w:rsid w:val="00A42C18"/>
    <w:rsid w:val="00A76D39"/>
    <w:rsid w:val="00A8391D"/>
    <w:rsid w:val="00A9263E"/>
    <w:rsid w:val="00A97B80"/>
    <w:rsid w:val="00AB6533"/>
    <w:rsid w:val="00AB66B5"/>
    <w:rsid w:val="00AF3E83"/>
    <w:rsid w:val="00B13486"/>
    <w:rsid w:val="00B25A2F"/>
    <w:rsid w:val="00B350C0"/>
    <w:rsid w:val="00B50F85"/>
    <w:rsid w:val="00B5570B"/>
    <w:rsid w:val="00B704A7"/>
    <w:rsid w:val="00B93B19"/>
    <w:rsid w:val="00B97601"/>
    <w:rsid w:val="00BB428A"/>
    <w:rsid w:val="00BC0B81"/>
    <w:rsid w:val="00BE0A49"/>
    <w:rsid w:val="00BF7E5D"/>
    <w:rsid w:val="00C13DEE"/>
    <w:rsid w:val="00C3451F"/>
    <w:rsid w:val="00C42565"/>
    <w:rsid w:val="00C53C79"/>
    <w:rsid w:val="00C70EF4"/>
    <w:rsid w:val="00C752E8"/>
    <w:rsid w:val="00C84B76"/>
    <w:rsid w:val="00C850BE"/>
    <w:rsid w:val="00C97C4E"/>
    <w:rsid w:val="00CD4118"/>
    <w:rsid w:val="00CF4142"/>
    <w:rsid w:val="00CF7805"/>
    <w:rsid w:val="00D04553"/>
    <w:rsid w:val="00D0738D"/>
    <w:rsid w:val="00D15C5B"/>
    <w:rsid w:val="00D17B4A"/>
    <w:rsid w:val="00D20F30"/>
    <w:rsid w:val="00D218EB"/>
    <w:rsid w:val="00D22A58"/>
    <w:rsid w:val="00D256AD"/>
    <w:rsid w:val="00D27F6C"/>
    <w:rsid w:val="00D44DB8"/>
    <w:rsid w:val="00D45DE6"/>
    <w:rsid w:val="00D5462A"/>
    <w:rsid w:val="00D65357"/>
    <w:rsid w:val="00D66270"/>
    <w:rsid w:val="00D66536"/>
    <w:rsid w:val="00D82CF6"/>
    <w:rsid w:val="00D961AD"/>
    <w:rsid w:val="00DA2320"/>
    <w:rsid w:val="00DB1777"/>
    <w:rsid w:val="00DB2C05"/>
    <w:rsid w:val="00DC4F69"/>
    <w:rsid w:val="00DD1183"/>
    <w:rsid w:val="00DD5868"/>
    <w:rsid w:val="00DE01BF"/>
    <w:rsid w:val="00DE132B"/>
    <w:rsid w:val="00DE315A"/>
    <w:rsid w:val="00DE447C"/>
    <w:rsid w:val="00DF0E0C"/>
    <w:rsid w:val="00E03DE6"/>
    <w:rsid w:val="00E12FCC"/>
    <w:rsid w:val="00E139F4"/>
    <w:rsid w:val="00E2298A"/>
    <w:rsid w:val="00E22CE2"/>
    <w:rsid w:val="00E3426A"/>
    <w:rsid w:val="00E3753C"/>
    <w:rsid w:val="00E52A91"/>
    <w:rsid w:val="00E642F8"/>
    <w:rsid w:val="00E6600C"/>
    <w:rsid w:val="00E81F11"/>
    <w:rsid w:val="00E84BAC"/>
    <w:rsid w:val="00E865AE"/>
    <w:rsid w:val="00EA7E9E"/>
    <w:rsid w:val="00ED51AD"/>
    <w:rsid w:val="00EE33B4"/>
    <w:rsid w:val="00F04ECD"/>
    <w:rsid w:val="00F05595"/>
    <w:rsid w:val="00F13474"/>
    <w:rsid w:val="00F33EB7"/>
    <w:rsid w:val="00F37AAC"/>
    <w:rsid w:val="00F44BF5"/>
    <w:rsid w:val="00F47EB9"/>
    <w:rsid w:val="00F53021"/>
    <w:rsid w:val="00F600DB"/>
    <w:rsid w:val="00F6317F"/>
    <w:rsid w:val="00F67896"/>
    <w:rsid w:val="00F72055"/>
    <w:rsid w:val="00F77E67"/>
    <w:rsid w:val="00F96456"/>
    <w:rsid w:val="00FB534D"/>
    <w:rsid w:val="00FC29DD"/>
    <w:rsid w:val="00FC2A16"/>
    <w:rsid w:val="00FC5D7C"/>
    <w:rsid w:val="00FD2209"/>
    <w:rsid w:val="00FE44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083AF2C"/>
  <w15:chartTrackingRefBased/>
  <w15:docId w15:val="{198167B5-6E38-4028-A544-D425BA8A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678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7896"/>
    <w:pPr>
      <w:ind w:left="720"/>
      <w:contextualSpacing/>
    </w:pPr>
  </w:style>
  <w:style w:type="character" w:customStyle="1" w:styleId="Ttulo1Car">
    <w:name w:val="Título 1 Car"/>
    <w:basedOn w:val="Fuentedeprrafopredeter"/>
    <w:link w:val="Ttulo1"/>
    <w:uiPriority w:val="9"/>
    <w:rsid w:val="00F6789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F67896"/>
    <w:pPr>
      <w:outlineLvl w:val="9"/>
    </w:pPr>
    <w:rPr>
      <w:lang w:eastAsia="es-CR"/>
    </w:rPr>
  </w:style>
  <w:style w:type="paragraph" w:styleId="TDC1">
    <w:name w:val="toc 1"/>
    <w:basedOn w:val="Normal"/>
    <w:next w:val="Normal"/>
    <w:autoRedefine/>
    <w:uiPriority w:val="39"/>
    <w:unhideWhenUsed/>
    <w:rsid w:val="00F67896"/>
    <w:pPr>
      <w:spacing w:after="100"/>
    </w:pPr>
  </w:style>
  <w:style w:type="character" w:styleId="Hipervnculo">
    <w:name w:val="Hyperlink"/>
    <w:basedOn w:val="Fuentedeprrafopredeter"/>
    <w:uiPriority w:val="99"/>
    <w:unhideWhenUsed/>
    <w:rsid w:val="00F67896"/>
    <w:rPr>
      <w:color w:val="0563C1" w:themeColor="hyperlink"/>
      <w:u w:val="single"/>
    </w:rPr>
  </w:style>
  <w:style w:type="paragraph" w:styleId="Encabezado">
    <w:name w:val="header"/>
    <w:basedOn w:val="Normal"/>
    <w:link w:val="EncabezadoCar"/>
    <w:uiPriority w:val="99"/>
    <w:unhideWhenUsed/>
    <w:rsid w:val="00474D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4DCC"/>
  </w:style>
  <w:style w:type="paragraph" w:styleId="Piedepgina">
    <w:name w:val="footer"/>
    <w:basedOn w:val="Normal"/>
    <w:link w:val="PiedepginaCar"/>
    <w:uiPriority w:val="99"/>
    <w:unhideWhenUsed/>
    <w:rsid w:val="00474D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4DCC"/>
  </w:style>
  <w:style w:type="paragraph" w:styleId="Textonotapie">
    <w:name w:val="footnote text"/>
    <w:basedOn w:val="Normal"/>
    <w:link w:val="TextonotapieCar"/>
    <w:uiPriority w:val="99"/>
    <w:semiHidden/>
    <w:unhideWhenUsed/>
    <w:rsid w:val="00F631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317F"/>
    <w:rPr>
      <w:sz w:val="20"/>
      <w:szCs w:val="20"/>
    </w:rPr>
  </w:style>
  <w:style w:type="character" w:styleId="Refdenotaalpie">
    <w:name w:val="footnote reference"/>
    <w:basedOn w:val="Fuentedeprrafopredeter"/>
    <w:uiPriority w:val="99"/>
    <w:semiHidden/>
    <w:unhideWhenUsed/>
    <w:rsid w:val="00F6317F"/>
    <w:rPr>
      <w:vertAlign w:val="superscript"/>
    </w:rPr>
  </w:style>
  <w:style w:type="table" w:styleId="Tablaconcuadrcula">
    <w:name w:val="Table Grid"/>
    <w:basedOn w:val="Tablanormal"/>
    <w:uiPriority w:val="39"/>
    <w:rsid w:val="00B97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qFormat/>
    <w:rsid w:val="00365E42"/>
    <w:pPr>
      <w:spacing w:after="0" w:line="240" w:lineRule="auto"/>
      <w:ind w:left="720"/>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535484">
      <w:bodyDiv w:val="1"/>
      <w:marLeft w:val="0"/>
      <w:marRight w:val="0"/>
      <w:marTop w:val="0"/>
      <w:marBottom w:val="0"/>
      <w:divBdr>
        <w:top w:val="none" w:sz="0" w:space="0" w:color="auto"/>
        <w:left w:val="none" w:sz="0" w:space="0" w:color="auto"/>
        <w:bottom w:val="none" w:sz="0" w:space="0" w:color="auto"/>
        <w:right w:val="none" w:sz="0" w:space="0" w:color="auto"/>
      </w:divBdr>
    </w:div>
    <w:div w:id="535386258">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650908575">
      <w:bodyDiv w:val="1"/>
      <w:marLeft w:val="0"/>
      <w:marRight w:val="0"/>
      <w:marTop w:val="0"/>
      <w:marBottom w:val="0"/>
      <w:divBdr>
        <w:top w:val="none" w:sz="0" w:space="0" w:color="auto"/>
        <w:left w:val="none" w:sz="0" w:space="0" w:color="auto"/>
        <w:bottom w:val="none" w:sz="0" w:space="0" w:color="auto"/>
        <w:right w:val="none" w:sz="0" w:space="0" w:color="auto"/>
      </w:divBdr>
    </w:div>
    <w:div w:id="750351171">
      <w:bodyDiv w:val="1"/>
      <w:marLeft w:val="0"/>
      <w:marRight w:val="0"/>
      <w:marTop w:val="0"/>
      <w:marBottom w:val="0"/>
      <w:divBdr>
        <w:top w:val="none" w:sz="0" w:space="0" w:color="auto"/>
        <w:left w:val="none" w:sz="0" w:space="0" w:color="auto"/>
        <w:bottom w:val="none" w:sz="0" w:space="0" w:color="auto"/>
        <w:right w:val="none" w:sz="0" w:space="0" w:color="auto"/>
      </w:divBdr>
    </w:div>
    <w:div w:id="784350128">
      <w:bodyDiv w:val="1"/>
      <w:marLeft w:val="0"/>
      <w:marRight w:val="0"/>
      <w:marTop w:val="0"/>
      <w:marBottom w:val="0"/>
      <w:divBdr>
        <w:top w:val="none" w:sz="0" w:space="0" w:color="auto"/>
        <w:left w:val="none" w:sz="0" w:space="0" w:color="auto"/>
        <w:bottom w:val="none" w:sz="0" w:space="0" w:color="auto"/>
        <w:right w:val="none" w:sz="0" w:space="0" w:color="auto"/>
      </w:divBdr>
    </w:div>
    <w:div w:id="1137533247">
      <w:bodyDiv w:val="1"/>
      <w:marLeft w:val="0"/>
      <w:marRight w:val="0"/>
      <w:marTop w:val="0"/>
      <w:marBottom w:val="0"/>
      <w:divBdr>
        <w:top w:val="none" w:sz="0" w:space="0" w:color="auto"/>
        <w:left w:val="none" w:sz="0" w:space="0" w:color="auto"/>
        <w:bottom w:val="none" w:sz="0" w:space="0" w:color="auto"/>
        <w:right w:val="none" w:sz="0" w:space="0" w:color="auto"/>
      </w:divBdr>
    </w:div>
    <w:div w:id="1356615517">
      <w:bodyDiv w:val="1"/>
      <w:marLeft w:val="0"/>
      <w:marRight w:val="0"/>
      <w:marTop w:val="0"/>
      <w:marBottom w:val="0"/>
      <w:divBdr>
        <w:top w:val="none" w:sz="0" w:space="0" w:color="auto"/>
        <w:left w:val="none" w:sz="0" w:space="0" w:color="auto"/>
        <w:bottom w:val="none" w:sz="0" w:space="0" w:color="auto"/>
        <w:right w:val="none" w:sz="0" w:space="0" w:color="auto"/>
      </w:divBdr>
    </w:div>
    <w:div w:id="1668091984">
      <w:bodyDiv w:val="1"/>
      <w:marLeft w:val="0"/>
      <w:marRight w:val="0"/>
      <w:marTop w:val="0"/>
      <w:marBottom w:val="0"/>
      <w:divBdr>
        <w:top w:val="none" w:sz="0" w:space="0" w:color="auto"/>
        <w:left w:val="none" w:sz="0" w:space="0" w:color="auto"/>
        <w:bottom w:val="none" w:sz="0" w:space="0" w:color="auto"/>
        <w:right w:val="none" w:sz="0" w:space="0" w:color="auto"/>
      </w:divBdr>
    </w:div>
    <w:div w:id="1777408480">
      <w:bodyDiv w:val="1"/>
      <w:marLeft w:val="0"/>
      <w:marRight w:val="0"/>
      <w:marTop w:val="0"/>
      <w:marBottom w:val="0"/>
      <w:divBdr>
        <w:top w:val="none" w:sz="0" w:space="0" w:color="auto"/>
        <w:left w:val="none" w:sz="0" w:space="0" w:color="auto"/>
        <w:bottom w:val="none" w:sz="0" w:space="0" w:color="auto"/>
        <w:right w:val="none" w:sz="0" w:space="0" w:color="auto"/>
      </w:divBdr>
    </w:div>
    <w:div w:id="1923754507">
      <w:bodyDiv w:val="1"/>
      <w:marLeft w:val="0"/>
      <w:marRight w:val="0"/>
      <w:marTop w:val="0"/>
      <w:marBottom w:val="0"/>
      <w:divBdr>
        <w:top w:val="none" w:sz="0" w:space="0" w:color="auto"/>
        <w:left w:val="none" w:sz="0" w:space="0" w:color="auto"/>
        <w:bottom w:val="none" w:sz="0" w:space="0" w:color="auto"/>
        <w:right w:val="none" w:sz="0" w:space="0" w:color="auto"/>
      </w:divBdr>
    </w:div>
    <w:div w:id="21035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chart" Target="charts/chart5.xml"/><Relationship Id="rId18" Type="http://schemas.openxmlformats.org/officeDocument/2006/relationships/package" Target="embeddings/Microsoft_Excel_Worksheet.xls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oleObject" Target="embeddings/Microsoft_Excel_97-2003_Worksheet.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package" Target="embeddings/Microsoft_Excel_Worksheet1.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Teletrabajo\Entrada%20Neta\An&#225;lisis\Cuadros%20y%20gr&#225;fico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F:\Teletrabajo\Entrada%20Neta\An&#225;lisis\Cuadros%20y%20gr&#225;fico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E:\Teletrabajo\Entrada%20Neta\An&#225;lisis\Cuadros%20y%20gr&#225;fico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E:\Teletrabajo\Entrada%20Neta\An&#225;lisis\Cuadros%20y%20gr&#225;fico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E:\Teletrabajo\Entrada%20Neta\An&#225;lisis\Cuadros%20y%20gr&#225;fico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E:\Teletrabajo\Entrada%20Neta\An&#225;lisis\Cuadros%20y%20gr&#225;fic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Teletrabajo\Entrada%20Neta\An&#225;lisis\Proyeccion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Teletrabajo\Entrada%20Neta\An&#225;lisis\Proyeccion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cap="none" spc="0" normalizeH="0" baseline="0">
                <a:solidFill>
                  <a:sysClr val="windowText" lastClr="000000">
                    <a:lumMod val="50000"/>
                    <a:lumOff val="50000"/>
                  </a:sysClr>
                </a:solidFill>
                <a:latin typeface="+mj-lt"/>
                <a:ea typeface="+mj-ea"/>
                <a:cs typeface="+mj-cs"/>
              </a:defRPr>
            </a:pPr>
            <a:r>
              <a:rPr lang="es-CR" sz="1200" b="1" i="0" baseline="0">
                <a:solidFill>
                  <a:sysClr val="windowText" lastClr="000000"/>
                </a:solidFill>
                <a:effectLst/>
              </a:rPr>
              <a:t>Gráfico 1. Tasas de pendencia y resolución en las fiscalías penales durante el período 2015 - 2019</a:t>
            </a:r>
            <a:endParaRPr lang="es-CR" sz="1200">
              <a:solidFill>
                <a:sysClr val="windowText" lastClr="000000"/>
              </a:solidFill>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cap="none" spc="0" normalizeH="0" baseline="0">
              <a:solidFill>
                <a:sysClr val="windowText" lastClr="000000">
                  <a:lumMod val="50000"/>
                  <a:lumOff val="50000"/>
                </a:sysClr>
              </a:solidFill>
              <a:latin typeface="+mj-lt"/>
              <a:ea typeface="+mj-ea"/>
              <a:cs typeface="+mj-cs"/>
            </a:defRPr>
          </a:pPr>
          <a:endParaRPr lang="es-CR"/>
        </a:p>
      </c:txPr>
    </c:title>
    <c:autoTitleDeleted val="0"/>
    <c:plotArea>
      <c:layout>
        <c:manualLayout>
          <c:layoutTarget val="inner"/>
          <c:xMode val="edge"/>
          <c:yMode val="edge"/>
          <c:x val="6.8701366504339709E-2"/>
          <c:y val="0.29796312085193172"/>
          <c:w val="0.90188021303854327"/>
          <c:h val="0.52896735041877729"/>
        </c:manualLayout>
      </c:layout>
      <c:lineChart>
        <c:grouping val="standard"/>
        <c:varyColors val="0"/>
        <c:ser>
          <c:idx val="1"/>
          <c:order val="0"/>
          <c:tx>
            <c:strRef>
              <c:f>Hoja1!$B$28</c:f>
              <c:strCache>
                <c:ptCount val="1"/>
                <c:pt idx="0">
                  <c:v>Tasa de pendencia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Hoja1!$C$27:$G$27</c:f>
              <c:numCache>
                <c:formatCode>General</c:formatCode>
                <c:ptCount val="5"/>
                <c:pt idx="0">
                  <c:v>2015</c:v>
                </c:pt>
                <c:pt idx="1">
                  <c:v>2016</c:v>
                </c:pt>
                <c:pt idx="2">
                  <c:v>2017</c:v>
                </c:pt>
                <c:pt idx="3">
                  <c:v>2018</c:v>
                </c:pt>
                <c:pt idx="4">
                  <c:v>2019</c:v>
                </c:pt>
              </c:numCache>
            </c:numRef>
          </c:cat>
          <c:val>
            <c:numRef>
              <c:f>Hoja1!$C$28:$G$28</c:f>
              <c:numCache>
                <c:formatCode>0.0</c:formatCode>
                <c:ptCount val="5"/>
                <c:pt idx="0">
                  <c:v>19.544043395196507</c:v>
                </c:pt>
                <c:pt idx="1">
                  <c:v>21.1732176356055</c:v>
                </c:pt>
                <c:pt idx="2">
                  <c:v>24.073977823977824</c:v>
                </c:pt>
                <c:pt idx="3">
                  <c:v>26.718268586406118</c:v>
                </c:pt>
                <c:pt idx="4">
                  <c:v>24.951885601550696</c:v>
                </c:pt>
              </c:numCache>
            </c:numRef>
          </c:val>
          <c:smooth val="1"/>
          <c:extLst>
            <c:ext xmlns:c16="http://schemas.microsoft.com/office/drawing/2014/chart" uri="{C3380CC4-5D6E-409C-BE32-E72D297353CC}">
              <c16:uniqueId val="{00000000-E5AB-471A-875F-A054A6B0AF33}"/>
            </c:ext>
          </c:extLst>
        </c:ser>
        <c:ser>
          <c:idx val="2"/>
          <c:order val="1"/>
          <c:tx>
            <c:strRef>
              <c:f>Hoja1!$B$29</c:f>
              <c:strCache>
                <c:ptCount val="1"/>
                <c:pt idx="0">
                  <c:v>Tasa de resolución</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Hoja1!$C$27:$G$27</c:f>
              <c:numCache>
                <c:formatCode>General</c:formatCode>
                <c:ptCount val="5"/>
                <c:pt idx="0">
                  <c:v>2015</c:v>
                </c:pt>
                <c:pt idx="1">
                  <c:v>2016</c:v>
                </c:pt>
                <c:pt idx="2">
                  <c:v>2017</c:v>
                </c:pt>
                <c:pt idx="3">
                  <c:v>2018</c:v>
                </c:pt>
                <c:pt idx="4">
                  <c:v>2019</c:v>
                </c:pt>
              </c:numCache>
            </c:numRef>
          </c:cat>
          <c:val>
            <c:numRef>
              <c:f>Hoja1!$C$29:$G$29</c:f>
              <c:numCache>
                <c:formatCode>0.0</c:formatCode>
                <c:ptCount val="5"/>
                <c:pt idx="0">
                  <c:v>80.45595660480349</c:v>
                </c:pt>
                <c:pt idx="1">
                  <c:v>78.826782364394504</c:v>
                </c:pt>
                <c:pt idx="2">
                  <c:v>75.926022176022173</c:v>
                </c:pt>
                <c:pt idx="3">
                  <c:v>73.281731413593874</c:v>
                </c:pt>
                <c:pt idx="4">
                  <c:v>75.0481143984493</c:v>
                </c:pt>
              </c:numCache>
            </c:numRef>
          </c:val>
          <c:smooth val="1"/>
          <c:extLst>
            <c:ext xmlns:c16="http://schemas.microsoft.com/office/drawing/2014/chart" uri="{C3380CC4-5D6E-409C-BE32-E72D297353CC}">
              <c16:uniqueId val="{00000001-E5AB-471A-875F-A054A6B0AF33}"/>
            </c:ext>
          </c:extLst>
        </c:ser>
        <c:dLbls>
          <c:showLegendKey val="0"/>
          <c:showVal val="0"/>
          <c:showCatName val="0"/>
          <c:showSerName val="0"/>
          <c:showPercent val="0"/>
          <c:showBubbleSize val="0"/>
        </c:dLbls>
        <c:smooth val="0"/>
        <c:axId val="339666208"/>
        <c:axId val="339667520"/>
      </c:lineChart>
      <c:catAx>
        <c:axId val="3396662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s-CR"/>
          </a:p>
        </c:txPr>
        <c:crossAx val="339667520"/>
        <c:crosses val="autoZero"/>
        <c:auto val="1"/>
        <c:lblAlgn val="ctr"/>
        <c:lblOffset val="100"/>
        <c:noMultiLvlLbl val="0"/>
      </c:catAx>
      <c:valAx>
        <c:axId val="3396675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s-CR"/>
          </a:p>
        </c:txPr>
        <c:crossAx val="339666208"/>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r>
              <a:rPr lang="es-CR" sz="1050">
                <a:solidFill>
                  <a:sysClr val="windowText" lastClr="000000"/>
                </a:solidFill>
              </a:rPr>
              <a:t>Gráfico</a:t>
            </a:r>
            <a:r>
              <a:rPr lang="es-CR" sz="1050" baseline="0">
                <a:solidFill>
                  <a:sysClr val="windowText" lastClr="000000"/>
                </a:solidFill>
              </a:rPr>
              <a:t> 2. Distribución de los casos ingresados totales y netos a las fiscalías penales.</a:t>
            </a:r>
          </a:p>
          <a:p>
            <a:pPr>
              <a:defRPr sz="1050"/>
            </a:pPr>
            <a:r>
              <a:rPr lang="es-CR" sz="1050" baseline="0">
                <a:solidFill>
                  <a:sysClr val="windowText" lastClr="000000"/>
                </a:solidFill>
              </a:rPr>
              <a:t>Periodo 2015 - 2019.</a:t>
            </a:r>
            <a:endParaRPr lang="es-CR"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manualLayout>
          <c:layoutTarget val="inner"/>
          <c:xMode val="edge"/>
          <c:yMode val="edge"/>
          <c:x val="6.021305923142195E-2"/>
          <c:y val="0.14884950559427806"/>
          <c:w val="0.85414307936558842"/>
          <c:h val="0.69838634219060991"/>
        </c:manualLayout>
      </c:layout>
      <c:lineChart>
        <c:grouping val="standard"/>
        <c:varyColors val="0"/>
        <c:ser>
          <c:idx val="0"/>
          <c:order val="0"/>
          <c:tx>
            <c:strRef>
              <c:f>Hoja1!$B$51</c:f>
              <c:strCache>
                <c:ptCount val="1"/>
                <c:pt idx="0">
                  <c:v>Casos entrados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Hoja1!$C$50:$G$50</c:f>
              <c:numCache>
                <c:formatCode>General</c:formatCode>
                <c:ptCount val="5"/>
                <c:pt idx="0">
                  <c:v>2015</c:v>
                </c:pt>
                <c:pt idx="1">
                  <c:v>2016</c:v>
                </c:pt>
                <c:pt idx="2">
                  <c:v>2017</c:v>
                </c:pt>
                <c:pt idx="3">
                  <c:v>2018</c:v>
                </c:pt>
                <c:pt idx="4">
                  <c:v>2019</c:v>
                </c:pt>
              </c:numCache>
            </c:numRef>
          </c:cat>
          <c:val>
            <c:numRef>
              <c:f>Hoja1!$C$51:$G$51</c:f>
              <c:numCache>
                <c:formatCode>#,##0</c:formatCode>
                <c:ptCount val="5"/>
                <c:pt idx="0">
                  <c:v>170069</c:v>
                </c:pt>
                <c:pt idx="1">
                  <c:v>167252</c:v>
                </c:pt>
                <c:pt idx="2">
                  <c:v>171773</c:v>
                </c:pt>
                <c:pt idx="3">
                  <c:v>185171</c:v>
                </c:pt>
                <c:pt idx="4">
                  <c:v>210337</c:v>
                </c:pt>
              </c:numCache>
            </c:numRef>
          </c:val>
          <c:smooth val="0"/>
          <c:extLst>
            <c:ext xmlns:c16="http://schemas.microsoft.com/office/drawing/2014/chart" uri="{C3380CC4-5D6E-409C-BE32-E72D297353CC}">
              <c16:uniqueId val="{00000000-B193-4744-B25E-439053936771}"/>
            </c:ext>
          </c:extLst>
        </c:ser>
        <c:ser>
          <c:idx val="1"/>
          <c:order val="1"/>
          <c:tx>
            <c:strRef>
              <c:f>Hoja1!$B$52</c:f>
              <c:strCache>
                <c:ptCount val="1"/>
                <c:pt idx="0">
                  <c:v>Entrada Neta</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Hoja1!$C$50:$G$50</c:f>
              <c:numCache>
                <c:formatCode>General</c:formatCode>
                <c:ptCount val="5"/>
                <c:pt idx="0">
                  <c:v>2015</c:v>
                </c:pt>
                <c:pt idx="1">
                  <c:v>2016</c:v>
                </c:pt>
                <c:pt idx="2">
                  <c:v>2017</c:v>
                </c:pt>
                <c:pt idx="3">
                  <c:v>2018</c:v>
                </c:pt>
                <c:pt idx="4">
                  <c:v>2019</c:v>
                </c:pt>
              </c:numCache>
            </c:numRef>
          </c:cat>
          <c:val>
            <c:numRef>
              <c:f>Hoja1!$C$52:$G$52</c:f>
              <c:numCache>
                <c:formatCode>#,##0</c:formatCode>
                <c:ptCount val="5"/>
                <c:pt idx="0">
                  <c:v>159790</c:v>
                </c:pt>
                <c:pt idx="1">
                  <c:v>158429</c:v>
                </c:pt>
                <c:pt idx="2">
                  <c:v>161284</c:v>
                </c:pt>
                <c:pt idx="3">
                  <c:v>174702</c:v>
                </c:pt>
                <c:pt idx="4">
                  <c:v>198141</c:v>
                </c:pt>
              </c:numCache>
            </c:numRef>
          </c:val>
          <c:smooth val="0"/>
          <c:extLst>
            <c:ext xmlns:c16="http://schemas.microsoft.com/office/drawing/2014/chart" uri="{C3380CC4-5D6E-409C-BE32-E72D297353CC}">
              <c16:uniqueId val="{00000001-B193-4744-B25E-439053936771}"/>
            </c:ext>
          </c:extLst>
        </c:ser>
        <c:dLbls>
          <c:showLegendKey val="0"/>
          <c:showVal val="0"/>
          <c:showCatName val="0"/>
          <c:showSerName val="0"/>
          <c:showPercent val="0"/>
          <c:showBubbleSize val="0"/>
        </c:dLbls>
        <c:smooth val="0"/>
        <c:axId val="944732304"/>
        <c:axId val="944728368"/>
      </c:lineChart>
      <c:catAx>
        <c:axId val="9447323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ysClr val="windowText" lastClr="000000"/>
                </a:solidFill>
                <a:latin typeface="+mn-lt"/>
                <a:ea typeface="+mn-ea"/>
                <a:cs typeface="+mn-cs"/>
              </a:defRPr>
            </a:pPr>
            <a:endParaRPr lang="es-CR"/>
          </a:p>
        </c:txPr>
        <c:crossAx val="944728368"/>
        <c:crosses val="autoZero"/>
        <c:auto val="1"/>
        <c:lblAlgn val="ctr"/>
        <c:lblOffset val="100"/>
        <c:noMultiLvlLbl val="0"/>
      </c:catAx>
      <c:valAx>
        <c:axId val="944728368"/>
        <c:scaling>
          <c:orientation val="minMax"/>
          <c:max val="215000"/>
          <c:min val="150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944732304"/>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0980786261187823"/>
          <c:y val="0.6389298316562394"/>
          <c:w val="0.20523936544591803"/>
          <c:h val="0.1786401558147763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mj-lt"/>
                <a:ea typeface="+mj-ea"/>
                <a:cs typeface="+mj-cs"/>
              </a:defRPr>
            </a:pPr>
            <a:r>
              <a:rPr lang="en-US" sz="1100">
                <a:solidFill>
                  <a:sysClr val="windowText" lastClr="000000"/>
                </a:solidFill>
              </a:rPr>
              <a:t>Gráfico 3. Distribución de las causas netas ingresadas al Ministerio</a:t>
            </a:r>
            <a:r>
              <a:rPr lang="en-US" sz="1100" baseline="0">
                <a:solidFill>
                  <a:sysClr val="windowText" lastClr="000000"/>
                </a:solidFill>
              </a:rPr>
              <a:t> Público según el Título del Código Penal.</a:t>
            </a:r>
          </a:p>
          <a:p>
            <a:pPr>
              <a:defRPr sz="1100">
                <a:solidFill>
                  <a:sysClr val="windowText" lastClr="000000"/>
                </a:solidFill>
              </a:defRPr>
            </a:pPr>
            <a:r>
              <a:rPr lang="en-US" sz="1100" baseline="0">
                <a:solidFill>
                  <a:sysClr val="windowText" lastClr="000000"/>
                </a:solidFill>
              </a:rPr>
              <a:t>Periodo 2018 - 2019.</a:t>
            </a:r>
            <a:endParaRPr lang="en-US"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ysClr val="windowText" lastClr="000000"/>
              </a:solidFill>
              <a:latin typeface="+mj-lt"/>
              <a:ea typeface="+mj-ea"/>
              <a:cs typeface="+mj-cs"/>
            </a:defRPr>
          </a:pPr>
          <a:endParaRPr lang="es-CR"/>
        </a:p>
      </c:txPr>
    </c:title>
    <c:autoTitleDeleted val="0"/>
    <c:plotArea>
      <c:layout>
        <c:manualLayout>
          <c:layoutTarget val="inner"/>
          <c:xMode val="edge"/>
          <c:yMode val="edge"/>
          <c:x val="0.41067865498482753"/>
          <c:y val="0.23191866168244121"/>
          <c:w val="0.54248386976067908"/>
          <c:h val="0.73901932712956331"/>
        </c:manualLayout>
      </c:layout>
      <c:barChart>
        <c:barDir val="bar"/>
        <c:grouping val="clustered"/>
        <c:varyColors val="0"/>
        <c:ser>
          <c:idx val="0"/>
          <c:order val="0"/>
          <c:tx>
            <c:strRef>
              <c:f>'Delitos entrada neta'!$C$1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'Delitos entrada neta'!$A$2:$A$12</c:f>
              <c:strCache>
                <c:ptCount val="11"/>
                <c:pt idx="0">
                  <c:v>CONTRA LA PROPIEDAD</c:v>
                </c:pt>
                <c:pt idx="1">
                  <c:v>INFRACCION LEY DE  PENALIZACION DE VIOLENCIA CONTRA LA MUJER</c:v>
                </c:pt>
                <c:pt idx="2">
                  <c:v>CONTRA LA VIDA</c:v>
                </c:pt>
                <c:pt idx="3">
                  <c:v>SEXUALES</c:v>
                </c:pt>
                <c:pt idx="4">
                  <c:v>NO DELITOS</c:v>
                </c:pt>
                <c:pt idx="5">
                  <c:v>CONTRA LA AUTORIDAD PÚBLICA</c:v>
                </c:pt>
                <c:pt idx="6">
                  <c:v>CONTRA LA ADMINISTRACIÓN DE JUSTICIA</c:v>
                </c:pt>
                <c:pt idx="7">
                  <c:v>CONTRA LA LIBERTAD</c:v>
                </c:pt>
                <c:pt idx="8">
                  <c:v>CONTRA LA FE PUBLICA</c:v>
                </c:pt>
                <c:pt idx="9">
                  <c:v>INFRACCIÓN A LA LEY DE PSICOTRÓPICOS</c:v>
                </c:pt>
                <c:pt idx="10">
                  <c:v>INFRACCION LEY DE ARMAS Y EXPLOSIVOS</c:v>
                </c:pt>
              </c:strCache>
            </c:strRef>
          </c:cat>
          <c:val>
            <c:numRef>
              <c:f>'Delitos entrada neta'!$C$2:$C$12</c:f>
              <c:numCache>
                <c:formatCode>#,##0</c:formatCode>
                <c:ptCount val="11"/>
                <c:pt idx="0">
                  <c:v>77901</c:v>
                </c:pt>
                <c:pt idx="1">
                  <c:v>20077</c:v>
                </c:pt>
                <c:pt idx="2">
                  <c:v>19016</c:v>
                </c:pt>
                <c:pt idx="3">
                  <c:v>10368</c:v>
                </c:pt>
                <c:pt idx="4">
                  <c:v>8122</c:v>
                </c:pt>
                <c:pt idx="5">
                  <c:v>6100</c:v>
                </c:pt>
                <c:pt idx="6">
                  <c:v>3265</c:v>
                </c:pt>
                <c:pt idx="7">
                  <c:v>3440</c:v>
                </c:pt>
                <c:pt idx="8">
                  <c:v>3190</c:v>
                </c:pt>
                <c:pt idx="9">
                  <c:v>3141</c:v>
                </c:pt>
                <c:pt idx="10">
                  <c:v>2646</c:v>
                </c:pt>
              </c:numCache>
            </c:numRef>
          </c:val>
          <c:extLst>
            <c:ext xmlns:c16="http://schemas.microsoft.com/office/drawing/2014/chart" uri="{C3380CC4-5D6E-409C-BE32-E72D297353CC}">
              <c16:uniqueId val="{00000000-DEAA-4108-9575-BD1DEE522FCD}"/>
            </c:ext>
          </c:extLst>
        </c:ser>
        <c:ser>
          <c:idx val="1"/>
          <c:order val="1"/>
          <c:tx>
            <c:strRef>
              <c:f>'Delitos entrada neta'!$D$1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'Delitos entrada neta'!$A$2:$A$12</c:f>
              <c:strCache>
                <c:ptCount val="11"/>
                <c:pt idx="0">
                  <c:v>CONTRA LA PROPIEDAD</c:v>
                </c:pt>
                <c:pt idx="1">
                  <c:v>INFRACCION LEY DE  PENALIZACION DE VIOLENCIA CONTRA LA MUJER</c:v>
                </c:pt>
                <c:pt idx="2">
                  <c:v>CONTRA LA VIDA</c:v>
                </c:pt>
                <c:pt idx="3">
                  <c:v>SEXUALES</c:v>
                </c:pt>
                <c:pt idx="4">
                  <c:v>NO DELITOS</c:v>
                </c:pt>
                <c:pt idx="5">
                  <c:v>CONTRA LA AUTORIDAD PÚBLICA</c:v>
                </c:pt>
                <c:pt idx="6">
                  <c:v>CONTRA LA ADMINISTRACIÓN DE JUSTICIA</c:v>
                </c:pt>
                <c:pt idx="7">
                  <c:v>CONTRA LA LIBERTAD</c:v>
                </c:pt>
                <c:pt idx="8">
                  <c:v>CONTRA LA FE PUBLICA</c:v>
                </c:pt>
                <c:pt idx="9">
                  <c:v>INFRACCIÓN A LA LEY DE PSICOTRÓPICOS</c:v>
                </c:pt>
                <c:pt idx="10">
                  <c:v>INFRACCION LEY DE ARMAS Y EXPLOSIVOS</c:v>
                </c:pt>
              </c:strCache>
            </c:strRef>
          </c:cat>
          <c:val>
            <c:numRef>
              <c:f>'Delitos entrada neta'!$D$2:$D$12</c:f>
              <c:numCache>
                <c:formatCode>#,##0</c:formatCode>
                <c:ptCount val="11"/>
                <c:pt idx="0">
                  <c:v>93118</c:v>
                </c:pt>
                <c:pt idx="1">
                  <c:v>21122</c:v>
                </c:pt>
                <c:pt idx="2">
                  <c:v>18799</c:v>
                </c:pt>
                <c:pt idx="3">
                  <c:v>12348</c:v>
                </c:pt>
                <c:pt idx="4">
                  <c:v>9712</c:v>
                </c:pt>
                <c:pt idx="5">
                  <c:v>6381</c:v>
                </c:pt>
                <c:pt idx="6">
                  <c:v>3624</c:v>
                </c:pt>
                <c:pt idx="7">
                  <c:v>3526</c:v>
                </c:pt>
                <c:pt idx="8">
                  <c:v>3265</c:v>
                </c:pt>
                <c:pt idx="9">
                  <c:v>3219</c:v>
                </c:pt>
                <c:pt idx="10">
                  <c:v>2942</c:v>
                </c:pt>
              </c:numCache>
            </c:numRef>
          </c:val>
          <c:extLst>
            <c:ext xmlns:c16="http://schemas.microsoft.com/office/drawing/2014/chart" uri="{C3380CC4-5D6E-409C-BE32-E72D297353CC}">
              <c16:uniqueId val="{00000001-DEAA-4108-9575-BD1DEE522FCD}"/>
            </c:ext>
          </c:extLst>
        </c:ser>
        <c:dLbls>
          <c:showLegendKey val="0"/>
          <c:showVal val="0"/>
          <c:showCatName val="0"/>
          <c:showSerName val="0"/>
          <c:showPercent val="0"/>
          <c:showBubbleSize val="0"/>
        </c:dLbls>
        <c:gapWidth val="247"/>
        <c:overlap val="-30"/>
        <c:axId val="945819536"/>
        <c:axId val="945820848"/>
      </c:barChart>
      <c:catAx>
        <c:axId val="945819536"/>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lgn="just">
              <a:defRPr sz="800" b="1" i="0" u="none" strike="noStrike" kern="1200" cap="none" spc="0" normalizeH="0" baseline="0">
                <a:solidFill>
                  <a:sysClr val="windowText" lastClr="000000"/>
                </a:solidFill>
                <a:latin typeface="+mn-lt"/>
                <a:ea typeface="+mn-ea"/>
                <a:cs typeface="+mn-cs"/>
              </a:defRPr>
            </a:pPr>
            <a:endParaRPr lang="es-CR"/>
          </a:p>
        </c:txPr>
        <c:crossAx val="945820848"/>
        <c:crosses val="autoZero"/>
        <c:auto val="1"/>
        <c:lblAlgn val="ctr"/>
        <c:lblOffset val="100"/>
        <c:noMultiLvlLbl val="0"/>
      </c:catAx>
      <c:valAx>
        <c:axId val="945820848"/>
        <c:scaling>
          <c:orientation val="minMax"/>
        </c:scaling>
        <c:delete val="0"/>
        <c:axPos val="t"/>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9458195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es-CR" sz="1200" b="1" i="0" baseline="0">
                <a:solidFill>
                  <a:sysClr val="windowText" lastClr="000000"/>
                </a:solidFill>
                <a:effectLst/>
              </a:rPr>
              <a:t>Gráfico 4. Distribución de los casos terminados a las fiscalías penales.</a:t>
            </a:r>
            <a:endParaRPr lang="es-CR" sz="1200" b="1">
              <a:solidFill>
                <a:sysClr val="windowText" lastClr="000000"/>
              </a:solidFill>
              <a:effectLst/>
            </a:endParaRPr>
          </a:p>
          <a:p>
            <a:pPr>
              <a:defRPr sz="1200">
                <a:solidFill>
                  <a:sysClr val="windowText" lastClr="000000"/>
                </a:solidFill>
              </a:defRPr>
            </a:pPr>
            <a:r>
              <a:rPr lang="es-CR" sz="1200" b="1" i="0" baseline="0">
                <a:solidFill>
                  <a:sysClr val="windowText" lastClr="000000"/>
                </a:solidFill>
                <a:effectLst/>
              </a:rPr>
              <a:t>Periodo 2015 - 2019.</a:t>
            </a:r>
            <a:endParaRPr lang="es-CR" sz="1200" b="1">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s-CR"/>
        </a:p>
      </c:txPr>
    </c:title>
    <c:autoTitleDeleted val="0"/>
    <c:plotArea>
      <c:layout>
        <c:manualLayout>
          <c:layoutTarget val="inner"/>
          <c:xMode val="edge"/>
          <c:yMode val="edge"/>
          <c:x val="7.3701899889676889E-2"/>
          <c:y val="0.20386282635723166"/>
          <c:w val="0.90797431101831605"/>
          <c:h val="0.60921313897547691"/>
        </c:manualLayout>
      </c:layout>
      <c:lineChart>
        <c:grouping val="standard"/>
        <c:varyColors val="0"/>
        <c:ser>
          <c:idx val="0"/>
          <c:order val="0"/>
          <c:tx>
            <c:strRef>
              <c:f>Hoja1!$B$79</c:f>
              <c:strCache>
                <c:ptCount val="1"/>
                <c:pt idx="0">
                  <c:v>Casos terminados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Hoja1!$C$78:$G$78</c:f>
              <c:numCache>
                <c:formatCode>General</c:formatCode>
                <c:ptCount val="5"/>
                <c:pt idx="0">
                  <c:v>2015</c:v>
                </c:pt>
                <c:pt idx="1">
                  <c:v>2016</c:v>
                </c:pt>
                <c:pt idx="2">
                  <c:v>2017</c:v>
                </c:pt>
                <c:pt idx="3">
                  <c:v>2018</c:v>
                </c:pt>
                <c:pt idx="4">
                  <c:v>2019</c:v>
                </c:pt>
              </c:numCache>
            </c:numRef>
          </c:cat>
          <c:val>
            <c:numRef>
              <c:f>Hoja1!$C$79:$G$79</c:f>
              <c:numCache>
                <c:formatCode>#,##0</c:formatCode>
                <c:ptCount val="5"/>
                <c:pt idx="0">
                  <c:v>188666</c:v>
                </c:pt>
                <c:pt idx="1">
                  <c:v>177324</c:v>
                </c:pt>
                <c:pt idx="2">
                  <c:v>175298</c:v>
                </c:pt>
                <c:pt idx="3">
                  <c:v>184807</c:v>
                </c:pt>
                <c:pt idx="4">
                  <c:v>217590</c:v>
                </c:pt>
              </c:numCache>
            </c:numRef>
          </c:val>
          <c:smooth val="1"/>
          <c:extLst>
            <c:ext xmlns:c16="http://schemas.microsoft.com/office/drawing/2014/chart" uri="{C3380CC4-5D6E-409C-BE32-E72D297353CC}">
              <c16:uniqueId val="{00000000-F647-4F27-95E1-0822D8C23EB8}"/>
            </c:ext>
          </c:extLst>
        </c:ser>
        <c:dLbls>
          <c:showLegendKey val="0"/>
          <c:showVal val="0"/>
          <c:showCatName val="0"/>
          <c:showSerName val="0"/>
          <c:showPercent val="0"/>
          <c:showBubbleSize val="0"/>
        </c:dLbls>
        <c:smooth val="0"/>
        <c:axId val="710082991"/>
        <c:axId val="640960175"/>
      </c:lineChart>
      <c:catAx>
        <c:axId val="710082991"/>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s-CR"/>
          </a:p>
        </c:txPr>
        <c:crossAx val="640960175"/>
        <c:crosses val="autoZero"/>
        <c:auto val="1"/>
        <c:lblAlgn val="ctr"/>
        <c:lblOffset val="100"/>
        <c:noMultiLvlLbl val="0"/>
      </c:catAx>
      <c:valAx>
        <c:axId val="640960175"/>
        <c:scaling>
          <c:orientation val="minMax"/>
          <c:min val="170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71008299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60000"/>
        <a:lumOff val="4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r>
              <a:rPr lang="en-US" sz="1050">
                <a:solidFill>
                  <a:sysClr val="windowText" lastClr="000000"/>
                </a:solidFill>
              </a:rPr>
              <a:t>Gráfico 5. Circulante al finalizar el año en las fiscalías</a:t>
            </a:r>
            <a:r>
              <a:rPr lang="en-US" sz="1050" baseline="0">
                <a:solidFill>
                  <a:sysClr val="windowText" lastClr="000000"/>
                </a:solidFill>
              </a:rPr>
              <a:t> penales.</a:t>
            </a:r>
          </a:p>
          <a:p>
            <a:pPr>
              <a:defRPr sz="1050"/>
            </a:pPr>
            <a:r>
              <a:rPr lang="en-US" sz="1050" baseline="0">
                <a:solidFill>
                  <a:sysClr val="windowText" lastClr="000000"/>
                </a:solidFill>
              </a:rPr>
              <a:t>Periodo 2015-2019.</a:t>
            </a:r>
            <a:endParaRPr lang="en-US" sz="1050">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mj-lt"/>
              <a:ea typeface="+mj-ea"/>
              <a:cs typeface="+mj-cs"/>
            </a:defRPr>
          </a:pPr>
          <a:endParaRPr lang="es-CR"/>
        </a:p>
      </c:txPr>
    </c:title>
    <c:autoTitleDeleted val="0"/>
    <c:plotArea>
      <c:layout>
        <c:manualLayout>
          <c:layoutTarget val="inner"/>
          <c:xMode val="edge"/>
          <c:yMode val="edge"/>
          <c:x val="0.10564420282495238"/>
          <c:y val="0.1971541702282909"/>
          <c:w val="0.86380358448143457"/>
          <c:h val="0.58173690165562153"/>
        </c:manualLayout>
      </c:layout>
      <c:lineChart>
        <c:grouping val="standard"/>
        <c:varyColors val="0"/>
        <c:ser>
          <c:idx val="0"/>
          <c:order val="0"/>
          <c:tx>
            <c:strRef>
              <c:f>General!$B$162</c:f>
              <c:strCache>
                <c:ptCount val="1"/>
                <c:pt idx="0">
                  <c:v>Circulante al finalizar</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General!$C$161:$G$161</c:f>
              <c:numCache>
                <c:formatCode>General</c:formatCode>
                <c:ptCount val="5"/>
                <c:pt idx="0">
                  <c:v>2015</c:v>
                </c:pt>
                <c:pt idx="1">
                  <c:v>2016</c:v>
                </c:pt>
                <c:pt idx="2">
                  <c:v>2017</c:v>
                </c:pt>
                <c:pt idx="3">
                  <c:v>2018</c:v>
                </c:pt>
                <c:pt idx="4">
                  <c:v>2019</c:v>
                </c:pt>
              </c:numCache>
            </c:numRef>
          </c:cat>
          <c:val>
            <c:numRef>
              <c:f>General!$C$162:$G$162</c:f>
              <c:numCache>
                <c:formatCode>#,##0</c:formatCode>
                <c:ptCount val="5"/>
                <c:pt idx="0">
                  <c:v>45830</c:v>
                </c:pt>
                <c:pt idx="1">
                  <c:v>47630</c:v>
                </c:pt>
                <c:pt idx="2">
                  <c:v>55582</c:v>
                </c:pt>
                <c:pt idx="3">
                  <c:v>67380</c:v>
                </c:pt>
                <c:pt idx="4">
                  <c:v>72344</c:v>
                </c:pt>
              </c:numCache>
            </c:numRef>
          </c:val>
          <c:smooth val="1"/>
          <c:extLst>
            <c:ext xmlns:c16="http://schemas.microsoft.com/office/drawing/2014/chart" uri="{C3380CC4-5D6E-409C-BE32-E72D297353CC}">
              <c16:uniqueId val="{00000000-5EDE-440A-AA29-93CA4D83949E}"/>
            </c:ext>
          </c:extLst>
        </c:ser>
        <c:dLbls>
          <c:showLegendKey val="0"/>
          <c:showVal val="0"/>
          <c:showCatName val="0"/>
          <c:showSerName val="0"/>
          <c:showPercent val="0"/>
          <c:showBubbleSize val="0"/>
        </c:dLbls>
        <c:smooth val="0"/>
        <c:axId val="1651669279"/>
        <c:axId val="1706384911"/>
      </c:lineChart>
      <c:catAx>
        <c:axId val="1651669279"/>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CR"/>
          </a:p>
        </c:txPr>
        <c:crossAx val="1706384911"/>
        <c:crosses val="autoZero"/>
        <c:auto val="1"/>
        <c:lblAlgn val="ctr"/>
        <c:lblOffset val="100"/>
        <c:noMultiLvlLbl val="0"/>
      </c:catAx>
      <c:valAx>
        <c:axId val="1706384911"/>
        <c:scaling>
          <c:orientation val="minMax"/>
          <c:max val="80000"/>
          <c:min val="40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R"/>
          </a:p>
        </c:txPr>
        <c:crossAx val="165166927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75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s-CR" sz="1050"/>
              <a:t>Gráfico</a:t>
            </a:r>
            <a:r>
              <a:rPr lang="es-CR" sz="1050" baseline="0"/>
              <a:t> 6. Distribución de los casos reentrados y testimonios de piezas registrados por las fiscalías penales.</a:t>
            </a:r>
          </a:p>
          <a:p>
            <a:pPr>
              <a:defRPr sz="1050"/>
            </a:pPr>
            <a:r>
              <a:rPr lang="es-CR" sz="1050" baseline="0"/>
              <a:t>Periodo 2015-2019.</a:t>
            </a:r>
            <a:endParaRPr lang="es-CR" sz="1050"/>
          </a:p>
        </c:rich>
      </c:tx>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s-CR"/>
        </a:p>
      </c:txPr>
    </c:title>
    <c:autoTitleDeleted val="0"/>
    <c:plotArea>
      <c:layout/>
      <c:barChart>
        <c:barDir val="col"/>
        <c:grouping val="stacked"/>
        <c:varyColors val="0"/>
        <c:ser>
          <c:idx val="0"/>
          <c:order val="0"/>
          <c:tx>
            <c:strRef>
              <c:f>General!$B$12</c:f>
              <c:strCache>
                <c:ptCount val="1"/>
                <c:pt idx="0">
                  <c:v>Casos reentrados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General!$C$7:$G$7</c:f>
              <c:numCache>
                <c:formatCode>General</c:formatCode>
                <c:ptCount val="5"/>
                <c:pt idx="0">
                  <c:v>2015</c:v>
                </c:pt>
                <c:pt idx="1">
                  <c:v>2016</c:v>
                </c:pt>
                <c:pt idx="2">
                  <c:v>2017</c:v>
                </c:pt>
                <c:pt idx="3">
                  <c:v>2018</c:v>
                </c:pt>
                <c:pt idx="4">
                  <c:v>2019</c:v>
                </c:pt>
              </c:numCache>
            </c:numRef>
          </c:cat>
          <c:val>
            <c:numRef>
              <c:f>General!$C$12:$G$12</c:f>
              <c:numCache>
                <c:formatCode>#,##0</c:formatCode>
                <c:ptCount val="5"/>
                <c:pt idx="0">
                  <c:v>11322</c:v>
                </c:pt>
                <c:pt idx="1">
                  <c:v>11157</c:v>
                </c:pt>
                <c:pt idx="2">
                  <c:v>10933</c:v>
                </c:pt>
                <c:pt idx="3">
                  <c:v>10731</c:v>
                </c:pt>
                <c:pt idx="4">
                  <c:v>11692</c:v>
                </c:pt>
              </c:numCache>
            </c:numRef>
          </c:val>
          <c:extLst>
            <c:ext xmlns:c16="http://schemas.microsoft.com/office/drawing/2014/chart" uri="{C3380CC4-5D6E-409C-BE32-E72D297353CC}">
              <c16:uniqueId val="{00000000-6BE1-4325-B74D-80C317EA4966}"/>
            </c:ext>
          </c:extLst>
        </c:ser>
        <c:ser>
          <c:idx val="1"/>
          <c:order val="1"/>
          <c:tx>
            <c:strRef>
              <c:f>General!$B$13</c:f>
              <c:strCache>
                <c:ptCount val="1"/>
                <c:pt idx="0">
                  <c:v>Testimonios de piezas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General!$C$7:$G$7</c:f>
              <c:numCache>
                <c:formatCode>General</c:formatCode>
                <c:ptCount val="5"/>
                <c:pt idx="0">
                  <c:v>2015</c:v>
                </c:pt>
                <c:pt idx="1">
                  <c:v>2016</c:v>
                </c:pt>
                <c:pt idx="2">
                  <c:v>2017</c:v>
                </c:pt>
                <c:pt idx="3">
                  <c:v>2018</c:v>
                </c:pt>
                <c:pt idx="4">
                  <c:v>2019</c:v>
                </c:pt>
              </c:numCache>
            </c:numRef>
          </c:cat>
          <c:val>
            <c:numRef>
              <c:f>General!$C$13:$G$13</c:f>
              <c:numCache>
                <c:formatCode>#,##0</c:formatCode>
                <c:ptCount val="5"/>
                <c:pt idx="0">
                  <c:v>665</c:v>
                </c:pt>
                <c:pt idx="1">
                  <c:v>715</c:v>
                </c:pt>
                <c:pt idx="2">
                  <c:v>524</c:v>
                </c:pt>
                <c:pt idx="3">
                  <c:v>628</c:v>
                </c:pt>
                <c:pt idx="4">
                  <c:v>525</c:v>
                </c:pt>
              </c:numCache>
            </c:numRef>
          </c:val>
          <c:extLst>
            <c:ext xmlns:c16="http://schemas.microsoft.com/office/drawing/2014/chart" uri="{C3380CC4-5D6E-409C-BE32-E72D297353CC}">
              <c16:uniqueId val="{00000001-6BE1-4325-B74D-80C317EA4966}"/>
            </c:ext>
          </c:extLst>
        </c:ser>
        <c:dLbls>
          <c:dLblPos val="ctr"/>
          <c:showLegendKey val="0"/>
          <c:showVal val="1"/>
          <c:showCatName val="0"/>
          <c:showSerName val="0"/>
          <c:showPercent val="0"/>
          <c:showBubbleSize val="0"/>
        </c:dLbls>
        <c:gapWidth val="150"/>
        <c:overlap val="100"/>
        <c:axId val="1661360175"/>
        <c:axId val="1706367439"/>
      </c:barChart>
      <c:catAx>
        <c:axId val="166136017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R"/>
          </a:p>
        </c:txPr>
        <c:crossAx val="1706367439"/>
        <c:crosses val="autoZero"/>
        <c:auto val="1"/>
        <c:lblAlgn val="ctr"/>
        <c:lblOffset val="100"/>
        <c:noMultiLvlLbl val="0"/>
      </c:catAx>
      <c:valAx>
        <c:axId val="1706367439"/>
        <c:scaling>
          <c:orientation val="minMax"/>
        </c:scaling>
        <c:delete val="1"/>
        <c:axPos val="l"/>
        <c:numFmt formatCode="#,##0" sourceLinked="1"/>
        <c:majorTickMark val="none"/>
        <c:minorTickMark val="none"/>
        <c:tickLblPos val="nextTo"/>
        <c:crossAx val="1661360175"/>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r>
              <a:rPr lang="en-US" sz="900">
                <a:solidFill>
                  <a:sysClr val="windowText" lastClr="000000"/>
                </a:solidFill>
              </a:rPr>
              <a:t>Gráfico 7. Tendencia y proyección</a:t>
            </a:r>
            <a:r>
              <a:rPr lang="en-US" sz="900" baseline="0">
                <a:solidFill>
                  <a:sysClr val="windowText" lastClr="000000"/>
                </a:solidFill>
              </a:rPr>
              <a:t> 2020-2021 de los casos </a:t>
            </a:r>
            <a:r>
              <a:rPr lang="en-US" sz="900">
                <a:solidFill>
                  <a:sysClr val="windowText" lastClr="000000"/>
                </a:solidFill>
              </a:rPr>
              <a:t>entrados.</a:t>
            </a:r>
          </a:p>
          <a:p>
            <a:pPr>
              <a:defRPr sz="1050">
                <a:solidFill>
                  <a:sysClr val="windowText" lastClr="000000"/>
                </a:solidFill>
              </a:defRPr>
            </a:pPr>
            <a:r>
              <a:rPr lang="en-US" sz="900">
                <a:solidFill>
                  <a:sysClr val="windowText" lastClr="000000"/>
                </a:solidFill>
              </a:rPr>
              <a:t>Periodo</a:t>
            </a:r>
            <a:r>
              <a:rPr lang="en-US" sz="900" baseline="0">
                <a:solidFill>
                  <a:sysClr val="windowText" lastClr="000000"/>
                </a:solidFill>
              </a:rPr>
              <a:t> 2010-2019</a:t>
            </a:r>
            <a:endParaRPr lang="en-US" sz="900">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cap="none" spc="0" normalizeH="0" baseline="0">
              <a:solidFill>
                <a:sysClr val="windowText" lastClr="000000"/>
              </a:solidFill>
              <a:latin typeface="+mj-lt"/>
              <a:ea typeface="+mj-ea"/>
              <a:cs typeface="+mj-cs"/>
            </a:defRPr>
          </a:pPr>
          <a:endParaRPr lang="es-CR"/>
        </a:p>
      </c:txPr>
    </c:title>
    <c:autoTitleDeleted val="0"/>
    <c:plotArea>
      <c:layout/>
      <c:lineChart>
        <c:grouping val="standard"/>
        <c:varyColors val="0"/>
        <c:ser>
          <c:idx val="0"/>
          <c:order val="0"/>
          <c:tx>
            <c:strRef>
              <c:f>Hoja1!$B$11</c:f>
              <c:strCache>
                <c:ptCount val="1"/>
                <c:pt idx="0">
                  <c:v>Casos entrados</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6350" cap="flat" cmpd="sng" algn="ctr">
                <a:solidFill>
                  <a:srgbClr val="FF0000"/>
                </a:solidFill>
                <a:prstDash val="lgDashDotDot"/>
                <a:miter lim="800000"/>
              </a:ln>
              <a:effectLst/>
            </c:spPr>
            <c:trendlineType val="poly"/>
            <c:order val="3"/>
            <c:forward val="2"/>
            <c:dispRSqr val="1"/>
            <c:dispEq val="1"/>
            <c:trendlineLbl>
              <c:layout>
                <c:manualLayout>
                  <c:x val="6.4671451466796195E-3"/>
                  <c:y val="-0.14417367775888867"/>
                </c:manualLayout>
              </c:layout>
              <c:numFmt formatCode="General"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CR"/>
                </a:p>
              </c:txPr>
            </c:trendlineLbl>
          </c:trendline>
          <c:cat>
            <c:numRef>
              <c:f>Hoja1!$C$8:$N$8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Hoja1!$C$11:$L$11</c:f>
              <c:numCache>
                <c:formatCode>#,##0</c:formatCode>
                <c:ptCount val="10"/>
                <c:pt idx="0">
                  <c:v>249203</c:v>
                </c:pt>
                <c:pt idx="1">
                  <c:v>234041</c:v>
                </c:pt>
                <c:pt idx="2">
                  <c:v>158121</c:v>
                </c:pt>
                <c:pt idx="3">
                  <c:v>173448</c:v>
                </c:pt>
                <c:pt idx="4">
                  <c:v>182933</c:v>
                </c:pt>
                <c:pt idx="5">
                  <c:v>170069</c:v>
                </c:pt>
                <c:pt idx="6">
                  <c:v>167252</c:v>
                </c:pt>
                <c:pt idx="7">
                  <c:v>171773</c:v>
                </c:pt>
                <c:pt idx="8">
                  <c:v>185171</c:v>
                </c:pt>
                <c:pt idx="9">
                  <c:v>210337</c:v>
                </c:pt>
              </c:numCache>
            </c:numRef>
          </c:val>
          <c:smooth val="1"/>
          <c:extLst>
            <c:ext xmlns:c16="http://schemas.microsoft.com/office/drawing/2014/chart" uri="{C3380CC4-5D6E-409C-BE32-E72D297353CC}">
              <c16:uniqueId val="{00000001-EA72-447F-B490-F9573A91CA37}"/>
            </c:ext>
          </c:extLst>
        </c:ser>
        <c:dLbls>
          <c:showLegendKey val="0"/>
          <c:showVal val="0"/>
          <c:showCatName val="0"/>
          <c:showSerName val="0"/>
          <c:showPercent val="0"/>
          <c:showBubbleSize val="0"/>
        </c:dLbls>
        <c:smooth val="0"/>
        <c:axId val="1222548783"/>
        <c:axId val="1856354975"/>
      </c:lineChart>
      <c:catAx>
        <c:axId val="122254878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mn-lt"/>
                <a:ea typeface="+mn-ea"/>
                <a:cs typeface="+mn-cs"/>
              </a:defRPr>
            </a:pPr>
            <a:endParaRPr lang="es-CR"/>
          </a:p>
        </c:txPr>
        <c:crossAx val="1856354975"/>
        <c:crosses val="autoZero"/>
        <c:auto val="1"/>
        <c:lblAlgn val="ctr"/>
        <c:lblOffset val="100"/>
        <c:noMultiLvlLbl val="0"/>
      </c:catAx>
      <c:valAx>
        <c:axId val="1856354975"/>
        <c:scaling>
          <c:orientation val="minMax"/>
          <c:min val="150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R"/>
          </a:p>
        </c:txPr>
        <c:crossAx val="122254878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mj-lt"/>
                <a:ea typeface="+mj-ea"/>
                <a:cs typeface="+mj-cs"/>
              </a:defRPr>
            </a:pPr>
            <a:r>
              <a:rPr lang="en-US" sz="900">
                <a:solidFill>
                  <a:sysClr val="windowText" lastClr="000000"/>
                </a:solidFill>
              </a:rPr>
              <a:t>Gráfico 8. </a:t>
            </a:r>
            <a:r>
              <a:rPr lang="en-US" sz="900" b="1" i="0" baseline="0">
                <a:effectLst/>
              </a:rPr>
              <a:t>Tendencia y proyección 2020-2021 de los casos terminados.</a:t>
            </a:r>
            <a:endParaRPr lang="es-CR" sz="900">
              <a:effectLst/>
            </a:endParaRPr>
          </a:p>
          <a:p>
            <a:pPr>
              <a:defRPr sz="900">
                <a:solidFill>
                  <a:sysClr val="windowText" lastClr="000000"/>
                </a:solidFill>
              </a:defRPr>
            </a:pPr>
            <a:r>
              <a:rPr lang="en-US" sz="900" b="1" i="0" baseline="0">
                <a:effectLst/>
              </a:rPr>
              <a:t>Periodo 2010-2019</a:t>
            </a:r>
            <a:endParaRPr lang="es-CR" sz="900">
              <a:effectLst/>
            </a:endParaRPr>
          </a:p>
        </c:rich>
      </c:tx>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mj-lt"/>
              <a:ea typeface="+mj-ea"/>
              <a:cs typeface="+mj-cs"/>
            </a:defRPr>
          </a:pPr>
          <a:endParaRPr lang="es-CR"/>
        </a:p>
      </c:txPr>
    </c:title>
    <c:autoTitleDeleted val="0"/>
    <c:plotArea>
      <c:layout/>
      <c:lineChart>
        <c:grouping val="standard"/>
        <c:varyColors val="0"/>
        <c:ser>
          <c:idx val="0"/>
          <c:order val="0"/>
          <c:tx>
            <c:strRef>
              <c:f>Hoja1!$B$12</c:f>
              <c:strCache>
                <c:ptCount val="1"/>
                <c:pt idx="0">
                  <c:v>Casos terminados</c:v>
                </c:pt>
              </c:strCache>
            </c:strRef>
          </c:tx>
          <c:spPr>
            <a:ln w="2222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6350" cap="flat" cmpd="sng" algn="ctr">
                <a:solidFill>
                  <a:srgbClr val="FF0000"/>
                </a:solidFill>
                <a:prstDash val="lgDashDotDot"/>
                <a:miter lim="800000"/>
              </a:ln>
              <a:effectLst/>
            </c:spPr>
            <c:trendlineType val="poly"/>
            <c:order val="2"/>
            <c:forward val="2"/>
            <c:dispRSqr val="1"/>
            <c:dispEq val="1"/>
            <c:trendlineLbl>
              <c:layout>
                <c:manualLayout>
                  <c:x val="-5.1081092502077673E-2"/>
                  <c:y val="-0.10979780305239623"/>
                </c:manualLayout>
              </c:layout>
              <c:numFmt formatCode="General"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CR"/>
                </a:p>
              </c:txPr>
            </c:trendlineLbl>
          </c:trendline>
          <c:cat>
            <c:numRef>
              <c:f>Hoja1!$C$8:$N$8</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Hoja1!$C$12:$L$12</c:f>
              <c:numCache>
                <c:formatCode>#,##0</c:formatCode>
                <c:ptCount val="10"/>
                <c:pt idx="0">
                  <c:v>264463</c:v>
                </c:pt>
                <c:pt idx="1">
                  <c:v>285259</c:v>
                </c:pt>
                <c:pt idx="2">
                  <c:v>191162</c:v>
                </c:pt>
                <c:pt idx="3">
                  <c:v>189452</c:v>
                </c:pt>
                <c:pt idx="4">
                  <c:v>203466</c:v>
                </c:pt>
                <c:pt idx="5">
                  <c:v>188666</c:v>
                </c:pt>
                <c:pt idx="6">
                  <c:v>177324</c:v>
                </c:pt>
                <c:pt idx="7">
                  <c:v>175298</c:v>
                </c:pt>
                <c:pt idx="8">
                  <c:v>184807</c:v>
                </c:pt>
                <c:pt idx="9">
                  <c:v>217590</c:v>
                </c:pt>
              </c:numCache>
            </c:numRef>
          </c:val>
          <c:smooth val="1"/>
          <c:extLst>
            <c:ext xmlns:c16="http://schemas.microsoft.com/office/drawing/2014/chart" uri="{C3380CC4-5D6E-409C-BE32-E72D297353CC}">
              <c16:uniqueId val="{00000001-6670-41CF-A37F-CA83A3D7EA73}"/>
            </c:ext>
          </c:extLst>
        </c:ser>
        <c:dLbls>
          <c:showLegendKey val="0"/>
          <c:showVal val="0"/>
          <c:showCatName val="0"/>
          <c:showSerName val="0"/>
          <c:showPercent val="0"/>
          <c:showBubbleSize val="0"/>
        </c:dLbls>
        <c:smooth val="0"/>
        <c:axId val="1222548783"/>
        <c:axId val="1856354975"/>
      </c:lineChart>
      <c:catAx>
        <c:axId val="122254878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mn-lt"/>
                <a:ea typeface="+mn-ea"/>
                <a:cs typeface="+mn-cs"/>
              </a:defRPr>
            </a:pPr>
            <a:endParaRPr lang="es-CR"/>
          </a:p>
        </c:txPr>
        <c:crossAx val="1856354975"/>
        <c:crosses val="autoZero"/>
        <c:auto val="1"/>
        <c:lblAlgn val="ctr"/>
        <c:lblOffset val="100"/>
        <c:noMultiLvlLbl val="0"/>
      </c:catAx>
      <c:valAx>
        <c:axId val="1856354975"/>
        <c:scaling>
          <c:orientation val="minMax"/>
          <c:max val="300000"/>
          <c:min val="170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CR"/>
          </a:p>
        </c:txPr>
        <c:crossAx val="122254878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5">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0.00362</cdr:x>
      <cdr:y>0.93631</cdr:y>
    </cdr:from>
    <cdr:to>
      <cdr:x>0.56687</cdr:x>
      <cdr:y>0.98888</cdr:y>
    </cdr:to>
    <cdr:sp macro="" textlink="">
      <cdr:nvSpPr>
        <cdr:cNvPr id="2" name="Text Box 1">
          <a:extLst xmlns:a="http://schemas.openxmlformats.org/drawingml/2006/main">
            <a:ext uri="{FF2B5EF4-FFF2-40B4-BE49-F238E27FC236}">
              <a16:creationId xmlns:a16="http://schemas.microsoft.com/office/drawing/2014/main" id="{FC8D75D7-7A63-4F29-9420-42042B0CB97B}"/>
            </a:ext>
          </a:extLst>
        </cdr:cNvPr>
        <cdr:cNvSpPr txBox="1">
          <a:spLocks xmlns:a="http://schemas.openxmlformats.org/drawingml/2006/main" noChangeArrowheads="1"/>
        </cdr:cNvSpPr>
      </cdr:nvSpPr>
      <cdr:spPr bwMode="auto">
        <a:xfrm xmlns:a="http://schemas.openxmlformats.org/drawingml/2006/main">
          <a:off x="20315" y="2800349"/>
          <a:ext cx="3161035" cy="15724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2.xml><?xml version="1.0" encoding="utf-8"?>
<c:userShapes xmlns:c="http://schemas.openxmlformats.org/drawingml/2006/chart">
  <cdr:relSizeAnchor xmlns:cdr="http://schemas.openxmlformats.org/drawingml/2006/chartDrawing">
    <cdr:from>
      <cdr:x>0.00161</cdr:x>
      <cdr:y>0.94864</cdr:y>
    </cdr:from>
    <cdr:to>
      <cdr:x>0.56008</cdr:x>
      <cdr:y>1</cdr:y>
    </cdr:to>
    <cdr:sp macro="" textlink="">
      <cdr:nvSpPr>
        <cdr:cNvPr id="2" name="Text Box 1">
          <a:extLst xmlns:a="http://schemas.openxmlformats.org/drawingml/2006/main">
            <a:ext uri="{FF2B5EF4-FFF2-40B4-BE49-F238E27FC236}">
              <a16:creationId xmlns:a16="http://schemas.microsoft.com/office/drawing/2014/main" id="{1118C63C-0C7A-4F29-8975-8FDE243B4D7A}"/>
            </a:ext>
          </a:extLst>
        </cdr:cNvPr>
        <cdr:cNvSpPr txBox="1">
          <a:spLocks xmlns:a="http://schemas.openxmlformats.org/drawingml/2006/main" noChangeArrowheads="1"/>
        </cdr:cNvSpPr>
      </cdr:nvSpPr>
      <cdr:spPr bwMode="auto">
        <a:xfrm xmlns:a="http://schemas.openxmlformats.org/drawingml/2006/main">
          <a:off x="9037" y="2990850"/>
          <a:ext cx="3134214" cy="1619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3.xml><?xml version="1.0" encoding="utf-8"?>
<c:userShapes xmlns:c="http://schemas.openxmlformats.org/drawingml/2006/chart">
  <cdr:relSizeAnchor xmlns:cdr="http://schemas.openxmlformats.org/drawingml/2006/chartDrawing">
    <cdr:from>
      <cdr:x>0.56432</cdr:x>
      <cdr:y>0.90621</cdr:y>
    </cdr:from>
    <cdr:to>
      <cdr:x>0.94818</cdr:x>
      <cdr:y>0.96034</cdr:y>
    </cdr:to>
    <cdr:sp macro="" textlink="">
      <cdr:nvSpPr>
        <cdr:cNvPr id="2" name="Text Box 1">
          <a:extLst xmlns:a="http://schemas.openxmlformats.org/drawingml/2006/main">
            <a:ext uri="{FF2B5EF4-FFF2-40B4-BE49-F238E27FC236}">
              <a16:creationId xmlns:a16="http://schemas.microsoft.com/office/drawing/2014/main" id="{B755EDEA-584C-4DF4-8106-C03D763EE388}"/>
            </a:ext>
          </a:extLst>
        </cdr:cNvPr>
        <cdr:cNvSpPr txBox="1">
          <a:spLocks xmlns:a="http://schemas.openxmlformats.org/drawingml/2006/main" noChangeArrowheads="1"/>
        </cdr:cNvSpPr>
      </cdr:nvSpPr>
      <cdr:spPr bwMode="auto">
        <a:xfrm xmlns:a="http://schemas.openxmlformats.org/drawingml/2006/main">
          <a:off x="3167061" y="3418133"/>
          <a:ext cx="2154247" cy="2041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7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0.9234</cdr:y>
    </cdr:from>
    <cdr:to>
      <cdr:x>0.70958</cdr:x>
      <cdr:y>0.9744</cdr:y>
    </cdr:to>
    <cdr:sp macro="" textlink="">
      <cdr:nvSpPr>
        <cdr:cNvPr id="2" name="Text Box 1">
          <a:extLst xmlns:a="http://schemas.openxmlformats.org/drawingml/2006/main">
            <a:ext uri="{FF2B5EF4-FFF2-40B4-BE49-F238E27FC236}">
              <a16:creationId xmlns:a16="http://schemas.microsoft.com/office/drawing/2014/main" id="{1E06E174-6D58-42C3-89D2-132E7A15C1FD}"/>
            </a:ext>
          </a:extLst>
        </cdr:cNvPr>
        <cdr:cNvSpPr txBox="1">
          <a:spLocks xmlns:a="http://schemas.openxmlformats.org/drawingml/2006/main" noChangeArrowheads="1"/>
        </cdr:cNvSpPr>
      </cdr:nvSpPr>
      <cdr:spPr bwMode="auto">
        <a:xfrm xmlns:a="http://schemas.openxmlformats.org/drawingml/2006/main">
          <a:off x="0" y="2562401"/>
          <a:ext cx="3982262" cy="1415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5.xml><?xml version="1.0" encoding="utf-8"?>
<c:userShapes xmlns:c="http://schemas.openxmlformats.org/drawingml/2006/chart">
  <cdr:relSizeAnchor xmlns:cdr="http://schemas.openxmlformats.org/drawingml/2006/chartDrawing">
    <cdr:from>
      <cdr:x>0.00472</cdr:x>
      <cdr:y>0.91496</cdr:y>
    </cdr:from>
    <cdr:to>
      <cdr:x>0.59107</cdr:x>
      <cdr:y>1</cdr:y>
    </cdr:to>
    <cdr:sp macro="" textlink="">
      <cdr:nvSpPr>
        <cdr:cNvPr id="2" name="Text Box 1">
          <a:extLst xmlns:a="http://schemas.openxmlformats.org/drawingml/2006/main">
            <a:ext uri="{FF2B5EF4-FFF2-40B4-BE49-F238E27FC236}">
              <a16:creationId xmlns:a16="http://schemas.microsoft.com/office/drawing/2014/main" id="{1334FC51-B444-443D-BEB3-DD10F10DB809}"/>
            </a:ext>
          </a:extLst>
        </cdr:cNvPr>
        <cdr:cNvSpPr txBox="1">
          <a:spLocks xmlns:a="http://schemas.openxmlformats.org/drawingml/2006/main" noChangeArrowheads="1"/>
        </cdr:cNvSpPr>
      </cdr:nvSpPr>
      <cdr:spPr bwMode="auto">
        <a:xfrm xmlns:a="http://schemas.openxmlformats.org/drawingml/2006/main">
          <a:off x="25506" y="1981200"/>
          <a:ext cx="3168548" cy="1841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610C0-744A-4D13-AEA2-D07B663B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4596</Words>
  <Characters>25284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León Cerdas</dc:creator>
  <cp:keywords/>
  <dc:description/>
  <cp:lastModifiedBy>Luis Alonso Bonilla Bastos</cp:lastModifiedBy>
  <cp:revision>2</cp:revision>
  <dcterms:created xsi:type="dcterms:W3CDTF">2021-03-05T20:11:00Z</dcterms:created>
  <dcterms:modified xsi:type="dcterms:W3CDTF">2021-03-05T20:11:00Z</dcterms:modified>
</cp:coreProperties>
</file>