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drawings/drawing9.xml" ContentType="application/vnd.openxmlformats-officedocument.drawingml.chartshapes+xml"/>
  <Override PartName="/word/charts/chart11.xml" ContentType="application/vnd.openxmlformats-officedocument.drawingml.chart+xml"/>
  <Override PartName="/word/drawings/drawing10.xml" ContentType="application/vnd.openxmlformats-officedocument.drawingml.chartshapes+xml"/>
  <Override PartName="/word/charts/chart12.xml" ContentType="application/vnd.openxmlformats-officedocument.drawingml.chart+xml"/>
  <Override PartName="/word/drawings/drawing11.xml" ContentType="application/vnd.openxmlformats-officedocument.drawingml.chartshapes+xml"/>
  <Override PartName="/word/charts/chart13.xml" ContentType="application/vnd.openxmlformats-officedocument.drawingml.chart+xml"/>
  <Override PartName="/word/drawings/drawing1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E41" w:rsidRPr="00267F4C" w:rsidRDefault="00267F4C" w:rsidP="00D24E41">
      <w:pPr>
        <w:jc w:val="right"/>
        <w:rPr>
          <w:rFonts w:ascii="Book Antiqua" w:hAnsi="Book Antiqua" w:cs="Book Antiqua"/>
          <w:sz w:val="24"/>
          <w:szCs w:val="24"/>
          <w:lang w:val="pt-BR"/>
        </w:rPr>
      </w:pPr>
      <w:r w:rsidRPr="00267F4C">
        <w:rPr>
          <w:rFonts w:ascii="Book Antiqua" w:hAnsi="Book Antiqua" w:cs="Book Antiqua"/>
          <w:sz w:val="24"/>
          <w:szCs w:val="24"/>
          <w:lang w:val="pt-BR"/>
        </w:rPr>
        <w:t>2261</w:t>
      </w:r>
      <w:r w:rsidR="00D24E41" w:rsidRPr="00267F4C">
        <w:rPr>
          <w:rFonts w:ascii="Book Antiqua" w:hAnsi="Book Antiqua" w:cs="Book Antiqua"/>
          <w:sz w:val="24"/>
          <w:szCs w:val="24"/>
          <w:lang w:val="pt-BR"/>
        </w:rPr>
        <w:t>-PLA-2016</w:t>
      </w:r>
    </w:p>
    <w:p w:rsidR="00D24E41" w:rsidRPr="00267F4C" w:rsidRDefault="00D24E41" w:rsidP="00D24E41">
      <w:pPr>
        <w:jc w:val="right"/>
        <w:rPr>
          <w:rFonts w:ascii="Book Antiqua" w:hAnsi="Book Antiqua" w:cs="Book Antiqua"/>
          <w:sz w:val="24"/>
          <w:szCs w:val="24"/>
          <w:lang w:val="pt-BR"/>
        </w:rPr>
      </w:pPr>
      <w:r w:rsidRPr="00267F4C">
        <w:rPr>
          <w:rFonts w:ascii="Book Antiqua" w:hAnsi="Book Antiqua" w:cs="Book Antiqua"/>
          <w:sz w:val="24"/>
          <w:szCs w:val="24"/>
        </w:rPr>
        <w:t xml:space="preserve">Ref. SICE: </w:t>
      </w:r>
      <w:r w:rsidR="00677760" w:rsidRPr="00B00F5D">
        <w:rPr>
          <w:rFonts w:ascii="Book Antiqua" w:hAnsi="Book Antiqua" w:cs="Book Antiqua"/>
          <w:sz w:val="24"/>
          <w:szCs w:val="24"/>
        </w:rPr>
        <w:t>1075-16</w:t>
      </w:r>
    </w:p>
    <w:p w:rsidR="00D24E41" w:rsidRPr="00267F4C" w:rsidRDefault="00267F4C" w:rsidP="00D24E41">
      <w:pPr>
        <w:rPr>
          <w:rFonts w:ascii="Book Antiqua" w:hAnsi="Book Antiqua" w:cs="Book Antiqua"/>
          <w:sz w:val="24"/>
          <w:szCs w:val="24"/>
          <w:lang w:val="pt-BR"/>
        </w:rPr>
      </w:pPr>
      <w:r w:rsidRPr="00267F4C">
        <w:rPr>
          <w:rFonts w:ascii="Book Antiqua" w:hAnsi="Book Antiqua" w:cs="Book Antiqua"/>
          <w:sz w:val="24"/>
          <w:szCs w:val="24"/>
          <w:lang w:val="pt-BR"/>
        </w:rPr>
        <w:t>30</w:t>
      </w:r>
      <w:r w:rsidR="00D24E41" w:rsidRPr="00267F4C">
        <w:rPr>
          <w:rFonts w:ascii="Book Antiqua" w:hAnsi="Book Antiqua" w:cs="Book Antiqua"/>
          <w:sz w:val="24"/>
          <w:szCs w:val="24"/>
          <w:lang w:val="pt-BR"/>
        </w:rPr>
        <w:t xml:space="preserve"> de </w:t>
      </w:r>
      <w:r w:rsidRPr="00267F4C">
        <w:rPr>
          <w:rFonts w:ascii="Book Antiqua" w:hAnsi="Book Antiqua" w:cs="Book Antiqua"/>
          <w:sz w:val="24"/>
          <w:szCs w:val="24"/>
          <w:lang w:val="pt-BR"/>
        </w:rPr>
        <w:t>noviembre</w:t>
      </w:r>
      <w:r w:rsidR="00D24E41" w:rsidRPr="00267F4C">
        <w:rPr>
          <w:rFonts w:ascii="Book Antiqua" w:hAnsi="Book Antiqua" w:cs="Book Antiqua"/>
          <w:sz w:val="24"/>
          <w:szCs w:val="24"/>
          <w:lang w:val="pt-BR"/>
        </w:rPr>
        <w:t xml:space="preserve"> de 2016</w:t>
      </w:r>
    </w:p>
    <w:p w:rsidR="00D24E41" w:rsidRPr="00267F4C" w:rsidRDefault="00D24E41" w:rsidP="00D24E41">
      <w:pPr>
        <w:rPr>
          <w:rFonts w:ascii="Book Antiqua" w:hAnsi="Book Antiqua" w:cs="Book Antiqua"/>
          <w:sz w:val="24"/>
          <w:szCs w:val="24"/>
          <w:lang w:val="pt-BR"/>
        </w:rPr>
      </w:pPr>
    </w:p>
    <w:p w:rsidR="00D24E41" w:rsidRPr="00267F4C" w:rsidRDefault="00D24E41" w:rsidP="00D24E41">
      <w:pPr>
        <w:rPr>
          <w:rFonts w:ascii="Book Antiqua" w:hAnsi="Book Antiqua" w:cs="Book Antiqua"/>
          <w:sz w:val="24"/>
          <w:szCs w:val="24"/>
          <w:lang w:val="pt-BR"/>
        </w:rPr>
      </w:pPr>
    </w:p>
    <w:p w:rsidR="00D24E41" w:rsidRPr="00267F4C" w:rsidRDefault="00D24E41" w:rsidP="00D24E41">
      <w:pPr>
        <w:rPr>
          <w:rFonts w:ascii="Book Antiqua" w:hAnsi="Book Antiqua" w:cs="Book Antiqua"/>
          <w:sz w:val="24"/>
          <w:szCs w:val="24"/>
          <w:lang w:val="pt-BR"/>
        </w:rPr>
      </w:pPr>
    </w:p>
    <w:p w:rsidR="00D24E41" w:rsidRPr="00267F4C" w:rsidRDefault="00D24E41" w:rsidP="00D24E41">
      <w:pPr>
        <w:rPr>
          <w:rFonts w:ascii="Book Antiqua" w:hAnsi="Book Antiqua" w:cs="Book Antiqua"/>
          <w:sz w:val="24"/>
          <w:szCs w:val="24"/>
          <w:lang w:val="pt-BR"/>
        </w:rPr>
      </w:pPr>
      <w:r w:rsidRPr="00267F4C">
        <w:rPr>
          <w:rFonts w:ascii="Book Antiqua" w:hAnsi="Book Antiqua" w:cs="Book Antiqua"/>
          <w:sz w:val="24"/>
          <w:szCs w:val="24"/>
          <w:lang w:val="pt-BR"/>
        </w:rPr>
        <w:t>Licenciada</w:t>
      </w:r>
    </w:p>
    <w:p w:rsidR="00D24E41" w:rsidRPr="00267F4C" w:rsidRDefault="00D24E41" w:rsidP="00D24E41">
      <w:pPr>
        <w:rPr>
          <w:rFonts w:ascii="Book Antiqua" w:hAnsi="Book Antiqua" w:cs="Book Antiqua"/>
          <w:sz w:val="24"/>
          <w:szCs w:val="24"/>
          <w:lang w:val="pt-BR"/>
        </w:rPr>
      </w:pPr>
      <w:r w:rsidRPr="00267F4C">
        <w:rPr>
          <w:rFonts w:ascii="Book Antiqua" w:hAnsi="Book Antiqua" w:cs="Book Antiqua"/>
          <w:sz w:val="24"/>
          <w:szCs w:val="24"/>
          <w:lang w:val="pt-BR"/>
        </w:rPr>
        <w:t xml:space="preserve">Silvia Navarro Romanini </w:t>
      </w:r>
    </w:p>
    <w:p w:rsidR="00D24E41" w:rsidRPr="00267F4C" w:rsidRDefault="00D24E41" w:rsidP="00D24E41">
      <w:pPr>
        <w:rPr>
          <w:rFonts w:ascii="Book Antiqua" w:hAnsi="Book Antiqua" w:cs="Book Antiqua"/>
          <w:sz w:val="24"/>
          <w:szCs w:val="24"/>
        </w:rPr>
      </w:pPr>
      <w:r w:rsidRPr="00267F4C">
        <w:rPr>
          <w:rFonts w:ascii="Book Antiqua" w:hAnsi="Book Antiqua" w:cs="Book Antiqua"/>
          <w:sz w:val="24"/>
          <w:szCs w:val="24"/>
        </w:rPr>
        <w:t>Secretaría General de la Corte</w:t>
      </w:r>
    </w:p>
    <w:p w:rsidR="00D24E41" w:rsidRPr="00267F4C" w:rsidRDefault="00D24E41" w:rsidP="00D24E41">
      <w:pPr>
        <w:rPr>
          <w:rFonts w:ascii="Book Antiqua" w:hAnsi="Book Antiqua" w:cs="Book Antiqua"/>
          <w:sz w:val="24"/>
          <w:szCs w:val="24"/>
        </w:rPr>
      </w:pPr>
    </w:p>
    <w:p w:rsidR="00D24E41" w:rsidRPr="00267F4C" w:rsidRDefault="00D24E41" w:rsidP="00D24E41">
      <w:pPr>
        <w:rPr>
          <w:rFonts w:ascii="Book Antiqua" w:hAnsi="Book Antiqua" w:cs="Book Antiqua"/>
          <w:sz w:val="24"/>
          <w:szCs w:val="24"/>
        </w:rPr>
      </w:pPr>
    </w:p>
    <w:p w:rsidR="00D24E41" w:rsidRPr="00267F4C" w:rsidRDefault="00D24E41" w:rsidP="00D24E41">
      <w:pPr>
        <w:rPr>
          <w:rFonts w:ascii="Book Antiqua" w:hAnsi="Book Antiqua" w:cs="Book Antiqua"/>
          <w:sz w:val="24"/>
          <w:szCs w:val="24"/>
        </w:rPr>
      </w:pPr>
      <w:r w:rsidRPr="00267F4C">
        <w:rPr>
          <w:rFonts w:ascii="Book Antiqua" w:hAnsi="Book Antiqua" w:cs="Book Antiqua"/>
          <w:sz w:val="24"/>
          <w:szCs w:val="24"/>
        </w:rPr>
        <w:t>Estimada señora:</w:t>
      </w:r>
    </w:p>
    <w:p w:rsidR="00D24E41" w:rsidRPr="00267F4C" w:rsidRDefault="00D24E41" w:rsidP="00D24E41">
      <w:pPr>
        <w:jc w:val="both"/>
        <w:rPr>
          <w:rFonts w:ascii="Book Antiqua" w:hAnsi="Book Antiqua" w:cs="Book Antiqua"/>
          <w:sz w:val="24"/>
          <w:szCs w:val="24"/>
        </w:rPr>
      </w:pPr>
    </w:p>
    <w:p w:rsidR="00D24E41" w:rsidRPr="00267F4C" w:rsidRDefault="00D24E41" w:rsidP="00D24E41">
      <w:pPr>
        <w:rPr>
          <w:rFonts w:ascii="Book Antiqua" w:hAnsi="Book Antiqua" w:cs="Book Antiqua"/>
          <w:sz w:val="24"/>
          <w:szCs w:val="24"/>
        </w:rPr>
      </w:pPr>
    </w:p>
    <w:p w:rsidR="00D24E41" w:rsidRDefault="00267F4C" w:rsidP="00D24E41">
      <w:pPr>
        <w:jc w:val="both"/>
        <w:rPr>
          <w:rFonts w:ascii="Book Antiqua" w:hAnsi="Book Antiqua"/>
          <w:color w:val="000000"/>
          <w:sz w:val="24"/>
          <w:szCs w:val="24"/>
        </w:rPr>
      </w:pPr>
      <w:r w:rsidRPr="00267F4C">
        <w:rPr>
          <w:rFonts w:ascii="Book Antiqua" w:hAnsi="Book Antiqua"/>
          <w:color w:val="000000"/>
          <w:sz w:val="24"/>
          <w:szCs w:val="24"/>
          <w:lang w:eastAsia="en-US"/>
        </w:rPr>
        <w:t>L</w:t>
      </w:r>
      <w:r w:rsidRPr="00267F4C">
        <w:rPr>
          <w:rFonts w:ascii="Book Antiqua" w:hAnsi="Book Antiqua"/>
          <w:color w:val="000000"/>
          <w:sz w:val="24"/>
          <w:szCs w:val="24"/>
        </w:rPr>
        <w:t>e remito el informe 217-EST-2016-</w:t>
      </w:r>
      <w:r w:rsidR="00677760">
        <w:rPr>
          <w:rFonts w:ascii="Book Antiqua" w:hAnsi="Book Antiqua"/>
          <w:color w:val="000000"/>
          <w:sz w:val="24"/>
          <w:szCs w:val="24"/>
        </w:rPr>
        <w:t>C</w:t>
      </w:r>
      <w:r w:rsidRPr="00267F4C">
        <w:rPr>
          <w:rFonts w:ascii="Book Antiqua" w:hAnsi="Book Antiqua"/>
          <w:b/>
          <w:bCs/>
          <w:color w:val="000000"/>
          <w:sz w:val="24"/>
          <w:szCs w:val="24"/>
        </w:rPr>
        <w:t xml:space="preserve"> </w:t>
      </w:r>
      <w:r>
        <w:rPr>
          <w:rFonts w:ascii="Book Antiqua" w:hAnsi="Book Antiqua"/>
          <w:color w:val="000000"/>
          <w:sz w:val="24"/>
          <w:szCs w:val="24"/>
        </w:rPr>
        <w:t xml:space="preserve">de hoy, </w:t>
      </w:r>
      <w:r w:rsidRPr="00267F4C">
        <w:rPr>
          <w:rFonts w:ascii="Book Antiqua" w:hAnsi="Book Antiqua"/>
          <w:color w:val="000000"/>
          <w:sz w:val="24"/>
          <w:szCs w:val="24"/>
        </w:rPr>
        <w:t>suscrito por la Licda. Ana Ericka Rodríguez Araya, Jefa a.i. de la Sección de Estadística, relacionado con los principales movimientos de trabajo, derivados de los informes estadísticos efectuados en la materia Notarial (Tribunal Disciplinario Notarial y</w:t>
      </w:r>
      <w:r w:rsidRPr="001E043E">
        <w:rPr>
          <w:rFonts w:ascii="Book Antiqua" w:hAnsi="Book Antiqua"/>
          <w:color w:val="000000"/>
          <w:sz w:val="24"/>
          <w:szCs w:val="24"/>
        </w:rPr>
        <w:t xml:space="preserve"> Juzgado Notarial), durante el 2015 y último quinquenio</w:t>
      </w:r>
      <w:r>
        <w:rPr>
          <w:rFonts w:ascii="Book Antiqua" w:hAnsi="Book Antiqua"/>
          <w:color w:val="000000"/>
          <w:sz w:val="24"/>
          <w:szCs w:val="24"/>
        </w:rPr>
        <w:t>.</w:t>
      </w:r>
    </w:p>
    <w:p w:rsidR="00267F4C" w:rsidRPr="00056425" w:rsidRDefault="00267F4C" w:rsidP="00D24E41">
      <w:pPr>
        <w:jc w:val="both"/>
        <w:rPr>
          <w:rFonts w:ascii="Book Antiqua" w:hAnsi="Book Antiqua" w:cs="Book Antiqua"/>
        </w:rPr>
      </w:pPr>
    </w:p>
    <w:p w:rsidR="00D24E41" w:rsidRPr="00F21F83" w:rsidRDefault="00D24E41" w:rsidP="00D24E41">
      <w:pPr>
        <w:pStyle w:val="Textoindependiente2"/>
        <w:ind w:firstLine="720"/>
        <w:rPr>
          <w:rFonts w:ascii="Book Antiqua" w:hAnsi="Book Antiqua"/>
          <w:lang w:val="es-CR"/>
        </w:rPr>
      </w:pPr>
      <w:r w:rsidRPr="00F21F83">
        <w:rPr>
          <w:rFonts w:ascii="Book Antiqua" w:hAnsi="Book Antiqua"/>
          <w:lang w:val="es-CR"/>
        </w:rPr>
        <w:t xml:space="preserve">Con el fin de que se manifestara al respecto, mediante oficio </w:t>
      </w:r>
      <w:r w:rsidR="00677760" w:rsidRPr="00F21F83">
        <w:rPr>
          <w:rFonts w:ascii="Book Antiqua" w:hAnsi="Book Antiqua" w:cs="Book Antiqua"/>
          <w:snapToGrid w:val="0"/>
        </w:rPr>
        <w:t>1765</w:t>
      </w:r>
      <w:r w:rsidRPr="00F21F83">
        <w:rPr>
          <w:rFonts w:ascii="Book Antiqua" w:hAnsi="Book Antiqua"/>
          <w:lang w:val="es-CR"/>
        </w:rPr>
        <w:t>-PLA-201</w:t>
      </w:r>
      <w:r w:rsidR="00677760" w:rsidRPr="00F21F83">
        <w:rPr>
          <w:rFonts w:ascii="Book Antiqua" w:hAnsi="Book Antiqua"/>
          <w:lang w:val="es-CR"/>
        </w:rPr>
        <w:t>6</w:t>
      </w:r>
      <w:r w:rsidRPr="00F21F83">
        <w:rPr>
          <w:rFonts w:ascii="Book Antiqua" w:hAnsi="Book Antiqua"/>
          <w:lang w:val="es-CR"/>
        </w:rPr>
        <w:t xml:space="preserve"> del </w:t>
      </w:r>
      <w:r w:rsidR="00677760" w:rsidRPr="00F21F83">
        <w:rPr>
          <w:rFonts w:ascii="Book Antiqua" w:hAnsi="Book Antiqua"/>
          <w:lang w:val="es-CR"/>
        </w:rPr>
        <w:t>30 de setiembre</w:t>
      </w:r>
      <w:r w:rsidRPr="00F21F83">
        <w:rPr>
          <w:rFonts w:ascii="Book Antiqua" w:hAnsi="Book Antiqua"/>
          <w:lang w:val="es-CR"/>
        </w:rPr>
        <w:t xml:space="preserve"> del año </w:t>
      </w:r>
      <w:r w:rsidR="00677760" w:rsidRPr="00F21F83">
        <w:rPr>
          <w:rFonts w:ascii="Book Antiqua" w:hAnsi="Book Antiqua"/>
          <w:lang w:val="es-CR"/>
        </w:rPr>
        <w:t xml:space="preserve">2016, </w:t>
      </w:r>
      <w:r w:rsidRPr="00F21F83">
        <w:rPr>
          <w:rFonts w:ascii="Book Antiqua" w:hAnsi="Book Antiqua"/>
          <w:lang w:val="es-CR"/>
        </w:rPr>
        <w:t xml:space="preserve">el preliminar de este documento fue puesto en conocimiento del </w:t>
      </w:r>
      <w:r w:rsidR="00677760" w:rsidRPr="00F21F83">
        <w:rPr>
          <w:rFonts w:ascii="Book Antiqua" w:hAnsi="Book Antiqua"/>
          <w:lang w:val="es-CR"/>
        </w:rPr>
        <w:t xml:space="preserve">Lic. Juan Federico Echandi </w:t>
      </w:r>
      <w:r w:rsidR="00D73699">
        <w:rPr>
          <w:rFonts w:ascii="Book Antiqua" w:hAnsi="Book Antiqua"/>
          <w:lang w:val="es-CR"/>
        </w:rPr>
        <w:t>S</w:t>
      </w:r>
      <w:r w:rsidR="00677760" w:rsidRPr="00F21F83">
        <w:rPr>
          <w:rFonts w:ascii="Book Antiqua" w:hAnsi="Book Antiqua"/>
          <w:lang w:val="es-CR"/>
        </w:rPr>
        <w:t>alas, Presidente del Tribunal Disciplinario Notarial</w:t>
      </w:r>
      <w:r w:rsidR="00F21F83" w:rsidRPr="00F21F83">
        <w:rPr>
          <w:rFonts w:ascii="Book Antiqua" w:hAnsi="Book Antiqua"/>
          <w:lang w:val="es-CR"/>
        </w:rPr>
        <w:t xml:space="preserve">). </w:t>
      </w:r>
      <w:r w:rsidRPr="00F21F83">
        <w:rPr>
          <w:rFonts w:ascii="Book Antiqua" w:hAnsi="Book Antiqua"/>
          <w:lang w:val="es-CR"/>
        </w:rPr>
        <w:t xml:space="preserve">Como respuesta se recibió </w:t>
      </w:r>
      <w:r w:rsidR="00F21F83">
        <w:rPr>
          <w:rFonts w:ascii="Book Antiqua" w:hAnsi="Book Antiqua"/>
          <w:lang w:val="es-CR"/>
        </w:rPr>
        <w:t xml:space="preserve">el oficio </w:t>
      </w:r>
      <w:r w:rsidR="00F21F83" w:rsidRPr="00F21F83">
        <w:rPr>
          <w:rFonts w:ascii="Book Antiqua" w:hAnsi="Book Antiqua" w:cs="Trebuchet MS"/>
          <w:bCs/>
          <w:lang w:val="es-CR"/>
        </w:rPr>
        <w:t>112-TDN-2016</w:t>
      </w:r>
      <w:r w:rsidR="00F21F83">
        <w:rPr>
          <w:rFonts w:ascii="Book Antiqua" w:hAnsi="Book Antiqua"/>
          <w:lang w:val="es-CR"/>
        </w:rPr>
        <w:t xml:space="preserve">. </w:t>
      </w:r>
      <w:r w:rsidRPr="00F21F83">
        <w:rPr>
          <w:rFonts w:ascii="Book Antiqua" w:hAnsi="Book Antiqua"/>
          <w:color w:val="000000"/>
          <w:lang w:val="es-CR"/>
        </w:rPr>
        <w:t>Las observaciones</w:t>
      </w:r>
      <w:r w:rsidRPr="00F21F83">
        <w:rPr>
          <w:rFonts w:ascii="Book Antiqua" w:hAnsi="Book Antiqua"/>
          <w:b/>
          <w:lang w:val="es-CR"/>
        </w:rPr>
        <w:t xml:space="preserve"> </w:t>
      </w:r>
      <w:r w:rsidRPr="00F21F83">
        <w:rPr>
          <w:rFonts w:ascii="Book Antiqua" w:hAnsi="Book Antiqua"/>
          <w:lang w:val="es-CR"/>
        </w:rPr>
        <w:t>se consideraron en l</w:t>
      </w:r>
      <w:r w:rsidR="00F21F83">
        <w:rPr>
          <w:rFonts w:ascii="Book Antiqua" w:hAnsi="Book Antiqua"/>
          <w:lang w:val="es-CR"/>
        </w:rPr>
        <w:t>o pertinente, en el informe que</w:t>
      </w:r>
      <w:r w:rsidRPr="00F21F83">
        <w:rPr>
          <w:rFonts w:ascii="Book Antiqua" w:hAnsi="Book Antiqua"/>
          <w:lang w:val="es-CR"/>
        </w:rPr>
        <w:t xml:space="preserve"> se presenta.</w:t>
      </w:r>
    </w:p>
    <w:p w:rsidR="00677760" w:rsidRPr="002D04B7" w:rsidRDefault="00677760" w:rsidP="00D24E41">
      <w:pPr>
        <w:pStyle w:val="Textoindependiente2"/>
        <w:ind w:firstLine="720"/>
        <w:rPr>
          <w:color w:val="FF0000"/>
          <w:lang w:val="es-CR"/>
        </w:rPr>
      </w:pPr>
    </w:p>
    <w:p w:rsidR="00D24E41" w:rsidRPr="00056425" w:rsidRDefault="00D24E41" w:rsidP="00D24E41">
      <w:pPr>
        <w:pStyle w:val="Textoindependiente2"/>
        <w:ind w:firstLine="720"/>
        <w:rPr>
          <w:lang w:val="es-CR"/>
        </w:rPr>
      </w:pPr>
    </w:p>
    <w:p w:rsidR="00D24E41" w:rsidRPr="00056425" w:rsidRDefault="00D24E41" w:rsidP="00D24E41">
      <w:pPr>
        <w:jc w:val="both"/>
        <w:rPr>
          <w:rFonts w:ascii="Book Antiqua" w:hAnsi="Book Antiqua" w:cs="Book Antiqua"/>
        </w:rPr>
      </w:pPr>
    </w:p>
    <w:p w:rsidR="00D24E41" w:rsidRPr="00056425" w:rsidRDefault="00D24E41" w:rsidP="00D24E41">
      <w:pPr>
        <w:jc w:val="both"/>
        <w:rPr>
          <w:rFonts w:ascii="Book Antiqua" w:hAnsi="Book Antiqua" w:cs="Book Antiqua"/>
        </w:rPr>
      </w:pPr>
      <w:r w:rsidRPr="00056425">
        <w:rPr>
          <w:rFonts w:ascii="Book Antiqua" w:hAnsi="Book Antiqua" w:cs="Book Antiqua"/>
        </w:rPr>
        <w:t>Atentamente,</w:t>
      </w:r>
    </w:p>
    <w:p w:rsidR="00D24E41" w:rsidRPr="00056425" w:rsidRDefault="00D24E41" w:rsidP="00D24E41">
      <w:pPr>
        <w:jc w:val="both"/>
        <w:rPr>
          <w:rFonts w:ascii="Book Antiqua" w:hAnsi="Book Antiqua" w:cs="Book Antiqua"/>
        </w:rPr>
      </w:pPr>
    </w:p>
    <w:p w:rsidR="00D24E41" w:rsidRPr="00056425" w:rsidRDefault="00D24E41" w:rsidP="00D24E41">
      <w:pPr>
        <w:rPr>
          <w:rFonts w:ascii="Book Antiqua" w:hAnsi="Book Antiqua" w:cs="Book Antiqua"/>
        </w:rPr>
      </w:pPr>
    </w:p>
    <w:p w:rsidR="00D24E41" w:rsidRPr="00056425" w:rsidRDefault="00D24E41" w:rsidP="00D24E41">
      <w:pPr>
        <w:rPr>
          <w:rFonts w:ascii="Book Antiqua" w:hAnsi="Book Antiqua" w:cs="Book Antiqua"/>
        </w:rPr>
      </w:pPr>
      <w:r w:rsidRPr="00056425">
        <w:rPr>
          <w:rFonts w:ascii="Book Antiqua" w:hAnsi="Book Antiqua" w:cs="Book Antiqua"/>
        </w:rPr>
        <w:t>Elías Muñoz Jiménez</w:t>
      </w:r>
    </w:p>
    <w:p w:rsidR="00D24E41" w:rsidRPr="00056425" w:rsidRDefault="00D24E41" w:rsidP="00D24E41">
      <w:pPr>
        <w:rPr>
          <w:rFonts w:ascii="Book Antiqua" w:hAnsi="Book Antiqua" w:cs="Book Antiqua"/>
        </w:rPr>
      </w:pPr>
      <w:r w:rsidRPr="00056425">
        <w:rPr>
          <w:rFonts w:ascii="Book Antiqua" w:hAnsi="Book Antiqua" w:cs="Book Antiqua"/>
        </w:rPr>
        <w:t>Subdirector a.i. de Planificación</w:t>
      </w:r>
    </w:p>
    <w:p w:rsidR="00D24E41" w:rsidRPr="00056425" w:rsidRDefault="00D24E41" w:rsidP="00D24E41">
      <w:pPr>
        <w:rPr>
          <w:rFonts w:ascii="Book Antiqua" w:hAnsi="Book Antiqua" w:cs="Book Antiqua"/>
        </w:rPr>
      </w:pPr>
    </w:p>
    <w:p w:rsidR="00D24E41" w:rsidRPr="00056425" w:rsidRDefault="00D24E41" w:rsidP="00D24E41">
      <w:pPr>
        <w:rPr>
          <w:rFonts w:ascii="Book Antiqua" w:hAnsi="Book Antiqua" w:cs="Book Antiqua"/>
        </w:rPr>
      </w:pPr>
    </w:p>
    <w:p w:rsidR="00D24E41" w:rsidRPr="00056425" w:rsidRDefault="00D24E41" w:rsidP="00D24E41">
      <w:pPr>
        <w:rPr>
          <w:rFonts w:ascii="Book Antiqua" w:hAnsi="Book Antiqua" w:cs="Book Antiqua"/>
          <w:b/>
          <w:bCs/>
          <w:i/>
          <w:iCs/>
        </w:rPr>
      </w:pPr>
      <w:r w:rsidRPr="00056425">
        <w:rPr>
          <w:rFonts w:ascii="Book Antiqua" w:hAnsi="Book Antiqua" w:cs="Book Antiqua"/>
          <w:b/>
          <w:bCs/>
          <w:i/>
          <w:iCs/>
        </w:rPr>
        <w:t>Se adjunta respuesta recibida</w:t>
      </w:r>
    </w:p>
    <w:p w:rsidR="00D24E41" w:rsidRPr="00570534" w:rsidRDefault="00D24E41" w:rsidP="00D24E41">
      <w:pPr>
        <w:pStyle w:val="Encabezado"/>
        <w:tabs>
          <w:tab w:val="clear" w:pos="4252"/>
          <w:tab w:val="clear" w:pos="8504"/>
        </w:tabs>
        <w:rPr>
          <w:rFonts w:ascii="Book Antiqua" w:hAnsi="Book Antiqua" w:cs="Book Antiqua"/>
          <w:i/>
          <w:iCs/>
          <w:sz w:val="18"/>
          <w:szCs w:val="18"/>
        </w:rPr>
      </w:pPr>
    </w:p>
    <w:p w:rsidR="00D24E41" w:rsidRPr="00570534" w:rsidRDefault="00D24E41" w:rsidP="00D24E41">
      <w:pPr>
        <w:pStyle w:val="Encabezado"/>
        <w:tabs>
          <w:tab w:val="clear" w:pos="4252"/>
          <w:tab w:val="clear" w:pos="8504"/>
        </w:tabs>
        <w:rPr>
          <w:rFonts w:ascii="Book Antiqua" w:hAnsi="Book Antiqua" w:cs="Book Antiqua"/>
        </w:rPr>
      </w:pPr>
      <w:r w:rsidRPr="00570534">
        <w:rPr>
          <w:rFonts w:ascii="Book Antiqua" w:hAnsi="Book Antiqua" w:cs="Book Antiqua"/>
        </w:rPr>
        <w:t>Copias:</w:t>
      </w:r>
    </w:p>
    <w:p w:rsidR="00D24E41" w:rsidRDefault="00D24E41" w:rsidP="00D24E41">
      <w:pPr>
        <w:ind w:left="360" w:firstLine="360"/>
        <w:rPr>
          <w:rFonts w:ascii="Book Antiqua" w:hAnsi="Book Antiqua" w:cs="Book Antiqua"/>
        </w:rPr>
      </w:pPr>
    </w:p>
    <w:p w:rsidR="00677760" w:rsidRDefault="00677760" w:rsidP="00D24E41">
      <w:pPr>
        <w:ind w:left="360" w:firstLine="360"/>
        <w:rPr>
          <w:rFonts w:ascii="Book Antiqua" w:hAnsi="Book Antiqua" w:cs="Book Antiqua"/>
        </w:rPr>
      </w:pPr>
    </w:p>
    <w:p w:rsidR="00F21F83" w:rsidRDefault="00F21F83" w:rsidP="00D24E41">
      <w:pPr>
        <w:ind w:left="360" w:firstLine="360"/>
        <w:rPr>
          <w:rFonts w:ascii="Book Antiqua" w:hAnsi="Book Antiqua" w:cs="Book Antiqua"/>
        </w:rPr>
      </w:pPr>
    </w:p>
    <w:p w:rsidR="00F21F83" w:rsidRDefault="00F21F83" w:rsidP="00D24E41">
      <w:pPr>
        <w:ind w:left="360" w:firstLine="360"/>
        <w:rPr>
          <w:rFonts w:ascii="Book Antiqua" w:hAnsi="Book Antiqua" w:cs="Book Antiqua"/>
        </w:rPr>
      </w:pPr>
    </w:p>
    <w:p w:rsidR="00677760" w:rsidRDefault="00677760" w:rsidP="00D24E41">
      <w:pPr>
        <w:ind w:left="360" w:firstLine="360"/>
        <w:rPr>
          <w:rFonts w:ascii="Book Antiqua" w:hAnsi="Book Antiqua" w:cs="Book Antiqua"/>
        </w:rPr>
      </w:pPr>
    </w:p>
    <w:p w:rsidR="00677760" w:rsidRPr="00677760" w:rsidRDefault="00677760" w:rsidP="00677760">
      <w:pPr>
        <w:pStyle w:val="Prrafodelista"/>
        <w:widowControl w:val="0"/>
        <w:numPr>
          <w:ilvl w:val="0"/>
          <w:numId w:val="28"/>
        </w:numPr>
        <w:tabs>
          <w:tab w:val="left" w:pos="1080"/>
        </w:tabs>
        <w:autoSpaceDE w:val="0"/>
        <w:autoSpaceDN w:val="0"/>
        <w:adjustRightInd w:val="0"/>
        <w:ind w:right="20"/>
        <w:rPr>
          <w:rFonts w:ascii="Book Antiqua" w:hAnsi="Book Antiqua"/>
          <w:color w:val="000000"/>
          <w:sz w:val="20"/>
          <w:szCs w:val="20"/>
        </w:rPr>
      </w:pPr>
      <w:r w:rsidRPr="00677760">
        <w:rPr>
          <w:rFonts w:ascii="Book Antiqua" w:hAnsi="Book Antiqua"/>
          <w:color w:val="000000"/>
          <w:sz w:val="20"/>
          <w:szCs w:val="20"/>
        </w:rPr>
        <w:lastRenderedPageBreak/>
        <w:t xml:space="preserve">Lic. Juan Federico Echandi Salas, Presidente </w:t>
      </w:r>
    </w:p>
    <w:p w:rsidR="00677760" w:rsidRDefault="00677760" w:rsidP="00677760">
      <w:pPr>
        <w:pStyle w:val="Textoindependiente2"/>
        <w:rPr>
          <w:rFonts w:ascii="Book Antiqua" w:hAnsi="Book Antiqua"/>
          <w:color w:val="000000"/>
          <w:sz w:val="20"/>
          <w:szCs w:val="20"/>
        </w:rPr>
      </w:pPr>
      <w:r w:rsidRPr="00677760">
        <w:rPr>
          <w:rFonts w:ascii="Book Antiqua" w:hAnsi="Book Antiqua"/>
          <w:color w:val="000000"/>
          <w:sz w:val="20"/>
          <w:szCs w:val="20"/>
        </w:rPr>
        <w:t xml:space="preserve">               Tribunal  Disciplinario Notarial</w:t>
      </w:r>
    </w:p>
    <w:p w:rsidR="00D74FA4" w:rsidRDefault="00D74FA4" w:rsidP="00D74FA4">
      <w:pPr>
        <w:pStyle w:val="Textoindependiente2"/>
        <w:numPr>
          <w:ilvl w:val="0"/>
          <w:numId w:val="28"/>
        </w:numPr>
        <w:rPr>
          <w:rFonts w:ascii="Book Antiqua" w:hAnsi="Book Antiqua"/>
          <w:color w:val="000000"/>
          <w:sz w:val="20"/>
          <w:szCs w:val="20"/>
        </w:rPr>
      </w:pPr>
      <w:r>
        <w:rPr>
          <w:rFonts w:ascii="Book Antiqua" w:hAnsi="Book Antiqua"/>
          <w:color w:val="000000"/>
          <w:sz w:val="20"/>
          <w:szCs w:val="20"/>
        </w:rPr>
        <w:t xml:space="preserve">Departamento de Prensa y Comunicación Organizacional </w:t>
      </w:r>
    </w:p>
    <w:p w:rsidR="00677760" w:rsidRPr="00F21F83" w:rsidRDefault="00D74FA4" w:rsidP="00677760">
      <w:pPr>
        <w:pStyle w:val="Textoindependiente2"/>
        <w:numPr>
          <w:ilvl w:val="0"/>
          <w:numId w:val="28"/>
        </w:numPr>
        <w:rPr>
          <w:rFonts w:ascii="Book Antiqua" w:hAnsi="Book Antiqua"/>
          <w:color w:val="000000"/>
          <w:sz w:val="20"/>
          <w:szCs w:val="20"/>
        </w:rPr>
      </w:pPr>
      <w:r>
        <w:rPr>
          <w:rFonts w:ascii="Book Antiqua" w:hAnsi="Book Antiqua"/>
          <w:color w:val="000000"/>
          <w:sz w:val="20"/>
          <w:szCs w:val="20"/>
        </w:rPr>
        <w:t xml:space="preserve">Inspección Judicial </w:t>
      </w:r>
    </w:p>
    <w:p w:rsidR="00D24E41" w:rsidRDefault="00D24E41" w:rsidP="00D24E41">
      <w:pPr>
        <w:widowControl w:val="0"/>
        <w:numPr>
          <w:ilvl w:val="0"/>
          <w:numId w:val="13"/>
        </w:numPr>
        <w:rPr>
          <w:rFonts w:ascii="Book Antiqua" w:hAnsi="Book Antiqua" w:cs="Book Antiqua"/>
          <w:snapToGrid w:val="0"/>
        </w:rPr>
      </w:pPr>
      <w:r w:rsidRPr="007C0BF9">
        <w:rPr>
          <w:rFonts w:ascii="Book Antiqua" w:hAnsi="Book Antiqua" w:cs="Book Antiqua"/>
          <w:snapToGrid w:val="0"/>
        </w:rPr>
        <w:t>Archivo</w:t>
      </w:r>
    </w:p>
    <w:p w:rsidR="00F21F83" w:rsidRDefault="00F21F83" w:rsidP="00F21F83">
      <w:pPr>
        <w:widowControl w:val="0"/>
        <w:ind w:left="720"/>
        <w:rPr>
          <w:rFonts w:ascii="Book Antiqua" w:hAnsi="Book Antiqua" w:cs="Book Antiqua"/>
          <w:snapToGrid w:val="0"/>
        </w:rPr>
      </w:pPr>
    </w:p>
    <w:p w:rsidR="00F21F83" w:rsidRPr="007C0BF9" w:rsidRDefault="00F21F83" w:rsidP="00F21F83">
      <w:pPr>
        <w:widowControl w:val="0"/>
        <w:ind w:left="720"/>
        <w:rPr>
          <w:rFonts w:ascii="Book Antiqua" w:hAnsi="Book Antiqua" w:cs="Book Antiqua"/>
          <w:snapToGrid w:val="0"/>
        </w:rPr>
      </w:pPr>
    </w:p>
    <w:p w:rsidR="00D24E41" w:rsidRDefault="007D068A" w:rsidP="00D24E41">
      <w:pPr>
        <w:rPr>
          <w:rFonts w:ascii="Book Antiqua" w:hAnsi="Book Antiqua" w:cs="Book Antiqua"/>
          <w:snapToGrid w:val="0"/>
        </w:rPr>
      </w:pPr>
      <w:r>
        <w:rPr>
          <w:rFonts w:ascii="Book Antiqua" w:hAnsi="Book Antiqua" w:cs="Book Antiqua"/>
          <w:snapToGrid w:val="0"/>
        </w:rPr>
        <w:t>EMJ</w:t>
      </w:r>
      <w:bookmarkStart w:id="0" w:name="_GoBack"/>
      <w:bookmarkEnd w:id="0"/>
      <w:r w:rsidR="00D24E41">
        <w:rPr>
          <w:rFonts w:ascii="Book Antiqua" w:hAnsi="Book Antiqua" w:cs="Book Antiqua"/>
          <w:snapToGrid w:val="0"/>
        </w:rPr>
        <w:t>/</w:t>
      </w:r>
      <w:r w:rsidR="00677760">
        <w:rPr>
          <w:rFonts w:ascii="Book Antiqua" w:hAnsi="Book Antiqua" w:cs="Book Antiqua"/>
          <w:snapToGrid w:val="0"/>
        </w:rPr>
        <w:t>pvv</w:t>
      </w:r>
    </w:p>
    <w:p w:rsidR="00D24E41" w:rsidRDefault="00D24E41" w:rsidP="00D24E41">
      <w:pPr>
        <w:rPr>
          <w:rFonts w:ascii="Bookman Old Style" w:hAnsi="Bookman Old Style" w:cs="Bookman Old Style"/>
          <w:b/>
          <w:bCs/>
          <w:color w:val="FF6600"/>
        </w:rPr>
      </w:pPr>
      <w:r>
        <w:rPr>
          <w:rFonts w:ascii="Book Antiqua" w:hAnsi="Book Antiqua" w:cs="Book Antiqua"/>
          <w:snapToGrid w:val="0"/>
        </w:rPr>
        <w:t xml:space="preserve">REF. </w:t>
      </w:r>
      <w:r w:rsidR="00AE059D">
        <w:rPr>
          <w:bCs/>
          <w:sz w:val="24"/>
          <w:szCs w:val="24"/>
        </w:rPr>
        <w:t>1075-16</w:t>
      </w:r>
    </w:p>
    <w:p w:rsidR="00D24E41" w:rsidRDefault="00D24E41" w:rsidP="00D24E41">
      <w:pPr>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D74FA4" w:rsidRDefault="00D74FA4" w:rsidP="004C71F6">
      <w:pPr>
        <w:ind w:left="6372"/>
        <w:jc w:val="right"/>
        <w:rPr>
          <w:rFonts w:ascii="Bookman Old Style" w:hAnsi="Bookman Old Style" w:cs="Bookman Old Style"/>
          <w:b/>
          <w:bCs/>
          <w:color w:val="FF6600"/>
        </w:rPr>
      </w:pPr>
    </w:p>
    <w:p w:rsidR="004C71F6" w:rsidRPr="00F21F83" w:rsidRDefault="004C71F6" w:rsidP="004C71F6">
      <w:pPr>
        <w:ind w:left="6372"/>
        <w:jc w:val="right"/>
        <w:rPr>
          <w:snapToGrid w:val="0"/>
          <w:sz w:val="28"/>
          <w:szCs w:val="28"/>
        </w:rPr>
      </w:pPr>
      <w:r w:rsidRPr="00F21F83">
        <w:rPr>
          <w:sz w:val="28"/>
          <w:szCs w:val="28"/>
        </w:rPr>
        <w:t>217</w:t>
      </w:r>
      <w:r w:rsidRPr="00F21F83">
        <w:rPr>
          <w:snapToGrid w:val="0"/>
          <w:sz w:val="28"/>
          <w:szCs w:val="28"/>
        </w:rPr>
        <w:t>-EST-2016-</w:t>
      </w:r>
      <w:r w:rsidR="006A2BFA" w:rsidRPr="00F21F83">
        <w:rPr>
          <w:snapToGrid w:val="0"/>
          <w:sz w:val="28"/>
          <w:szCs w:val="28"/>
        </w:rPr>
        <w:t>C</w:t>
      </w:r>
    </w:p>
    <w:p w:rsidR="00951000" w:rsidRPr="00F21F83" w:rsidRDefault="00951000" w:rsidP="00951000">
      <w:pPr>
        <w:widowControl w:val="0"/>
        <w:jc w:val="right"/>
        <w:rPr>
          <w:snapToGrid w:val="0"/>
          <w:sz w:val="28"/>
          <w:szCs w:val="28"/>
        </w:rPr>
      </w:pPr>
      <w:r w:rsidRPr="00F21F83">
        <w:rPr>
          <w:sz w:val="28"/>
          <w:szCs w:val="28"/>
        </w:rPr>
        <w:t>Ref. SICE: 1075-16</w:t>
      </w:r>
    </w:p>
    <w:p w:rsidR="004C71F6" w:rsidRPr="006A2BFA" w:rsidRDefault="004C71F6" w:rsidP="004C71F6">
      <w:pPr>
        <w:spacing w:line="360" w:lineRule="auto"/>
        <w:ind w:left="6372"/>
        <w:jc w:val="right"/>
        <w:rPr>
          <w:snapToGrid w:val="0"/>
          <w:sz w:val="28"/>
          <w:szCs w:val="28"/>
        </w:rPr>
      </w:pPr>
    </w:p>
    <w:p w:rsidR="004C71F6" w:rsidRPr="00F55C2A" w:rsidRDefault="00267F4C" w:rsidP="00B00F5D">
      <w:pPr>
        <w:spacing w:line="360" w:lineRule="auto"/>
        <w:rPr>
          <w:snapToGrid w:val="0"/>
          <w:sz w:val="28"/>
          <w:szCs w:val="28"/>
        </w:rPr>
      </w:pPr>
      <w:r>
        <w:rPr>
          <w:snapToGrid w:val="0"/>
          <w:sz w:val="28"/>
          <w:szCs w:val="28"/>
        </w:rPr>
        <w:t>30</w:t>
      </w:r>
      <w:r w:rsidR="004C71F6" w:rsidRPr="00F55C2A">
        <w:rPr>
          <w:snapToGrid w:val="0"/>
          <w:sz w:val="28"/>
          <w:szCs w:val="28"/>
        </w:rPr>
        <w:t xml:space="preserve"> de </w:t>
      </w:r>
      <w:r w:rsidR="006A2BFA">
        <w:rPr>
          <w:snapToGrid w:val="0"/>
          <w:sz w:val="28"/>
          <w:szCs w:val="28"/>
        </w:rPr>
        <w:t>noviembre</w:t>
      </w:r>
      <w:r w:rsidR="004C71F6" w:rsidRPr="00F55C2A">
        <w:rPr>
          <w:snapToGrid w:val="0"/>
          <w:sz w:val="28"/>
          <w:szCs w:val="28"/>
        </w:rPr>
        <w:t xml:space="preserve"> de 2016</w:t>
      </w:r>
    </w:p>
    <w:p w:rsidR="004C71F6" w:rsidRDefault="004C71F6" w:rsidP="004C71F6">
      <w:pPr>
        <w:spacing w:line="360" w:lineRule="auto"/>
        <w:rPr>
          <w:bCs/>
          <w:iCs/>
          <w:sz w:val="28"/>
          <w:szCs w:val="28"/>
        </w:rPr>
      </w:pPr>
    </w:p>
    <w:p w:rsidR="00B00F5D" w:rsidRPr="00F55C2A" w:rsidRDefault="00B00F5D" w:rsidP="004C71F6">
      <w:pPr>
        <w:spacing w:line="360" w:lineRule="auto"/>
        <w:rPr>
          <w:bCs/>
          <w:iCs/>
          <w:sz w:val="28"/>
          <w:szCs w:val="28"/>
        </w:rPr>
      </w:pPr>
    </w:p>
    <w:p w:rsidR="004C71F6" w:rsidRPr="00F55C2A" w:rsidRDefault="004C71F6" w:rsidP="004C71F6">
      <w:pPr>
        <w:spacing w:line="360" w:lineRule="auto"/>
        <w:jc w:val="both"/>
        <w:rPr>
          <w:sz w:val="28"/>
          <w:szCs w:val="28"/>
        </w:rPr>
      </w:pPr>
      <w:r w:rsidRPr="00F55C2A">
        <w:rPr>
          <w:sz w:val="28"/>
          <w:szCs w:val="28"/>
        </w:rPr>
        <w:t>Máster</w:t>
      </w:r>
    </w:p>
    <w:p w:rsidR="00962998" w:rsidRDefault="004C71F6" w:rsidP="004C71F6">
      <w:pPr>
        <w:spacing w:line="360" w:lineRule="auto"/>
        <w:jc w:val="both"/>
        <w:rPr>
          <w:sz w:val="28"/>
          <w:szCs w:val="28"/>
        </w:rPr>
      </w:pPr>
      <w:r w:rsidRPr="00F55C2A">
        <w:rPr>
          <w:sz w:val="28"/>
          <w:szCs w:val="28"/>
        </w:rPr>
        <w:t>Elías Muñoz Jiménez</w:t>
      </w:r>
    </w:p>
    <w:p w:rsidR="004C71F6" w:rsidRPr="00F55C2A" w:rsidRDefault="004C71F6" w:rsidP="004C71F6">
      <w:pPr>
        <w:spacing w:line="360" w:lineRule="auto"/>
        <w:jc w:val="both"/>
        <w:rPr>
          <w:sz w:val="28"/>
          <w:szCs w:val="28"/>
        </w:rPr>
      </w:pPr>
      <w:r w:rsidRPr="00F55C2A">
        <w:rPr>
          <w:sz w:val="28"/>
          <w:szCs w:val="28"/>
        </w:rPr>
        <w:t>Subdirector a.i.</w:t>
      </w:r>
      <w:r w:rsidR="00962998">
        <w:rPr>
          <w:sz w:val="28"/>
          <w:szCs w:val="28"/>
        </w:rPr>
        <w:t xml:space="preserve"> </w:t>
      </w:r>
      <w:r w:rsidRPr="00F55C2A">
        <w:rPr>
          <w:sz w:val="28"/>
          <w:szCs w:val="28"/>
        </w:rPr>
        <w:t>de Planificación</w:t>
      </w:r>
    </w:p>
    <w:p w:rsidR="004C71F6" w:rsidRDefault="004C71F6" w:rsidP="004C71F6">
      <w:pPr>
        <w:spacing w:line="360" w:lineRule="auto"/>
        <w:jc w:val="both"/>
        <w:rPr>
          <w:sz w:val="28"/>
          <w:szCs w:val="28"/>
        </w:rPr>
      </w:pPr>
    </w:p>
    <w:p w:rsidR="00F21F83" w:rsidRPr="00F55C2A" w:rsidRDefault="00F21F83" w:rsidP="004C71F6">
      <w:pPr>
        <w:spacing w:line="360" w:lineRule="auto"/>
        <w:jc w:val="both"/>
        <w:rPr>
          <w:sz w:val="28"/>
          <w:szCs w:val="28"/>
        </w:rPr>
      </w:pPr>
    </w:p>
    <w:p w:rsidR="004C71F6" w:rsidRDefault="004C71F6" w:rsidP="00F21F83">
      <w:pPr>
        <w:spacing w:line="360" w:lineRule="auto"/>
        <w:jc w:val="both"/>
        <w:rPr>
          <w:sz w:val="28"/>
          <w:szCs w:val="28"/>
        </w:rPr>
      </w:pPr>
      <w:r w:rsidRPr="00F55C2A">
        <w:rPr>
          <w:sz w:val="28"/>
          <w:szCs w:val="28"/>
        </w:rPr>
        <w:t xml:space="preserve">Estimado señor: </w:t>
      </w:r>
    </w:p>
    <w:p w:rsidR="00F21F83" w:rsidRPr="00F21F83" w:rsidRDefault="00F21F83" w:rsidP="00F21F83">
      <w:pPr>
        <w:spacing w:line="360" w:lineRule="auto"/>
        <w:jc w:val="both"/>
        <w:rPr>
          <w:sz w:val="28"/>
          <w:szCs w:val="28"/>
        </w:rPr>
      </w:pPr>
    </w:p>
    <w:p w:rsidR="004C71F6" w:rsidRDefault="004C71F6" w:rsidP="004C71F6">
      <w:pPr>
        <w:pStyle w:val="Cpi"/>
        <w:jc w:val="both"/>
      </w:pPr>
      <w:r w:rsidRPr="00F55C2A">
        <w:t>Por este medio remito informe sobre los principales movimientos de trabajo derivados de los informes estadísticos efectuados en la materia Notarial (Tribunal Disciplinario Notarial y Juzgado Notarial) durante 2015 y último quinquenio; esto para su incorporación en el Anuario Estadístico de ese año.</w:t>
      </w:r>
    </w:p>
    <w:p w:rsidR="004C71F6" w:rsidRDefault="004C71F6" w:rsidP="004C71F6">
      <w:pPr>
        <w:pStyle w:val="Cpi"/>
        <w:jc w:val="both"/>
      </w:pPr>
    </w:p>
    <w:p w:rsidR="004C71F6" w:rsidRPr="006C1DA7" w:rsidRDefault="004C71F6" w:rsidP="004C71F6">
      <w:pPr>
        <w:widowControl w:val="0"/>
        <w:tabs>
          <w:tab w:val="left" w:pos="1080"/>
        </w:tabs>
        <w:autoSpaceDE w:val="0"/>
        <w:autoSpaceDN w:val="0"/>
        <w:adjustRightInd w:val="0"/>
        <w:spacing w:line="360" w:lineRule="auto"/>
        <w:ind w:right="20"/>
        <w:jc w:val="both"/>
        <w:rPr>
          <w:sz w:val="28"/>
          <w:szCs w:val="28"/>
        </w:rPr>
      </w:pPr>
      <w:r w:rsidRPr="00D74FA4">
        <w:rPr>
          <w:sz w:val="28"/>
          <w:szCs w:val="28"/>
        </w:rPr>
        <w:t>Mediante oficio 1</w:t>
      </w:r>
      <w:r w:rsidR="006A2BFA" w:rsidRPr="00D74FA4">
        <w:rPr>
          <w:sz w:val="28"/>
          <w:szCs w:val="28"/>
        </w:rPr>
        <w:t>765</w:t>
      </w:r>
      <w:r w:rsidRPr="00D74FA4">
        <w:rPr>
          <w:sz w:val="28"/>
          <w:szCs w:val="28"/>
        </w:rPr>
        <w:t>-PLA-201</w:t>
      </w:r>
      <w:r w:rsidR="00E924A7" w:rsidRPr="00D74FA4">
        <w:rPr>
          <w:sz w:val="28"/>
          <w:szCs w:val="28"/>
        </w:rPr>
        <w:t>6</w:t>
      </w:r>
      <w:r w:rsidR="00F21F83">
        <w:rPr>
          <w:sz w:val="28"/>
          <w:szCs w:val="28"/>
        </w:rPr>
        <w:t xml:space="preserve"> se solicitó al Lic. Juan </w:t>
      </w:r>
      <w:r w:rsidRPr="00D74FA4">
        <w:rPr>
          <w:sz w:val="28"/>
          <w:szCs w:val="28"/>
        </w:rPr>
        <w:t xml:space="preserve">Federico Echandi  Salas, Presidente del Tribunal Disciplinario Notarial, </w:t>
      </w:r>
      <w:r w:rsidR="00E924A7" w:rsidRPr="00D74FA4">
        <w:rPr>
          <w:sz w:val="28"/>
          <w:szCs w:val="28"/>
        </w:rPr>
        <w:t xml:space="preserve">emitir las observaciones </w:t>
      </w:r>
      <w:r w:rsidR="00F67910" w:rsidRPr="00D74FA4">
        <w:rPr>
          <w:sz w:val="28"/>
          <w:szCs w:val="28"/>
        </w:rPr>
        <w:t>que estimara pertinente.  En</w:t>
      </w:r>
      <w:r w:rsidRPr="00D74FA4">
        <w:rPr>
          <w:sz w:val="28"/>
          <w:szCs w:val="28"/>
        </w:rPr>
        <w:t xml:space="preserve"> este sentido, el Lic</w:t>
      </w:r>
      <w:r w:rsidR="0037092F" w:rsidRPr="00D74FA4">
        <w:rPr>
          <w:sz w:val="28"/>
          <w:szCs w:val="28"/>
        </w:rPr>
        <w:t>.</w:t>
      </w:r>
      <w:r w:rsidRPr="00D74FA4">
        <w:rPr>
          <w:sz w:val="28"/>
          <w:szCs w:val="28"/>
        </w:rPr>
        <w:t xml:space="preserve"> Echandi </w:t>
      </w:r>
      <w:r w:rsidR="00F67910" w:rsidRPr="00D74FA4">
        <w:rPr>
          <w:sz w:val="28"/>
          <w:szCs w:val="28"/>
        </w:rPr>
        <w:t>Salas se</w:t>
      </w:r>
      <w:r w:rsidR="00193B73" w:rsidRPr="00D74FA4">
        <w:rPr>
          <w:bCs/>
          <w:sz w:val="28"/>
          <w:szCs w:val="28"/>
        </w:rPr>
        <w:t xml:space="preserve"> manifestó </w:t>
      </w:r>
      <w:r w:rsidR="00B87330" w:rsidRPr="00D74FA4">
        <w:rPr>
          <w:sz w:val="28"/>
          <w:szCs w:val="28"/>
        </w:rPr>
        <w:t xml:space="preserve">con </w:t>
      </w:r>
      <w:r w:rsidRPr="00D74FA4">
        <w:rPr>
          <w:sz w:val="28"/>
          <w:szCs w:val="28"/>
        </w:rPr>
        <w:t xml:space="preserve">oficio </w:t>
      </w:r>
      <w:r w:rsidR="00E0621D" w:rsidRPr="00D74FA4">
        <w:rPr>
          <w:bCs/>
          <w:sz w:val="28"/>
          <w:szCs w:val="28"/>
        </w:rPr>
        <w:t xml:space="preserve">No. </w:t>
      </w:r>
      <w:r w:rsidR="006A2BFA" w:rsidRPr="00D74FA4">
        <w:rPr>
          <w:bCs/>
          <w:sz w:val="28"/>
          <w:szCs w:val="28"/>
        </w:rPr>
        <w:t>112</w:t>
      </w:r>
      <w:r w:rsidR="00E0621D" w:rsidRPr="00D74FA4">
        <w:rPr>
          <w:bCs/>
          <w:sz w:val="28"/>
          <w:szCs w:val="28"/>
        </w:rPr>
        <w:t>-TDN-2016</w:t>
      </w:r>
      <w:r w:rsidRPr="00D74FA4">
        <w:rPr>
          <w:bCs/>
          <w:sz w:val="28"/>
          <w:szCs w:val="28"/>
        </w:rPr>
        <w:t xml:space="preserve"> </w:t>
      </w:r>
      <w:r w:rsidR="006A2BFA" w:rsidRPr="00D74FA4">
        <w:rPr>
          <w:bCs/>
          <w:sz w:val="28"/>
          <w:szCs w:val="28"/>
        </w:rPr>
        <w:t xml:space="preserve">del 11 de octubre de los corrientes una </w:t>
      </w:r>
      <w:r w:rsidR="00193B73" w:rsidRPr="00D74FA4">
        <w:rPr>
          <w:bCs/>
          <w:sz w:val="28"/>
          <w:szCs w:val="28"/>
        </w:rPr>
        <w:t>observaci</w:t>
      </w:r>
      <w:r w:rsidR="006A2BFA" w:rsidRPr="00D74FA4">
        <w:rPr>
          <w:bCs/>
          <w:sz w:val="28"/>
          <w:szCs w:val="28"/>
        </w:rPr>
        <w:t xml:space="preserve">ón. Lo indicado en esa comunicación y luego de la revisión de la secuencia correspondiente, se considera que no es pertinente a la temática expuesta. No obstante, en este reporte estadístico, se hace referencia el oficio de respuesta del </w:t>
      </w:r>
      <w:r w:rsidR="006A2BFA" w:rsidRPr="00D74FA4">
        <w:rPr>
          <w:bCs/>
          <w:sz w:val="28"/>
          <w:szCs w:val="28"/>
        </w:rPr>
        <w:lastRenderedPageBreak/>
        <w:t>Tribunal Disciplinario Notarial a la Auditoría Operativa del Poder Judicial para conste la cronología como lo solicita el Licenciado Echandi Salas.</w:t>
      </w:r>
    </w:p>
    <w:p w:rsidR="004C71F6" w:rsidRPr="00F55C2A" w:rsidRDefault="004C71F6" w:rsidP="004C71F6">
      <w:pPr>
        <w:spacing w:line="360" w:lineRule="auto"/>
        <w:jc w:val="both"/>
        <w:rPr>
          <w:sz w:val="28"/>
          <w:szCs w:val="28"/>
          <w:lang w:val="es-MX"/>
        </w:rPr>
      </w:pPr>
    </w:p>
    <w:p w:rsidR="004C71F6" w:rsidRPr="00F55C2A" w:rsidRDefault="004C71F6" w:rsidP="004C71F6">
      <w:pPr>
        <w:spacing w:line="360" w:lineRule="auto"/>
        <w:jc w:val="both"/>
        <w:rPr>
          <w:sz w:val="28"/>
          <w:szCs w:val="28"/>
          <w:lang w:val="es-MX"/>
        </w:rPr>
      </w:pPr>
      <w:r w:rsidRPr="00F55C2A">
        <w:rPr>
          <w:sz w:val="28"/>
          <w:szCs w:val="28"/>
          <w:lang w:val="es-MX"/>
        </w:rPr>
        <w:t xml:space="preserve">Este análisis fue realizado por la Lic. </w:t>
      </w:r>
      <w:r>
        <w:rPr>
          <w:sz w:val="28"/>
          <w:szCs w:val="28"/>
          <w:lang w:val="es-MX"/>
        </w:rPr>
        <w:t>Gustavo Chen Quesada</w:t>
      </w:r>
      <w:r w:rsidRPr="00F55C2A">
        <w:rPr>
          <w:sz w:val="28"/>
          <w:szCs w:val="28"/>
          <w:lang w:val="es-MX"/>
        </w:rPr>
        <w:t xml:space="preserve">, Profesional 2 de </w:t>
      </w:r>
      <w:smartTag w:uri="urn:schemas-microsoft-com:office:smarttags" w:element="PersonName">
        <w:r w:rsidRPr="00F55C2A">
          <w:rPr>
            <w:sz w:val="28"/>
            <w:szCs w:val="28"/>
            <w:lang w:val="es-MX"/>
          </w:rPr>
          <w:t>la Sección</w:t>
        </w:r>
      </w:smartTag>
      <w:r w:rsidRPr="00F55C2A">
        <w:rPr>
          <w:sz w:val="28"/>
          <w:szCs w:val="28"/>
          <w:lang w:val="es-MX"/>
        </w:rPr>
        <w:t xml:space="preserve"> de Estadística.</w:t>
      </w:r>
    </w:p>
    <w:p w:rsidR="004C71F6" w:rsidRPr="00F55C2A" w:rsidRDefault="004C71F6" w:rsidP="004C71F6">
      <w:pPr>
        <w:spacing w:line="360" w:lineRule="auto"/>
        <w:rPr>
          <w:sz w:val="28"/>
          <w:szCs w:val="28"/>
          <w:lang w:val="es-MX"/>
        </w:rPr>
      </w:pPr>
    </w:p>
    <w:p w:rsidR="004C71F6" w:rsidRPr="00F55C2A" w:rsidRDefault="004C71F6" w:rsidP="004C71F6">
      <w:pPr>
        <w:spacing w:line="360" w:lineRule="auto"/>
        <w:rPr>
          <w:sz w:val="28"/>
          <w:szCs w:val="28"/>
          <w:lang w:val="es-MX"/>
        </w:rPr>
      </w:pPr>
      <w:r w:rsidRPr="00F55C2A">
        <w:rPr>
          <w:sz w:val="28"/>
          <w:szCs w:val="28"/>
          <w:lang w:val="es-MX"/>
        </w:rPr>
        <w:t>Atentamente,</w:t>
      </w:r>
    </w:p>
    <w:p w:rsidR="004C71F6" w:rsidRPr="00F55C2A" w:rsidRDefault="004C71F6" w:rsidP="004C71F6">
      <w:pPr>
        <w:spacing w:line="360" w:lineRule="auto"/>
        <w:rPr>
          <w:sz w:val="28"/>
          <w:szCs w:val="28"/>
          <w:lang w:val="es-MX"/>
        </w:rPr>
      </w:pPr>
    </w:p>
    <w:p w:rsidR="0037092F" w:rsidRPr="007C67E9" w:rsidRDefault="007C67E9" w:rsidP="004C71F6">
      <w:pPr>
        <w:spacing w:line="360" w:lineRule="auto"/>
        <w:rPr>
          <w:sz w:val="28"/>
          <w:szCs w:val="28"/>
        </w:rPr>
      </w:pPr>
      <w:r w:rsidRPr="007C67E9">
        <w:rPr>
          <w:sz w:val="28"/>
          <w:szCs w:val="28"/>
        </w:rPr>
        <w:t xml:space="preserve">Licda. Ana Ericka Rodríguez </w:t>
      </w:r>
      <w:r w:rsidR="004C71F6" w:rsidRPr="007C67E9">
        <w:rPr>
          <w:sz w:val="28"/>
          <w:szCs w:val="28"/>
        </w:rPr>
        <w:t>Araya</w:t>
      </w:r>
    </w:p>
    <w:p w:rsidR="004C71F6" w:rsidRPr="007C67E9" w:rsidRDefault="004C71F6" w:rsidP="004C71F6">
      <w:pPr>
        <w:spacing w:line="360" w:lineRule="auto"/>
        <w:rPr>
          <w:sz w:val="28"/>
          <w:szCs w:val="28"/>
        </w:rPr>
      </w:pPr>
      <w:r w:rsidRPr="007C67E9">
        <w:rPr>
          <w:sz w:val="28"/>
          <w:szCs w:val="28"/>
        </w:rPr>
        <w:t>Jefa a.i.</w:t>
      </w:r>
      <w:r w:rsidR="0037092F" w:rsidRPr="007C67E9">
        <w:rPr>
          <w:sz w:val="28"/>
          <w:szCs w:val="28"/>
        </w:rPr>
        <w:t xml:space="preserve"> </w:t>
      </w:r>
      <w:r w:rsidRPr="007C67E9">
        <w:rPr>
          <w:sz w:val="28"/>
          <w:szCs w:val="28"/>
        </w:rPr>
        <w:t>Sección de Estadística</w:t>
      </w:r>
    </w:p>
    <w:p w:rsidR="004C71F6" w:rsidRDefault="004C71F6" w:rsidP="004C71F6">
      <w:pPr>
        <w:rPr>
          <w:bCs/>
          <w:sz w:val="24"/>
          <w:szCs w:val="24"/>
        </w:rPr>
      </w:pPr>
    </w:p>
    <w:p w:rsidR="0037092F" w:rsidRDefault="0037092F" w:rsidP="004C71F6">
      <w:pPr>
        <w:rPr>
          <w:bCs/>
          <w:sz w:val="24"/>
          <w:szCs w:val="24"/>
        </w:rPr>
      </w:pPr>
    </w:p>
    <w:p w:rsidR="0037092F" w:rsidRDefault="0037092F" w:rsidP="004C71F6">
      <w:pPr>
        <w:rPr>
          <w:bCs/>
          <w:sz w:val="24"/>
          <w:szCs w:val="24"/>
        </w:rPr>
      </w:pPr>
      <w:r>
        <w:rPr>
          <w:bCs/>
          <w:sz w:val="24"/>
          <w:szCs w:val="24"/>
        </w:rPr>
        <w:t>c. Archivo</w:t>
      </w:r>
    </w:p>
    <w:p w:rsidR="0037092F" w:rsidRDefault="0037092F" w:rsidP="004C71F6">
      <w:pPr>
        <w:rPr>
          <w:bCs/>
          <w:sz w:val="24"/>
          <w:szCs w:val="24"/>
        </w:rPr>
      </w:pPr>
    </w:p>
    <w:p w:rsidR="0037092F" w:rsidRDefault="00A6644A" w:rsidP="004C71F6">
      <w:pPr>
        <w:rPr>
          <w:bCs/>
          <w:sz w:val="24"/>
          <w:szCs w:val="24"/>
        </w:rPr>
      </w:pPr>
      <w:r>
        <w:rPr>
          <w:bCs/>
          <w:sz w:val="24"/>
          <w:szCs w:val="24"/>
        </w:rPr>
        <w:t>Aera</w:t>
      </w:r>
      <w:r w:rsidR="0037092F">
        <w:rPr>
          <w:bCs/>
          <w:sz w:val="24"/>
          <w:szCs w:val="24"/>
        </w:rPr>
        <w:t>/</w:t>
      </w:r>
      <w:r w:rsidR="00AE059D">
        <w:rPr>
          <w:bCs/>
          <w:sz w:val="24"/>
          <w:szCs w:val="24"/>
        </w:rPr>
        <w:t>pvv</w:t>
      </w:r>
    </w:p>
    <w:p w:rsidR="0037092F" w:rsidRPr="00F55C2A" w:rsidRDefault="0037092F" w:rsidP="004C71F6">
      <w:pPr>
        <w:rPr>
          <w:bCs/>
          <w:sz w:val="24"/>
          <w:szCs w:val="24"/>
        </w:rPr>
      </w:pPr>
      <w:r>
        <w:rPr>
          <w:bCs/>
          <w:sz w:val="24"/>
          <w:szCs w:val="24"/>
        </w:rPr>
        <w:t>Ref. 1075-16</w:t>
      </w:r>
    </w:p>
    <w:p w:rsidR="004C71F6" w:rsidRPr="00F55C2A" w:rsidRDefault="004C71F6" w:rsidP="004C71F6">
      <w:pPr>
        <w:rPr>
          <w:bCs/>
          <w:sz w:val="24"/>
          <w:szCs w:val="24"/>
        </w:rPr>
      </w:pPr>
    </w:p>
    <w:p w:rsidR="004C71F6" w:rsidRPr="00F55C2A" w:rsidRDefault="004C71F6" w:rsidP="004C71F6">
      <w:pPr>
        <w:jc w:val="center"/>
        <w:rPr>
          <w:b/>
          <w:bCs/>
          <w:sz w:val="32"/>
          <w:szCs w:val="32"/>
        </w:rPr>
      </w:pPr>
      <w:r>
        <w:rPr>
          <w:snapToGrid w:val="0"/>
          <w:sz w:val="28"/>
          <w:szCs w:val="28"/>
        </w:rPr>
        <w:br w:type="page"/>
      </w:r>
      <w:r w:rsidRPr="00F55C2A">
        <w:rPr>
          <w:b/>
          <w:bCs/>
          <w:sz w:val="32"/>
          <w:szCs w:val="32"/>
        </w:rPr>
        <w:lastRenderedPageBreak/>
        <w:t>MATERIA NOTARIAL</w:t>
      </w:r>
    </w:p>
    <w:p w:rsidR="004C71F6" w:rsidRPr="00F55C2A" w:rsidRDefault="004C71F6" w:rsidP="004C71F6">
      <w:pPr>
        <w:jc w:val="center"/>
        <w:rPr>
          <w:sz w:val="32"/>
          <w:szCs w:val="32"/>
        </w:rPr>
      </w:pPr>
    </w:p>
    <w:p w:rsidR="004C71F6" w:rsidRPr="00F55C2A" w:rsidRDefault="004C71F6" w:rsidP="004C71F6">
      <w:pPr>
        <w:jc w:val="center"/>
        <w:rPr>
          <w:b/>
          <w:bCs/>
          <w:sz w:val="32"/>
          <w:szCs w:val="32"/>
        </w:rPr>
      </w:pPr>
      <w:r w:rsidRPr="00F55C2A">
        <w:rPr>
          <w:b/>
          <w:bCs/>
          <w:sz w:val="32"/>
          <w:szCs w:val="32"/>
        </w:rPr>
        <w:t>TRIBUNAL DISCIPLINARIO NOTARIAL</w:t>
      </w:r>
    </w:p>
    <w:p w:rsidR="004C71F6" w:rsidRPr="00F55C2A" w:rsidRDefault="004C71F6" w:rsidP="004C71F6">
      <w:pPr>
        <w:pStyle w:val="Textoindependiente"/>
        <w:ind w:right="-74"/>
        <w:jc w:val="center"/>
        <w:rPr>
          <w:bCs/>
          <w:color w:val="000000"/>
          <w:sz w:val="24"/>
          <w:szCs w:val="24"/>
        </w:rPr>
      </w:pPr>
    </w:p>
    <w:p w:rsidR="004C71F6" w:rsidRPr="00F55C2A" w:rsidRDefault="004C71F6" w:rsidP="004C71F6">
      <w:pPr>
        <w:spacing w:line="360" w:lineRule="auto"/>
        <w:jc w:val="both"/>
        <w:rPr>
          <w:sz w:val="24"/>
          <w:szCs w:val="24"/>
        </w:rPr>
      </w:pPr>
    </w:p>
    <w:p w:rsidR="004C71F6" w:rsidRPr="00F55C2A" w:rsidRDefault="004C71F6" w:rsidP="004C71F6">
      <w:pPr>
        <w:spacing w:line="360" w:lineRule="auto"/>
        <w:jc w:val="both"/>
        <w:rPr>
          <w:sz w:val="28"/>
          <w:szCs w:val="28"/>
        </w:rPr>
      </w:pPr>
      <w:r w:rsidRPr="00F55C2A">
        <w:rPr>
          <w:sz w:val="28"/>
          <w:szCs w:val="28"/>
        </w:rPr>
        <w:t xml:space="preserve">En este apartado se analiza el movimiento ocurrido en el Tribunal Disciplinario Notarial durante el 2015 y el último quinquenio.  </w:t>
      </w:r>
    </w:p>
    <w:p w:rsidR="004C71F6" w:rsidRPr="00F55C2A" w:rsidRDefault="004C71F6" w:rsidP="004C71F6">
      <w:pPr>
        <w:pStyle w:val="Textoindependiente3"/>
        <w:spacing w:line="360" w:lineRule="auto"/>
        <w:ind w:right="-74"/>
        <w:rPr>
          <w:rFonts w:ascii="Times New Roman" w:hAnsi="Times New Roman"/>
          <w:sz w:val="20"/>
          <w:szCs w:val="20"/>
        </w:rPr>
      </w:pPr>
    </w:p>
    <w:p w:rsidR="004C71F6" w:rsidRPr="00F55C2A" w:rsidRDefault="004C71F6" w:rsidP="004C71F6">
      <w:pPr>
        <w:numPr>
          <w:ilvl w:val="0"/>
          <w:numId w:val="21"/>
        </w:numPr>
        <w:tabs>
          <w:tab w:val="clear" w:pos="720"/>
        </w:tabs>
        <w:spacing w:line="360" w:lineRule="auto"/>
        <w:ind w:left="600" w:right="-74" w:hanging="600"/>
        <w:jc w:val="both"/>
        <w:rPr>
          <w:sz w:val="28"/>
          <w:szCs w:val="28"/>
          <w:lang w:val="es-MX"/>
        </w:rPr>
      </w:pPr>
      <w:r w:rsidRPr="00F55C2A">
        <w:rPr>
          <w:sz w:val="28"/>
          <w:szCs w:val="28"/>
          <w:lang w:val="es-MX"/>
        </w:rPr>
        <w:t>El volumen de casos entrados en el Tribunal Disciplinario Notarial continúa decreciendo en los últimos cuatro años sin dejar de ser la apelación de sentencia el tipo de asunto más frecuente.</w:t>
      </w:r>
    </w:p>
    <w:p w:rsidR="004C71F6" w:rsidRPr="00F55C2A" w:rsidRDefault="004C71F6" w:rsidP="004C71F6">
      <w:pPr>
        <w:spacing w:line="360" w:lineRule="auto"/>
        <w:ind w:left="540" w:right="-74" w:hanging="540"/>
        <w:jc w:val="both"/>
        <w:rPr>
          <w:sz w:val="28"/>
          <w:szCs w:val="28"/>
          <w:lang w:val="es-MX"/>
        </w:rPr>
      </w:pPr>
    </w:p>
    <w:p w:rsidR="004C71F6" w:rsidRPr="00F55C2A" w:rsidRDefault="004C71F6" w:rsidP="004C71F6">
      <w:pPr>
        <w:numPr>
          <w:ilvl w:val="0"/>
          <w:numId w:val="21"/>
        </w:numPr>
        <w:tabs>
          <w:tab w:val="clear" w:pos="720"/>
        </w:tabs>
        <w:spacing w:line="360" w:lineRule="auto"/>
        <w:ind w:left="600" w:right="-74" w:hanging="600"/>
        <w:jc w:val="both"/>
        <w:rPr>
          <w:sz w:val="28"/>
          <w:szCs w:val="28"/>
          <w:lang w:val="es-MX"/>
        </w:rPr>
      </w:pPr>
      <w:r w:rsidRPr="00F55C2A">
        <w:rPr>
          <w:sz w:val="28"/>
          <w:szCs w:val="28"/>
          <w:lang w:val="es-MX"/>
        </w:rPr>
        <w:t xml:space="preserve">Con el incremento en la cifra de casos terminados en este año </w:t>
      </w:r>
      <w:r w:rsidRPr="00F55C2A">
        <w:rPr>
          <w:sz w:val="28"/>
          <w:szCs w:val="28"/>
        </w:rPr>
        <w:t>se interrumpe la relativa estabilidad en los niveles resolutivos alcanzados en el Tribunal Disciplinario Notarial observada en los tres años inmediatamente anteriores. La confirmatoria es el tipo de resolución más frecuentemente dictada sin ser despreciable el volumen de sentencias que alteran lo resuelto en primera instancia (revocatoria, anulación y modificatoria).</w:t>
      </w:r>
    </w:p>
    <w:p w:rsidR="004C71F6" w:rsidRPr="00F55C2A" w:rsidRDefault="004C71F6" w:rsidP="004C71F6">
      <w:pPr>
        <w:spacing w:line="360" w:lineRule="auto"/>
        <w:ind w:right="-74"/>
        <w:jc w:val="both"/>
        <w:rPr>
          <w:sz w:val="28"/>
          <w:szCs w:val="28"/>
          <w:lang w:val="es-MX"/>
        </w:rPr>
      </w:pPr>
    </w:p>
    <w:p w:rsidR="004C71F6" w:rsidRPr="00F55C2A" w:rsidRDefault="004C71F6" w:rsidP="004C71F6">
      <w:pPr>
        <w:numPr>
          <w:ilvl w:val="0"/>
          <w:numId w:val="21"/>
        </w:numPr>
        <w:tabs>
          <w:tab w:val="clear" w:pos="720"/>
        </w:tabs>
        <w:spacing w:line="360" w:lineRule="auto"/>
        <w:ind w:left="600" w:right="-74" w:hanging="600"/>
        <w:jc w:val="both"/>
        <w:rPr>
          <w:sz w:val="28"/>
          <w:szCs w:val="28"/>
          <w:lang w:val="es-MX"/>
        </w:rPr>
      </w:pPr>
      <w:r w:rsidRPr="00F55C2A">
        <w:rPr>
          <w:bCs/>
          <w:sz w:val="28"/>
          <w:szCs w:val="28"/>
        </w:rPr>
        <w:t xml:space="preserve">Durante el 2015 se atendió una mayor cantidad de asuntos antiguos que en el periodo de doce meses inmediatamente anterior. Y esto se traduce con el incremento de la duración promedio calculada de este año respecto al anterior. </w:t>
      </w:r>
    </w:p>
    <w:p w:rsidR="004C71F6" w:rsidRPr="00F55C2A" w:rsidRDefault="004C71F6" w:rsidP="004C71F6">
      <w:pPr>
        <w:spacing w:line="360" w:lineRule="auto"/>
        <w:ind w:right="-74"/>
        <w:jc w:val="both"/>
        <w:rPr>
          <w:sz w:val="28"/>
          <w:szCs w:val="28"/>
          <w:lang w:val="es-MX"/>
        </w:rPr>
      </w:pPr>
    </w:p>
    <w:p w:rsidR="004C71F6" w:rsidRPr="00F55C2A" w:rsidRDefault="004C71F6" w:rsidP="004C71F6">
      <w:pPr>
        <w:numPr>
          <w:ilvl w:val="0"/>
          <w:numId w:val="21"/>
        </w:numPr>
        <w:tabs>
          <w:tab w:val="clear" w:pos="720"/>
        </w:tabs>
        <w:spacing w:line="360" w:lineRule="auto"/>
        <w:ind w:left="600" w:right="-74" w:hanging="600"/>
        <w:jc w:val="both"/>
        <w:rPr>
          <w:sz w:val="28"/>
          <w:szCs w:val="28"/>
          <w:lang w:val="es-MX"/>
        </w:rPr>
      </w:pPr>
      <w:r w:rsidRPr="00F55C2A">
        <w:rPr>
          <w:sz w:val="28"/>
          <w:szCs w:val="28"/>
        </w:rPr>
        <w:t xml:space="preserve">A la conclusión del 2015 se registra una </w:t>
      </w:r>
      <w:r>
        <w:rPr>
          <w:sz w:val="28"/>
          <w:szCs w:val="28"/>
        </w:rPr>
        <w:t>importante</w:t>
      </w:r>
      <w:r w:rsidRPr="00F55C2A">
        <w:rPr>
          <w:sz w:val="28"/>
          <w:szCs w:val="28"/>
        </w:rPr>
        <w:t xml:space="preserve"> reducción del circulante del Tribunal Disciplinario Notarial pero los niveles alcanzados </w:t>
      </w:r>
      <w:r w:rsidRPr="00F55C2A">
        <w:rPr>
          <w:sz w:val="28"/>
          <w:szCs w:val="28"/>
        </w:rPr>
        <w:lastRenderedPageBreak/>
        <w:t>en la historia reciente (últimos tres años) se encuentran muy por encima de lo reportado del 201</w:t>
      </w:r>
      <w:r>
        <w:rPr>
          <w:sz w:val="28"/>
          <w:szCs w:val="28"/>
        </w:rPr>
        <w:t>1</w:t>
      </w:r>
      <w:r w:rsidRPr="00F55C2A">
        <w:rPr>
          <w:sz w:val="28"/>
          <w:szCs w:val="28"/>
        </w:rPr>
        <w:t xml:space="preserve"> para atrás.</w:t>
      </w:r>
    </w:p>
    <w:p w:rsidR="004C71F6" w:rsidRPr="00F55C2A" w:rsidRDefault="004C71F6" w:rsidP="004C71F6">
      <w:pPr>
        <w:pStyle w:val="Textoindependiente3"/>
        <w:tabs>
          <w:tab w:val="left" w:pos="600"/>
        </w:tabs>
        <w:spacing w:line="360" w:lineRule="auto"/>
        <w:ind w:right="-74"/>
        <w:rPr>
          <w:rFonts w:ascii="Times New Roman" w:hAnsi="Times New Roman"/>
          <w:sz w:val="20"/>
          <w:szCs w:val="20"/>
          <w:lang w:val="es-MX"/>
        </w:rPr>
      </w:pPr>
    </w:p>
    <w:p w:rsidR="004C71F6" w:rsidRPr="00F55C2A" w:rsidRDefault="004C71F6" w:rsidP="004C71F6">
      <w:pPr>
        <w:pStyle w:val="Textoindependiente3"/>
        <w:tabs>
          <w:tab w:val="left" w:pos="600"/>
        </w:tabs>
        <w:spacing w:line="360" w:lineRule="auto"/>
        <w:ind w:right="-74"/>
        <w:rPr>
          <w:rFonts w:ascii="Times New Roman" w:hAnsi="Times New Roman"/>
          <w:b/>
          <w:bCs/>
          <w:sz w:val="28"/>
          <w:szCs w:val="28"/>
        </w:rPr>
      </w:pPr>
      <w:r w:rsidRPr="00F55C2A">
        <w:rPr>
          <w:rFonts w:ascii="Times New Roman" w:hAnsi="Times New Roman"/>
          <w:b/>
          <w:bCs/>
          <w:sz w:val="28"/>
          <w:szCs w:val="28"/>
        </w:rPr>
        <w:t>I.</w:t>
      </w:r>
      <w:r w:rsidRPr="00F55C2A">
        <w:rPr>
          <w:rFonts w:ascii="Times New Roman" w:hAnsi="Times New Roman"/>
          <w:b/>
          <w:bCs/>
          <w:sz w:val="28"/>
          <w:szCs w:val="28"/>
        </w:rPr>
        <w:tab/>
        <w:t>INDICADORES DE GESTIÓN</w:t>
      </w:r>
    </w:p>
    <w:p w:rsidR="004C71F6" w:rsidRPr="00F55C2A" w:rsidRDefault="004C71F6" w:rsidP="004C71F6">
      <w:pPr>
        <w:pStyle w:val="Textoindependiente3"/>
        <w:spacing w:line="360" w:lineRule="auto"/>
        <w:ind w:right="-74"/>
        <w:rPr>
          <w:rFonts w:ascii="Times New Roman" w:hAnsi="Times New Roman"/>
          <w:sz w:val="16"/>
          <w:szCs w:val="16"/>
        </w:rPr>
      </w:pPr>
    </w:p>
    <w:p w:rsidR="004C71F6" w:rsidRDefault="004C71F6" w:rsidP="004C71F6">
      <w:pPr>
        <w:pStyle w:val="Textoindependiente3"/>
        <w:spacing w:line="360" w:lineRule="auto"/>
        <w:ind w:right="-74"/>
        <w:rPr>
          <w:rFonts w:ascii="Times New Roman" w:hAnsi="Times New Roman"/>
          <w:sz w:val="28"/>
          <w:szCs w:val="28"/>
        </w:rPr>
      </w:pPr>
      <w:r w:rsidRPr="00F55C2A">
        <w:rPr>
          <w:rFonts w:ascii="Times New Roman" w:hAnsi="Times New Roman"/>
          <w:sz w:val="28"/>
          <w:szCs w:val="28"/>
        </w:rPr>
        <w:t>La tasa de congestión</w:t>
      </w:r>
      <w:r w:rsidRPr="00F55C2A">
        <w:rPr>
          <w:rStyle w:val="Refdenotaalpie"/>
          <w:rFonts w:ascii="Times New Roman" w:hAnsi="Times New Roman"/>
          <w:sz w:val="28"/>
          <w:szCs w:val="28"/>
        </w:rPr>
        <w:footnoteReference w:id="1"/>
      </w:r>
      <w:r w:rsidRPr="00F55C2A">
        <w:rPr>
          <w:rFonts w:ascii="Times New Roman" w:hAnsi="Times New Roman"/>
          <w:sz w:val="28"/>
          <w:szCs w:val="28"/>
        </w:rPr>
        <w:t xml:space="preserve"> y los porcentajes de pendencia</w:t>
      </w:r>
      <w:r w:rsidRPr="00F55C2A">
        <w:rPr>
          <w:rStyle w:val="Refdenotaalpie"/>
          <w:rFonts w:ascii="Times New Roman" w:hAnsi="Times New Roman"/>
          <w:sz w:val="28"/>
          <w:szCs w:val="28"/>
        </w:rPr>
        <w:footnoteReference w:id="2"/>
      </w:r>
      <w:r w:rsidRPr="00F55C2A">
        <w:rPr>
          <w:rFonts w:ascii="Times New Roman" w:hAnsi="Times New Roman"/>
          <w:sz w:val="28"/>
          <w:szCs w:val="28"/>
        </w:rPr>
        <w:t xml:space="preserve"> y de resolución son indicadores de Gestión Judicial utilizados para medir el desempeño de los diferentes despachos. En el siguiente recuadro, se observa la evolución de estas tasas en el Tribunal Disciplinario Notarial para el 2014 y 2015.</w:t>
      </w:r>
    </w:p>
    <w:p w:rsidR="00AE4FE3" w:rsidRPr="00F55C2A" w:rsidRDefault="00AE4FE3" w:rsidP="004C71F6">
      <w:pPr>
        <w:pStyle w:val="Textoindependiente3"/>
        <w:spacing w:line="360" w:lineRule="auto"/>
        <w:ind w:right="-74"/>
        <w:rPr>
          <w:rFonts w:ascii="Times New Roman" w:hAnsi="Times New Roman"/>
          <w:sz w:val="28"/>
          <w:szCs w:val="28"/>
        </w:rPr>
      </w:pPr>
    </w:p>
    <w:tbl>
      <w:tblPr>
        <w:tblW w:w="5480" w:type="dxa"/>
        <w:jc w:val="center"/>
        <w:tblCellMar>
          <w:left w:w="70" w:type="dxa"/>
          <w:right w:w="70" w:type="dxa"/>
        </w:tblCellMar>
        <w:tblLook w:val="0000" w:firstRow="0" w:lastRow="0" w:firstColumn="0" w:lastColumn="0" w:noHBand="0" w:noVBand="0"/>
      </w:tblPr>
      <w:tblGrid>
        <w:gridCol w:w="3080"/>
        <w:gridCol w:w="1200"/>
        <w:gridCol w:w="1200"/>
      </w:tblGrid>
      <w:tr w:rsidR="004C71F6" w:rsidRPr="00F55C2A" w:rsidTr="00B87330">
        <w:trPr>
          <w:trHeight w:val="765"/>
          <w:jc w:val="center"/>
        </w:trPr>
        <w:tc>
          <w:tcPr>
            <w:tcW w:w="3080" w:type="dxa"/>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rPr>
              <w:t>VARIABLES</w:t>
            </w:r>
          </w:p>
        </w:tc>
        <w:tc>
          <w:tcPr>
            <w:tcW w:w="1200" w:type="dxa"/>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rPr>
              <w:t>2014</w:t>
            </w:r>
          </w:p>
        </w:tc>
        <w:tc>
          <w:tcPr>
            <w:tcW w:w="1200" w:type="dxa"/>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lang w:val="es-ES"/>
              </w:rPr>
              <w:t>2015</w:t>
            </w:r>
          </w:p>
        </w:tc>
      </w:tr>
      <w:tr w:rsidR="004C71F6" w:rsidRPr="00F55C2A" w:rsidTr="00B87330">
        <w:trPr>
          <w:trHeight w:val="375"/>
          <w:jc w:val="center"/>
        </w:trPr>
        <w:tc>
          <w:tcPr>
            <w:tcW w:w="30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rPr>
              <w:t>Circulante al inicio</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rPr>
              <w:t>193</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lang w:val="es-ES"/>
              </w:rPr>
              <w:t>195</w:t>
            </w:r>
          </w:p>
        </w:tc>
      </w:tr>
      <w:tr w:rsidR="004C71F6" w:rsidRPr="00F55C2A" w:rsidTr="00B87330">
        <w:trPr>
          <w:trHeight w:val="375"/>
          <w:jc w:val="center"/>
        </w:trPr>
        <w:tc>
          <w:tcPr>
            <w:tcW w:w="30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rPr>
              <w:t>Casos entrados</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rPr>
              <w:t>245</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lang w:val="es-ES"/>
              </w:rPr>
              <w:t>217</w:t>
            </w:r>
          </w:p>
        </w:tc>
      </w:tr>
      <w:tr w:rsidR="004C71F6" w:rsidRPr="00F55C2A" w:rsidTr="00B87330">
        <w:trPr>
          <w:trHeight w:val="375"/>
          <w:jc w:val="center"/>
        </w:trPr>
        <w:tc>
          <w:tcPr>
            <w:tcW w:w="30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rPr>
              <w:t>Casos reentrados</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rPr>
              <w:t>0</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Pr>
                <w:sz w:val="28"/>
                <w:szCs w:val="28"/>
                <w:lang w:val="es-ES"/>
              </w:rPr>
              <w:t>5</w:t>
            </w:r>
            <w:r w:rsidRPr="00F55C2A">
              <w:rPr>
                <w:sz w:val="28"/>
                <w:szCs w:val="28"/>
                <w:lang w:val="es-ES"/>
              </w:rPr>
              <w:t>5</w:t>
            </w:r>
          </w:p>
        </w:tc>
      </w:tr>
      <w:tr w:rsidR="004C71F6" w:rsidRPr="00F55C2A" w:rsidTr="00B87330">
        <w:trPr>
          <w:trHeight w:val="375"/>
          <w:jc w:val="center"/>
        </w:trPr>
        <w:tc>
          <w:tcPr>
            <w:tcW w:w="30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rPr>
              <w:t>Casos salidos</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rPr>
              <w:t>243</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lang w:val="es-ES"/>
              </w:rPr>
              <w:t>291</w:t>
            </w:r>
          </w:p>
        </w:tc>
      </w:tr>
      <w:tr w:rsidR="004C71F6" w:rsidRPr="00F55C2A" w:rsidTr="00B87330">
        <w:trPr>
          <w:trHeight w:val="375"/>
          <w:jc w:val="center"/>
        </w:trPr>
        <w:tc>
          <w:tcPr>
            <w:tcW w:w="30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rPr>
              <w:t>Circulante al finalizar</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rPr>
              <w:t>195</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lang w:val="es-ES"/>
              </w:rPr>
              <w:t>1</w:t>
            </w:r>
            <w:r>
              <w:rPr>
                <w:sz w:val="28"/>
                <w:szCs w:val="28"/>
                <w:lang w:val="es-ES"/>
              </w:rPr>
              <w:t>31</w:t>
            </w:r>
          </w:p>
        </w:tc>
      </w:tr>
      <w:tr w:rsidR="004C71F6" w:rsidRPr="00F55C2A" w:rsidTr="00B87330">
        <w:trPr>
          <w:trHeight w:val="735"/>
          <w:jc w:val="center"/>
        </w:trPr>
        <w:tc>
          <w:tcPr>
            <w:tcW w:w="3080" w:type="dxa"/>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rPr>
              <w:t>INDICADORES</w:t>
            </w:r>
          </w:p>
        </w:tc>
        <w:tc>
          <w:tcPr>
            <w:tcW w:w="1200" w:type="dxa"/>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rPr>
              <w:t>2014</w:t>
            </w:r>
          </w:p>
        </w:tc>
        <w:tc>
          <w:tcPr>
            <w:tcW w:w="1200" w:type="dxa"/>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lang w:val="es-ES"/>
              </w:rPr>
              <w:t>2015</w:t>
            </w:r>
          </w:p>
        </w:tc>
      </w:tr>
      <w:tr w:rsidR="004C71F6" w:rsidRPr="00F55C2A" w:rsidTr="00B87330">
        <w:trPr>
          <w:trHeight w:val="375"/>
          <w:jc w:val="center"/>
        </w:trPr>
        <w:tc>
          <w:tcPr>
            <w:tcW w:w="30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rPr>
              <w:t>Tasa de congestión</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rPr>
              <w:t>180</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lang w:val="es-ES"/>
              </w:rPr>
              <w:t>1</w:t>
            </w:r>
            <w:r>
              <w:rPr>
                <w:sz w:val="28"/>
                <w:szCs w:val="28"/>
                <w:lang w:val="es-ES"/>
              </w:rPr>
              <w:t>45</w:t>
            </w:r>
          </w:p>
        </w:tc>
      </w:tr>
      <w:tr w:rsidR="004C71F6" w:rsidRPr="00F55C2A" w:rsidTr="00B87330">
        <w:trPr>
          <w:trHeight w:val="375"/>
          <w:jc w:val="center"/>
        </w:trPr>
        <w:tc>
          <w:tcPr>
            <w:tcW w:w="30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rPr>
              <w:t>Porcentaje de pendencia</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rPr>
              <w:t>45%</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lang w:val="es-ES"/>
              </w:rPr>
              <w:t>3</w:t>
            </w:r>
            <w:r>
              <w:rPr>
                <w:sz w:val="28"/>
                <w:szCs w:val="28"/>
                <w:lang w:val="es-ES"/>
              </w:rPr>
              <w:t>1</w:t>
            </w:r>
            <w:r w:rsidRPr="00F55C2A">
              <w:rPr>
                <w:sz w:val="28"/>
                <w:szCs w:val="28"/>
                <w:lang w:val="es-ES"/>
              </w:rPr>
              <w:t>%</w:t>
            </w:r>
          </w:p>
        </w:tc>
      </w:tr>
      <w:tr w:rsidR="004C71F6" w:rsidRPr="00F55C2A" w:rsidTr="00B87330">
        <w:trPr>
          <w:trHeight w:val="375"/>
          <w:jc w:val="center"/>
        </w:trPr>
        <w:tc>
          <w:tcPr>
            <w:tcW w:w="30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rPr>
              <w:t>Porcentaje de resolución</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rPr>
              <w:t>55%</w:t>
            </w:r>
          </w:p>
        </w:tc>
        <w:tc>
          <w:tcPr>
            <w:tcW w:w="1200" w:type="dxa"/>
            <w:tcBorders>
              <w:top w:val="nil"/>
              <w:left w:val="nil"/>
              <w:bottom w:val="nil"/>
              <w:right w:val="nil"/>
            </w:tcBorders>
            <w:shd w:val="clear" w:color="auto" w:fill="auto"/>
            <w:vAlign w:val="center"/>
          </w:tcPr>
          <w:p w:rsidR="004C71F6" w:rsidRPr="00F55C2A" w:rsidRDefault="004C71F6" w:rsidP="00B87330">
            <w:pPr>
              <w:ind w:left="-350" w:right="310"/>
              <w:jc w:val="right"/>
              <w:rPr>
                <w:sz w:val="28"/>
                <w:szCs w:val="28"/>
                <w:lang w:val="es-ES"/>
              </w:rPr>
            </w:pPr>
            <w:r w:rsidRPr="00F55C2A">
              <w:rPr>
                <w:sz w:val="28"/>
                <w:szCs w:val="28"/>
                <w:lang w:val="es-ES"/>
              </w:rPr>
              <w:t>6</w:t>
            </w:r>
            <w:r>
              <w:rPr>
                <w:sz w:val="28"/>
                <w:szCs w:val="28"/>
                <w:lang w:val="es-ES"/>
              </w:rPr>
              <w:t>9</w:t>
            </w:r>
            <w:r w:rsidRPr="00F55C2A">
              <w:rPr>
                <w:sz w:val="28"/>
                <w:szCs w:val="28"/>
                <w:lang w:val="es-ES"/>
              </w:rPr>
              <w:t>%</w:t>
            </w:r>
          </w:p>
        </w:tc>
      </w:tr>
    </w:tbl>
    <w:p w:rsidR="004C71F6" w:rsidRPr="00F55C2A" w:rsidRDefault="004C71F6" w:rsidP="004C71F6">
      <w:pPr>
        <w:pStyle w:val="Textoindependiente3"/>
        <w:spacing w:line="360" w:lineRule="auto"/>
        <w:ind w:right="-74"/>
        <w:rPr>
          <w:rFonts w:ascii="Times New Roman" w:hAnsi="Times New Roman"/>
          <w:sz w:val="28"/>
          <w:szCs w:val="28"/>
        </w:rPr>
      </w:pPr>
      <w:r w:rsidRPr="00F55C2A">
        <w:rPr>
          <w:rFonts w:ascii="Times New Roman" w:hAnsi="Times New Roman"/>
          <w:sz w:val="28"/>
          <w:szCs w:val="28"/>
        </w:rPr>
        <w:t xml:space="preserve">Del recuadro anterior, la tasa de congestión durante este año, disminuye respecto a la calculada en el 2014. En el 2015, para el Tribunal se tiene una Tasa de </w:t>
      </w:r>
      <w:r w:rsidRPr="00F55C2A">
        <w:rPr>
          <w:rFonts w:ascii="Times New Roman" w:hAnsi="Times New Roman"/>
          <w:sz w:val="28"/>
          <w:szCs w:val="28"/>
        </w:rPr>
        <w:lastRenderedPageBreak/>
        <w:t>congestión de 1</w:t>
      </w:r>
      <w:r>
        <w:rPr>
          <w:rFonts w:ascii="Times New Roman" w:hAnsi="Times New Roman"/>
          <w:sz w:val="28"/>
          <w:szCs w:val="28"/>
        </w:rPr>
        <w:t>45</w:t>
      </w:r>
      <w:r w:rsidRPr="00F55C2A">
        <w:rPr>
          <w:rFonts w:ascii="Times New Roman" w:hAnsi="Times New Roman"/>
          <w:sz w:val="28"/>
          <w:szCs w:val="28"/>
        </w:rPr>
        <w:t xml:space="preserve"> casos que componen la carga de trabajo por cada 100 asuntos terminados; esto es, se requirió finiquitar </w:t>
      </w:r>
      <w:r>
        <w:rPr>
          <w:rFonts w:ascii="Times New Roman" w:hAnsi="Times New Roman"/>
          <w:sz w:val="28"/>
          <w:szCs w:val="28"/>
        </w:rPr>
        <w:t>45</w:t>
      </w:r>
      <w:r w:rsidRPr="00F55C2A">
        <w:rPr>
          <w:rFonts w:ascii="Times New Roman" w:hAnsi="Times New Roman"/>
          <w:sz w:val="28"/>
          <w:szCs w:val="28"/>
        </w:rPr>
        <w:t xml:space="preserve"> casos más por cada 100 casos terminados para que la existencia fuera nula o cercanamente nula; esto es, unos 1</w:t>
      </w:r>
      <w:r>
        <w:rPr>
          <w:rFonts w:ascii="Times New Roman" w:hAnsi="Times New Roman"/>
          <w:sz w:val="28"/>
          <w:szCs w:val="28"/>
        </w:rPr>
        <w:t>31</w:t>
      </w:r>
      <w:r w:rsidRPr="00F55C2A">
        <w:rPr>
          <w:rFonts w:ascii="Times New Roman" w:hAnsi="Times New Roman"/>
          <w:sz w:val="28"/>
          <w:szCs w:val="28"/>
        </w:rPr>
        <w:t xml:space="preserve"> expedientes adicionales al año o unos 1</w:t>
      </w:r>
      <w:r>
        <w:rPr>
          <w:rFonts w:ascii="Times New Roman" w:hAnsi="Times New Roman"/>
          <w:sz w:val="28"/>
          <w:szCs w:val="28"/>
        </w:rPr>
        <w:t>1</w:t>
      </w:r>
      <w:r w:rsidRPr="00F55C2A">
        <w:rPr>
          <w:rFonts w:ascii="Times New Roman" w:hAnsi="Times New Roman"/>
          <w:sz w:val="28"/>
          <w:szCs w:val="28"/>
        </w:rPr>
        <w:t xml:space="preserve"> más por mes. Un año antes, se requería haber finiquitado 80 asuntos más de la carga de trabajo por cada 100 casos finalizados para que la existencia fuera nula. Así en el 2015 se necesitaron menos casos adicionales por cada 100 terminados que el 2014 para alcanzar la meta de una existencia final nula o cercanamente nula.</w:t>
      </w:r>
    </w:p>
    <w:p w:rsidR="004C71F6" w:rsidRPr="00F55C2A" w:rsidRDefault="004C71F6" w:rsidP="004C71F6">
      <w:pPr>
        <w:pStyle w:val="Textoindependiente3"/>
        <w:spacing w:line="360" w:lineRule="auto"/>
        <w:ind w:right="-74"/>
        <w:rPr>
          <w:rFonts w:ascii="Times New Roman" w:hAnsi="Times New Roman"/>
          <w:sz w:val="28"/>
          <w:szCs w:val="28"/>
        </w:rPr>
      </w:pPr>
    </w:p>
    <w:p w:rsidR="004C71F6" w:rsidRPr="00F55C2A" w:rsidRDefault="004C71F6" w:rsidP="004C71F6">
      <w:pPr>
        <w:pStyle w:val="Textoindependiente3"/>
        <w:spacing w:line="360" w:lineRule="auto"/>
        <w:ind w:right="-74"/>
        <w:rPr>
          <w:rFonts w:ascii="Times New Roman" w:hAnsi="Times New Roman"/>
          <w:sz w:val="28"/>
          <w:szCs w:val="28"/>
        </w:rPr>
      </w:pPr>
      <w:r w:rsidRPr="00F55C2A">
        <w:rPr>
          <w:rFonts w:ascii="Times New Roman" w:hAnsi="Times New Roman"/>
          <w:sz w:val="28"/>
          <w:szCs w:val="28"/>
        </w:rPr>
        <w:t xml:space="preserve">En la siguiente gráfica, se ilustra el comportamiento de esta tasa desde el 2011. Obsérvese como se incrementaba hasta el 2013 para estancarse en el período 2013-2014 y luego decrecer en el 2015. </w:t>
      </w:r>
    </w:p>
    <w:p w:rsidR="004C71F6" w:rsidRPr="00F55C2A" w:rsidRDefault="006A2BFA" w:rsidP="004C71F6">
      <w:pPr>
        <w:pStyle w:val="Textoindependiente3"/>
        <w:spacing w:line="360" w:lineRule="auto"/>
        <w:ind w:right="-74"/>
        <w:jc w:val="center"/>
        <w:rPr>
          <w:rFonts w:ascii="Times New Roman" w:hAnsi="Times New Roman"/>
        </w:rPr>
      </w:pPr>
      <w:r>
        <w:rPr>
          <w:rFonts w:ascii="Times New Roman" w:hAnsi="Times New Roman"/>
          <w:noProof/>
          <w:lang w:val="es-CR" w:eastAsia="es-CR"/>
        </w:rPr>
        <w:drawing>
          <wp:inline distT="0" distB="0" distL="0" distR="0">
            <wp:extent cx="5055235" cy="3317875"/>
            <wp:effectExtent l="0" t="0" r="0" b="0"/>
            <wp:docPr id="1"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71F6" w:rsidRPr="00F55C2A" w:rsidRDefault="004C71F6" w:rsidP="004C71F6">
      <w:pPr>
        <w:pStyle w:val="Textoindependiente3"/>
        <w:spacing w:line="360" w:lineRule="auto"/>
        <w:ind w:right="-74"/>
        <w:rPr>
          <w:rFonts w:ascii="Times New Roman" w:hAnsi="Times New Roman"/>
          <w:sz w:val="28"/>
          <w:szCs w:val="28"/>
        </w:rPr>
      </w:pPr>
    </w:p>
    <w:p w:rsidR="004C71F6" w:rsidRPr="00F55C2A" w:rsidRDefault="004C71F6" w:rsidP="004C71F6">
      <w:pPr>
        <w:spacing w:line="360" w:lineRule="auto"/>
        <w:jc w:val="both"/>
        <w:rPr>
          <w:sz w:val="28"/>
          <w:szCs w:val="28"/>
        </w:rPr>
      </w:pPr>
      <w:r w:rsidRPr="00F55C2A">
        <w:rPr>
          <w:sz w:val="28"/>
          <w:szCs w:val="28"/>
        </w:rPr>
        <w:lastRenderedPageBreak/>
        <w:t>Lo anterior, es consecuencia del efecto conjunto del aumento en la cifra de casos terminados y la reducción de la asociada a los casos entrados. En este año, el porcentaje de resolución es de 6</w:t>
      </w:r>
      <w:r>
        <w:rPr>
          <w:sz w:val="28"/>
          <w:szCs w:val="28"/>
        </w:rPr>
        <w:t>9</w:t>
      </w:r>
      <w:r w:rsidRPr="00F55C2A">
        <w:rPr>
          <w:sz w:val="28"/>
          <w:szCs w:val="28"/>
        </w:rPr>
        <w:t>% (un año antes era del 56%). Consecuentemente el porcentaje de pendencia disminuye a 3</w:t>
      </w:r>
      <w:r>
        <w:rPr>
          <w:sz w:val="28"/>
          <w:szCs w:val="28"/>
        </w:rPr>
        <w:t>1</w:t>
      </w:r>
      <w:r w:rsidRPr="00F55C2A">
        <w:rPr>
          <w:sz w:val="28"/>
          <w:szCs w:val="28"/>
        </w:rPr>
        <w:t>% cuando que doce meses antes era del 44%.</w:t>
      </w:r>
    </w:p>
    <w:p w:rsidR="004C71F6" w:rsidRPr="00F55C2A" w:rsidRDefault="004C71F6" w:rsidP="004C71F6">
      <w:pPr>
        <w:pStyle w:val="Textoindependiente3"/>
        <w:spacing w:line="360" w:lineRule="auto"/>
        <w:ind w:right="-74"/>
        <w:rPr>
          <w:rFonts w:ascii="Times New Roman" w:hAnsi="Times New Roman"/>
          <w:sz w:val="28"/>
          <w:szCs w:val="28"/>
        </w:rPr>
      </w:pPr>
    </w:p>
    <w:p w:rsidR="004C71F6" w:rsidRPr="00F55C2A" w:rsidRDefault="006A2BFA" w:rsidP="004C71F6">
      <w:pPr>
        <w:pStyle w:val="Textoindependiente3"/>
        <w:spacing w:line="360" w:lineRule="auto"/>
        <w:ind w:right="-74"/>
        <w:jc w:val="center"/>
        <w:rPr>
          <w:rFonts w:ascii="Times New Roman" w:hAnsi="Times New Roman"/>
        </w:rPr>
      </w:pPr>
      <w:r>
        <w:rPr>
          <w:rFonts w:ascii="Times New Roman" w:hAnsi="Times New Roman"/>
          <w:noProof/>
          <w:lang w:val="es-CR" w:eastAsia="es-CR"/>
        </w:rPr>
        <w:drawing>
          <wp:inline distT="0" distB="0" distL="0" distR="0">
            <wp:extent cx="4972685" cy="3126105"/>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71F6" w:rsidRPr="00F55C2A" w:rsidRDefault="004C71F6" w:rsidP="004C71F6">
      <w:pPr>
        <w:pStyle w:val="Textoindependiente3"/>
        <w:spacing w:line="360" w:lineRule="auto"/>
        <w:ind w:right="-74"/>
        <w:rPr>
          <w:rFonts w:ascii="Times New Roman" w:hAnsi="Times New Roman"/>
          <w:bCs/>
          <w:sz w:val="28"/>
          <w:szCs w:val="28"/>
          <w:lang w:val="es-MX"/>
        </w:rPr>
      </w:pPr>
    </w:p>
    <w:p w:rsidR="004C71F6" w:rsidRPr="00F55C2A" w:rsidRDefault="004C71F6" w:rsidP="004C71F6">
      <w:pPr>
        <w:pStyle w:val="Textoindependiente3"/>
        <w:spacing w:line="360" w:lineRule="auto"/>
        <w:ind w:right="-74"/>
        <w:rPr>
          <w:rFonts w:ascii="Times New Roman" w:hAnsi="Times New Roman"/>
          <w:b/>
          <w:bCs/>
          <w:sz w:val="28"/>
          <w:szCs w:val="28"/>
          <w:lang w:val="es-MX"/>
        </w:rPr>
      </w:pPr>
      <w:r w:rsidRPr="00F55C2A">
        <w:rPr>
          <w:rFonts w:ascii="Times New Roman" w:hAnsi="Times New Roman"/>
          <w:b/>
          <w:bCs/>
          <w:sz w:val="28"/>
          <w:szCs w:val="28"/>
          <w:lang w:val="es-MX"/>
        </w:rPr>
        <w:t>II.</w:t>
      </w:r>
      <w:r w:rsidRPr="00F55C2A">
        <w:rPr>
          <w:rFonts w:ascii="Times New Roman" w:hAnsi="Times New Roman"/>
          <w:b/>
          <w:bCs/>
          <w:sz w:val="28"/>
          <w:szCs w:val="28"/>
          <w:lang w:val="es-MX"/>
        </w:rPr>
        <w:tab/>
        <w:t>CASOS ENTRADOS</w:t>
      </w:r>
    </w:p>
    <w:p w:rsidR="004C71F6" w:rsidRPr="00F55C2A" w:rsidRDefault="004C71F6" w:rsidP="004C71F6">
      <w:pPr>
        <w:spacing w:line="360" w:lineRule="auto"/>
        <w:ind w:right="-74"/>
        <w:jc w:val="both"/>
        <w:rPr>
          <w:sz w:val="22"/>
          <w:szCs w:val="22"/>
          <w:lang w:val="es-MX"/>
        </w:rPr>
      </w:pPr>
    </w:p>
    <w:p w:rsidR="004C71F6" w:rsidRPr="00F55C2A" w:rsidRDefault="004C71F6" w:rsidP="004C71F6">
      <w:pPr>
        <w:spacing w:line="360" w:lineRule="auto"/>
        <w:ind w:right="-74"/>
        <w:jc w:val="both"/>
        <w:rPr>
          <w:sz w:val="28"/>
          <w:szCs w:val="28"/>
          <w:lang w:val="es-MX"/>
        </w:rPr>
      </w:pPr>
      <w:r w:rsidRPr="00F55C2A">
        <w:rPr>
          <w:sz w:val="28"/>
          <w:szCs w:val="28"/>
          <w:lang w:val="es-MX"/>
        </w:rPr>
        <w:t xml:space="preserve">El volumen de casos entrados en el Tribunal Disciplinario Notarial viene decreciendo. En la gráfica siguiente, sin considerar la baja del 2011 por atípica, se muestra el comportamiento estadístico seguido por los casos entrados mediante una caja de variación. Se puede nota la tendencia hacia la reducción hasta llegar a los </w:t>
      </w:r>
      <w:r w:rsidRPr="00F55C2A">
        <w:rPr>
          <w:b/>
          <w:sz w:val="28"/>
          <w:szCs w:val="28"/>
          <w:lang w:val="es-MX"/>
        </w:rPr>
        <w:t>217</w:t>
      </w:r>
      <w:r w:rsidRPr="00F55C2A">
        <w:rPr>
          <w:sz w:val="28"/>
          <w:szCs w:val="28"/>
          <w:lang w:val="es-MX"/>
        </w:rPr>
        <w:t xml:space="preserve"> casos reportados en el 2015. En específico, para los últimos </w:t>
      </w:r>
      <w:r w:rsidRPr="00F55C2A">
        <w:rPr>
          <w:sz w:val="28"/>
          <w:szCs w:val="28"/>
          <w:lang w:val="es-MX"/>
        </w:rPr>
        <w:lastRenderedPageBreak/>
        <w:t xml:space="preserve">tres años los decrecimientos relativos o porcentuales, fueron del </w:t>
      </w:r>
      <w:r w:rsidRPr="00F55C2A">
        <w:rPr>
          <w:b/>
          <w:sz w:val="28"/>
          <w:szCs w:val="28"/>
          <w:lang w:val="es-MX"/>
        </w:rPr>
        <w:t>6%</w:t>
      </w:r>
      <w:r w:rsidRPr="00F55C2A">
        <w:rPr>
          <w:sz w:val="28"/>
          <w:szCs w:val="28"/>
          <w:lang w:val="es-MX"/>
        </w:rPr>
        <w:t xml:space="preserve"> del 2012-2013, del </w:t>
      </w:r>
      <w:r w:rsidRPr="00F55C2A">
        <w:rPr>
          <w:b/>
          <w:sz w:val="28"/>
          <w:szCs w:val="28"/>
          <w:lang w:val="es-MX"/>
        </w:rPr>
        <w:t>17%</w:t>
      </w:r>
      <w:r w:rsidRPr="00F55C2A">
        <w:rPr>
          <w:sz w:val="28"/>
          <w:szCs w:val="28"/>
          <w:lang w:val="es-MX"/>
        </w:rPr>
        <w:t xml:space="preserve"> del 2013-2014 y del </w:t>
      </w:r>
      <w:r w:rsidRPr="00F55C2A">
        <w:rPr>
          <w:b/>
          <w:sz w:val="28"/>
          <w:szCs w:val="28"/>
          <w:lang w:val="es-MX"/>
        </w:rPr>
        <w:t>11%</w:t>
      </w:r>
      <w:r w:rsidRPr="00F55C2A">
        <w:rPr>
          <w:sz w:val="28"/>
          <w:szCs w:val="28"/>
          <w:lang w:val="es-MX"/>
        </w:rPr>
        <w:t xml:space="preserve"> del 2015 respecto al valor del 2014. </w:t>
      </w:r>
    </w:p>
    <w:p w:rsidR="004C71F6" w:rsidRPr="00F55C2A" w:rsidRDefault="006A2BFA" w:rsidP="004C71F6">
      <w:pPr>
        <w:spacing w:line="360" w:lineRule="auto"/>
        <w:ind w:right="-74"/>
        <w:jc w:val="center"/>
        <w:rPr>
          <w:sz w:val="32"/>
          <w:szCs w:val="32"/>
          <w:lang w:val="es-MX"/>
        </w:rPr>
      </w:pPr>
      <w:r>
        <w:rPr>
          <w:noProof/>
          <w:sz w:val="32"/>
          <w:szCs w:val="32"/>
          <w:lang w:eastAsia="es-CR"/>
        </w:rPr>
        <w:drawing>
          <wp:inline distT="0" distB="0" distL="0" distR="0">
            <wp:extent cx="5073015" cy="3627120"/>
            <wp:effectExtent l="0" t="0" r="0" b="0"/>
            <wp:docPr id="3"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71F6" w:rsidRPr="00F55C2A" w:rsidRDefault="004C71F6" w:rsidP="004C71F6">
      <w:pPr>
        <w:spacing w:line="360" w:lineRule="auto"/>
        <w:ind w:right="-74"/>
        <w:jc w:val="center"/>
      </w:pPr>
    </w:p>
    <w:p w:rsidR="004C71F6" w:rsidRPr="00F55C2A" w:rsidRDefault="004C71F6" w:rsidP="004C71F6">
      <w:pPr>
        <w:spacing w:line="360" w:lineRule="auto"/>
        <w:ind w:right="-74"/>
        <w:jc w:val="both"/>
      </w:pPr>
    </w:p>
    <w:p w:rsidR="004C71F6" w:rsidRPr="00F55C2A" w:rsidRDefault="004C71F6" w:rsidP="004C71F6">
      <w:pPr>
        <w:spacing w:line="360" w:lineRule="auto"/>
        <w:ind w:left="600" w:right="-74" w:hanging="600"/>
        <w:jc w:val="both"/>
        <w:rPr>
          <w:b/>
          <w:bCs/>
          <w:sz w:val="28"/>
          <w:szCs w:val="28"/>
          <w:lang w:val="es-MX"/>
        </w:rPr>
      </w:pPr>
      <w:r w:rsidRPr="00F55C2A">
        <w:rPr>
          <w:b/>
          <w:bCs/>
          <w:sz w:val="28"/>
          <w:szCs w:val="28"/>
          <w:lang w:val="es-MX"/>
        </w:rPr>
        <w:t>2.1.</w:t>
      </w:r>
      <w:r w:rsidRPr="00F55C2A">
        <w:rPr>
          <w:b/>
          <w:bCs/>
          <w:sz w:val="28"/>
          <w:szCs w:val="28"/>
          <w:lang w:val="es-MX"/>
        </w:rPr>
        <w:tab/>
        <w:t>Entrada por tipo de asunto.</w:t>
      </w:r>
    </w:p>
    <w:p w:rsidR="004C71F6" w:rsidRPr="00F55C2A" w:rsidRDefault="004C71F6" w:rsidP="004C71F6">
      <w:pPr>
        <w:spacing w:line="360" w:lineRule="auto"/>
        <w:jc w:val="both"/>
        <w:rPr>
          <w:sz w:val="28"/>
          <w:szCs w:val="28"/>
        </w:rPr>
      </w:pPr>
    </w:p>
    <w:p w:rsidR="004C71F6" w:rsidRPr="00F55C2A" w:rsidRDefault="004C71F6" w:rsidP="004C71F6">
      <w:pPr>
        <w:spacing w:line="360" w:lineRule="auto"/>
        <w:jc w:val="both"/>
        <w:rPr>
          <w:sz w:val="28"/>
          <w:szCs w:val="28"/>
        </w:rPr>
      </w:pPr>
      <w:r w:rsidRPr="00F55C2A">
        <w:rPr>
          <w:sz w:val="28"/>
          <w:szCs w:val="28"/>
        </w:rPr>
        <w:t>En el Tribunal Disciplinario Notarial, la entrada principal o más frecuente es de asuntos apelando sentencias dictadas en el Juzgado Notarial</w:t>
      </w:r>
      <w:r w:rsidRPr="00F55C2A">
        <w:rPr>
          <w:sz w:val="28"/>
          <w:szCs w:val="28"/>
          <w:vertAlign w:val="superscript"/>
        </w:rPr>
        <w:t>(</w:t>
      </w:r>
      <w:r w:rsidRPr="00F55C2A">
        <w:rPr>
          <w:rStyle w:val="Refdenotaalpie"/>
          <w:sz w:val="28"/>
          <w:szCs w:val="28"/>
        </w:rPr>
        <w:footnoteReference w:id="3"/>
      </w:r>
      <w:r w:rsidRPr="00F55C2A">
        <w:rPr>
          <w:sz w:val="28"/>
          <w:szCs w:val="28"/>
          <w:vertAlign w:val="superscript"/>
        </w:rPr>
        <w:t>)</w:t>
      </w:r>
      <w:r w:rsidRPr="00F55C2A">
        <w:rPr>
          <w:sz w:val="28"/>
          <w:szCs w:val="28"/>
        </w:rPr>
        <w:t xml:space="preserve">. En el siguiente gráfico, se presenta la distribución porcentual de los casos entrados por tipo de asunto entrados durante el 2015. Se puede apreciar que el </w:t>
      </w:r>
      <w:r>
        <w:rPr>
          <w:b/>
          <w:sz w:val="28"/>
          <w:szCs w:val="28"/>
        </w:rPr>
        <w:t>64</w:t>
      </w:r>
      <w:r w:rsidRPr="00F55C2A">
        <w:rPr>
          <w:b/>
          <w:sz w:val="28"/>
          <w:szCs w:val="28"/>
        </w:rPr>
        <w:t>%</w:t>
      </w:r>
      <w:r w:rsidRPr="00F55C2A">
        <w:rPr>
          <w:sz w:val="28"/>
          <w:szCs w:val="28"/>
        </w:rPr>
        <w:t xml:space="preserve"> de lo entrado es apelando sentencias emitidas en el Juzgado Notarial, porcentaje que se aleja de </w:t>
      </w:r>
      <w:r w:rsidRPr="00F55C2A">
        <w:rPr>
          <w:sz w:val="28"/>
          <w:szCs w:val="28"/>
        </w:rPr>
        <w:lastRenderedPageBreak/>
        <w:t xml:space="preserve">los calculados para los demás tipos de asunto, a saber, </w:t>
      </w:r>
      <w:r w:rsidRPr="00F55C2A">
        <w:rPr>
          <w:b/>
          <w:sz w:val="28"/>
          <w:szCs w:val="28"/>
        </w:rPr>
        <w:t>16%</w:t>
      </w:r>
      <w:r w:rsidR="00193B73">
        <w:rPr>
          <w:sz w:val="28"/>
          <w:szCs w:val="28"/>
        </w:rPr>
        <w:t xml:space="preserve"> en apelaciones de auto, </w:t>
      </w:r>
      <w:r w:rsidRPr="00F55C2A">
        <w:rPr>
          <w:b/>
          <w:sz w:val="28"/>
          <w:szCs w:val="28"/>
        </w:rPr>
        <w:t xml:space="preserve">9% </w:t>
      </w:r>
      <w:r w:rsidRPr="00F55C2A">
        <w:rPr>
          <w:sz w:val="28"/>
          <w:szCs w:val="28"/>
        </w:rPr>
        <w:t xml:space="preserve">en apelaciones de auto-sentencias y </w:t>
      </w:r>
      <w:r w:rsidRPr="00F55C2A">
        <w:rPr>
          <w:b/>
          <w:sz w:val="28"/>
          <w:szCs w:val="28"/>
        </w:rPr>
        <w:t>11%</w:t>
      </w:r>
      <w:r w:rsidRPr="00F55C2A">
        <w:rPr>
          <w:sz w:val="28"/>
          <w:szCs w:val="28"/>
        </w:rPr>
        <w:t xml:space="preserve"> en otros tipos de asunto. </w:t>
      </w:r>
    </w:p>
    <w:p w:rsidR="004C71F6" w:rsidRPr="00F55C2A" w:rsidRDefault="004C71F6" w:rsidP="004C71F6">
      <w:pPr>
        <w:spacing w:line="360" w:lineRule="auto"/>
        <w:jc w:val="both"/>
        <w:rPr>
          <w:sz w:val="28"/>
          <w:szCs w:val="28"/>
        </w:rPr>
      </w:pPr>
    </w:p>
    <w:p w:rsidR="004C71F6" w:rsidRPr="00F55C2A" w:rsidRDefault="006A2BFA" w:rsidP="004C71F6">
      <w:pPr>
        <w:spacing w:line="360" w:lineRule="auto"/>
        <w:jc w:val="center"/>
        <w:rPr>
          <w:sz w:val="28"/>
          <w:szCs w:val="28"/>
        </w:rPr>
      </w:pPr>
      <w:r>
        <w:rPr>
          <w:noProof/>
          <w:sz w:val="32"/>
          <w:szCs w:val="32"/>
          <w:lang w:eastAsia="es-CR"/>
        </w:rPr>
        <w:drawing>
          <wp:inline distT="0" distB="0" distL="0" distR="0">
            <wp:extent cx="5073015" cy="3627120"/>
            <wp:effectExtent l="0" t="0" r="0" b="0"/>
            <wp:docPr id="4"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71F6" w:rsidRPr="00F55C2A" w:rsidRDefault="004C71F6" w:rsidP="004C71F6">
      <w:pPr>
        <w:spacing w:line="360" w:lineRule="auto"/>
        <w:ind w:right="-74"/>
        <w:jc w:val="both"/>
        <w:rPr>
          <w:bCs/>
          <w:sz w:val="28"/>
          <w:szCs w:val="28"/>
        </w:rPr>
      </w:pPr>
    </w:p>
    <w:p w:rsidR="004C71F6" w:rsidRPr="00F55C2A" w:rsidRDefault="004C71F6" w:rsidP="004C71F6">
      <w:pPr>
        <w:spacing w:line="360" w:lineRule="auto"/>
        <w:ind w:right="-74"/>
        <w:rPr>
          <w:b/>
          <w:bCs/>
          <w:sz w:val="28"/>
          <w:szCs w:val="28"/>
        </w:rPr>
      </w:pPr>
      <w:r w:rsidRPr="00F55C2A">
        <w:rPr>
          <w:b/>
          <w:bCs/>
          <w:sz w:val="28"/>
          <w:szCs w:val="28"/>
        </w:rPr>
        <w:t>III.</w:t>
      </w:r>
      <w:r w:rsidRPr="00F55C2A">
        <w:rPr>
          <w:b/>
          <w:bCs/>
          <w:sz w:val="28"/>
          <w:szCs w:val="28"/>
        </w:rPr>
        <w:tab/>
        <w:t>CASOS TERMINADOS</w:t>
      </w:r>
    </w:p>
    <w:p w:rsidR="004C71F6" w:rsidRPr="00F55C2A" w:rsidRDefault="004C71F6" w:rsidP="004C71F6">
      <w:pPr>
        <w:spacing w:line="360" w:lineRule="auto"/>
        <w:ind w:right="-74"/>
        <w:jc w:val="both"/>
        <w:rPr>
          <w:b/>
          <w:bCs/>
          <w:sz w:val="28"/>
          <w:szCs w:val="28"/>
          <w:lang w:val="es-MX"/>
        </w:rPr>
      </w:pPr>
    </w:p>
    <w:p w:rsidR="004C71F6" w:rsidRPr="00F55C2A" w:rsidRDefault="004C71F6" w:rsidP="004C71F6">
      <w:pPr>
        <w:spacing w:line="360" w:lineRule="auto"/>
        <w:jc w:val="both"/>
        <w:rPr>
          <w:sz w:val="28"/>
          <w:szCs w:val="28"/>
        </w:rPr>
      </w:pPr>
      <w:r w:rsidRPr="00F55C2A">
        <w:rPr>
          <w:sz w:val="28"/>
          <w:szCs w:val="28"/>
        </w:rPr>
        <w:t xml:space="preserve">En este año, se interrumpe la relativa estabilidad en los niveles resolutivos alcanzados en el Tribunal Disciplinario Notarial.  Como se puede apreciar en la gráfica estadística siguiente, del 2011 al 2014 (cuatro años) los volúmenes de casos terminados oscilaban en un intervalo que va de los </w:t>
      </w:r>
      <w:smartTag w:uri="urn:schemas-microsoft-com:office:smarttags" w:element="metricconverter">
        <w:smartTagPr>
          <w:attr w:name="ProductID" w:val="240 a"/>
        </w:smartTagPr>
        <w:r w:rsidRPr="00F55C2A">
          <w:rPr>
            <w:sz w:val="28"/>
            <w:szCs w:val="28"/>
            <w:u w:val="single"/>
          </w:rPr>
          <w:t>240 a</w:t>
        </w:r>
      </w:smartTag>
      <w:r w:rsidRPr="00F55C2A">
        <w:rPr>
          <w:sz w:val="28"/>
          <w:szCs w:val="28"/>
          <w:u w:val="single"/>
        </w:rPr>
        <w:t xml:space="preserve"> 245</w:t>
      </w:r>
      <w:r w:rsidRPr="00F55C2A">
        <w:rPr>
          <w:sz w:val="28"/>
          <w:szCs w:val="28"/>
        </w:rPr>
        <w:t xml:space="preserve"> casos (el dato del 2012 se presenta como atípico en el período). Esta estabilidad no se mantiene en el 2015 cuando se reporta un finiquito de </w:t>
      </w:r>
      <w:r w:rsidRPr="00F55C2A">
        <w:rPr>
          <w:b/>
          <w:sz w:val="28"/>
          <w:szCs w:val="28"/>
        </w:rPr>
        <w:t>291</w:t>
      </w:r>
      <w:r w:rsidRPr="00F55C2A">
        <w:rPr>
          <w:sz w:val="28"/>
          <w:szCs w:val="28"/>
        </w:rPr>
        <w:t xml:space="preserve"> casos terminados. No obstante, y aunque la magnitud del último aumento es importante, no es </w:t>
      </w:r>
      <w:r w:rsidRPr="00F55C2A">
        <w:rPr>
          <w:sz w:val="28"/>
          <w:szCs w:val="28"/>
        </w:rPr>
        <w:lastRenderedPageBreak/>
        <w:t xml:space="preserve">posible establecer, por el momento, si tal incremento se sostendrá en el tiempo o responde a un fenómeno coyuntural y por ello se le califica de interrupción de tendencia. </w:t>
      </w:r>
    </w:p>
    <w:p w:rsidR="004C71F6" w:rsidRPr="00F55C2A" w:rsidRDefault="004C71F6" w:rsidP="004C71F6">
      <w:pPr>
        <w:spacing w:line="360" w:lineRule="auto"/>
        <w:ind w:right="-74"/>
        <w:jc w:val="both"/>
        <w:rPr>
          <w:sz w:val="28"/>
          <w:szCs w:val="28"/>
          <w:lang w:val="es-MX"/>
        </w:rPr>
      </w:pPr>
    </w:p>
    <w:p w:rsidR="004C71F6" w:rsidRPr="00F55C2A" w:rsidRDefault="006A2BFA" w:rsidP="004C71F6">
      <w:pPr>
        <w:spacing w:line="360" w:lineRule="auto"/>
        <w:ind w:right="-74"/>
        <w:jc w:val="center"/>
        <w:rPr>
          <w:sz w:val="28"/>
          <w:szCs w:val="28"/>
          <w:lang w:val="es-MX"/>
        </w:rPr>
      </w:pPr>
      <w:r>
        <w:rPr>
          <w:noProof/>
          <w:sz w:val="28"/>
          <w:szCs w:val="28"/>
          <w:lang w:eastAsia="es-CR"/>
        </w:rPr>
        <w:drawing>
          <wp:inline distT="0" distB="0" distL="0" distR="0">
            <wp:extent cx="4972685" cy="2973705"/>
            <wp:effectExtent l="0" t="0" r="0" b="0"/>
            <wp:docPr id="5"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71F6" w:rsidRPr="00F55C2A" w:rsidRDefault="004C71F6" w:rsidP="004C71F6">
      <w:pPr>
        <w:spacing w:line="360" w:lineRule="auto"/>
        <w:rPr>
          <w:b/>
          <w:bCs/>
          <w:sz w:val="28"/>
          <w:szCs w:val="28"/>
        </w:rPr>
      </w:pPr>
    </w:p>
    <w:p w:rsidR="004C71F6" w:rsidRPr="00F55C2A" w:rsidRDefault="004C71F6" w:rsidP="004C71F6">
      <w:pPr>
        <w:spacing w:line="360" w:lineRule="auto"/>
        <w:rPr>
          <w:sz w:val="28"/>
          <w:szCs w:val="28"/>
          <w:lang w:val="es-MX"/>
        </w:rPr>
      </w:pPr>
      <w:r w:rsidRPr="00F55C2A">
        <w:rPr>
          <w:b/>
          <w:bCs/>
          <w:sz w:val="28"/>
          <w:szCs w:val="28"/>
        </w:rPr>
        <w:t>3.1.</w:t>
      </w:r>
      <w:r w:rsidRPr="00F55C2A">
        <w:rPr>
          <w:b/>
          <w:bCs/>
          <w:sz w:val="28"/>
          <w:szCs w:val="28"/>
        </w:rPr>
        <w:tab/>
        <w:t>Casos terminados por tipo de resolución dictada</w:t>
      </w:r>
    </w:p>
    <w:p w:rsidR="004C71F6" w:rsidRPr="00F55C2A" w:rsidRDefault="004C71F6" w:rsidP="004C71F6">
      <w:pPr>
        <w:spacing w:line="360" w:lineRule="auto"/>
        <w:ind w:right="-74"/>
        <w:jc w:val="both"/>
        <w:rPr>
          <w:sz w:val="28"/>
          <w:szCs w:val="28"/>
        </w:rPr>
      </w:pPr>
    </w:p>
    <w:p w:rsidR="004C71F6" w:rsidRPr="00F55C2A" w:rsidRDefault="004C71F6" w:rsidP="004C71F6">
      <w:pPr>
        <w:spacing w:line="360" w:lineRule="auto"/>
        <w:ind w:right="-74"/>
        <w:jc w:val="both"/>
        <w:rPr>
          <w:sz w:val="28"/>
          <w:szCs w:val="28"/>
        </w:rPr>
      </w:pPr>
      <w:r w:rsidRPr="00F55C2A">
        <w:rPr>
          <w:sz w:val="28"/>
          <w:szCs w:val="28"/>
        </w:rPr>
        <w:t xml:space="preserve">La confirmatoria es el tipo de resolución más frecuente en el Tribunal Disciplinario Notarial. De la grafica siguiente se tiene que el </w:t>
      </w:r>
      <w:r w:rsidRPr="00F55C2A">
        <w:rPr>
          <w:b/>
          <w:sz w:val="28"/>
          <w:szCs w:val="28"/>
        </w:rPr>
        <w:t>58%</w:t>
      </w:r>
      <w:r w:rsidRPr="00F55C2A">
        <w:rPr>
          <w:sz w:val="28"/>
          <w:szCs w:val="28"/>
        </w:rPr>
        <w:t xml:space="preserve"> de lo dictado fue confirmando, mientras que la revocatoria llegó al </w:t>
      </w:r>
      <w:r w:rsidRPr="00F55C2A">
        <w:rPr>
          <w:b/>
          <w:sz w:val="28"/>
          <w:szCs w:val="28"/>
        </w:rPr>
        <w:t>19%</w:t>
      </w:r>
      <w:r w:rsidRPr="00F55C2A">
        <w:rPr>
          <w:sz w:val="28"/>
          <w:szCs w:val="28"/>
        </w:rPr>
        <w:t xml:space="preserve">, la anulación el </w:t>
      </w:r>
      <w:r w:rsidRPr="00F55C2A">
        <w:rPr>
          <w:b/>
          <w:sz w:val="28"/>
          <w:szCs w:val="28"/>
        </w:rPr>
        <w:t>12%</w:t>
      </w:r>
      <w:r w:rsidRPr="00F55C2A">
        <w:rPr>
          <w:sz w:val="28"/>
          <w:szCs w:val="28"/>
        </w:rPr>
        <w:t xml:space="preserve">, la modificatoria y lo mal admitida alcanzan el </w:t>
      </w:r>
      <w:r w:rsidRPr="00F55C2A">
        <w:rPr>
          <w:b/>
          <w:sz w:val="28"/>
          <w:szCs w:val="28"/>
        </w:rPr>
        <w:t>3%</w:t>
      </w:r>
      <w:r w:rsidRPr="00F55C2A">
        <w:rPr>
          <w:sz w:val="28"/>
          <w:szCs w:val="28"/>
        </w:rPr>
        <w:t xml:space="preserve"> cada una dejando el </w:t>
      </w:r>
      <w:r w:rsidRPr="00F55C2A">
        <w:rPr>
          <w:b/>
          <w:sz w:val="28"/>
          <w:szCs w:val="28"/>
        </w:rPr>
        <w:t>5%</w:t>
      </w:r>
      <w:r w:rsidRPr="00F55C2A">
        <w:rPr>
          <w:sz w:val="28"/>
          <w:szCs w:val="28"/>
        </w:rPr>
        <w:t xml:space="preserve"> para otro tipo de resolución.</w:t>
      </w:r>
    </w:p>
    <w:p w:rsidR="004C71F6" w:rsidRPr="00F55C2A" w:rsidRDefault="004C71F6" w:rsidP="004C71F6">
      <w:pPr>
        <w:spacing w:line="360" w:lineRule="auto"/>
        <w:ind w:right="-74"/>
        <w:jc w:val="both"/>
        <w:rPr>
          <w:sz w:val="28"/>
          <w:szCs w:val="28"/>
        </w:rPr>
      </w:pPr>
    </w:p>
    <w:p w:rsidR="004C71F6" w:rsidRPr="00F55C2A" w:rsidRDefault="006A2BFA" w:rsidP="004C71F6">
      <w:pPr>
        <w:spacing w:line="360" w:lineRule="auto"/>
        <w:ind w:right="-74"/>
        <w:jc w:val="center"/>
        <w:rPr>
          <w:sz w:val="28"/>
          <w:szCs w:val="28"/>
        </w:rPr>
      </w:pPr>
      <w:r>
        <w:rPr>
          <w:noProof/>
          <w:sz w:val="32"/>
          <w:szCs w:val="32"/>
          <w:lang w:eastAsia="es-CR"/>
        </w:rPr>
        <w:lastRenderedPageBreak/>
        <w:drawing>
          <wp:inline distT="0" distB="0" distL="0" distR="0">
            <wp:extent cx="5125085" cy="3200400"/>
            <wp:effectExtent l="0" t="0" r="0" b="0"/>
            <wp:docPr id="6"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71F6" w:rsidRPr="00F55C2A" w:rsidRDefault="004C71F6" w:rsidP="004C71F6">
      <w:pPr>
        <w:spacing w:line="360" w:lineRule="auto"/>
        <w:ind w:right="-74"/>
        <w:jc w:val="both"/>
        <w:rPr>
          <w:sz w:val="28"/>
          <w:szCs w:val="28"/>
        </w:rPr>
      </w:pPr>
    </w:p>
    <w:p w:rsidR="004C71F6" w:rsidRPr="00F55C2A" w:rsidRDefault="004C71F6" w:rsidP="004C71F6">
      <w:pPr>
        <w:spacing w:line="360" w:lineRule="auto"/>
        <w:ind w:right="-74"/>
        <w:jc w:val="both"/>
        <w:rPr>
          <w:sz w:val="28"/>
          <w:szCs w:val="28"/>
        </w:rPr>
      </w:pPr>
      <w:r w:rsidRPr="00F55C2A">
        <w:rPr>
          <w:sz w:val="28"/>
          <w:szCs w:val="28"/>
        </w:rPr>
        <w:t>De la tabla siguiente, se puede notar que el anterior patrón no es exclusivo de este año, sino que en la historia reciente (últimos tres años) casi tres quintas partes de lo resuelto es confirmando lo determinado en el Juzgado Notarial mientras que aproximadamente un tercio de lo concluido en el Tribunal modifica, revoca o anula lo establecido en el Juzgado Notarial.</w:t>
      </w:r>
    </w:p>
    <w:p w:rsidR="004C71F6" w:rsidRPr="00F55C2A" w:rsidRDefault="004C71F6" w:rsidP="004C71F6">
      <w:pPr>
        <w:pStyle w:val="Textoindependiente3"/>
        <w:tabs>
          <w:tab w:val="left" w:pos="360"/>
        </w:tabs>
        <w:spacing w:line="360" w:lineRule="auto"/>
        <w:ind w:right="-74"/>
        <w:rPr>
          <w:rFonts w:ascii="Times New Roman" w:hAnsi="Times New Roman"/>
          <w:b/>
          <w:bCs/>
          <w:sz w:val="28"/>
          <w:szCs w:val="28"/>
          <w:u w:val="single"/>
          <w:lang w:val="es-CR"/>
        </w:rPr>
      </w:pPr>
    </w:p>
    <w:tbl>
      <w:tblPr>
        <w:tblW w:w="8080" w:type="dxa"/>
        <w:tblInd w:w="59" w:type="dxa"/>
        <w:tblCellMar>
          <w:left w:w="70" w:type="dxa"/>
          <w:right w:w="70" w:type="dxa"/>
        </w:tblCellMar>
        <w:tblLook w:val="04A0" w:firstRow="1" w:lastRow="0" w:firstColumn="1" w:lastColumn="0" w:noHBand="0" w:noVBand="1"/>
      </w:tblPr>
      <w:tblGrid>
        <w:gridCol w:w="4480"/>
        <w:gridCol w:w="1200"/>
        <w:gridCol w:w="1200"/>
        <w:gridCol w:w="1200"/>
      </w:tblGrid>
      <w:tr w:rsidR="004C71F6" w:rsidRPr="00F55C2A" w:rsidTr="00B87330">
        <w:trPr>
          <w:trHeight w:val="375"/>
        </w:trPr>
        <w:tc>
          <w:tcPr>
            <w:tcW w:w="4480" w:type="dxa"/>
            <w:vMerge w:val="restart"/>
            <w:tcBorders>
              <w:top w:val="nil"/>
              <w:left w:val="nil"/>
              <w:bottom w:val="nil"/>
              <w:right w:val="nil"/>
            </w:tcBorders>
            <w:shd w:val="clear" w:color="auto" w:fill="auto"/>
            <w:vAlign w:val="center"/>
            <w:hideMark/>
          </w:tcPr>
          <w:p w:rsidR="004C71F6" w:rsidRPr="00F55C2A" w:rsidRDefault="004C71F6" w:rsidP="00B87330">
            <w:pPr>
              <w:jc w:val="center"/>
              <w:rPr>
                <w:b/>
                <w:bCs/>
                <w:sz w:val="28"/>
                <w:szCs w:val="28"/>
                <w:u w:val="single"/>
                <w:lang w:eastAsia="es-CR"/>
              </w:rPr>
            </w:pPr>
            <w:r w:rsidRPr="00F55C2A">
              <w:rPr>
                <w:b/>
                <w:bCs/>
                <w:sz w:val="28"/>
                <w:szCs w:val="28"/>
                <w:u w:val="single"/>
                <w:lang w:eastAsia="es-CR"/>
              </w:rPr>
              <w:t>Tipo de voto</w:t>
            </w:r>
          </w:p>
        </w:tc>
        <w:tc>
          <w:tcPr>
            <w:tcW w:w="3600" w:type="dxa"/>
            <w:gridSpan w:val="3"/>
            <w:tcBorders>
              <w:top w:val="nil"/>
              <w:left w:val="nil"/>
              <w:bottom w:val="nil"/>
              <w:right w:val="nil"/>
            </w:tcBorders>
            <w:shd w:val="clear" w:color="auto" w:fill="auto"/>
            <w:vAlign w:val="center"/>
            <w:hideMark/>
          </w:tcPr>
          <w:p w:rsidR="004C71F6" w:rsidRPr="00F55C2A" w:rsidRDefault="004C71F6" w:rsidP="00B87330">
            <w:pPr>
              <w:jc w:val="center"/>
              <w:rPr>
                <w:b/>
                <w:bCs/>
                <w:sz w:val="28"/>
                <w:szCs w:val="28"/>
                <w:u w:val="single"/>
                <w:lang w:eastAsia="es-CR"/>
              </w:rPr>
            </w:pPr>
            <w:r w:rsidRPr="00F55C2A">
              <w:rPr>
                <w:b/>
                <w:bCs/>
                <w:sz w:val="28"/>
                <w:szCs w:val="28"/>
                <w:u w:val="single"/>
                <w:lang w:eastAsia="es-CR"/>
              </w:rPr>
              <w:t>Casos terminados</w:t>
            </w:r>
          </w:p>
        </w:tc>
      </w:tr>
      <w:tr w:rsidR="004C71F6" w:rsidRPr="00F55C2A" w:rsidTr="00B87330">
        <w:trPr>
          <w:trHeight w:val="375"/>
        </w:trPr>
        <w:tc>
          <w:tcPr>
            <w:tcW w:w="4480" w:type="dxa"/>
            <w:vMerge/>
            <w:tcBorders>
              <w:top w:val="nil"/>
              <w:left w:val="nil"/>
              <w:bottom w:val="nil"/>
              <w:right w:val="nil"/>
            </w:tcBorders>
            <w:vAlign w:val="center"/>
            <w:hideMark/>
          </w:tcPr>
          <w:p w:rsidR="004C71F6" w:rsidRPr="00F55C2A" w:rsidRDefault="004C71F6" w:rsidP="00B87330">
            <w:pPr>
              <w:rPr>
                <w:b/>
                <w:bCs/>
                <w:sz w:val="28"/>
                <w:szCs w:val="28"/>
                <w:u w:val="single"/>
                <w:lang w:eastAsia="es-CR"/>
              </w:rPr>
            </w:pPr>
          </w:p>
        </w:tc>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b/>
                <w:bCs/>
                <w:sz w:val="28"/>
                <w:szCs w:val="28"/>
                <w:u w:val="single"/>
                <w:lang w:eastAsia="es-CR"/>
              </w:rPr>
            </w:pPr>
            <w:r w:rsidRPr="00F55C2A">
              <w:rPr>
                <w:b/>
                <w:bCs/>
                <w:sz w:val="28"/>
                <w:szCs w:val="28"/>
                <w:u w:val="single"/>
                <w:lang w:eastAsia="es-CR"/>
              </w:rPr>
              <w:t>2013</w:t>
            </w:r>
          </w:p>
        </w:tc>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b/>
                <w:bCs/>
                <w:sz w:val="28"/>
                <w:szCs w:val="28"/>
                <w:u w:val="single"/>
                <w:lang w:eastAsia="es-CR"/>
              </w:rPr>
            </w:pPr>
            <w:r w:rsidRPr="00F55C2A">
              <w:rPr>
                <w:b/>
                <w:bCs/>
                <w:sz w:val="28"/>
                <w:szCs w:val="28"/>
                <w:u w:val="single"/>
                <w:lang w:eastAsia="es-CR"/>
              </w:rPr>
              <w:t>2014</w:t>
            </w:r>
          </w:p>
        </w:tc>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b/>
                <w:bCs/>
                <w:sz w:val="28"/>
                <w:szCs w:val="28"/>
                <w:u w:val="single"/>
                <w:lang w:eastAsia="es-CR"/>
              </w:rPr>
            </w:pPr>
            <w:r w:rsidRPr="00F55C2A">
              <w:rPr>
                <w:b/>
                <w:bCs/>
                <w:sz w:val="28"/>
                <w:szCs w:val="28"/>
                <w:u w:val="single"/>
                <w:lang w:eastAsia="es-CR"/>
              </w:rPr>
              <w:t>2015</w:t>
            </w:r>
          </w:p>
        </w:tc>
      </w:tr>
      <w:tr w:rsidR="004C71F6" w:rsidRPr="00F55C2A" w:rsidTr="00B87330">
        <w:trPr>
          <w:trHeight w:val="375"/>
        </w:trPr>
        <w:tc>
          <w:tcPr>
            <w:tcW w:w="4480" w:type="dxa"/>
            <w:tcBorders>
              <w:top w:val="nil"/>
              <w:left w:val="nil"/>
              <w:bottom w:val="nil"/>
              <w:right w:val="nil"/>
            </w:tcBorders>
            <w:shd w:val="clear" w:color="auto" w:fill="auto"/>
            <w:vAlign w:val="center"/>
            <w:hideMark/>
          </w:tcPr>
          <w:p w:rsidR="004C71F6" w:rsidRPr="00F55C2A" w:rsidRDefault="004C71F6" w:rsidP="00B87330">
            <w:pPr>
              <w:rPr>
                <w:b/>
                <w:bCs/>
                <w:sz w:val="28"/>
                <w:szCs w:val="28"/>
                <w:lang w:eastAsia="es-CR"/>
              </w:rPr>
            </w:pPr>
          </w:p>
        </w:tc>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b/>
                <w:bCs/>
                <w:sz w:val="28"/>
                <w:szCs w:val="28"/>
                <w:lang w:eastAsia="es-CR"/>
              </w:rPr>
            </w:pPr>
          </w:p>
        </w:tc>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b/>
                <w:bCs/>
                <w:sz w:val="28"/>
                <w:szCs w:val="28"/>
                <w:lang w:eastAsia="es-CR"/>
              </w:rPr>
            </w:pPr>
          </w:p>
        </w:tc>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b/>
                <w:bCs/>
                <w:sz w:val="28"/>
                <w:szCs w:val="28"/>
                <w:lang w:eastAsia="es-CR"/>
              </w:rPr>
            </w:pPr>
          </w:p>
        </w:tc>
      </w:tr>
      <w:tr w:rsidR="004C71F6" w:rsidRPr="00F55C2A" w:rsidTr="00B87330">
        <w:trPr>
          <w:trHeight w:val="375"/>
        </w:trPr>
        <w:tc>
          <w:tcPr>
            <w:tcW w:w="4480" w:type="dxa"/>
            <w:tcBorders>
              <w:top w:val="nil"/>
              <w:left w:val="nil"/>
              <w:bottom w:val="nil"/>
              <w:right w:val="nil"/>
            </w:tcBorders>
            <w:shd w:val="clear" w:color="auto" w:fill="auto"/>
            <w:vAlign w:val="center"/>
            <w:hideMark/>
          </w:tcPr>
          <w:p w:rsidR="004C71F6" w:rsidRPr="00F55C2A" w:rsidRDefault="004C71F6" w:rsidP="00B87330">
            <w:pPr>
              <w:rPr>
                <w:sz w:val="28"/>
                <w:szCs w:val="28"/>
                <w:lang w:eastAsia="es-CR"/>
              </w:rPr>
            </w:pPr>
            <w:r w:rsidRPr="00F55C2A">
              <w:rPr>
                <w:sz w:val="28"/>
                <w:szCs w:val="28"/>
                <w:lang w:eastAsia="es-CR"/>
              </w:rPr>
              <w:t>Confirma</w:t>
            </w:r>
          </w:p>
        </w:tc>
        <w:tc>
          <w:tcPr>
            <w:tcW w:w="1200" w:type="dxa"/>
            <w:tcBorders>
              <w:top w:val="nil"/>
              <w:left w:val="nil"/>
              <w:bottom w:val="nil"/>
              <w:right w:val="nil"/>
            </w:tcBorders>
            <w:shd w:val="clear" w:color="auto" w:fill="auto"/>
            <w:noWrap/>
            <w:vAlign w:val="center"/>
            <w:hideMark/>
          </w:tcPr>
          <w:p w:rsidR="004C71F6" w:rsidRPr="00F55C2A" w:rsidRDefault="004C71F6" w:rsidP="00B87330">
            <w:pPr>
              <w:jc w:val="center"/>
              <w:rPr>
                <w:sz w:val="28"/>
                <w:szCs w:val="28"/>
                <w:lang w:eastAsia="es-CR"/>
              </w:rPr>
            </w:pPr>
            <w:r w:rsidRPr="00F55C2A">
              <w:rPr>
                <w:sz w:val="28"/>
                <w:szCs w:val="28"/>
                <w:lang w:eastAsia="es-CR"/>
              </w:rPr>
              <w:t>59%</w:t>
            </w:r>
          </w:p>
        </w:tc>
        <w:tc>
          <w:tcPr>
            <w:tcW w:w="1200" w:type="dxa"/>
            <w:tcBorders>
              <w:top w:val="nil"/>
              <w:left w:val="nil"/>
              <w:bottom w:val="nil"/>
              <w:right w:val="nil"/>
            </w:tcBorders>
            <w:shd w:val="clear" w:color="auto" w:fill="auto"/>
            <w:noWrap/>
            <w:vAlign w:val="center"/>
            <w:hideMark/>
          </w:tcPr>
          <w:p w:rsidR="004C71F6" w:rsidRPr="00F55C2A" w:rsidRDefault="004C71F6" w:rsidP="00B87330">
            <w:pPr>
              <w:jc w:val="center"/>
              <w:rPr>
                <w:sz w:val="28"/>
                <w:szCs w:val="28"/>
                <w:lang w:eastAsia="es-CR"/>
              </w:rPr>
            </w:pPr>
            <w:r w:rsidRPr="00F55C2A">
              <w:rPr>
                <w:sz w:val="28"/>
                <w:szCs w:val="28"/>
                <w:lang w:eastAsia="es-CR"/>
              </w:rPr>
              <w:t>58%</w:t>
            </w:r>
          </w:p>
        </w:tc>
        <w:tc>
          <w:tcPr>
            <w:tcW w:w="1200" w:type="dxa"/>
            <w:tcBorders>
              <w:top w:val="nil"/>
              <w:left w:val="nil"/>
              <w:bottom w:val="nil"/>
              <w:right w:val="nil"/>
            </w:tcBorders>
            <w:shd w:val="clear" w:color="auto" w:fill="auto"/>
            <w:noWrap/>
            <w:vAlign w:val="center"/>
            <w:hideMark/>
          </w:tcPr>
          <w:p w:rsidR="004C71F6" w:rsidRPr="00F55C2A" w:rsidRDefault="004C71F6" w:rsidP="00B87330">
            <w:pPr>
              <w:jc w:val="center"/>
              <w:rPr>
                <w:sz w:val="28"/>
                <w:szCs w:val="28"/>
                <w:lang w:eastAsia="es-CR"/>
              </w:rPr>
            </w:pPr>
            <w:r w:rsidRPr="00F55C2A">
              <w:rPr>
                <w:sz w:val="28"/>
                <w:szCs w:val="28"/>
                <w:lang w:eastAsia="es-CR"/>
              </w:rPr>
              <w:t>57%</w:t>
            </w:r>
          </w:p>
        </w:tc>
      </w:tr>
      <w:tr w:rsidR="004C71F6" w:rsidRPr="00F55C2A" w:rsidTr="00B87330">
        <w:trPr>
          <w:trHeight w:val="375"/>
        </w:trPr>
        <w:tc>
          <w:tcPr>
            <w:tcW w:w="4480" w:type="dxa"/>
            <w:tcBorders>
              <w:top w:val="nil"/>
              <w:left w:val="nil"/>
              <w:bottom w:val="nil"/>
              <w:right w:val="nil"/>
            </w:tcBorders>
            <w:shd w:val="clear" w:color="auto" w:fill="auto"/>
            <w:vAlign w:val="center"/>
            <w:hideMark/>
          </w:tcPr>
          <w:p w:rsidR="004C71F6" w:rsidRPr="00F55C2A" w:rsidRDefault="004C71F6" w:rsidP="00B87330">
            <w:pPr>
              <w:rPr>
                <w:sz w:val="28"/>
                <w:szCs w:val="28"/>
                <w:lang w:eastAsia="es-CR"/>
              </w:rPr>
            </w:pPr>
            <w:r w:rsidRPr="00F55C2A">
              <w:rPr>
                <w:sz w:val="28"/>
                <w:szCs w:val="28"/>
                <w:lang w:eastAsia="es-CR"/>
              </w:rPr>
              <w:t>Revoca, modifica, anula y rechazada</w:t>
            </w:r>
          </w:p>
        </w:tc>
        <w:tc>
          <w:tcPr>
            <w:tcW w:w="1200" w:type="dxa"/>
            <w:tcBorders>
              <w:top w:val="nil"/>
              <w:left w:val="nil"/>
              <w:bottom w:val="nil"/>
              <w:right w:val="nil"/>
            </w:tcBorders>
            <w:shd w:val="clear" w:color="auto" w:fill="auto"/>
            <w:noWrap/>
            <w:vAlign w:val="center"/>
            <w:hideMark/>
          </w:tcPr>
          <w:p w:rsidR="004C71F6" w:rsidRPr="00F55C2A" w:rsidRDefault="004C71F6" w:rsidP="00B87330">
            <w:pPr>
              <w:jc w:val="center"/>
              <w:rPr>
                <w:sz w:val="28"/>
                <w:szCs w:val="28"/>
                <w:lang w:eastAsia="es-CR"/>
              </w:rPr>
            </w:pPr>
            <w:r w:rsidRPr="00F55C2A">
              <w:rPr>
                <w:sz w:val="28"/>
                <w:szCs w:val="28"/>
                <w:lang w:eastAsia="es-CR"/>
              </w:rPr>
              <w:t>32%</w:t>
            </w:r>
          </w:p>
        </w:tc>
        <w:tc>
          <w:tcPr>
            <w:tcW w:w="1200" w:type="dxa"/>
            <w:tcBorders>
              <w:top w:val="nil"/>
              <w:left w:val="nil"/>
              <w:bottom w:val="nil"/>
              <w:right w:val="nil"/>
            </w:tcBorders>
            <w:shd w:val="clear" w:color="auto" w:fill="auto"/>
            <w:noWrap/>
            <w:vAlign w:val="center"/>
            <w:hideMark/>
          </w:tcPr>
          <w:p w:rsidR="004C71F6" w:rsidRPr="00F55C2A" w:rsidRDefault="004C71F6" w:rsidP="00B87330">
            <w:pPr>
              <w:jc w:val="center"/>
              <w:rPr>
                <w:sz w:val="28"/>
                <w:szCs w:val="28"/>
                <w:lang w:eastAsia="es-CR"/>
              </w:rPr>
            </w:pPr>
            <w:r w:rsidRPr="00F55C2A">
              <w:rPr>
                <w:sz w:val="28"/>
                <w:szCs w:val="28"/>
                <w:lang w:eastAsia="es-CR"/>
              </w:rPr>
              <w:t>35%</w:t>
            </w:r>
          </w:p>
        </w:tc>
        <w:tc>
          <w:tcPr>
            <w:tcW w:w="1200" w:type="dxa"/>
            <w:tcBorders>
              <w:top w:val="nil"/>
              <w:left w:val="nil"/>
              <w:bottom w:val="nil"/>
              <w:right w:val="nil"/>
            </w:tcBorders>
            <w:shd w:val="clear" w:color="auto" w:fill="auto"/>
            <w:noWrap/>
            <w:vAlign w:val="center"/>
            <w:hideMark/>
          </w:tcPr>
          <w:p w:rsidR="004C71F6" w:rsidRPr="00F55C2A" w:rsidRDefault="004C71F6" w:rsidP="00B87330">
            <w:pPr>
              <w:jc w:val="center"/>
              <w:rPr>
                <w:sz w:val="28"/>
                <w:szCs w:val="28"/>
                <w:lang w:eastAsia="es-CR"/>
              </w:rPr>
            </w:pPr>
            <w:r w:rsidRPr="00F55C2A">
              <w:rPr>
                <w:sz w:val="28"/>
                <w:szCs w:val="28"/>
                <w:lang w:eastAsia="es-CR"/>
              </w:rPr>
              <w:t>34%</w:t>
            </w:r>
          </w:p>
        </w:tc>
      </w:tr>
      <w:tr w:rsidR="004C71F6" w:rsidRPr="00F55C2A" w:rsidTr="00B87330">
        <w:trPr>
          <w:trHeight w:val="375"/>
        </w:trPr>
        <w:tc>
          <w:tcPr>
            <w:tcW w:w="4480" w:type="dxa"/>
            <w:tcBorders>
              <w:top w:val="nil"/>
              <w:left w:val="nil"/>
              <w:bottom w:val="nil"/>
              <w:right w:val="nil"/>
            </w:tcBorders>
            <w:shd w:val="clear" w:color="auto" w:fill="auto"/>
            <w:vAlign w:val="center"/>
            <w:hideMark/>
          </w:tcPr>
          <w:p w:rsidR="004C71F6" w:rsidRPr="00F55C2A" w:rsidRDefault="004C71F6" w:rsidP="00B87330">
            <w:pPr>
              <w:rPr>
                <w:sz w:val="28"/>
                <w:szCs w:val="28"/>
                <w:lang w:eastAsia="es-CR"/>
              </w:rPr>
            </w:pPr>
            <w:r w:rsidRPr="00F55C2A">
              <w:rPr>
                <w:sz w:val="28"/>
                <w:szCs w:val="28"/>
                <w:lang w:eastAsia="es-CR"/>
              </w:rPr>
              <w:t>Otros</w:t>
            </w:r>
          </w:p>
        </w:tc>
        <w:tc>
          <w:tcPr>
            <w:tcW w:w="1200" w:type="dxa"/>
            <w:tcBorders>
              <w:top w:val="nil"/>
              <w:left w:val="nil"/>
              <w:bottom w:val="nil"/>
              <w:right w:val="nil"/>
            </w:tcBorders>
            <w:shd w:val="clear" w:color="auto" w:fill="auto"/>
            <w:noWrap/>
            <w:vAlign w:val="center"/>
            <w:hideMark/>
          </w:tcPr>
          <w:p w:rsidR="004C71F6" w:rsidRPr="00F55C2A" w:rsidRDefault="004C71F6" w:rsidP="00B87330">
            <w:pPr>
              <w:jc w:val="center"/>
              <w:rPr>
                <w:sz w:val="28"/>
                <w:szCs w:val="28"/>
                <w:lang w:eastAsia="es-CR"/>
              </w:rPr>
            </w:pPr>
            <w:r w:rsidRPr="00F55C2A">
              <w:rPr>
                <w:sz w:val="28"/>
                <w:szCs w:val="28"/>
                <w:lang w:eastAsia="es-CR"/>
              </w:rPr>
              <w:t>9%</w:t>
            </w:r>
          </w:p>
        </w:tc>
        <w:tc>
          <w:tcPr>
            <w:tcW w:w="1200" w:type="dxa"/>
            <w:tcBorders>
              <w:top w:val="nil"/>
              <w:left w:val="nil"/>
              <w:bottom w:val="nil"/>
              <w:right w:val="nil"/>
            </w:tcBorders>
            <w:shd w:val="clear" w:color="auto" w:fill="auto"/>
            <w:noWrap/>
            <w:vAlign w:val="center"/>
            <w:hideMark/>
          </w:tcPr>
          <w:p w:rsidR="004C71F6" w:rsidRPr="00F55C2A" w:rsidRDefault="004C71F6" w:rsidP="00B87330">
            <w:pPr>
              <w:jc w:val="center"/>
              <w:rPr>
                <w:sz w:val="28"/>
                <w:szCs w:val="28"/>
                <w:lang w:eastAsia="es-CR"/>
              </w:rPr>
            </w:pPr>
            <w:r w:rsidRPr="00F55C2A">
              <w:rPr>
                <w:sz w:val="28"/>
                <w:szCs w:val="28"/>
                <w:lang w:eastAsia="es-CR"/>
              </w:rPr>
              <w:t>7%</w:t>
            </w:r>
          </w:p>
        </w:tc>
        <w:tc>
          <w:tcPr>
            <w:tcW w:w="1200" w:type="dxa"/>
            <w:tcBorders>
              <w:top w:val="nil"/>
              <w:left w:val="nil"/>
              <w:bottom w:val="nil"/>
              <w:right w:val="nil"/>
            </w:tcBorders>
            <w:shd w:val="clear" w:color="auto" w:fill="auto"/>
            <w:noWrap/>
            <w:vAlign w:val="center"/>
            <w:hideMark/>
          </w:tcPr>
          <w:p w:rsidR="004C71F6" w:rsidRPr="00F55C2A" w:rsidRDefault="004C71F6" w:rsidP="00B87330">
            <w:pPr>
              <w:jc w:val="center"/>
              <w:rPr>
                <w:sz w:val="28"/>
                <w:szCs w:val="28"/>
                <w:lang w:eastAsia="es-CR"/>
              </w:rPr>
            </w:pPr>
            <w:r w:rsidRPr="00F55C2A">
              <w:rPr>
                <w:sz w:val="28"/>
                <w:szCs w:val="28"/>
                <w:lang w:eastAsia="es-CR"/>
              </w:rPr>
              <w:t>9%</w:t>
            </w:r>
          </w:p>
        </w:tc>
      </w:tr>
    </w:tbl>
    <w:p w:rsidR="004C71F6" w:rsidRPr="00F55C2A" w:rsidRDefault="004C71F6" w:rsidP="004C71F6">
      <w:pPr>
        <w:pStyle w:val="Textoindependiente3"/>
        <w:tabs>
          <w:tab w:val="left" w:pos="360"/>
        </w:tabs>
        <w:spacing w:line="360" w:lineRule="auto"/>
        <w:ind w:right="-74"/>
        <w:rPr>
          <w:rFonts w:ascii="Times New Roman" w:hAnsi="Times New Roman"/>
          <w:b/>
          <w:bCs/>
          <w:sz w:val="28"/>
          <w:szCs w:val="28"/>
          <w:u w:val="single"/>
          <w:lang w:val="es-CR"/>
        </w:rPr>
      </w:pPr>
    </w:p>
    <w:p w:rsidR="004C71F6" w:rsidRPr="00F55C2A" w:rsidRDefault="004C71F6" w:rsidP="004C71F6">
      <w:pPr>
        <w:pStyle w:val="Textoindependiente3"/>
        <w:tabs>
          <w:tab w:val="left" w:pos="360"/>
        </w:tabs>
        <w:spacing w:line="360" w:lineRule="auto"/>
        <w:ind w:right="-74"/>
        <w:rPr>
          <w:rFonts w:ascii="Times New Roman" w:hAnsi="Times New Roman"/>
          <w:b/>
          <w:bCs/>
          <w:sz w:val="28"/>
          <w:szCs w:val="28"/>
          <w:u w:val="single"/>
          <w:lang w:val="es-CR"/>
        </w:rPr>
      </w:pPr>
    </w:p>
    <w:p w:rsidR="004C71F6" w:rsidRPr="00F55C2A" w:rsidRDefault="004C71F6" w:rsidP="004C71F6">
      <w:pPr>
        <w:pStyle w:val="Textoindependiente3"/>
        <w:tabs>
          <w:tab w:val="left" w:pos="360"/>
        </w:tabs>
        <w:spacing w:line="360" w:lineRule="auto"/>
        <w:ind w:right="-74"/>
        <w:rPr>
          <w:rFonts w:ascii="Times New Roman" w:hAnsi="Times New Roman"/>
          <w:b/>
          <w:bCs/>
          <w:sz w:val="28"/>
          <w:szCs w:val="28"/>
          <w:u w:val="single"/>
          <w:lang w:val="es-CR"/>
        </w:rPr>
      </w:pPr>
    </w:p>
    <w:p w:rsidR="004C71F6" w:rsidRPr="00F55C2A" w:rsidRDefault="004C71F6" w:rsidP="004C71F6">
      <w:pPr>
        <w:pStyle w:val="Textoindependiente3"/>
        <w:tabs>
          <w:tab w:val="left" w:pos="360"/>
        </w:tabs>
        <w:spacing w:line="360" w:lineRule="auto"/>
        <w:ind w:right="-74"/>
        <w:rPr>
          <w:rFonts w:ascii="Times New Roman" w:hAnsi="Times New Roman"/>
          <w:sz w:val="28"/>
          <w:szCs w:val="28"/>
        </w:rPr>
      </w:pPr>
      <w:r w:rsidRPr="00F55C2A">
        <w:rPr>
          <w:rFonts w:ascii="Times New Roman" w:hAnsi="Times New Roman"/>
          <w:sz w:val="28"/>
          <w:szCs w:val="28"/>
        </w:rPr>
        <w:t>El detalle por tipo de voto o resolución emitida en el Tri</w:t>
      </w:r>
      <w:r w:rsidR="00D74FA4">
        <w:rPr>
          <w:rFonts w:ascii="Times New Roman" w:hAnsi="Times New Roman"/>
          <w:sz w:val="28"/>
          <w:szCs w:val="28"/>
        </w:rPr>
        <w:t xml:space="preserve">bunal para el 2014 y 2015 y la </w:t>
      </w:r>
      <w:r w:rsidRPr="00F55C2A">
        <w:rPr>
          <w:rFonts w:ascii="Times New Roman" w:hAnsi="Times New Roman"/>
          <w:sz w:val="28"/>
          <w:szCs w:val="28"/>
        </w:rPr>
        <w:t xml:space="preserve">variación absoluta acaecida de un año al otro se muestra en la siguiente tabla. </w:t>
      </w:r>
    </w:p>
    <w:p w:rsidR="004C71F6" w:rsidRPr="00F55C2A" w:rsidRDefault="004C71F6" w:rsidP="004C71F6">
      <w:pPr>
        <w:spacing w:line="360" w:lineRule="auto"/>
        <w:ind w:right="-74"/>
        <w:jc w:val="both"/>
      </w:pPr>
    </w:p>
    <w:tbl>
      <w:tblPr>
        <w:tblW w:w="6020" w:type="dxa"/>
        <w:jc w:val="center"/>
        <w:tblCellMar>
          <w:left w:w="70" w:type="dxa"/>
          <w:right w:w="70" w:type="dxa"/>
        </w:tblCellMar>
        <w:tblLook w:val="0000" w:firstRow="0" w:lastRow="0" w:firstColumn="0" w:lastColumn="0" w:noHBand="0" w:noVBand="0"/>
      </w:tblPr>
      <w:tblGrid>
        <w:gridCol w:w="1880"/>
        <w:gridCol w:w="1380"/>
        <w:gridCol w:w="1380"/>
        <w:gridCol w:w="1380"/>
      </w:tblGrid>
      <w:tr w:rsidR="004C71F6" w:rsidRPr="00F55C2A" w:rsidTr="00B87330">
        <w:trPr>
          <w:trHeight w:val="375"/>
          <w:jc w:val="center"/>
        </w:trPr>
        <w:tc>
          <w:tcPr>
            <w:tcW w:w="1880" w:type="dxa"/>
            <w:vMerge w:val="restart"/>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lang w:val="es-ES"/>
              </w:rPr>
              <w:t>Tipo de voto</w:t>
            </w:r>
          </w:p>
        </w:tc>
        <w:tc>
          <w:tcPr>
            <w:tcW w:w="4140" w:type="dxa"/>
            <w:gridSpan w:val="3"/>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lang w:val="es-ES"/>
              </w:rPr>
              <w:t>Casos terminados</w:t>
            </w:r>
          </w:p>
        </w:tc>
      </w:tr>
      <w:tr w:rsidR="004C71F6" w:rsidRPr="00F55C2A" w:rsidTr="00B87330">
        <w:trPr>
          <w:trHeight w:val="375"/>
          <w:jc w:val="center"/>
        </w:trPr>
        <w:tc>
          <w:tcPr>
            <w:tcW w:w="1880" w:type="dxa"/>
            <w:vMerge/>
            <w:tcBorders>
              <w:top w:val="nil"/>
              <w:left w:val="nil"/>
              <w:bottom w:val="nil"/>
              <w:right w:val="nil"/>
            </w:tcBorders>
            <w:vAlign w:val="center"/>
          </w:tcPr>
          <w:p w:rsidR="004C71F6" w:rsidRPr="00F55C2A" w:rsidRDefault="004C71F6" w:rsidP="00B87330">
            <w:pPr>
              <w:rPr>
                <w:b/>
                <w:bCs/>
                <w:sz w:val="28"/>
                <w:szCs w:val="28"/>
                <w:u w:val="single"/>
                <w:lang w:val="es-ES"/>
              </w:rPr>
            </w:pPr>
          </w:p>
        </w:tc>
        <w:tc>
          <w:tcPr>
            <w:tcW w:w="1380" w:type="dxa"/>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lang w:val="es-ES"/>
              </w:rPr>
              <w:t>2014</w:t>
            </w:r>
          </w:p>
        </w:tc>
        <w:tc>
          <w:tcPr>
            <w:tcW w:w="1380" w:type="dxa"/>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lang w:val="es-ES"/>
              </w:rPr>
              <w:t>2015</w:t>
            </w:r>
          </w:p>
        </w:tc>
        <w:tc>
          <w:tcPr>
            <w:tcW w:w="1380" w:type="dxa"/>
            <w:tcBorders>
              <w:top w:val="nil"/>
              <w:left w:val="nil"/>
              <w:bottom w:val="nil"/>
              <w:right w:val="nil"/>
            </w:tcBorders>
            <w:shd w:val="clear" w:color="auto" w:fill="auto"/>
            <w:vAlign w:val="center"/>
          </w:tcPr>
          <w:p w:rsidR="004C71F6" w:rsidRPr="00F55C2A" w:rsidRDefault="004C71F6" w:rsidP="00B87330">
            <w:pPr>
              <w:rPr>
                <w:b/>
                <w:bCs/>
                <w:sz w:val="28"/>
                <w:szCs w:val="28"/>
                <w:u w:val="single"/>
                <w:lang w:val="es-ES"/>
              </w:rPr>
            </w:pPr>
            <w:r w:rsidRPr="00F55C2A">
              <w:rPr>
                <w:b/>
                <w:bCs/>
                <w:sz w:val="28"/>
                <w:szCs w:val="28"/>
                <w:u w:val="single"/>
                <w:lang w:val="es-ES"/>
              </w:rPr>
              <w:t>Variación</w:t>
            </w:r>
          </w:p>
        </w:tc>
      </w:tr>
      <w:tr w:rsidR="004C71F6" w:rsidRPr="00F55C2A" w:rsidTr="00B87330">
        <w:trPr>
          <w:trHeight w:val="750"/>
          <w:jc w:val="center"/>
        </w:trPr>
        <w:tc>
          <w:tcPr>
            <w:tcW w:w="1880" w:type="dxa"/>
            <w:tcBorders>
              <w:top w:val="nil"/>
              <w:left w:val="nil"/>
              <w:bottom w:val="nil"/>
              <w:right w:val="nil"/>
            </w:tcBorders>
            <w:shd w:val="clear" w:color="auto" w:fill="auto"/>
            <w:vAlign w:val="center"/>
          </w:tcPr>
          <w:p w:rsidR="004C71F6" w:rsidRPr="00F55C2A" w:rsidRDefault="004C71F6" w:rsidP="00B87330">
            <w:pPr>
              <w:jc w:val="center"/>
              <w:rPr>
                <w:b/>
                <w:bCs/>
                <w:sz w:val="28"/>
                <w:szCs w:val="28"/>
                <w:lang w:val="es-ES"/>
              </w:rPr>
            </w:pPr>
            <w:r w:rsidRPr="00F55C2A">
              <w:rPr>
                <w:b/>
                <w:bCs/>
                <w:sz w:val="28"/>
                <w:szCs w:val="28"/>
                <w:lang w:val="es-ES"/>
              </w:rPr>
              <w:t>Total</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b/>
                <w:bCs/>
                <w:sz w:val="28"/>
                <w:szCs w:val="28"/>
                <w:lang w:val="es-ES"/>
              </w:rPr>
            </w:pPr>
            <w:r w:rsidRPr="00F55C2A">
              <w:rPr>
                <w:b/>
                <w:bCs/>
                <w:sz w:val="28"/>
                <w:szCs w:val="28"/>
                <w:lang w:val="es-ES"/>
              </w:rPr>
              <w:t>243</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b/>
                <w:bCs/>
                <w:sz w:val="28"/>
                <w:szCs w:val="28"/>
                <w:lang w:val="es-ES"/>
              </w:rPr>
            </w:pPr>
            <w:r w:rsidRPr="00F55C2A">
              <w:rPr>
                <w:b/>
                <w:bCs/>
                <w:sz w:val="28"/>
                <w:szCs w:val="28"/>
                <w:lang w:val="es-ES"/>
              </w:rPr>
              <w:t>291</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b/>
                <w:bCs/>
                <w:sz w:val="28"/>
                <w:szCs w:val="28"/>
                <w:lang w:val="es-ES"/>
              </w:rPr>
            </w:pPr>
            <w:r w:rsidRPr="00F55C2A">
              <w:rPr>
                <w:b/>
                <w:bCs/>
                <w:sz w:val="28"/>
                <w:szCs w:val="28"/>
                <w:lang w:val="es-ES"/>
              </w:rPr>
              <w:t>48</w:t>
            </w:r>
          </w:p>
        </w:tc>
      </w:tr>
      <w:tr w:rsidR="004C71F6" w:rsidRPr="00F55C2A" w:rsidTr="00B87330">
        <w:trPr>
          <w:trHeight w:val="37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Confirma</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142</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167</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25</w:t>
            </w:r>
          </w:p>
        </w:tc>
      </w:tr>
      <w:tr w:rsidR="004C71F6" w:rsidRPr="00F55C2A" w:rsidTr="00B87330">
        <w:trPr>
          <w:trHeight w:val="37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Revoca</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42</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53</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11</w:t>
            </w:r>
          </w:p>
        </w:tc>
      </w:tr>
      <w:tr w:rsidR="004C71F6" w:rsidRPr="00F55C2A" w:rsidTr="00B87330">
        <w:trPr>
          <w:trHeight w:val="37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Modifica</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2</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10</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8</w:t>
            </w:r>
          </w:p>
        </w:tc>
      </w:tr>
      <w:tr w:rsidR="004C71F6" w:rsidRPr="00F55C2A" w:rsidTr="00B87330">
        <w:trPr>
          <w:trHeight w:val="37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Anula</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38</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36</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-2</w:t>
            </w:r>
          </w:p>
        </w:tc>
      </w:tr>
      <w:tr w:rsidR="004C71F6" w:rsidRPr="00F55C2A" w:rsidTr="00B87330">
        <w:trPr>
          <w:trHeight w:val="37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Mal admitida</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6</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10</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4</w:t>
            </w:r>
          </w:p>
        </w:tc>
      </w:tr>
      <w:tr w:rsidR="004C71F6" w:rsidRPr="00F55C2A" w:rsidTr="00B87330">
        <w:trPr>
          <w:trHeight w:val="37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Rechazada</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1</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1</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0</w:t>
            </w:r>
          </w:p>
        </w:tc>
      </w:tr>
      <w:tr w:rsidR="004C71F6" w:rsidRPr="00F55C2A" w:rsidTr="00B87330">
        <w:trPr>
          <w:trHeight w:val="37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Otros</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12</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14</w:t>
            </w:r>
          </w:p>
        </w:tc>
        <w:tc>
          <w:tcPr>
            <w:tcW w:w="1380" w:type="dxa"/>
            <w:tcBorders>
              <w:top w:val="nil"/>
              <w:left w:val="nil"/>
              <w:bottom w:val="nil"/>
              <w:right w:val="nil"/>
            </w:tcBorders>
            <w:shd w:val="clear" w:color="auto" w:fill="auto"/>
            <w:vAlign w:val="center"/>
          </w:tcPr>
          <w:p w:rsidR="004C71F6" w:rsidRPr="00F55C2A" w:rsidRDefault="004C71F6" w:rsidP="00B87330">
            <w:pPr>
              <w:ind w:right="400"/>
              <w:jc w:val="right"/>
              <w:rPr>
                <w:sz w:val="28"/>
                <w:szCs w:val="28"/>
                <w:lang w:val="es-ES"/>
              </w:rPr>
            </w:pPr>
            <w:r w:rsidRPr="00F55C2A">
              <w:rPr>
                <w:sz w:val="28"/>
                <w:szCs w:val="28"/>
                <w:lang w:val="es-ES"/>
              </w:rPr>
              <w:t>2</w:t>
            </w:r>
          </w:p>
        </w:tc>
      </w:tr>
    </w:tbl>
    <w:p w:rsidR="004C71F6" w:rsidRPr="00F55C2A" w:rsidRDefault="004C71F6" w:rsidP="004C71F6">
      <w:pPr>
        <w:spacing w:line="360" w:lineRule="auto"/>
        <w:ind w:right="-74"/>
        <w:jc w:val="both"/>
      </w:pPr>
    </w:p>
    <w:p w:rsidR="004C71F6" w:rsidRPr="00F55C2A" w:rsidRDefault="004C71F6" w:rsidP="004C71F6">
      <w:pPr>
        <w:pStyle w:val="Textoindependiente3"/>
        <w:tabs>
          <w:tab w:val="left" w:pos="360"/>
        </w:tabs>
        <w:spacing w:line="360" w:lineRule="auto"/>
        <w:ind w:right="-74"/>
        <w:rPr>
          <w:rFonts w:ascii="Times New Roman" w:hAnsi="Times New Roman"/>
          <w:sz w:val="28"/>
          <w:szCs w:val="28"/>
        </w:rPr>
      </w:pPr>
      <w:r w:rsidRPr="00F55C2A">
        <w:rPr>
          <w:rFonts w:ascii="Times New Roman" w:hAnsi="Times New Roman"/>
          <w:sz w:val="28"/>
          <w:szCs w:val="28"/>
        </w:rPr>
        <w:t xml:space="preserve">De lo anterior, la confirmatoria es el tipo de resolución con el incremento absoluto más fuerte. El volumen de sentencias confirmadas en el 2015 fue de </w:t>
      </w:r>
      <w:r w:rsidRPr="00F55C2A">
        <w:rPr>
          <w:rFonts w:ascii="Times New Roman" w:hAnsi="Times New Roman"/>
          <w:b/>
          <w:sz w:val="28"/>
          <w:szCs w:val="28"/>
        </w:rPr>
        <w:t>167</w:t>
      </w:r>
      <w:r w:rsidRPr="00F55C2A">
        <w:rPr>
          <w:rFonts w:ascii="Times New Roman" w:hAnsi="Times New Roman"/>
          <w:sz w:val="28"/>
          <w:szCs w:val="28"/>
        </w:rPr>
        <w:t xml:space="preserve"> cuando que un año antes fueron </w:t>
      </w:r>
      <w:r w:rsidRPr="00F55C2A">
        <w:rPr>
          <w:rFonts w:ascii="Times New Roman" w:hAnsi="Times New Roman"/>
          <w:b/>
          <w:sz w:val="28"/>
          <w:szCs w:val="28"/>
        </w:rPr>
        <w:t>142</w:t>
      </w:r>
      <w:r w:rsidRPr="00F55C2A">
        <w:rPr>
          <w:rFonts w:ascii="Times New Roman" w:hAnsi="Times New Roman"/>
          <w:sz w:val="28"/>
          <w:szCs w:val="28"/>
        </w:rPr>
        <w:t xml:space="preserve">, sea el monto de este año es </w:t>
      </w:r>
      <w:r w:rsidRPr="00F55C2A">
        <w:rPr>
          <w:rFonts w:ascii="Times New Roman" w:hAnsi="Times New Roman"/>
          <w:b/>
          <w:sz w:val="28"/>
          <w:szCs w:val="28"/>
        </w:rPr>
        <w:t>25</w:t>
      </w:r>
      <w:r w:rsidRPr="00F55C2A">
        <w:rPr>
          <w:rFonts w:ascii="Times New Roman" w:hAnsi="Times New Roman"/>
          <w:sz w:val="28"/>
          <w:szCs w:val="28"/>
        </w:rPr>
        <w:t xml:space="preserve"> sentencias o </w:t>
      </w:r>
      <w:r w:rsidRPr="00F55C2A">
        <w:rPr>
          <w:rFonts w:ascii="Times New Roman" w:hAnsi="Times New Roman"/>
          <w:b/>
          <w:sz w:val="28"/>
          <w:szCs w:val="28"/>
        </w:rPr>
        <w:t>18%</w:t>
      </w:r>
      <w:r w:rsidRPr="00F55C2A">
        <w:rPr>
          <w:rFonts w:ascii="Times New Roman" w:hAnsi="Times New Roman"/>
          <w:sz w:val="28"/>
          <w:szCs w:val="28"/>
        </w:rPr>
        <w:t xml:space="preserve"> más alto que el dato del 2014. La revocatoria fue incrementada en </w:t>
      </w:r>
      <w:r w:rsidRPr="00F55C2A">
        <w:rPr>
          <w:rFonts w:ascii="Times New Roman" w:hAnsi="Times New Roman"/>
          <w:b/>
          <w:sz w:val="28"/>
          <w:szCs w:val="28"/>
        </w:rPr>
        <w:t>once</w:t>
      </w:r>
      <w:r w:rsidRPr="00F55C2A">
        <w:rPr>
          <w:rFonts w:ascii="Times New Roman" w:hAnsi="Times New Roman"/>
          <w:sz w:val="28"/>
          <w:szCs w:val="28"/>
        </w:rPr>
        <w:t xml:space="preserve"> sentencias, las modificatorias en </w:t>
      </w:r>
      <w:r w:rsidRPr="00F55C2A">
        <w:rPr>
          <w:rFonts w:ascii="Times New Roman" w:hAnsi="Times New Roman"/>
          <w:b/>
          <w:sz w:val="28"/>
          <w:szCs w:val="28"/>
        </w:rPr>
        <w:t>ocho</w:t>
      </w:r>
      <w:r w:rsidRPr="00F55C2A">
        <w:rPr>
          <w:rFonts w:ascii="Times New Roman" w:hAnsi="Times New Roman"/>
          <w:sz w:val="28"/>
          <w:szCs w:val="28"/>
        </w:rPr>
        <w:t xml:space="preserve"> mientras que las anulaciones son solo </w:t>
      </w:r>
      <w:r w:rsidRPr="00F55C2A">
        <w:rPr>
          <w:rFonts w:ascii="Times New Roman" w:hAnsi="Times New Roman"/>
          <w:b/>
          <w:sz w:val="28"/>
          <w:szCs w:val="28"/>
        </w:rPr>
        <w:t>dos</w:t>
      </w:r>
      <w:r w:rsidRPr="00F55C2A">
        <w:rPr>
          <w:rFonts w:ascii="Times New Roman" w:hAnsi="Times New Roman"/>
          <w:sz w:val="28"/>
          <w:szCs w:val="28"/>
        </w:rPr>
        <w:t xml:space="preserve"> menos que el año inmediatamente anterior.</w:t>
      </w:r>
    </w:p>
    <w:p w:rsidR="004C71F6" w:rsidRPr="00F55C2A" w:rsidRDefault="004C71F6" w:rsidP="004C71F6">
      <w:pPr>
        <w:pStyle w:val="Textoindependiente3"/>
        <w:tabs>
          <w:tab w:val="left" w:pos="360"/>
        </w:tabs>
        <w:spacing w:line="360" w:lineRule="auto"/>
        <w:ind w:right="-74"/>
        <w:rPr>
          <w:sz w:val="16"/>
          <w:szCs w:val="16"/>
        </w:rPr>
      </w:pPr>
    </w:p>
    <w:p w:rsidR="004C71F6" w:rsidRPr="00F55C2A" w:rsidRDefault="004C71F6" w:rsidP="004C71F6">
      <w:pPr>
        <w:spacing w:line="360" w:lineRule="auto"/>
        <w:rPr>
          <w:sz w:val="28"/>
          <w:szCs w:val="28"/>
          <w:lang w:val="es-MX"/>
        </w:rPr>
      </w:pPr>
      <w:r w:rsidRPr="00F55C2A">
        <w:rPr>
          <w:b/>
          <w:bCs/>
          <w:sz w:val="28"/>
          <w:szCs w:val="28"/>
        </w:rPr>
        <w:t>3.2.</w:t>
      </w:r>
      <w:r w:rsidRPr="00F55C2A">
        <w:rPr>
          <w:b/>
          <w:bCs/>
          <w:sz w:val="28"/>
          <w:szCs w:val="28"/>
        </w:rPr>
        <w:tab/>
        <w:t xml:space="preserve">Duración promedio </w:t>
      </w:r>
    </w:p>
    <w:p w:rsidR="004C71F6" w:rsidRPr="00F55C2A" w:rsidRDefault="004C71F6" w:rsidP="004C71F6">
      <w:pPr>
        <w:tabs>
          <w:tab w:val="left" w:pos="360"/>
        </w:tabs>
        <w:spacing w:line="360" w:lineRule="auto"/>
        <w:ind w:right="-74"/>
        <w:jc w:val="both"/>
        <w:rPr>
          <w:sz w:val="16"/>
          <w:szCs w:val="16"/>
        </w:rPr>
      </w:pPr>
    </w:p>
    <w:p w:rsidR="004C71F6" w:rsidRPr="00F55C2A" w:rsidRDefault="004C71F6" w:rsidP="004C71F6">
      <w:pPr>
        <w:spacing w:line="360" w:lineRule="auto"/>
        <w:jc w:val="both"/>
        <w:rPr>
          <w:bCs/>
          <w:sz w:val="28"/>
          <w:szCs w:val="28"/>
        </w:rPr>
      </w:pPr>
      <w:r w:rsidRPr="00F55C2A">
        <w:rPr>
          <w:bCs/>
          <w:sz w:val="28"/>
          <w:szCs w:val="28"/>
        </w:rPr>
        <w:t xml:space="preserve">Durante el 2015, se atendió una mayor cantidad de asuntos antiguos que en el período de doce meses inmediatamente anterior. Esto se traduce con el incremento de la duración promedio que, como se observa de la tabla </w:t>
      </w:r>
      <w:r w:rsidRPr="00F55C2A">
        <w:rPr>
          <w:bCs/>
          <w:sz w:val="28"/>
          <w:szCs w:val="28"/>
        </w:rPr>
        <w:lastRenderedPageBreak/>
        <w:t xml:space="preserve">desplegada de seguido, pasó de </w:t>
      </w:r>
      <w:r w:rsidRPr="00F55C2A">
        <w:rPr>
          <w:b/>
          <w:bCs/>
          <w:sz w:val="28"/>
          <w:szCs w:val="28"/>
        </w:rPr>
        <w:t>7 meses con 2 semanas</w:t>
      </w:r>
      <w:r w:rsidRPr="00F55C2A">
        <w:rPr>
          <w:bCs/>
          <w:sz w:val="28"/>
          <w:szCs w:val="28"/>
        </w:rPr>
        <w:t xml:space="preserve"> en el </w:t>
      </w:r>
      <w:smartTag w:uri="urn:schemas-microsoft-com:office:smarttags" w:element="metricconverter">
        <w:smartTagPr>
          <w:attr w:name="ProductID" w:val="2014 a"/>
        </w:smartTagPr>
        <w:r w:rsidRPr="00F55C2A">
          <w:rPr>
            <w:bCs/>
            <w:sz w:val="28"/>
            <w:szCs w:val="28"/>
          </w:rPr>
          <w:t>2014 a</w:t>
        </w:r>
      </w:smartTag>
      <w:r w:rsidRPr="00F55C2A">
        <w:rPr>
          <w:b/>
          <w:bCs/>
          <w:sz w:val="28"/>
          <w:szCs w:val="28"/>
        </w:rPr>
        <w:t>12 meses con 1 semana</w:t>
      </w:r>
      <w:r w:rsidRPr="00F55C2A">
        <w:rPr>
          <w:bCs/>
          <w:sz w:val="28"/>
          <w:szCs w:val="28"/>
        </w:rPr>
        <w:t xml:space="preserve"> en el 2015. Este es un cambio significativo en el énfasis del trámite de asuntos, en el cual se procuró atender asuntos de más larga data que los atendidos un año antes</w:t>
      </w:r>
      <w:r w:rsidRPr="00F55C2A">
        <w:rPr>
          <w:bCs/>
          <w:sz w:val="28"/>
          <w:szCs w:val="28"/>
          <w:vertAlign w:val="superscript"/>
        </w:rPr>
        <w:t>(</w:t>
      </w:r>
      <w:r w:rsidRPr="00F55C2A">
        <w:rPr>
          <w:rStyle w:val="Refdenotaalpie"/>
          <w:bCs/>
          <w:sz w:val="28"/>
          <w:szCs w:val="28"/>
        </w:rPr>
        <w:footnoteReference w:id="4"/>
      </w:r>
      <w:r w:rsidRPr="00F55C2A">
        <w:rPr>
          <w:bCs/>
          <w:sz w:val="28"/>
          <w:szCs w:val="28"/>
          <w:vertAlign w:val="superscript"/>
        </w:rPr>
        <w:t>)</w:t>
      </w:r>
      <w:r w:rsidRPr="00F55C2A">
        <w:rPr>
          <w:bCs/>
          <w:sz w:val="28"/>
          <w:szCs w:val="28"/>
        </w:rPr>
        <w:t>.  Con estos datos se calculan las duraciones de cada expediente para luego obtener el promedio de duración.</w:t>
      </w:r>
    </w:p>
    <w:p w:rsidR="004C71F6" w:rsidRPr="00F55C2A" w:rsidRDefault="004C71F6" w:rsidP="004C71F6">
      <w:pPr>
        <w:tabs>
          <w:tab w:val="left" w:pos="360"/>
        </w:tabs>
        <w:spacing w:line="360" w:lineRule="auto"/>
        <w:ind w:right="-74"/>
        <w:jc w:val="both"/>
        <w:rPr>
          <w:b/>
          <w:bCs/>
          <w:sz w:val="24"/>
          <w:szCs w:val="24"/>
          <w:u w:val="single"/>
          <w:lang w:val="es-ES"/>
        </w:rPr>
      </w:pPr>
    </w:p>
    <w:p w:rsidR="004C71F6" w:rsidRPr="00F55C2A" w:rsidRDefault="004C71F6" w:rsidP="004C71F6">
      <w:pPr>
        <w:tabs>
          <w:tab w:val="left" w:pos="360"/>
        </w:tabs>
        <w:spacing w:line="360" w:lineRule="auto"/>
        <w:ind w:right="-74"/>
        <w:jc w:val="both"/>
        <w:rPr>
          <w:b/>
          <w:bCs/>
          <w:sz w:val="24"/>
          <w:szCs w:val="24"/>
          <w:u w:val="single"/>
          <w:lang w:val="es-ES"/>
        </w:rPr>
      </w:pPr>
    </w:p>
    <w:tbl>
      <w:tblPr>
        <w:tblW w:w="6040" w:type="dxa"/>
        <w:jc w:val="center"/>
        <w:tblCellMar>
          <w:left w:w="70" w:type="dxa"/>
          <w:right w:w="70" w:type="dxa"/>
        </w:tblCellMar>
        <w:tblLook w:val="0000" w:firstRow="0" w:lastRow="0" w:firstColumn="0" w:lastColumn="0" w:noHBand="0" w:noVBand="0"/>
      </w:tblPr>
      <w:tblGrid>
        <w:gridCol w:w="1880"/>
        <w:gridCol w:w="2080"/>
        <w:gridCol w:w="2080"/>
      </w:tblGrid>
      <w:tr w:rsidR="004C71F6" w:rsidRPr="00F55C2A" w:rsidTr="00B87330">
        <w:trPr>
          <w:trHeight w:val="315"/>
          <w:jc w:val="center"/>
        </w:trPr>
        <w:tc>
          <w:tcPr>
            <w:tcW w:w="1880" w:type="dxa"/>
            <w:vMerge w:val="restart"/>
            <w:tcBorders>
              <w:top w:val="nil"/>
              <w:left w:val="nil"/>
              <w:bottom w:val="nil"/>
              <w:right w:val="nil"/>
            </w:tcBorders>
            <w:shd w:val="clear" w:color="auto" w:fill="auto"/>
            <w:vAlign w:val="center"/>
          </w:tcPr>
          <w:p w:rsidR="004C71F6" w:rsidRPr="00F55C2A" w:rsidRDefault="004C71F6" w:rsidP="00B87330">
            <w:pPr>
              <w:jc w:val="center"/>
              <w:rPr>
                <w:b/>
                <w:bCs/>
                <w:sz w:val="24"/>
                <w:szCs w:val="24"/>
                <w:u w:val="single"/>
                <w:lang w:val="es-ES"/>
              </w:rPr>
            </w:pPr>
            <w:r w:rsidRPr="00F55C2A">
              <w:rPr>
                <w:b/>
                <w:bCs/>
                <w:sz w:val="24"/>
                <w:szCs w:val="24"/>
                <w:u w:val="single"/>
                <w:lang w:val="es-ES"/>
              </w:rPr>
              <w:t>Tipo de voto</w:t>
            </w:r>
          </w:p>
        </w:tc>
        <w:tc>
          <w:tcPr>
            <w:tcW w:w="4160" w:type="dxa"/>
            <w:gridSpan w:val="2"/>
            <w:tcBorders>
              <w:top w:val="nil"/>
              <w:left w:val="nil"/>
              <w:bottom w:val="nil"/>
              <w:right w:val="nil"/>
            </w:tcBorders>
            <w:shd w:val="clear" w:color="auto" w:fill="auto"/>
            <w:vAlign w:val="center"/>
          </w:tcPr>
          <w:p w:rsidR="004C71F6" w:rsidRPr="00F55C2A" w:rsidRDefault="004C71F6" w:rsidP="00B87330">
            <w:pPr>
              <w:jc w:val="center"/>
              <w:rPr>
                <w:b/>
                <w:bCs/>
                <w:sz w:val="24"/>
                <w:szCs w:val="24"/>
                <w:u w:val="single"/>
                <w:lang w:val="es-ES"/>
              </w:rPr>
            </w:pPr>
            <w:r w:rsidRPr="00F55C2A">
              <w:rPr>
                <w:b/>
                <w:bCs/>
                <w:sz w:val="24"/>
                <w:szCs w:val="24"/>
                <w:u w:val="single"/>
                <w:lang w:val="es-ES"/>
              </w:rPr>
              <w:t>Resoluciones dictadas y duración</w:t>
            </w:r>
          </w:p>
        </w:tc>
      </w:tr>
      <w:tr w:rsidR="004C71F6" w:rsidRPr="00F55C2A" w:rsidTr="00B87330">
        <w:trPr>
          <w:trHeight w:val="315"/>
          <w:jc w:val="center"/>
        </w:trPr>
        <w:tc>
          <w:tcPr>
            <w:tcW w:w="1880" w:type="dxa"/>
            <w:vMerge/>
            <w:tcBorders>
              <w:top w:val="nil"/>
              <w:left w:val="nil"/>
              <w:bottom w:val="nil"/>
              <w:right w:val="nil"/>
            </w:tcBorders>
            <w:vAlign w:val="center"/>
          </w:tcPr>
          <w:p w:rsidR="004C71F6" w:rsidRPr="00F55C2A" w:rsidRDefault="004C71F6" w:rsidP="00B87330">
            <w:pPr>
              <w:rPr>
                <w:b/>
                <w:bCs/>
                <w:sz w:val="24"/>
                <w:szCs w:val="24"/>
                <w:u w:val="single"/>
                <w:lang w:val="es-ES"/>
              </w:rPr>
            </w:pPr>
          </w:p>
        </w:tc>
        <w:tc>
          <w:tcPr>
            <w:tcW w:w="2080" w:type="dxa"/>
            <w:tcBorders>
              <w:top w:val="nil"/>
              <w:left w:val="nil"/>
              <w:bottom w:val="nil"/>
              <w:right w:val="nil"/>
            </w:tcBorders>
            <w:shd w:val="clear" w:color="auto" w:fill="auto"/>
            <w:vAlign w:val="center"/>
          </w:tcPr>
          <w:p w:rsidR="004C71F6" w:rsidRPr="00F55C2A" w:rsidRDefault="004C71F6" w:rsidP="00B87330">
            <w:pPr>
              <w:jc w:val="center"/>
              <w:rPr>
                <w:b/>
                <w:bCs/>
                <w:sz w:val="24"/>
                <w:szCs w:val="24"/>
                <w:u w:val="single"/>
                <w:lang w:val="es-ES"/>
              </w:rPr>
            </w:pPr>
            <w:r w:rsidRPr="00F55C2A">
              <w:rPr>
                <w:b/>
                <w:bCs/>
                <w:sz w:val="24"/>
                <w:szCs w:val="24"/>
                <w:u w:val="single"/>
                <w:lang w:val="es-ES"/>
              </w:rPr>
              <w:t>2014</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b/>
                <w:bCs/>
                <w:sz w:val="24"/>
                <w:szCs w:val="24"/>
                <w:u w:val="single"/>
                <w:lang w:val="es-ES"/>
              </w:rPr>
            </w:pPr>
            <w:r w:rsidRPr="00F55C2A">
              <w:rPr>
                <w:b/>
                <w:bCs/>
                <w:sz w:val="24"/>
                <w:szCs w:val="24"/>
                <w:u w:val="single"/>
                <w:lang w:val="es-ES"/>
              </w:rPr>
              <w:t>2015</w:t>
            </w:r>
          </w:p>
        </w:tc>
      </w:tr>
      <w:tr w:rsidR="004C71F6" w:rsidRPr="00F55C2A" w:rsidTr="00B87330">
        <w:trPr>
          <w:trHeight w:val="945"/>
          <w:jc w:val="center"/>
        </w:trPr>
        <w:tc>
          <w:tcPr>
            <w:tcW w:w="1880" w:type="dxa"/>
            <w:tcBorders>
              <w:top w:val="nil"/>
              <w:left w:val="nil"/>
              <w:bottom w:val="nil"/>
              <w:right w:val="nil"/>
            </w:tcBorders>
            <w:shd w:val="clear" w:color="auto" w:fill="auto"/>
            <w:vAlign w:val="center"/>
          </w:tcPr>
          <w:p w:rsidR="004C71F6" w:rsidRPr="00F55C2A" w:rsidRDefault="004C71F6" w:rsidP="00B87330">
            <w:pPr>
              <w:jc w:val="center"/>
              <w:rPr>
                <w:b/>
                <w:bCs/>
                <w:sz w:val="24"/>
                <w:szCs w:val="24"/>
                <w:lang w:val="es-ES"/>
              </w:rPr>
            </w:pPr>
            <w:r w:rsidRPr="00F55C2A">
              <w:rPr>
                <w:b/>
                <w:bCs/>
                <w:sz w:val="24"/>
                <w:szCs w:val="24"/>
                <w:lang w:val="es-ES"/>
              </w:rPr>
              <w:t>Total</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b/>
                <w:bCs/>
                <w:sz w:val="24"/>
                <w:szCs w:val="24"/>
                <w:lang w:val="es-ES"/>
              </w:rPr>
            </w:pPr>
            <w:r w:rsidRPr="00F55C2A">
              <w:rPr>
                <w:b/>
                <w:bCs/>
                <w:sz w:val="24"/>
                <w:szCs w:val="24"/>
                <w:lang w:val="es-ES"/>
              </w:rPr>
              <w:t>7 meses</w:t>
            </w:r>
            <w:r w:rsidRPr="00F55C2A">
              <w:rPr>
                <w:b/>
                <w:bCs/>
                <w:sz w:val="24"/>
                <w:szCs w:val="24"/>
                <w:lang w:val="es-ES"/>
              </w:rPr>
              <w:br/>
              <w:t>2 semanas</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b/>
                <w:bCs/>
                <w:sz w:val="24"/>
                <w:szCs w:val="24"/>
                <w:lang w:val="es-ES"/>
              </w:rPr>
            </w:pPr>
            <w:r w:rsidRPr="00F55C2A">
              <w:rPr>
                <w:b/>
                <w:bCs/>
                <w:sz w:val="24"/>
                <w:szCs w:val="24"/>
                <w:lang w:val="es-ES"/>
              </w:rPr>
              <w:t xml:space="preserve">12 meses </w:t>
            </w:r>
            <w:r w:rsidRPr="00F55C2A">
              <w:rPr>
                <w:b/>
                <w:bCs/>
                <w:sz w:val="24"/>
                <w:szCs w:val="24"/>
                <w:lang w:val="es-ES"/>
              </w:rPr>
              <w:br/>
              <w:t>1 semanas</w:t>
            </w:r>
          </w:p>
        </w:tc>
      </w:tr>
      <w:tr w:rsidR="004C71F6" w:rsidRPr="00F55C2A" w:rsidTr="00B87330">
        <w:trPr>
          <w:trHeight w:val="31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4"/>
                <w:szCs w:val="24"/>
                <w:lang w:val="es-ES"/>
              </w:rPr>
            </w:pPr>
            <w:r w:rsidRPr="00F55C2A">
              <w:rPr>
                <w:sz w:val="24"/>
                <w:szCs w:val="24"/>
                <w:lang w:val="es-ES"/>
              </w:rPr>
              <w:t>Confirma</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7 meses 3 semanas</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13 meses 1 semana</w:t>
            </w:r>
          </w:p>
        </w:tc>
      </w:tr>
      <w:tr w:rsidR="004C71F6" w:rsidRPr="00F55C2A" w:rsidTr="00B87330">
        <w:trPr>
          <w:trHeight w:val="31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4"/>
                <w:szCs w:val="24"/>
                <w:lang w:val="es-ES"/>
              </w:rPr>
            </w:pPr>
            <w:r w:rsidRPr="00F55C2A">
              <w:rPr>
                <w:sz w:val="24"/>
                <w:szCs w:val="24"/>
                <w:lang w:val="es-ES"/>
              </w:rPr>
              <w:t>Revoca</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6 meses 1 semana</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11 meses 3 semana</w:t>
            </w:r>
          </w:p>
        </w:tc>
      </w:tr>
      <w:tr w:rsidR="004C71F6" w:rsidRPr="00F55C2A" w:rsidTr="00B87330">
        <w:trPr>
          <w:trHeight w:val="31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4"/>
                <w:szCs w:val="24"/>
                <w:lang w:val="es-ES"/>
              </w:rPr>
            </w:pPr>
            <w:r w:rsidRPr="00F55C2A">
              <w:rPr>
                <w:sz w:val="24"/>
                <w:szCs w:val="24"/>
                <w:lang w:val="es-ES"/>
              </w:rPr>
              <w:t>Modifica</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0 meses 2 semanas</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4 meses 0 semanas</w:t>
            </w:r>
          </w:p>
        </w:tc>
      </w:tr>
      <w:tr w:rsidR="004C71F6" w:rsidRPr="00F55C2A" w:rsidTr="00B87330">
        <w:trPr>
          <w:trHeight w:val="31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4"/>
                <w:szCs w:val="24"/>
                <w:lang w:val="es-ES"/>
              </w:rPr>
            </w:pPr>
            <w:r w:rsidRPr="00F55C2A">
              <w:rPr>
                <w:sz w:val="24"/>
                <w:szCs w:val="24"/>
                <w:lang w:val="es-ES"/>
              </w:rPr>
              <w:t>Anula</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8 meses 2 semanas</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15 meses 1 semanas</w:t>
            </w:r>
          </w:p>
        </w:tc>
      </w:tr>
      <w:tr w:rsidR="004C71F6" w:rsidRPr="00F55C2A" w:rsidTr="00B87330">
        <w:trPr>
          <w:trHeight w:val="31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4"/>
                <w:szCs w:val="24"/>
                <w:lang w:val="es-ES"/>
              </w:rPr>
            </w:pPr>
            <w:r w:rsidRPr="00F55C2A">
              <w:rPr>
                <w:sz w:val="24"/>
                <w:szCs w:val="24"/>
                <w:lang w:val="es-ES"/>
              </w:rPr>
              <w:t>Mal admitida</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3 meses 3 semanas</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5 meses 3 semanas</w:t>
            </w:r>
          </w:p>
        </w:tc>
      </w:tr>
      <w:tr w:rsidR="004C71F6" w:rsidRPr="00F55C2A" w:rsidTr="00B87330">
        <w:trPr>
          <w:trHeight w:val="31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4"/>
                <w:szCs w:val="24"/>
                <w:lang w:val="es-ES"/>
              </w:rPr>
            </w:pPr>
            <w:r w:rsidRPr="00F55C2A">
              <w:rPr>
                <w:sz w:val="24"/>
                <w:szCs w:val="24"/>
                <w:lang w:val="es-ES"/>
              </w:rPr>
              <w:t>Rechazada</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28 meses 1 semana</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2 meses 1 semana</w:t>
            </w:r>
          </w:p>
        </w:tc>
      </w:tr>
      <w:tr w:rsidR="004C71F6" w:rsidRPr="00F55C2A" w:rsidTr="00B87330">
        <w:trPr>
          <w:trHeight w:val="31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4"/>
                <w:szCs w:val="24"/>
                <w:lang w:val="es-ES"/>
              </w:rPr>
            </w:pPr>
            <w:r w:rsidRPr="00F55C2A">
              <w:rPr>
                <w:sz w:val="24"/>
                <w:szCs w:val="24"/>
                <w:lang w:val="es-ES"/>
              </w:rPr>
              <w:t>Devuelto</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3 meses 2 semanas</w:t>
            </w:r>
          </w:p>
        </w:tc>
      </w:tr>
      <w:tr w:rsidR="004C71F6" w:rsidRPr="00F55C2A" w:rsidTr="00B87330">
        <w:trPr>
          <w:trHeight w:val="315"/>
          <w:jc w:val="center"/>
        </w:trPr>
        <w:tc>
          <w:tcPr>
            <w:tcW w:w="1880" w:type="dxa"/>
            <w:tcBorders>
              <w:top w:val="nil"/>
              <w:left w:val="nil"/>
              <w:bottom w:val="nil"/>
              <w:right w:val="nil"/>
            </w:tcBorders>
            <w:shd w:val="clear" w:color="auto" w:fill="auto"/>
            <w:vAlign w:val="center"/>
          </w:tcPr>
          <w:p w:rsidR="004C71F6" w:rsidRPr="00F55C2A" w:rsidRDefault="004C71F6" w:rsidP="00B87330">
            <w:pPr>
              <w:rPr>
                <w:sz w:val="24"/>
                <w:szCs w:val="24"/>
                <w:lang w:val="es-ES"/>
              </w:rPr>
            </w:pPr>
            <w:r w:rsidRPr="00F55C2A">
              <w:rPr>
                <w:sz w:val="24"/>
                <w:szCs w:val="24"/>
                <w:lang w:val="es-ES"/>
              </w:rPr>
              <w:t>Otros</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7 meses 0 semanas</w:t>
            </w:r>
          </w:p>
        </w:tc>
        <w:tc>
          <w:tcPr>
            <w:tcW w:w="2080" w:type="dxa"/>
            <w:tcBorders>
              <w:top w:val="nil"/>
              <w:left w:val="nil"/>
              <w:bottom w:val="nil"/>
              <w:right w:val="nil"/>
            </w:tcBorders>
            <w:shd w:val="clear" w:color="auto" w:fill="auto"/>
            <w:vAlign w:val="center"/>
          </w:tcPr>
          <w:p w:rsidR="004C71F6" w:rsidRPr="00F55C2A" w:rsidRDefault="004C71F6" w:rsidP="00B87330">
            <w:pPr>
              <w:jc w:val="center"/>
              <w:rPr>
                <w:sz w:val="24"/>
                <w:szCs w:val="24"/>
                <w:lang w:val="es-ES"/>
              </w:rPr>
            </w:pPr>
            <w:r w:rsidRPr="00F55C2A">
              <w:rPr>
                <w:sz w:val="24"/>
                <w:szCs w:val="24"/>
                <w:lang w:val="es-ES"/>
              </w:rPr>
              <w:t>6 meses 0 semanas</w:t>
            </w:r>
          </w:p>
        </w:tc>
      </w:tr>
    </w:tbl>
    <w:p w:rsidR="004C71F6" w:rsidRDefault="004C71F6" w:rsidP="004C71F6">
      <w:pPr>
        <w:tabs>
          <w:tab w:val="left" w:pos="360"/>
        </w:tabs>
        <w:spacing w:line="360" w:lineRule="auto"/>
        <w:ind w:right="-74"/>
        <w:jc w:val="both"/>
        <w:rPr>
          <w:b/>
          <w:bCs/>
          <w:sz w:val="24"/>
          <w:szCs w:val="24"/>
          <w:u w:val="single"/>
          <w:lang w:val="es-ES"/>
        </w:rPr>
      </w:pPr>
    </w:p>
    <w:p w:rsidR="004C71F6" w:rsidRDefault="004C71F6" w:rsidP="004C71F6">
      <w:pPr>
        <w:pStyle w:val="NormalWeb"/>
        <w:spacing w:line="360" w:lineRule="auto"/>
        <w:jc w:val="both"/>
        <w:rPr>
          <w:rStyle w:val="apple-converted-space"/>
          <w:rFonts w:ascii="Times New Roman" w:hAnsi="Times New Roman" w:cs="Times New Roman"/>
          <w:bCs/>
          <w:sz w:val="28"/>
          <w:szCs w:val="28"/>
          <w:shd w:val="clear" w:color="auto" w:fill="FFFFFF"/>
        </w:rPr>
      </w:pPr>
      <w:r w:rsidRPr="00D57262">
        <w:rPr>
          <w:rFonts w:ascii="Times New Roman" w:hAnsi="Times New Roman" w:cs="Times New Roman"/>
          <w:bCs/>
          <w:sz w:val="28"/>
          <w:szCs w:val="28"/>
          <w:shd w:val="clear" w:color="auto" w:fill="FFFFFF"/>
        </w:rPr>
        <w:t>Durante el 2015</w:t>
      </w:r>
      <w:r>
        <w:rPr>
          <w:rFonts w:ascii="Times New Roman" w:hAnsi="Times New Roman" w:cs="Times New Roman"/>
          <w:bCs/>
          <w:sz w:val="28"/>
          <w:szCs w:val="28"/>
          <w:shd w:val="clear" w:color="auto" w:fill="FFFFFF"/>
        </w:rPr>
        <w:t>,</w:t>
      </w:r>
      <w:r w:rsidRPr="00D57262">
        <w:rPr>
          <w:rFonts w:ascii="Times New Roman" w:hAnsi="Times New Roman" w:cs="Times New Roman"/>
          <w:bCs/>
          <w:sz w:val="28"/>
          <w:szCs w:val="28"/>
          <w:shd w:val="clear" w:color="auto" w:fill="FFFFFF"/>
        </w:rPr>
        <w:t xml:space="preserve"> se dieron condiciones que afectan el rendimiento del Tribunal Disciplinario Notarial y los tiempos de resolución de las apelaciones planteadas, específicamente en uno de los jueces </w:t>
      </w:r>
      <w:r>
        <w:rPr>
          <w:rFonts w:ascii="Times New Roman" w:hAnsi="Times New Roman" w:cs="Times New Roman"/>
          <w:bCs/>
          <w:sz w:val="28"/>
          <w:szCs w:val="28"/>
          <w:shd w:val="clear" w:color="auto" w:fill="FFFFFF"/>
        </w:rPr>
        <w:t xml:space="preserve"> o juezas </w:t>
      </w:r>
      <w:r w:rsidRPr="00D57262">
        <w:rPr>
          <w:rFonts w:ascii="Times New Roman" w:hAnsi="Times New Roman" w:cs="Times New Roman"/>
          <w:bCs/>
          <w:sz w:val="28"/>
          <w:szCs w:val="28"/>
          <w:shd w:val="clear" w:color="auto" w:fill="FFFFFF"/>
        </w:rPr>
        <w:t>integrantes. En este sentido</w:t>
      </w:r>
      <w:r>
        <w:rPr>
          <w:rFonts w:ascii="Times New Roman" w:hAnsi="Times New Roman" w:cs="Times New Roman"/>
          <w:bCs/>
          <w:sz w:val="28"/>
          <w:szCs w:val="28"/>
          <w:shd w:val="clear" w:color="auto" w:fill="FFFFFF"/>
        </w:rPr>
        <w:t>,</w:t>
      </w:r>
      <w:r w:rsidRPr="00D57262">
        <w:rPr>
          <w:rFonts w:ascii="Times New Roman" w:hAnsi="Times New Roman" w:cs="Times New Roman"/>
          <w:bCs/>
          <w:sz w:val="28"/>
          <w:szCs w:val="28"/>
          <w:shd w:val="clear" w:color="auto" w:fill="FFFFFF"/>
        </w:rPr>
        <w:t xml:space="preserve"> mediante acuerdo del Consejo Superior del Poder Judicial </w:t>
      </w:r>
      <w:r w:rsidRPr="00D57262">
        <w:rPr>
          <w:rFonts w:ascii="Times New Roman" w:eastAsia="Times New Roman" w:hAnsi="Times New Roman" w:cs="Times New Roman"/>
          <w:bCs/>
          <w:sz w:val="28"/>
          <w:szCs w:val="28"/>
        </w:rPr>
        <w:t>Sesión No. 36-15 celebrada el 21 de abril en curso, Artículo XX</w:t>
      </w:r>
      <w:r w:rsidRPr="00D57262">
        <w:rPr>
          <w:rFonts w:ascii="Times New Roman" w:hAnsi="Times New Roman" w:cs="Times New Roman"/>
          <w:bCs/>
          <w:sz w:val="28"/>
          <w:szCs w:val="28"/>
        </w:rPr>
        <w:t xml:space="preserve"> </w:t>
      </w:r>
      <w:r>
        <w:rPr>
          <w:rFonts w:ascii="Times New Roman" w:hAnsi="Times New Roman" w:cs="Times New Roman"/>
          <w:bCs/>
          <w:sz w:val="28"/>
          <w:szCs w:val="28"/>
        </w:rPr>
        <w:t xml:space="preserve">por las razones que ahí constan, se </w:t>
      </w:r>
      <w:r w:rsidRPr="00D57262">
        <w:rPr>
          <w:rFonts w:ascii="Times New Roman" w:hAnsi="Times New Roman" w:cs="Times New Roman"/>
          <w:bCs/>
          <w:sz w:val="28"/>
          <w:szCs w:val="28"/>
        </w:rPr>
        <w:t>traslad</w:t>
      </w:r>
      <w:r>
        <w:rPr>
          <w:rFonts w:ascii="Times New Roman" w:hAnsi="Times New Roman" w:cs="Times New Roman"/>
          <w:bCs/>
          <w:sz w:val="28"/>
          <w:szCs w:val="28"/>
        </w:rPr>
        <w:t>ó a unos de los</w:t>
      </w:r>
      <w:r w:rsidRPr="00D57262">
        <w:rPr>
          <w:rFonts w:ascii="Times New Roman" w:hAnsi="Times New Roman" w:cs="Times New Roman"/>
          <w:bCs/>
          <w:sz w:val="28"/>
          <w:szCs w:val="28"/>
        </w:rPr>
        <w:t xml:space="preserve"> jue</w:t>
      </w:r>
      <w:r w:rsidR="00E30DF3">
        <w:rPr>
          <w:rFonts w:ascii="Times New Roman" w:hAnsi="Times New Roman" w:cs="Times New Roman"/>
          <w:bCs/>
          <w:sz w:val="28"/>
          <w:szCs w:val="28"/>
        </w:rPr>
        <w:t>c</w:t>
      </w:r>
      <w:r>
        <w:rPr>
          <w:rFonts w:ascii="Times New Roman" w:hAnsi="Times New Roman" w:cs="Times New Roman"/>
          <w:bCs/>
          <w:sz w:val="28"/>
          <w:szCs w:val="28"/>
        </w:rPr>
        <w:t>es</w:t>
      </w:r>
      <w:r w:rsidRPr="00D57262">
        <w:rPr>
          <w:rFonts w:ascii="Times New Roman" w:hAnsi="Times New Roman" w:cs="Times New Roman"/>
          <w:bCs/>
          <w:sz w:val="28"/>
          <w:szCs w:val="28"/>
          <w:shd w:val="clear" w:color="auto" w:fill="FFFFFF"/>
        </w:rPr>
        <w:t xml:space="preserve"> del 27 de abril del 2015 </w:t>
      </w:r>
      <w:r>
        <w:rPr>
          <w:rFonts w:ascii="Times New Roman" w:hAnsi="Times New Roman" w:cs="Times New Roman"/>
          <w:bCs/>
          <w:sz w:val="28"/>
          <w:szCs w:val="28"/>
          <w:shd w:val="clear" w:color="auto" w:fill="FFFFFF"/>
        </w:rPr>
        <w:t>a otro despacho</w:t>
      </w:r>
      <w:r w:rsidR="0055711D">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u oficina </w:t>
      </w:r>
      <w:r>
        <w:rPr>
          <w:rFonts w:ascii="Times New Roman" w:hAnsi="Times New Roman" w:cs="Times New Roman"/>
          <w:bCs/>
          <w:sz w:val="28"/>
          <w:szCs w:val="28"/>
          <w:shd w:val="clear" w:color="auto" w:fill="FFFFFF"/>
        </w:rPr>
        <w:lastRenderedPageBreak/>
        <w:t>judicial</w:t>
      </w:r>
      <w:r w:rsidRPr="00D57262" w:rsidDel="004C1DFA">
        <w:rPr>
          <w:rFonts w:ascii="Times New Roman" w:hAnsi="Times New Roman" w:cs="Times New Roman"/>
          <w:bCs/>
          <w:sz w:val="28"/>
          <w:szCs w:val="28"/>
          <w:shd w:val="clear" w:color="auto" w:fill="FFFFFF"/>
        </w:rPr>
        <w:t xml:space="preserve"> </w:t>
      </w:r>
      <w:r w:rsidRPr="00D57262">
        <w:rPr>
          <w:rFonts w:ascii="Times New Roman" w:hAnsi="Times New Roman" w:cs="Times New Roman"/>
          <w:bCs/>
          <w:sz w:val="28"/>
          <w:szCs w:val="28"/>
          <w:shd w:val="clear" w:color="auto" w:fill="FFFFFF"/>
        </w:rPr>
        <w:t>(</w:t>
      </w:r>
      <w:r w:rsidRPr="00D57262">
        <w:rPr>
          <w:rStyle w:val="Refdenotaalpie"/>
          <w:rFonts w:ascii="Times New Roman" w:hAnsi="Times New Roman"/>
          <w:bCs/>
          <w:sz w:val="28"/>
          <w:szCs w:val="28"/>
          <w:shd w:val="clear" w:color="auto" w:fill="FFFFFF"/>
        </w:rPr>
        <w:footnoteReference w:id="5"/>
      </w:r>
      <w:r w:rsidRPr="00D57262">
        <w:rPr>
          <w:rFonts w:ascii="Times New Roman" w:hAnsi="Times New Roman" w:cs="Times New Roman"/>
          <w:bCs/>
          <w:sz w:val="28"/>
          <w:szCs w:val="28"/>
          <w:shd w:val="clear" w:color="auto" w:fill="FFFFFF"/>
        </w:rPr>
        <w:t xml:space="preserve">). En ocasión de lo anterior, el Despacho de la Presidencia designó por </w:t>
      </w:r>
      <w:r>
        <w:rPr>
          <w:rFonts w:ascii="Times New Roman" w:hAnsi="Times New Roman" w:cs="Times New Roman"/>
          <w:bCs/>
          <w:sz w:val="28"/>
          <w:szCs w:val="28"/>
          <w:shd w:val="clear" w:color="auto" w:fill="FFFFFF"/>
        </w:rPr>
        <w:t>ese</w:t>
      </w:r>
      <w:r w:rsidRPr="00D57262">
        <w:rPr>
          <w:rFonts w:ascii="Times New Roman" w:hAnsi="Times New Roman" w:cs="Times New Roman"/>
          <w:bCs/>
          <w:sz w:val="28"/>
          <w:szCs w:val="28"/>
          <w:shd w:val="clear" w:color="auto" w:fill="FFFFFF"/>
        </w:rPr>
        <w:t xml:space="preserve"> plazo a un Juez o Jueza Supernumeraria en el Tribunal citado para que asuma la carga de trabajo del Juez trasladado.</w:t>
      </w:r>
      <w:r w:rsidRPr="00D57262">
        <w:rPr>
          <w:rStyle w:val="apple-converted-space"/>
          <w:rFonts w:ascii="Times New Roman" w:hAnsi="Times New Roman" w:cs="Times New Roman"/>
          <w:bCs/>
          <w:sz w:val="28"/>
          <w:szCs w:val="28"/>
          <w:shd w:val="clear" w:color="auto" w:fill="FFFFFF"/>
        </w:rPr>
        <w:t> Posteriormente, mediante acuerdo del Consejo Superior de la Sesión 67 del 23 de julio de 2015 el plazo indicado es ampliado a 6 meses más.</w:t>
      </w:r>
    </w:p>
    <w:p w:rsidR="004C71F6" w:rsidRPr="00D57262" w:rsidRDefault="004C71F6" w:rsidP="004C71F6">
      <w:pPr>
        <w:pStyle w:val="NormalWeb"/>
        <w:spacing w:line="360" w:lineRule="auto"/>
        <w:jc w:val="both"/>
        <w:rPr>
          <w:rStyle w:val="apple-converted-space"/>
          <w:rFonts w:ascii="Times New Roman" w:hAnsi="Times New Roman" w:cs="Times New Roman"/>
          <w:bCs/>
          <w:sz w:val="28"/>
          <w:szCs w:val="28"/>
          <w:shd w:val="clear" w:color="auto" w:fill="FFFFFF"/>
        </w:rPr>
      </w:pPr>
    </w:p>
    <w:p w:rsidR="004C71F6" w:rsidRDefault="004C71F6" w:rsidP="004C71F6">
      <w:pPr>
        <w:tabs>
          <w:tab w:val="left" w:pos="360"/>
        </w:tabs>
        <w:spacing w:line="360" w:lineRule="auto"/>
        <w:ind w:right="-74"/>
        <w:jc w:val="both"/>
        <w:rPr>
          <w:bCs/>
          <w:color w:val="000000"/>
          <w:sz w:val="28"/>
          <w:szCs w:val="28"/>
          <w:shd w:val="clear" w:color="auto" w:fill="FFFFFF"/>
        </w:rPr>
      </w:pPr>
      <w:r w:rsidRPr="00D57262">
        <w:rPr>
          <w:sz w:val="28"/>
          <w:szCs w:val="28"/>
        </w:rPr>
        <w:t xml:space="preserve">Por otro lado, la Sección de Auditoría Operativa identificó otros aspectos de mejora específicamente como la utilización </w:t>
      </w:r>
      <w:r w:rsidRPr="00D57262">
        <w:rPr>
          <w:bCs/>
          <w:color w:val="000000"/>
          <w:sz w:val="28"/>
          <w:szCs w:val="28"/>
          <w:shd w:val="clear" w:color="auto" w:fill="FFFFFF"/>
        </w:rPr>
        <w:t xml:space="preserve">plantillas facilitadas en su oportunidad por la Inspección Judicial para el </w:t>
      </w:r>
      <w:r w:rsidRPr="00D74FA4">
        <w:rPr>
          <w:bCs/>
          <w:color w:val="000000"/>
          <w:sz w:val="28"/>
          <w:szCs w:val="28"/>
          <w:shd w:val="clear" w:color="auto" w:fill="FFFFFF"/>
        </w:rPr>
        <w:t>control de expedientes</w:t>
      </w:r>
      <w:r w:rsidR="00FC21E3" w:rsidRPr="00D74FA4">
        <w:rPr>
          <w:bCs/>
          <w:color w:val="000000"/>
          <w:sz w:val="28"/>
          <w:szCs w:val="28"/>
          <w:shd w:val="clear" w:color="auto" w:fill="FFFFFF"/>
          <w:vertAlign w:val="superscript"/>
        </w:rPr>
        <w:t>(</w:t>
      </w:r>
      <w:r w:rsidR="00FC21E3" w:rsidRPr="00D74FA4">
        <w:rPr>
          <w:rStyle w:val="Refdenotaalpie"/>
          <w:bCs/>
          <w:color w:val="000000"/>
          <w:sz w:val="28"/>
          <w:szCs w:val="28"/>
          <w:shd w:val="clear" w:color="auto" w:fill="FFFFFF"/>
        </w:rPr>
        <w:footnoteReference w:id="6"/>
      </w:r>
      <w:r w:rsidR="00FC21E3" w:rsidRPr="00D74FA4">
        <w:rPr>
          <w:bCs/>
          <w:color w:val="000000"/>
          <w:sz w:val="28"/>
          <w:szCs w:val="28"/>
          <w:shd w:val="clear" w:color="auto" w:fill="FFFFFF"/>
          <w:vertAlign w:val="superscript"/>
        </w:rPr>
        <w:t>)</w:t>
      </w:r>
      <w:r w:rsidRPr="00D74FA4">
        <w:rPr>
          <w:bCs/>
          <w:color w:val="000000"/>
          <w:sz w:val="28"/>
          <w:szCs w:val="28"/>
          <w:shd w:val="clear" w:color="auto" w:fill="FFFFFF"/>
        </w:rPr>
        <w:t>.</w:t>
      </w:r>
      <w:r w:rsidRPr="00D57262">
        <w:rPr>
          <w:bCs/>
          <w:color w:val="000000"/>
          <w:sz w:val="28"/>
          <w:szCs w:val="28"/>
          <w:shd w:val="clear" w:color="auto" w:fill="FFFFFF"/>
        </w:rPr>
        <w:t xml:space="preserve"> No obstante, tales plantillas, no fueron actualizadas o adaptadas a las particularidades del despacho, dándose omisiones en anotaciones importantes para la supervisión y toma de decisiones. Además, para el control de las causas se utiliza el sistema JMS, herramienta que se encuentra obsoleta, motivando la realización de una serie de funciones manuales y administrativas adicionales y labores repetitivas. Estos eventos contribuyen a la baja en el rendimiento del despacho en el 2015.</w:t>
      </w:r>
    </w:p>
    <w:p w:rsidR="004C71F6" w:rsidRPr="00D57262" w:rsidRDefault="004C71F6" w:rsidP="004C71F6">
      <w:pPr>
        <w:tabs>
          <w:tab w:val="left" w:pos="360"/>
        </w:tabs>
        <w:spacing w:line="360" w:lineRule="auto"/>
        <w:ind w:right="-74"/>
        <w:jc w:val="both"/>
        <w:rPr>
          <w:b/>
          <w:bCs/>
          <w:sz w:val="28"/>
          <w:szCs w:val="28"/>
          <w:u w:val="single"/>
          <w:lang w:val="es-ES"/>
        </w:rPr>
      </w:pPr>
    </w:p>
    <w:p w:rsidR="004C71F6" w:rsidRPr="00F55C2A" w:rsidRDefault="004C71F6" w:rsidP="004C71F6">
      <w:pPr>
        <w:numPr>
          <w:ilvl w:val="0"/>
          <w:numId w:val="20"/>
        </w:numPr>
        <w:tabs>
          <w:tab w:val="clear" w:pos="1800"/>
        </w:tabs>
        <w:spacing w:line="360" w:lineRule="auto"/>
        <w:ind w:left="600" w:right="-74" w:hanging="240"/>
        <w:rPr>
          <w:b/>
          <w:bCs/>
          <w:sz w:val="28"/>
          <w:szCs w:val="28"/>
        </w:rPr>
      </w:pPr>
      <w:r w:rsidRPr="00F55C2A">
        <w:rPr>
          <w:b/>
          <w:bCs/>
          <w:sz w:val="28"/>
          <w:szCs w:val="28"/>
        </w:rPr>
        <w:t>CASOS EN TRÁMITE AL FINALIZAR</w:t>
      </w:r>
    </w:p>
    <w:p w:rsidR="004C71F6" w:rsidRPr="00F55C2A" w:rsidRDefault="004C71F6" w:rsidP="004C71F6">
      <w:pPr>
        <w:spacing w:line="360" w:lineRule="auto"/>
        <w:jc w:val="both"/>
        <w:rPr>
          <w:sz w:val="28"/>
          <w:szCs w:val="28"/>
        </w:rPr>
      </w:pPr>
      <w:r w:rsidRPr="00F55C2A">
        <w:rPr>
          <w:sz w:val="28"/>
          <w:szCs w:val="28"/>
        </w:rPr>
        <w:t xml:space="preserve">Si llegar a alcanzar el bajo monto de lo pendiente al finalizar el </w:t>
      </w:r>
      <w:smartTag w:uri="urn:schemas-microsoft-com:office:smarttags" w:element="metricconverter">
        <w:smartTagPr>
          <w:attr w:name="ProductID" w:val="2010, a"/>
        </w:smartTagPr>
        <w:r w:rsidRPr="00F55C2A">
          <w:rPr>
            <w:sz w:val="28"/>
            <w:szCs w:val="28"/>
          </w:rPr>
          <w:t>2010, a</w:t>
        </w:r>
      </w:smartTag>
      <w:r w:rsidRPr="00F55C2A">
        <w:rPr>
          <w:sz w:val="28"/>
          <w:szCs w:val="28"/>
        </w:rPr>
        <w:t xml:space="preserve"> la conclusión del 2015 se registra una </w:t>
      </w:r>
      <w:r>
        <w:rPr>
          <w:sz w:val="28"/>
          <w:szCs w:val="28"/>
        </w:rPr>
        <w:t xml:space="preserve">importante </w:t>
      </w:r>
      <w:r w:rsidRPr="00F55C2A">
        <w:rPr>
          <w:sz w:val="28"/>
          <w:szCs w:val="28"/>
        </w:rPr>
        <w:t xml:space="preserve">reducción del circulante del </w:t>
      </w:r>
      <w:r w:rsidRPr="00F55C2A">
        <w:rPr>
          <w:sz w:val="28"/>
          <w:szCs w:val="28"/>
        </w:rPr>
        <w:lastRenderedPageBreak/>
        <w:t xml:space="preserve">Tribunal Disciplinario Notarial. Como se puede aprecia en el gráfico siguiente, al 31 de diciembre de 2015 se tenían sin una resolución definitiva </w:t>
      </w:r>
      <w:r w:rsidRPr="00F55C2A">
        <w:rPr>
          <w:b/>
          <w:sz w:val="28"/>
          <w:szCs w:val="28"/>
        </w:rPr>
        <w:t>1</w:t>
      </w:r>
      <w:r>
        <w:rPr>
          <w:b/>
          <w:sz w:val="28"/>
          <w:szCs w:val="28"/>
        </w:rPr>
        <w:t>31</w:t>
      </w:r>
      <w:r w:rsidRPr="00F55C2A">
        <w:rPr>
          <w:sz w:val="28"/>
          <w:szCs w:val="28"/>
        </w:rPr>
        <w:t xml:space="preserve"> casos, </w:t>
      </w:r>
      <w:r>
        <w:rPr>
          <w:b/>
          <w:sz w:val="28"/>
          <w:szCs w:val="28"/>
        </w:rPr>
        <w:t>64</w:t>
      </w:r>
      <w:r w:rsidRPr="00F55C2A">
        <w:rPr>
          <w:sz w:val="28"/>
          <w:szCs w:val="28"/>
        </w:rPr>
        <w:t xml:space="preserve"> menos que el dato del 2014 cuando se reportaron </w:t>
      </w:r>
      <w:r w:rsidRPr="00F55C2A">
        <w:rPr>
          <w:b/>
          <w:sz w:val="28"/>
          <w:szCs w:val="28"/>
        </w:rPr>
        <w:t>195</w:t>
      </w:r>
      <w:r w:rsidRPr="00F55C2A">
        <w:rPr>
          <w:sz w:val="28"/>
          <w:szCs w:val="28"/>
        </w:rPr>
        <w:t>. No obstante, estos niveles de existencia se encuentran muy por encima de los reportados antes del 201</w:t>
      </w:r>
      <w:r>
        <w:rPr>
          <w:sz w:val="28"/>
          <w:szCs w:val="28"/>
        </w:rPr>
        <w:t>2</w:t>
      </w:r>
      <w:r w:rsidRPr="00F55C2A">
        <w:rPr>
          <w:sz w:val="28"/>
          <w:szCs w:val="28"/>
        </w:rPr>
        <w:t xml:space="preserve"> y en especial del ejercicio del 2010 cuando se reportaron solo </w:t>
      </w:r>
      <w:r w:rsidRPr="00F55C2A">
        <w:rPr>
          <w:b/>
          <w:sz w:val="28"/>
          <w:szCs w:val="28"/>
        </w:rPr>
        <w:t>80</w:t>
      </w:r>
      <w:r w:rsidRPr="00F55C2A">
        <w:rPr>
          <w:sz w:val="28"/>
          <w:szCs w:val="28"/>
        </w:rPr>
        <w:t xml:space="preserve"> casos pendientes.  </w:t>
      </w:r>
    </w:p>
    <w:p w:rsidR="004C71F6" w:rsidRPr="00F55C2A" w:rsidRDefault="004C71F6" w:rsidP="004C71F6">
      <w:pPr>
        <w:spacing w:line="360" w:lineRule="auto"/>
        <w:jc w:val="both"/>
      </w:pPr>
    </w:p>
    <w:p w:rsidR="004C71F6" w:rsidRPr="00F55C2A" w:rsidRDefault="006A2BFA" w:rsidP="004C71F6">
      <w:pPr>
        <w:tabs>
          <w:tab w:val="left" w:pos="360"/>
        </w:tabs>
        <w:spacing w:line="360" w:lineRule="auto"/>
        <w:ind w:right="-74"/>
        <w:jc w:val="center"/>
        <w:rPr>
          <w:sz w:val="28"/>
          <w:szCs w:val="28"/>
        </w:rPr>
      </w:pPr>
      <w:r>
        <w:rPr>
          <w:noProof/>
          <w:sz w:val="32"/>
          <w:szCs w:val="32"/>
          <w:lang w:eastAsia="es-CR"/>
        </w:rPr>
        <w:drawing>
          <wp:inline distT="0" distB="0" distL="0" distR="0">
            <wp:extent cx="4963795" cy="3483610"/>
            <wp:effectExtent l="0" t="0" r="0" b="0"/>
            <wp:docPr id="7" name="Objet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C71F6" w:rsidRPr="00F55C2A" w:rsidRDefault="004C71F6" w:rsidP="004C71F6">
      <w:pPr>
        <w:tabs>
          <w:tab w:val="left" w:pos="360"/>
        </w:tabs>
        <w:spacing w:line="360" w:lineRule="auto"/>
        <w:ind w:right="-74"/>
        <w:jc w:val="both"/>
        <w:rPr>
          <w:sz w:val="28"/>
          <w:szCs w:val="28"/>
        </w:rPr>
      </w:pPr>
    </w:p>
    <w:p w:rsidR="004C71F6" w:rsidRPr="00F55C2A" w:rsidRDefault="004C71F6" w:rsidP="004C71F6">
      <w:pPr>
        <w:spacing w:line="360" w:lineRule="auto"/>
        <w:ind w:left="600" w:right="-74" w:hanging="600"/>
        <w:jc w:val="both"/>
        <w:rPr>
          <w:b/>
          <w:bCs/>
          <w:sz w:val="28"/>
          <w:szCs w:val="28"/>
        </w:rPr>
      </w:pPr>
      <w:r w:rsidRPr="00F55C2A">
        <w:rPr>
          <w:b/>
          <w:bCs/>
          <w:sz w:val="28"/>
          <w:szCs w:val="28"/>
        </w:rPr>
        <w:t>4.1.</w:t>
      </w:r>
      <w:r w:rsidRPr="00F55C2A">
        <w:rPr>
          <w:b/>
          <w:bCs/>
          <w:sz w:val="28"/>
          <w:szCs w:val="28"/>
        </w:rPr>
        <w:tab/>
        <w:t>Existencia al finalizar el año por tipo de asunto.</w:t>
      </w:r>
    </w:p>
    <w:p w:rsidR="004C71F6" w:rsidRPr="00F55C2A" w:rsidRDefault="004C71F6" w:rsidP="004C71F6">
      <w:pPr>
        <w:spacing w:line="360" w:lineRule="auto"/>
        <w:ind w:right="-74"/>
        <w:jc w:val="both"/>
      </w:pPr>
    </w:p>
    <w:p w:rsidR="004C71F6" w:rsidRPr="00F55C2A" w:rsidRDefault="004C71F6" w:rsidP="004C71F6">
      <w:pPr>
        <w:spacing w:line="360" w:lineRule="auto"/>
        <w:ind w:right="-74"/>
        <w:jc w:val="both"/>
        <w:rPr>
          <w:sz w:val="28"/>
          <w:szCs w:val="28"/>
        </w:rPr>
      </w:pPr>
      <w:r w:rsidRPr="00F55C2A">
        <w:rPr>
          <w:sz w:val="28"/>
          <w:szCs w:val="28"/>
        </w:rPr>
        <w:t xml:space="preserve">De acuerdo con los datos del Tribunal en la composición de los casos en trámite al finalizar el 2015 por tipo de sentencia, la mayoría de los casos se concentran en apelaciones pendientes de trámite final de sentencias de suspensión y en procesos disciplinarios.  A continuación, se presenta en forma grafica la existencia al finalizar en los diferentes tipos de asunto que conoce el tribunal. El </w:t>
      </w:r>
      <w:r>
        <w:rPr>
          <w:b/>
          <w:sz w:val="28"/>
          <w:szCs w:val="28"/>
        </w:rPr>
        <w:lastRenderedPageBreak/>
        <w:t>5</w:t>
      </w:r>
      <w:r w:rsidRPr="00F55C2A">
        <w:rPr>
          <w:b/>
          <w:sz w:val="28"/>
          <w:szCs w:val="28"/>
        </w:rPr>
        <w:t>5%</w:t>
      </w:r>
      <w:r w:rsidRPr="00F55C2A">
        <w:rPr>
          <w:sz w:val="28"/>
          <w:szCs w:val="28"/>
        </w:rPr>
        <w:t xml:space="preserve"> de lo pendiente corresponde a los “procesos disciplinarios”</w:t>
      </w:r>
      <w:r w:rsidRPr="002957EE">
        <w:rPr>
          <w:sz w:val="28"/>
          <w:szCs w:val="28"/>
        </w:rPr>
        <w:t xml:space="preserve"> </w:t>
      </w:r>
      <w:r w:rsidRPr="00F55C2A">
        <w:rPr>
          <w:sz w:val="28"/>
          <w:szCs w:val="28"/>
        </w:rPr>
        <w:t xml:space="preserve">pendientes. Siguen </w:t>
      </w:r>
      <w:r>
        <w:rPr>
          <w:sz w:val="28"/>
          <w:szCs w:val="28"/>
        </w:rPr>
        <w:t xml:space="preserve">los </w:t>
      </w:r>
      <w:r w:rsidRPr="00F55C2A">
        <w:rPr>
          <w:sz w:val="28"/>
          <w:szCs w:val="28"/>
        </w:rPr>
        <w:t>asuntos en los cuales “la sentencia de suspensión” es lo apelado</w:t>
      </w:r>
      <w:r w:rsidRPr="00F55C2A" w:rsidDel="002957EE">
        <w:rPr>
          <w:sz w:val="28"/>
          <w:szCs w:val="28"/>
        </w:rPr>
        <w:t xml:space="preserve"> </w:t>
      </w:r>
      <w:r w:rsidRPr="00F55C2A">
        <w:rPr>
          <w:sz w:val="28"/>
          <w:szCs w:val="28"/>
        </w:rPr>
        <w:t xml:space="preserve">con el </w:t>
      </w:r>
      <w:r>
        <w:rPr>
          <w:b/>
          <w:sz w:val="28"/>
          <w:szCs w:val="28"/>
        </w:rPr>
        <w:t>22</w:t>
      </w:r>
      <w:r w:rsidRPr="00F55C2A">
        <w:rPr>
          <w:b/>
          <w:sz w:val="28"/>
          <w:szCs w:val="28"/>
        </w:rPr>
        <w:t>%</w:t>
      </w:r>
      <w:r w:rsidRPr="00F55C2A">
        <w:rPr>
          <w:sz w:val="28"/>
          <w:szCs w:val="28"/>
        </w:rPr>
        <w:t xml:space="preserve">. Entre estas dos modalidades se concentra el </w:t>
      </w:r>
      <w:r>
        <w:rPr>
          <w:b/>
          <w:sz w:val="28"/>
          <w:szCs w:val="28"/>
        </w:rPr>
        <w:t>77</w:t>
      </w:r>
      <w:r w:rsidRPr="00F55C2A">
        <w:rPr>
          <w:b/>
          <w:sz w:val="28"/>
          <w:szCs w:val="28"/>
        </w:rPr>
        <w:t>%</w:t>
      </w:r>
      <w:r w:rsidRPr="00F55C2A">
        <w:rPr>
          <w:sz w:val="28"/>
          <w:szCs w:val="28"/>
        </w:rPr>
        <w:t xml:space="preserve"> de todo lo que se encuentra en trámite en el tribunal. </w:t>
      </w:r>
    </w:p>
    <w:p w:rsidR="004C71F6" w:rsidRPr="00F55C2A" w:rsidRDefault="004C71F6" w:rsidP="004C71F6">
      <w:pPr>
        <w:spacing w:line="360" w:lineRule="auto"/>
        <w:ind w:right="-74"/>
        <w:jc w:val="both"/>
        <w:rPr>
          <w:sz w:val="28"/>
          <w:szCs w:val="28"/>
        </w:rPr>
      </w:pPr>
    </w:p>
    <w:p w:rsidR="004C71F6" w:rsidRPr="00F55C2A" w:rsidRDefault="006A2BFA" w:rsidP="004C71F6">
      <w:pPr>
        <w:spacing w:line="360" w:lineRule="auto"/>
        <w:ind w:right="-74"/>
        <w:jc w:val="center"/>
        <w:rPr>
          <w:sz w:val="28"/>
          <w:szCs w:val="28"/>
        </w:rPr>
      </w:pPr>
      <w:r>
        <w:rPr>
          <w:noProof/>
          <w:sz w:val="32"/>
          <w:szCs w:val="32"/>
          <w:lang w:eastAsia="es-CR"/>
        </w:rPr>
        <w:drawing>
          <wp:inline distT="0" distB="0" distL="0" distR="0">
            <wp:extent cx="5125085" cy="3200400"/>
            <wp:effectExtent l="0" t="0" r="0" b="0"/>
            <wp:docPr id="8" name="Objet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71F6" w:rsidRPr="00F55C2A" w:rsidRDefault="004C71F6" w:rsidP="004C71F6">
      <w:pPr>
        <w:spacing w:line="360" w:lineRule="auto"/>
        <w:ind w:right="-74"/>
        <w:jc w:val="center"/>
        <w:rPr>
          <w:b/>
          <w:bCs/>
        </w:rPr>
      </w:pPr>
    </w:p>
    <w:p w:rsidR="004C71F6" w:rsidRPr="00E0621D" w:rsidRDefault="004C71F6" w:rsidP="004C71F6">
      <w:pPr>
        <w:spacing w:line="360" w:lineRule="auto"/>
        <w:ind w:right="-74"/>
        <w:jc w:val="center"/>
        <w:rPr>
          <w:b/>
          <w:bCs/>
          <w:sz w:val="30"/>
          <w:szCs w:val="30"/>
        </w:rPr>
      </w:pPr>
      <w:r w:rsidRPr="00E0621D">
        <w:rPr>
          <w:b/>
          <w:bCs/>
          <w:sz w:val="30"/>
          <w:szCs w:val="30"/>
        </w:rPr>
        <w:t>JUZGADO NOTARIAL</w:t>
      </w:r>
    </w:p>
    <w:p w:rsidR="004C71F6" w:rsidRPr="00F55C2A" w:rsidRDefault="004C71F6" w:rsidP="004C71F6">
      <w:pPr>
        <w:spacing w:line="360" w:lineRule="auto"/>
        <w:ind w:right="-74"/>
        <w:jc w:val="both"/>
        <w:rPr>
          <w:color w:val="000000"/>
          <w:sz w:val="28"/>
          <w:szCs w:val="28"/>
        </w:rPr>
      </w:pPr>
    </w:p>
    <w:p w:rsidR="004C71F6" w:rsidRPr="00F55C2A" w:rsidRDefault="004C71F6" w:rsidP="004C71F6">
      <w:pPr>
        <w:spacing w:line="360" w:lineRule="auto"/>
        <w:ind w:right="-74"/>
        <w:jc w:val="both"/>
        <w:rPr>
          <w:color w:val="000000"/>
          <w:sz w:val="28"/>
          <w:szCs w:val="28"/>
        </w:rPr>
      </w:pPr>
      <w:r w:rsidRPr="00F55C2A">
        <w:rPr>
          <w:color w:val="000000"/>
          <w:sz w:val="28"/>
          <w:szCs w:val="28"/>
        </w:rPr>
        <w:t>A continuación, se presentan los hechos más relevantes producto de la labor desarrollada por el Juzgado Notarial durante el 2015 y último quinquenio, no sin antes hacer algunas observaciones del proceso estadístico con el que se sustenta este análisis.</w:t>
      </w:r>
    </w:p>
    <w:p w:rsidR="004C71F6" w:rsidRPr="00F55C2A" w:rsidRDefault="004C71F6" w:rsidP="004C71F6">
      <w:pPr>
        <w:spacing w:line="360" w:lineRule="auto"/>
        <w:ind w:right="-74"/>
        <w:jc w:val="both"/>
        <w:rPr>
          <w:sz w:val="28"/>
          <w:szCs w:val="28"/>
          <w:lang w:val="es-MX"/>
        </w:rPr>
      </w:pPr>
    </w:p>
    <w:p w:rsidR="004C71F6" w:rsidRPr="00F55C2A" w:rsidRDefault="004C71F6" w:rsidP="004C71F6">
      <w:pPr>
        <w:spacing w:line="360" w:lineRule="auto"/>
        <w:ind w:right="-74"/>
        <w:jc w:val="both"/>
        <w:rPr>
          <w:sz w:val="28"/>
          <w:szCs w:val="28"/>
        </w:rPr>
      </w:pPr>
      <w:r>
        <w:rPr>
          <w:sz w:val="28"/>
          <w:szCs w:val="28"/>
          <w:lang w:val="es-MX"/>
        </w:rPr>
        <w:t xml:space="preserve">Los </w:t>
      </w:r>
      <w:r w:rsidRPr="00F55C2A">
        <w:rPr>
          <w:sz w:val="28"/>
          <w:szCs w:val="28"/>
          <w:lang w:val="es-MX"/>
        </w:rPr>
        <w:t xml:space="preserve">principales hallazgos encontrados y de seguido el detalle que los sustenta. </w:t>
      </w:r>
    </w:p>
    <w:p w:rsidR="004C71F6" w:rsidRPr="00F55C2A" w:rsidRDefault="004C71F6" w:rsidP="004C71F6">
      <w:pPr>
        <w:spacing w:line="360" w:lineRule="auto"/>
        <w:ind w:right="-74"/>
        <w:jc w:val="both"/>
        <w:rPr>
          <w:sz w:val="28"/>
          <w:szCs w:val="28"/>
        </w:rPr>
      </w:pPr>
    </w:p>
    <w:p w:rsidR="004C71F6" w:rsidRPr="00F55C2A" w:rsidRDefault="004C71F6" w:rsidP="004C71F6">
      <w:pPr>
        <w:numPr>
          <w:ilvl w:val="0"/>
          <w:numId w:val="19"/>
        </w:numPr>
        <w:tabs>
          <w:tab w:val="clear" w:pos="720"/>
        </w:tabs>
        <w:spacing w:line="360" w:lineRule="auto"/>
        <w:ind w:left="600" w:right="-74" w:hanging="600"/>
        <w:jc w:val="both"/>
        <w:rPr>
          <w:sz w:val="28"/>
          <w:szCs w:val="28"/>
        </w:rPr>
      </w:pPr>
      <w:r w:rsidRPr="00F55C2A">
        <w:rPr>
          <w:sz w:val="28"/>
          <w:szCs w:val="28"/>
          <w:lang w:val="es-MX"/>
        </w:rPr>
        <w:t>En este año, disminuye el volumen del nuevo ingreso de causas en el Juzgado Notarial respecto al 2014. Este fenómeno se enmarca dentro de la tendencia a la baja observada para los últimos años.</w:t>
      </w:r>
    </w:p>
    <w:p w:rsidR="004C71F6" w:rsidRPr="00F55C2A" w:rsidRDefault="004C71F6" w:rsidP="004C71F6">
      <w:pPr>
        <w:spacing w:line="360" w:lineRule="auto"/>
        <w:ind w:right="-74"/>
        <w:jc w:val="both"/>
        <w:rPr>
          <w:sz w:val="28"/>
          <w:szCs w:val="28"/>
        </w:rPr>
      </w:pPr>
    </w:p>
    <w:p w:rsidR="004C71F6" w:rsidRPr="00F55C2A" w:rsidRDefault="004C71F6" w:rsidP="004C71F6">
      <w:pPr>
        <w:numPr>
          <w:ilvl w:val="0"/>
          <w:numId w:val="19"/>
        </w:numPr>
        <w:tabs>
          <w:tab w:val="clear" w:pos="720"/>
        </w:tabs>
        <w:spacing w:line="360" w:lineRule="auto"/>
        <w:ind w:left="600" w:right="-74" w:hanging="600"/>
        <w:jc w:val="both"/>
        <w:rPr>
          <w:sz w:val="28"/>
          <w:szCs w:val="28"/>
        </w:rPr>
      </w:pPr>
      <w:r w:rsidRPr="00F55C2A">
        <w:rPr>
          <w:sz w:val="28"/>
          <w:szCs w:val="28"/>
          <w:lang w:val="es-MX"/>
        </w:rPr>
        <w:t xml:space="preserve">El volumen de casos terminados en el Juzgado Notarial decrece en el 2015 en relación con lo reportado en el período anual inmediatamente anterior. Tal valor anual reportado se encuentra dentro de una franja resolutiva que va de </w:t>
      </w:r>
      <w:r w:rsidRPr="00F55C2A">
        <w:rPr>
          <w:sz w:val="28"/>
          <w:szCs w:val="28"/>
        </w:rPr>
        <w:t>los 900 y los 1100 casos anuales desde el 2012.</w:t>
      </w:r>
    </w:p>
    <w:p w:rsidR="004C71F6" w:rsidRPr="00F55C2A" w:rsidRDefault="004C71F6" w:rsidP="004C71F6">
      <w:pPr>
        <w:spacing w:line="360" w:lineRule="auto"/>
        <w:ind w:right="-74"/>
        <w:jc w:val="both"/>
        <w:rPr>
          <w:sz w:val="28"/>
          <w:szCs w:val="28"/>
        </w:rPr>
      </w:pPr>
    </w:p>
    <w:p w:rsidR="004C71F6" w:rsidRPr="00F55C2A" w:rsidRDefault="004C71F6" w:rsidP="004C71F6">
      <w:pPr>
        <w:numPr>
          <w:ilvl w:val="0"/>
          <w:numId w:val="19"/>
        </w:numPr>
        <w:tabs>
          <w:tab w:val="clear" w:pos="720"/>
        </w:tabs>
        <w:spacing w:line="360" w:lineRule="auto"/>
        <w:ind w:left="600" w:right="-74" w:hanging="600"/>
        <w:jc w:val="both"/>
        <w:rPr>
          <w:sz w:val="28"/>
          <w:szCs w:val="28"/>
        </w:rPr>
      </w:pPr>
      <w:r w:rsidRPr="00F55C2A">
        <w:rPr>
          <w:sz w:val="28"/>
          <w:szCs w:val="28"/>
          <w:lang w:val="es-ES_tradnl"/>
        </w:rPr>
        <w:t>Se ha producido incremento en el tiempo de espera (antigüedad) de la existencia al finalizar el año.</w:t>
      </w:r>
    </w:p>
    <w:p w:rsidR="004C71F6" w:rsidRPr="00F55C2A" w:rsidRDefault="004C71F6" w:rsidP="004C71F6">
      <w:pPr>
        <w:spacing w:line="360" w:lineRule="auto"/>
        <w:ind w:right="-74"/>
        <w:jc w:val="both"/>
        <w:rPr>
          <w:sz w:val="28"/>
          <w:szCs w:val="28"/>
        </w:rPr>
      </w:pPr>
    </w:p>
    <w:p w:rsidR="004C71F6" w:rsidRPr="00F55C2A" w:rsidRDefault="004C71F6" w:rsidP="004C71F6">
      <w:pPr>
        <w:numPr>
          <w:ilvl w:val="0"/>
          <w:numId w:val="18"/>
        </w:numPr>
        <w:tabs>
          <w:tab w:val="clear" w:pos="720"/>
        </w:tabs>
        <w:spacing w:line="360" w:lineRule="auto"/>
        <w:ind w:left="600" w:right="-74" w:hanging="600"/>
        <w:jc w:val="both"/>
        <w:rPr>
          <w:b/>
          <w:bCs/>
          <w:sz w:val="28"/>
          <w:szCs w:val="28"/>
        </w:rPr>
      </w:pPr>
      <w:r w:rsidRPr="00F55C2A">
        <w:rPr>
          <w:b/>
          <w:bCs/>
          <w:sz w:val="28"/>
          <w:szCs w:val="28"/>
        </w:rPr>
        <w:t>INDICADORES DE GESTIÓN</w:t>
      </w:r>
    </w:p>
    <w:p w:rsidR="004C71F6" w:rsidRPr="00F55C2A" w:rsidRDefault="004C71F6" w:rsidP="004C71F6">
      <w:pPr>
        <w:spacing w:line="360" w:lineRule="auto"/>
        <w:jc w:val="both"/>
        <w:rPr>
          <w:sz w:val="28"/>
          <w:szCs w:val="28"/>
        </w:rPr>
      </w:pPr>
    </w:p>
    <w:p w:rsidR="004C71F6" w:rsidRPr="00F55C2A" w:rsidRDefault="004C71F6" w:rsidP="00D74FA4">
      <w:pPr>
        <w:spacing w:line="360" w:lineRule="auto"/>
        <w:jc w:val="both"/>
        <w:rPr>
          <w:sz w:val="28"/>
          <w:szCs w:val="28"/>
        </w:rPr>
      </w:pPr>
      <w:r w:rsidRPr="00F55C2A">
        <w:rPr>
          <w:sz w:val="28"/>
          <w:szCs w:val="28"/>
        </w:rPr>
        <w:t>En la siguiente tabla y gráficos se muestra la evolución de los indicadores judiciales (tasa de congestión</w:t>
      </w:r>
      <w:r w:rsidRPr="00F55C2A">
        <w:rPr>
          <w:rStyle w:val="Refdenotaalpie"/>
          <w:sz w:val="28"/>
          <w:szCs w:val="28"/>
        </w:rPr>
        <w:footnoteReference w:id="7"/>
      </w:r>
      <w:r w:rsidRPr="00F55C2A">
        <w:rPr>
          <w:sz w:val="28"/>
          <w:szCs w:val="28"/>
        </w:rPr>
        <w:t xml:space="preserve"> y los porcentajes de pendencia y de resolución</w:t>
      </w:r>
      <w:r w:rsidRPr="00F55C2A">
        <w:rPr>
          <w:rStyle w:val="Refdenotaalpie"/>
          <w:sz w:val="28"/>
          <w:szCs w:val="28"/>
        </w:rPr>
        <w:footnoteReference w:id="8"/>
      </w:r>
      <w:r w:rsidRPr="00F55C2A">
        <w:rPr>
          <w:sz w:val="28"/>
          <w:szCs w:val="28"/>
        </w:rPr>
        <w:t>), para los dos últimos años en el Juzgado Notarial.</w:t>
      </w:r>
    </w:p>
    <w:tbl>
      <w:tblPr>
        <w:tblW w:w="5620" w:type="dxa"/>
        <w:jc w:val="center"/>
        <w:tblCellMar>
          <w:left w:w="70" w:type="dxa"/>
          <w:right w:w="70" w:type="dxa"/>
        </w:tblCellMar>
        <w:tblLook w:val="0000" w:firstRow="0" w:lastRow="0" w:firstColumn="0" w:lastColumn="0" w:noHBand="0" w:noVBand="0"/>
      </w:tblPr>
      <w:tblGrid>
        <w:gridCol w:w="3220"/>
        <w:gridCol w:w="1200"/>
        <w:gridCol w:w="1200"/>
      </w:tblGrid>
      <w:tr w:rsidR="004C71F6" w:rsidRPr="00F55C2A" w:rsidTr="00B87330">
        <w:trPr>
          <w:trHeight w:val="750"/>
          <w:jc w:val="center"/>
        </w:trPr>
        <w:tc>
          <w:tcPr>
            <w:tcW w:w="3220" w:type="dxa"/>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lang w:val="es-ES"/>
              </w:rPr>
              <w:t>VARIABLES</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b/>
                <w:bCs/>
                <w:sz w:val="28"/>
                <w:szCs w:val="28"/>
                <w:u w:val="single"/>
                <w:lang w:val="es-ES"/>
              </w:rPr>
            </w:pPr>
            <w:r w:rsidRPr="00F55C2A">
              <w:rPr>
                <w:b/>
                <w:bCs/>
                <w:sz w:val="28"/>
                <w:szCs w:val="28"/>
                <w:u w:val="single"/>
                <w:lang w:val="es-ES"/>
              </w:rPr>
              <w:t>2014</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b/>
                <w:bCs/>
                <w:sz w:val="28"/>
                <w:szCs w:val="28"/>
                <w:u w:val="single"/>
                <w:lang w:val="es-ES"/>
              </w:rPr>
            </w:pPr>
            <w:r w:rsidRPr="00F55C2A">
              <w:rPr>
                <w:b/>
                <w:bCs/>
                <w:sz w:val="28"/>
                <w:szCs w:val="28"/>
                <w:u w:val="single"/>
                <w:lang w:val="es-ES"/>
              </w:rPr>
              <w:t>2015</w:t>
            </w:r>
          </w:p>
        </w:tc>
      </w:tr>
      <w:tr w:rsidR="004C71F6" w:rsidRPr="00F55C2A" w:rsidTr="00B87330">
        <w:trPr>
          <w:trHeight w:val="375"/>
          <w:jc w:val="center"/>
        </w:trPr>
        <w:tc>
          <w:tcPr>
            <w:tcW w:w="322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lastRenderedPageBreak/>
              <w:t>Circulante al inicio</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rPr>
              <w:t>3.124</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3.111</w:t>
            </w:r>
          </w:p>
        </w:tc>
      </w:tr>
      <w:tr w:rsidR="004C71F6" w:rsidRPr="00F55C2A" w:rsidTr="00B87330">
        <w:trPr>
          <w:trHeight w:val="375"/>
          <w:jc w:val="center"/>
        </w:trPr>
        <w:tc>
          <w:tcPr>
            <w:tcW w:w="322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Casos entrados</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rPr>
              <w:t>1.028</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929</w:t>
            </w:r>
          </w:p>
        </w:tc>
      </w:tr>
      <w:tr w:rsidR="004C71F6" w:rsidRPr="00F55C2A" w:rsidTr="00B87330">
        <w:trPr>
          <w:trHeight w:val="375"/>
          <w:jc w:val="center"/>
        </w:trPr>
        <w:tc>
          <w:tcPr>
            <w:tcW w:w="322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Casos reentrados</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rPr>
              <w:t>0</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90</w:t>
            </w:r>
          </w:p>
        </w:tc>
      </w:tr>
      <w:tr w:rsidR="004C71F6" w:rsidRPr="00F55C2A" w:rsidTr="00B87330">
        <w:trPr>
          <w:trHeight w:val="375"/>
          <w:jc w:val="center"/>
        </w:trPr>
        <w:tc>
          <w:tcPr>
            <w:tcW w:w="322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Casos inactivos</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0</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3</w:t>
            </w:r>
          </w:p>
        </w:tc>
      </w:tr>
      <w:tr w:rsidR="004C71F6" w:rsidRPr="00F55C2A" w:rsidTr="00B87330">
        <w:trPr>
          <w:trHeight w:val="375"/>
          <w:jc w:val="center"/>
        </w:trPr>
        <w:tc>
          <w:tcPr>
            <w:tcW w:w="322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Casos salidos</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rPr>
              <w:t>1.041</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962</w:t>
            </w:r>
          </w:p>
        </w:tc>
      </w:tr>
      <w:tr w:rsidR="004C71F6" w:rsidRPr="00F55C2A" w:rsidTr="00B87330">
        <w:trPr>
          <w:trHeight w:val="375"/>
          <w:jc w:val="center"/>
        </w:trPr>
        <w:tc>
          <w:tcPr>
            <w:tcW w:w="322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Circulante al finalizar</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rPr>
              <w:t>3.111</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3.165</w:t>
            </w:r>
          </w:p>
        </w:tc>
      </w:tr>
      <w:tr w:rsidR="004C71F6" w:rsidRPr="00F55C2A" w:rsidTr="00B87330">
        <w:trPr>
          <w:trHeight w:val="750"/>
          <w:jc w:val="center"/>
        </w:trPr>
        <w:tc>
          <w:tcPr>
            <w:tcW w:w="3220" w:type="dxa"/>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lang w:val="es-ES"/>
              </w:rPr>
              <w:t>INDICADORES</w:t>
            </w:r>
          </w:p>
        </w:tc>
        <w:tc>
          <w:tcPr>
            <w:tcW w:w="120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p>
        </w:tc>
        <w:tc>
          <w:tcPr>
            <w:tcW w:w="120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p>
        </w:tc>
      </w:tr>
      <w:tr w:rsidR="004C71F6" w:rsidRPr="00F55C2A" w:rsidTr="00B87330">
        <w:trPr>
          <w:trHeight w:val="375"/>
          <w:jc w:val="center"/>
        </w:trPr>
        <w:tc>
          <w:tcPr>
            <w:tcW w:w="322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Tasa de congestión</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rPr>
              <w:t>399</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430</w:t>
            </w:r>
          </w:p>
        </w:tc>
      </w:tr>
      <w:tr w:rsidR="004C71F6" w:rsidRPr="00F55C2A" w:rsidTr="00B87330">
        <w:trPr>
          <w:trHeight w:val="375"/>
          <w:jc w:val="center"/>
        </w:trPr>
        <w:tc>
          <w:tcPr>
            <w:tcW w:w="322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Porcentaje de pendencia</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rPr>
              <w:t>75%</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77%</w:t>
            </w:r>
          </w:p>
        </w:tc>
      </w:tr>
      <w:tr w:rsidR="004C71F6" w:rsidRPr="00F55C2A" w:rsidTr="00B87330">
        <w:trPr>
          <w:trHeight w:val="375"/>
          <w:jc w:val="center"/>
        </w:trPr>
        <w:tc>
          <w:tcPr>
            <w:tcW w:w="322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Porcentaje de resolución</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rPr>
              <w:t>25%</w:t>
            </w:r>
          </w:p>
        </w:tc>
        <w:tc>
          <w:tcPr>
            <w:tcW w:w="1200"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23%</w:t>
            </w:r>
          </w:p>
        </w:tc>
      </w:tr>
    </w:tbl>
    <w:p w:rsidR="004C71F6" w:rsidRPr="00F55C2A" w:rsidRDefault="004C71F6" w:rsidP="004C71F6">
      <w:pPr>
        <w:pStyle w:val="Textoindependiente3"/>
        <w:spacing w:line="360" w:lineRule="auto"/>
        <w:ind w:right="-74"/>
        <w:rPr>
          <w:rFonts w:ascii="Times New Roman" w:hAnsi="Times New Roman"/>
          <w:sz w:val="28"/>
          <w:szCs w:val="28"/>
        </w:rPr>
      </w:pPr>
    </w:p>
    <w:p w:rsidR="004C71F6" w:rsidRPr="00D74FA4" w:rsidRDefault="004C71F6" w:rsidP="004C71F6">
      <w:pPr>
        <w:pStyle w:val="Textoindependiente3"/>
        <w:spacing w:line="360" w:lineRule="auto"/>
        <w:ind w:right="-74"/>
        <w:rPr>
          <w:rFonts w:ascii="Times New Roman" w:hAnsi="Times New Roman"/>
          <w:sz w:val="28"/>
          <w:szCs w:val="28"/>
        </w:rPr>
      </w:pPr>
      <w:r w:rsidRPr="00F55C2A">
        <w:rPr>
          <w:rFonts w:ascii="Times New Roman" w:hAnsi="Times New Roman"/>
          <w:sz w:val="28"/>
          <w:szCs w:val="28"/>
        </w:rPr>
        <w:t xml:space="preserve">En el 2015, aumenta la tasa de congestión aumentó respecto al cálculo del 2014. En el 2015, para el Tribunal se tiene una Tasa de congestión de 430 casos que componen la carga de trabajo por cada 100 asuntos terminados; esto es, se requirió finiquitar 330 casos más por cada 100 casos terminados para que la existencia fuera nula o cercanamente nula; esto es, unos 3.165 expedientes adicionales al año o unos 264 más por mes. Un año antes, se requería haber finiquitado 299 asuntos más de la carga de trabajo por cada 100 casos finalizados para que la existencia fuera nula. Así en el 2015 se necesitaron finiquitar más casos por cada 100 terminados que el 2014 para alcanzar la meta de una existencia final nula o cercanamente nula. En el siguiente gráfico, se presenta el comportamiento de esta tasa desde el 2011. </w:t>
      </w:r>
    </w:p>
    <w:p w:rsidR="004C71F6" w:rsidRPr="00F55C2A" w:rsidRDefault="00A6644A" w:rsidP="004C71F6">
      <w:pPr>
        <w:pStyle w:val="Textoindependiente3"/>
        <w:spacing w:line="360" w:lineRule="auto"/>
        <w:ind w:right="-74"/>
        <w:jc w:val="center"/>
        <w:rPr>
          <w:rFonts w:ascii="Times New Roman" w:hAnsi="Times New Roman"/>
        </w:rPr>
      </w:pPr>
      <w:r>
        <w:rPr>
          <w:rFonts w:ascii="Times New Roman" w:hAnsi="Times New Roman"/>
          <w:noProof/>
          <w:lang w:val="es-CR" w:eastAsia="es-CR"/>
        </w:rPr>
        <w:lastRenderedPageBreak/>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2895600</wp:posOffset>
                </wp:positionV>
                <wp:extent cx="4038600" cy="228600"/>
                <wp:effectExtent l="3810" t="1905"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F4C" w:rsidRPr="00F74286" w:rsidRDefault="00267F4C" w:rsidP="004C71F6">
                            <w:pPr>
                              <w:jc w:val="both"/>
                            </w:pPr>
                            <w:r w:rsidRPr="00F74286">
                              <w:rPr>
                                <w:b/>
                                <w:bCs/>
                                <w:iCs/>
                              </w:rPr>
                              <w:t>Elaborado por:</w:t>
                            </w:r>
                            <w:r w:rsidRPr="00F74286">
                              <w:t xml:space="preserve"> Sección de Estadística, </w:t>
                            </w:r>
                            <w:r>
                              <w:t>Dirección</w:t>
                            </w:r>
                            <w:r w:rsidRPr="00F74286">
                              <w:t xml:space="preserve"> de Planificación.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42pt;margin-top:228pt;width:3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ijswIAALo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" filled="f" stroked="f">
                <v:textbox>
                  <w:txbxContent>
                    <w:p w:rsidR="00267F4C" w:rsidRPr="00F74286" w:rsidRDefault="00267F4C" w:rsidP="004C71F6">
                      <w:pPr>
                        <w:jc w:val="both"/>
                      </w:pPr>
                      <w:r w:rsidRPr="00F74286">
                        <w:rPr>
                          <w:b/>
                          <w:bCs/>
                          <w:iCs/>
                        </w:rPr>
                        <w:t>Elaborado por:</w:t>
                      </w:r>
                      <w:r w:rsidRPr="00F74286">
                        <w:t xml:space="preserve"> Sección de Estadística, </w:t>
                      </w:r>
                      <w:r>
                        <w:t>Dirección</w:t>
                      </w:r>
                      <w:r w:rsidRPr="00F74286">
                        <w:t xml:space="preserve"> de Planificación.</w:t>
                      </w:r>
                    </w:p>
                  </w:txbxContent>
                </v:textbox>
              </v:shape>
            </w:pict>
          </mc:Fallback>
        </mc:AlternateContent>
      </w:r>
      <w:r w:rsidR="006A2BFA">
        <w:rPr>
          <w:rFonts w:ascii="Times New Roman" w:hAnsi="Times New Roman"/>
          <w:noProof/>
          <w:lang w:val="es-CR" w:eastAsia="es-CR"/>
        </w:rPr>
        <w:drawing>
          <wp:inline distT="0" distB="0" distL="0" distR="0">
            <wp:extent cx="5050790" cy="3200400"/>
            <wp:effectExtent l="0" t="0" r="0" b="0"/>
            <wp:docPr id="9" name="Objet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71F6" w:rsidRPr="00F55C2A" w:rsidRDefault="004C71F6" w:rsidP="004C71F6">
      <w:pPr>
        <w:pStyle w:val="Textoindependiente3"/>
        <w:spacing w:line="360" w:lineRule="auto"/>
        <w:ind w:right="-74"/>
        <w:rPr>
          <w:rFonts w:ascii="Times New Roman" w:hAnsi="Times New Roman"/>
          <w:sz w:val="28"/>
          <w:szCs w:val="28"/>
        </w:rPr>
      </w:pPr>
    </w:p>
    <w:p w:rsidR="004C71F6" w:rsidRPr="00F55C2A" w:rsidRDefault="004C71F6" w:rsidP="004C71F6">
      <w:pPr>
        <w:spacing w:line="360" w:lineRule="auto"/>
        <w:jc w:val="both"/>
        <w:rPr>
          <w:sz w:val="28"/>
          <w:szCs w:val="28"/>
        </w:rPr>
      </w:pPr>
      <w:r w:rsidRPr="00F55C2A">
        <w:rPr>
          <w:sz w:val="28"/>
          <w:szCs w:val="28"/>
        </w:rPr>
        <w:t>Si bien tanto los volúmenes de casos entrados como los terminados disminuyeron, lo anterior, es consecuencia de que en nivel de finiquito se redujo más rápidamente que la caída del nuevo ingreso de asuntos al despacho. En el 2015, cae el porcentaje de resolución al 23% del 25% calculado para el 2014.  Consecuentemente, el porcentaje de pendencia o la porción de la carga de trabajo que se encontraba pendiente al finalizar año era de alrededor del 70% en el 2011 luego se incremente al 76% un año después, nivel del que no se ha podido bajar en forma significativa y para el 2015 llegó al 77%, sea casi ocho de cada 10 asuntos que se enfrentaron en el Juzgado Notarial quedaron pendientes</w:t>
      </w:r>
      <w:r w:rsidRPr="00F55C2A">
        <w:rPr>
          <w:sz w:val="28"/>
          <w:szCs w:val="28"/>
          <w:vertAlign w:val="superscript"/>
        </w:rPr>
        <w:t xml:space="preserve"> (</w:t>
      </w:r>
      <w:r w:rsidRPr="00F55C2A">
        <w:rPr>
          <w:rStyle w:val="Refdenotaalpie"/>
          <w:sz w:val="28"/>
          <w:szCs w:val="28"/>
        </w:rPr>
        <w:footnoteReference w:id="9"/>
      </w:r>
      <w:r w:rsidRPr="00F55C2A">
        <w:rPr>
          <w:sz w:val="28"/>
          <w:szCs w:val="28"/>
          <w:vertAlign w:val="superscript"/>
        </w:rPr>
        <w:t>)</w:t>
      </w:r>
      <w:r w:rsidRPr="00F55C2A">
        <w:rPr>
          <w:sz w:val="28"/>
          <w:szCs w:val="28"/>
        </w:rPr>
        <w:t>. En la siguiente gráfica se muestra la evolución histórica de los porcentajes de pendencia y resolución para esta oficina judicial.</w:t>
      </w:r>
    </w:p>
    <w:p w:rsidR="004C71F6" w:rsidRPr="00F55C2A" w:rsidRDefault="004C71F6" w:rsidP="004C71F6">
      <w:pPr>
        <w:pStyle w:val="Textoindependiente3"/>
        <w:spacing w:line="360" w:lineRule="auto"/>
        <w:ind w:right="-74"/>
        <w:rPr>
          <w:rFonts w:ascii="Times New Roman" w:hAnsi="Times New Roman"/>
          <w:sz w:val="28"/>
          <w:szCs w:val="28"/>
        </w:rPr>
      </w:pPr>
    </w:p>
    <w:p w:rsidR="004C71F6" w:rsidRPr="00F55C2A" w:rsidRDefault="006A2BFA" w:rsidP="004C71F6">
      <w:pPr>
        <w:spacing w:line="360" w:lineRule="auto"/>
        <w:ind w:right="-74"/>
        <w:jc w:val="center"/>
        <w:rPr>
          <w:sz w:val="32"/>
          <w:szCs w:val="32"/>
        </w:rPr>
      </w:pPr>
      <w:r>
        <w:rPr>
          <w:noProof/>
          <w:lang w:eastAsia="es-CR"/>
        </w:rPr>
        <w:drawing>
          <wp:inline distT="0" distB="0" distL="0" distR="0">
            <wp:extent cx="4881245" cy="3126105"/>
            <wp:effectExtent l="0" t="0" r="0" b="0"/>
            <wp:docPr id="10" name="Objet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71F6" w:rsidRPr="00F55C2A" w:rsidRDefault="004C71F6" w:rsidP="004C71F6">
      <w:pPr>
        <w:spacing w:line="360" w:lineRule="auto"/>
        <w:ind w:right="-74"/>
        <w:rPr>
          <w:sz w:val="16"/>
          <w:szCs w:val="16"/>
        </w:rPr>
      </w:pPr>
    </w:p>
    <w:p w:rsidR="004C71F6" w:rsidRPr="00F55C2A" w:rsidRDefault="004C71F6" w:rsidP="004C71F6">
      <w:pPr>
        <w:spacing w:line="360" w:lineRule="auto"/>
        <w:ind w:right="-74"/>
        <w:rPr>
          <w:sz w:val="16"/>
          <w:szCs w:val="16"/>
        </w:rPr>
      </w:pPr>
    </w:p>
    <w:p w:rsidR="004C71F6" w:rsidRPr="00F55C2A" w:rsidRDefault="004C71F6" w:rsidP="004C71F6">
      <w:pPr>
        <w:tabs>
          <w:tab w:val="left" w:pos="600"/>
        </w:tabs>
        <w:spacing w:line="360" w:lineRule="auto"/>
        <w:ind w:right="-74"/>
        <w:rPr>
          <w:b/>
          <w:bCs/>
          <w:sz w:val="28"/>
          <w:szCs w:val="28"/>
        </w:rPr>
      </w:pPr>
      <w:r w:rsidRPr="00F55C2A">
        <w:rPr>
          <w:b/>
          <w:bCs/>
          <w:sz w:val="28"/>
          <w:szCs w:val="28"/>
        </w:rPr>
        <w:t>VI.</w:t>
      </w:r>
      <w:r w:rsidRPr="00F55C2A">
        <w:rPr>
          <w:b/>
          <w:bCs/>
          <w:sz w:val="28"/>
          <w:szCs w:val="28"/>
        </w:rPr>
        <w:tab/>
        <w:t>CASOS ENTRADOS</w:t>
      </w:r>
    </w:p>
    <w:p w:rsidR="004C71F6" w:rsidRPr="00F55C2A" w:rsidRDefault="004C71F6" w:rsidP="004C71F6">
      <w:pPr>
        <w:pStyle w:val="Textoindependiente3"/>
        <w:spacing w:line="360" w:lineRule="auto"/>
        <w:ind w:right="-74"/>
        <w:rPr>
          <w:rFonts w:ascii="Times New Roman" w:hAnsi="Times New Roman"/>
          <w:sz w:val="22"/>
          <w:szCs w:val="22"/>
          <w:lang w:val="es-MX"/>
        </w:rPr>
      </w:pPr>
    </w:p>
    <w:p w:rsidR="004C71F6" w:rsidRPr="00F55C2A" w:rsidRDefault="004C71F6" w:rsidP="004C71F6">
      <w:pPr>
        <w:pStyle w:val="Textoindependiente3"/>
        <w:spacing w:line="360" w:lineRule="auto"/>
        <w:ind w:right="-74"/>
        <w:rPr>
          <w:rFonts w:ascii="Times New Roman" w:hAnsi="Times New Roman"/>
          <w:sz w:val="28"/>
          <w:szCs w:val="28"/>
          <w:lang w:val="es-MX"/>
        </w:rPr>
      </w:pPr>
      <w:r w:rsidRPr="00F55C2A">
        <w:rPr>
          <w:rFonts w:ascii="Times New Roman" w:hAnsi="Times New Roman"/>
          <w:sz w:val="28"/>
          <w:szCs w:val="28"/>
          <w:lang w:val="es-MX"/>
        </w:rPr>
        <w:t>Con todo y los altibajos registrados, la tendencia seguida por el volumen de casos entrados al Juzgado Notarial, es hacia la baja. Esto se puede apreciar en el gráfico siguiente, en donde se ha enfatizado la tendencia mediante una caja de variación. Si bien el dato para el 2015 (</w:t>
      </w:r>
      <w:r w:rsidRPr="00F55C2A">
        <w:rPr>
          <w:rFonts w:ascii="Times New Roman" w:hAnsi="Times New Roman"/>
          <w:b/>
          <w:sz w:val="28"/>
          <w:szCs w:val="28"/>
          <w:lang w:val="es-MX"/>
        </w:rPr>
        <w:t>929</w:t>
      </w:r>
      <w:r w:rsidRPr="00F55C2A">
        <w:rPr>
          <w:rFonts w:ascii="Times New Roman" w:hAnsi="Times New Roman"/>
          <w:sz w:val="28"/>
          <w:szCs w:val="28"/>
          <w:lang w:val="es-MX"/>
        </w:rPr>
        <w:t xml:space="preserve"> casos nuevos), no es tan bajo como el reportado para el 2013 (</w:t>
      </w:r>
      <w:r w:rsidRPr="00F55C2A">
        <w:rPr>
          <w:rFonts w:ascii="Times New Roman" w:hAnsi="Times New Roman"/>
          <w:b/>
          <w:sz w:val="28"/>
          <w:szCs w:val="28"/>
          <w:lang w:val="es-MX"/>
        </w:rPr>
        <w:t>914</w:t>
      </w:r>
      <w:r w:rsidRPr="00F55C2A">
        <w:rPr>
          <w:rFonts w:ascii="Times New Roman" w:hAnsi="Times New Roman"/>
          <w:sz w:val="28"/>
          <w:szCs w:val="28"/>
          <w:lang w:val="es-MX"/>
        </w:rPr>
        <w:t xml:space="preserve"> expedientes), la reducción observada respecto al 2014 de </w:t>
      </w:r>
      <w:r w:rsidRPr="00F55C2A">
        <w:rPr>
          <w:rFonts w:ascii="Times New Roman" w:hAnsi="Times New Roman"/>
          <w:b/>
          <w:sz w:val="28"/>
          <w:szCs w:val="28"/>
          <w:lang w:val="es-MX"/>
        </w:rPr>
        <w:t xml:space="preserve">9,6% </w:t>
      </w:r>
      <w:r w:rsidRPr="00F55C2A">
        <w:rPr>
          <w:rFonts w:ascii="Times New Roman" w:hAnsi="Times New Roman"/>
          <w:sz w:val="28"/>
          <w:szCs w:val="28"/>
          <w:lang w:val="es-MX"/>
        </w:rPr>
        <w:t xml:space="preserve">(casi una décima parte) mantiene el comportamiento a la disminución gradual de la variable apreciado desde el 2011. </w:t>
      </w:r>
    </w:p>
    <w:p w:rsidR="004C71F6" w:rsidRPr="00F55C2A" w:rsidRDefault="004C71F6" w:rsidP="004C71F6">
      <w:pPr>
        <w:pStyle w:val="Textoindependiente3"/>
        <w:spacing w:line="360" w:lineRule="auto"/>
        <w:ind w:right="-74"/>
        <w:rPr>
          <w:rFonts w:ascii="Times New Roman" w:hAnsi="Times New Roman"/>
          <w:sz w:val="28"/>
          <w:szCs w:val="28"/>
          <w:lang w:val="es-MX"/>
        </w:rPr>
      </w:pPr>
    </w:p>
    <w:p w:rsidR="004C71F6" w:rsidRPr="00F55C2A" w:rsidRDefault="004C71F6" w:rsidP="004C71F6">
      <w:pPr>
        <w:pStyle w:val="Textoindependiente3"/>
        <w:spacing w:line="360" w:lineRule="auto"/>
        <w:ind w:right="-74"/>
        <w:rPr>
          <w:rFonts w:ascii="Times New Roman" w:hAnsi="Times New Roman"/>
          <w:sz w:val="18"/>
          <w:szCs w:val="18"/>
          <w:lang w:val="es-MX"/>
        </w:rPr>
      </w:pPr>
    </w:p>
    <w:p w:rsidR="004C71F6" w:rsidRPr="00F55C2A" w:rsidRDefault="006A2BFA" w:rsidP="004C71F6">
      <w:pPr>
        <w:spacing w:line="360" w:lineRule="auto"/>
        <w:ind w:right="-74"/>
        <w:jc w:val="center"/>
        <w:rPr>
          <w:sz w:val="32"/>
          <w:szCs w:val="32"/>
          <w:lang w:val="es-MX"/>
        </w:rPr>
      </w:pPr>
      <w:r>
        <w:rPr>
          <w:noProof/>
          <w:sz w:val="32"/>
          <w:szCs w:val="32"/>
          <w:lang w:eastAsia="es-CR"/>
        </w:rPr>
        <w:lastRenderedPageBreak/>
        <w:drawing>
          <wp:inline distT="0" distB="0" distL="0" distR="0">
            <wp:extent cx="4963795" cy="3278505"/>
            <wp:effectExtent l="0" t="0" r="0" b="0"/>
            <wp:docPr id="11"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71F6" w:rsidRPr="00F55C2A" w:rsidRDefault="004C71F6" w:rsidP="004C71F6">
      <w:pPr>
        <w:spacing w:line="360" w:lineRule="auto"/>
        <w:ind w:right="-74"/>
        <w:rPr>
          <w:lang w:val="es-MX"/>
        </w:rPr>
      </w:pPr>
    </w:p>
    <w:p w:rsidR="004C71F6" w:rsidRPr="00F55C2A" w:rsidRDefault="004C71F6" w:rsidP="004C71F6">
      <w:pPr>
        <w:pStyle w:val="Textoindependiente3"/>
        <w:spacing w:line="360" w:lineRule="auto"/>
        <w:ind w:right="-74"/>
        <w:rPr>
          <w:rFonts w:ascii="Times New Roman" w:hAnsi="Times New Roman"/>
          <w:b/>
          <w:bCs/>
          <w:sz w:val="28"/>
          <w:szCs w:val="28"/>
          <w:lang w:val="es-MX"/>
        </w:rPr>
      </w:pPr>
      <w:r w:rsidRPr="00F55C2A">
        <w:rPr>
          <w:rFonts w:ascii="Times New Roman" w:hAnsi="Times New Roman"/>
          <w:b/>
          <w:bCs/>
          <w:sz w:val="28"/>
          <w:szCs w:val="28"/>
        </w:rPr>
        <w:t>VII.</w:t>
      </w:r>
      <w:r w:rsidRPr="00F55C2A">
        <w:rPr>
          <w:rFonts w:ascii="Times New Roman" w:hAnsi="Times New Roman"/>
          <w:b/>
          <w:bCs/>
          <w:sz w:val="28"/>
          <w:szCs w:val="28"/>
        </w:rPr>
        <w:tab/>
        <w:t xml:space="preserve"> CASOS TERMINADOS</w:t>
      </w:r>
    </w:p>
    <w:p w:rsidR="004C71F6" w:rsidRPr="00F55C2A" w:rsidRDefault="004C71F6" w:rsidP="004C71F6">
      <w:pPr>
        <w:tabs>
          <w:tab w:val="left" w:pos="600"/>
        </w:tabs>
        <w:spacing w:line="360" w:lineRule="auto"/>
        <w:ind w:right="-74"/>
        <w:rPr>
          <w:b/>
          <w:bCs/>
          <w:sz w:val="28"/>
          <w:szCs w:val="28"/>
          <w:lang w:val="es-MX"/>
        </w:rPr>
      </w:pPr>
    </w:p>
    <w:p w:rsidR="004C71F6" w:rsidRPr="00F55C2A" w:rsidRDefault="004C71F6" w:rsidP="004C71F6">
      <w:pPr>
        <w:spacing w:line="360" w:lineRule="auto"/>
        <w:jc w:val="both"/>
        <w:rPr>
          <w:sz w:val="28"/>
          <w:szCs w:val="28"/>
        </w:rPr>
      </w:pPr>
      <w:r w:rsidRPr="00F55C2A">
        <w:rPr>
          <w:sz w:val="28"/>
          <w:szCs w:val="28"/>
        </w:rPr>
        <w:t xml:space="preserve">El volumen de casos terminados de este año se enmarca en una relativa estabilidad estadística. Como se resalta en la gráfica siguiente mediante una caja de variación, en los últimos cuatro años el volumen anual de finiquito se ubica entre los 900 y los 1100 casos. En específico, en el 2015 se finiquitaron en el Juzgado Notarial </w:t>
      </w:r>
      <w:r w:rsidRPr="00F55C2A">
        <w:rPr>
          <w:b/>
          <w:sz w:val="28"/>
          <w:szCs w:val="28"/>
        </w:rPr>
        <w:t>962</w:t>
      </w:r>
      <w:r w:rsidRPr="00F55C2A">
        <w:rPr>
          <w:sz w:val="28"/>
          <w:szCs w:val="28"/>
        </w:rPr>
        <w:t xml:space="preserve"> asuntos; </w:t>
      </w:r>
      <w:r w:rsidRPr="00F55C2A">
        <w:rPr>
          <w:b/>
          <w:sz w:val="28"/>
          <w:szCs w:val="28"/>
        </w:rPr>
        <w:t>79</w:t>
      </w:r>
      <w:r w:rsidRPr="00F55C2A">
        <w:rPr>
          <w:sz w:val="28"/>
          <w:szCs w:val="28"/>
        </w:rPr>
        <w:t xml:space="preserve"> menos que el año inmediatamente anterior lo que significa que el dato de este año es casi </w:t>
      </w:r>
      <w:r w:rsidRPr="00F55C2A">
        <w:rPr>
          <w:b/>
          <w:sz w:val="28"/>
          <w:szCs w:val="28"/>
        </w:rPr>
        <w:t>8%</w:t>
      </w:r>
      <w:r w:rsidRPr="00F55C2A">
        <w:rPr>
          <w:sz w:val="28"/>
          <w:szCs w:val="28"/>
        </w:rPr>
        <w:t xml:space="preserve"> más bajo que el dato del 2014 cuando se finiquitaron </w:t>
      </w:r>
      <w:r w:rsidRPr="00F55C2A">
        <w:rPr>
          <w:b/>
          <w:sz w:val="28"/>
          <w:szCs w:val="28"/>
        </w:rPr>
        <w:t>1.041</w:t>
      </w:r>
      <w:r w:rsidRPr="00F55C2A">
        <w:rPr>
          <w:sz w:val="28"/>
          <w:szCs w:val="28"/>
        </w:rPr>
        <w:t xml:space="preserve"> expedientes.</w:t>
      </w:r>
    </w:p>
    <w:p w:rsidR="004C71F6" w:rsidRPr="00F55C2A" w:rsidRDefault="004C71F6" w:rsidP="004C71F6">
      <w:pPr>
        <w:spacing w:line="360" w:lineRule="auto"/>
        <w:jc w:val="both"/>
        <w:rPr>
          <w:sz w:val="28"/>
          <w:szCs w:val="28"/>
        </w:rPr>
      </w:pPr>
    </w:p>
    <w:p w:rsidR="004C71F6" w:rsidRPr="00F55C2A" w:rsidRDefault="006A2BFA" w:rsidP="004C71F6">
      <w:pPr>
        <w:spacing w:line="360" w:lineRule="auto"/>
        <w:jc w:val="center"/>
        <w:rPr>
          <w:sz w:val="28"/>
          <w:szCs w:val="28"/>
        </w:rPr>
      </w:pPr>
      <w:r>
        <w:rPr>
          <w:noProof/>
          <w:sz w:val="28"/>
          <w:szCs w:val="28"/>
          <w:lang w:eastAsia="es-CR"/>
        </w:rPr>
        <w:lastRenderedPageBreak/>
        <w:drawing>
          <wp:inline distT="0" distB="0" distL="0" distR="0">
            <wp:extent cx="5094605" cy="3653155"/>
            <wp:effectExtent l="0" t="0" r="0" b="0"/>
            <wp:docPr id="12" name="Objet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C71F6" w:rsidRPr="00F55C2A" w:rsidRDefault="004C71F6" w:rsidP="004C71F6">
      <w:pPr>
        <w:spacing w:line="360" w:lineRule="auto"/>
        <w:ind w:right="-74"/>
        <w:jc w:val="both"/>
        <w:rPr>
          <w:b/>
          <w:bCs/>
          <w:sz w:val="28"/>
          <w:szCs w:val="28"/>
          <w:lang w:val="es-MX"/>
        </w:rPr>
      </w:pPr>
    </w:p>
    <w:p w:rsidR="004C71F6" w:rsidRPr="00F55C2A" w:rsidRDefault="004C71F6" w:rsidP="004C71F6">
      <w:pPr>
        <w:spacing w:line="360" w:lineRule="auto"/>
        <w:ind w:left="600" w:right="-74" w:hanging="600"/>
        <w:jc w:val="both"/>
        <w:rPr>
          <w:b/>
          <w:bCs/>
          <w:sz w:val="28"/>
          <w:szCs w:val="28"/>
          <w:lang w:val="es-MX"/>
        </w:rPr>
      </w:pPr>
      <w:r w:rsidRPr="00F55C2A">
        <w:rPr>
          <w:b/>
          <w:bCs/>
          <w:sz w:val="28"/>
          <w:szCs w:val="28"/>
          <w:lang w:val="es-MX"/>
        </w:rPr>
        <w:t>7.1.</w:t>
      </w:r>
      <w:r w:rsidRPr="00F55C2A">
        <w:rPr>
          <w:b/>
          <w:bCs/>
          <w:sz w:val="28"/>
          <w:szCs w:val="28"/>
          <w:lang w:val="es-MX"/>
        </w:rPr>
        <w:tab/>
        <w:t>Casos terminados según motivo</w:t>
      </w:r>
    </w:p>
    <w:p w:rsidR="004C71F6" w:rsidRPr="00F55C2A" w:rsidRDefault="004C71F6" w:rsidP="004C71F6">
      <w:pPr>
        <w:spacing w:line="360" w:lineRule="auto"/>
        <w:ind w:left="600" w:right="-74" w:hanging="600"/>
        <w:jc w:val="both"/>
        <w:rPr>
          <w:b/>
          <w:bCs/>
          <w:lang w:val="es-MX"/>
        </w:rPr>
      </w:pPr>
    </w:p>
    <w:p w:rsidR="00D74FA4" w:rsidRPr="00F55C2A" w:rsidRDefault="004C71F6" w:rsidP="004C71F6">
      <w:pPr>
        <w:spacing w:line="360" w:lineRule="auto"/>
        <w:ind w:right="-74"/>
        <w:jc w:val="both"/>
        <w:rPr>
          <w:sz w:val="28"/>
          <w:szCs w:val="28"/>
          <w:lang w:val="es-MX"/>
        </w:rPr>
      </w:pPr>
      <w:r w:rsidRPr="00F55C2A">
        <w:rPr>
          <w:sz w:val="28"/>
          <w:szCs w:val="28"/>
          <w:lang w:val="es-MX"/>
        </w:rPr>
        <w:t>En los datos estadísticos de los casos terminados según motivo se confunden los momentos de contabilización de las sanciones debido a que se reporta lo concluido en la etapa de demostrativa con la de ejecución. Las modalidades de finiquito “por cumplimiento de sanción”, “</w:t>
      </w:r>
      <w:r w:rsidRPr="00F55C2A">
        <w:rPr>
          <w:sz w:val="28"/>
          <w:szCs w:val="28"/>
          <w:lang w:val="es-ES"/>
        </w:rPr>
        <w:t>Por incumplimiento del actor /actora” y “Por conciliación cumplida”</w:t>
      </w:r>
      <w:r w:rsidRPr="00F55C2A">
        <w:rPr>
          <w:sz w:val="28"/>
          <w:szCs w:val="28"/>
          <w:lang w:val="es-MX"/>
        </w:rPr>
        <w:t xml:space="preserve"> requirieron en un momento anterior de una sentencia en la que se determinó que </w:t>
      </w:r>
      <w:r>
        <w:rPr>
          <w:sz w:val="28"/>
          <w:szCs w:val="28"/>
          <w:lang w:val="es-MX"/>
        </w:rPr>
        <w:t>la profesional o el</w:t>
      </w:r>
      <w:r w:rsidRPr="00F55C2A">
        <w:rPr>
          <w:sz w:val="28"/>
          <w:szCs w:val="28"/>
          <w:lang w:val="es-MX"/>
        </w:rPr>
        <w:t xml:space="preserve"> profesional en notariado debía castigarse y el tipo la sanción a recibir o el acuerdo a cumplir, iniciándose una etapa de ejecución en la cual se determinará si se cumplió o no. Así se presenta una doble contabilidad histórica en los casos terminados. Esta dificultad se corregirá para los datos del 2016. </w:t>
      </w:r>
    </w:p>
    <w:p w:rsidR="004C71F6" w:rsidRPr="00F55C2A" w:rsidRDefault="004C71F6" w:rsidP="004C71F6">
      <w:pPr>
        <w:spacing w:line="360" w:lineRule="auto"/>
        <w:ind w:right="-74"/>
        <w:jc w:val="both"/>
        <w:rPr>
          <w:sz w:val="28"/>
          <w:szCs w:val="28"/>
          <w:lang w:val="es-MX"/>
        </w:rPr>
      </w:pPr>
      <w:r w:rsidRPr="00F55C2A">
        <w:rPr>
          <w:sz w:val="28"/>
          <w:szCs w:val="28"/>
          <w:lang w:val="es-MX"/>
        </w:rPr>
        <w:lastRenderedPageBreak/>
        <w:t xml:space="preserve">No obstante, lo anterior, en la siguiente tabla se presentan la información reportada desde el Juzgado Notarial y se ha separado los motivos de términos de acuerdo a la “etapa procesal” a la que pertenecen; de los 962 asuntos terminados, </w:t>
      </w:r>
      <w:r w:rsidRPr="00F55C2A">
        <w:rPr>
          <w:b/>
          <w:sz w:val="28"/>
          <w:szCs w:val="28"/>
          <w:lang w:val="es-MX"/>
        </w:rPr>
        <w:t>715</w:t>
      </w:r>
      <w:r w:rsidRPr="00F55C2A">
        <w:rPr>
          <w:sz w:val="28"/>
          <w:szCs w:val="28"/>
          <w:lang w:val="es-MX"/>
        </w:rPr>
        <w:t xml:space="preserve"> corresponden a expedientes concluidos en la etapa de conocimiento y </w:t>
      </w:r>
      <w:r w:rsidRPr="00F55C2A">
        <w:rPr>
          <w:b/>
          <w:sz w:val="28"/>
          <w:szCs w:val="28"/>
          <w:lang w:val="es-MX"/>
        </w:rPr>
        <w:t>247</w:t>
      </w:r>
      <w:r w:rsidRPr="00F55C2A">
        <w:rPr>
          <w:sz w:val="28"/>
          <w:szCs w:val="28"/>
          <w:lang w:val="es-MX"/>
        </w:rPr>
        <w:t xml:space="preserve"> que se reportan como finalización en la etapa de ejecución de la sanción. En tal distribución los casos terminados, para la “etapa de conocimiento” destacan las sentencias con y sin lugar que conglomeran el </w:t>
      </w:r>
      <w:r w:rsidRPr="00F55C2A">
        <w:rPr>
          <w:b/>
          <w:sz w:val="28"/>
          <w:szCs w:val="28"/>
          <w:lang w:val="es-MX"/>
        </w:rPr>
        <w:t>41%</w:t>
      </w:r>
      <w:r w:rsidRPr="00F55C2A">
        <w:rPr>
          <w:sz w:val="28"/>
          <w:szCs w:val="28"/>
          <w:lang w:val="es-MX"/>
        </w:rPr>
        <w:t xml:space="preserve"> de todo lo dictado (</w:t>
      </w:r>
      <w:r w:rsidRPr="00F55C2A">
        <w:rPr>
          <w:b/>
          <w:sz w:val="28"/>
          <w:szCs w:val="28"/>
          <w:lang w:val="es-MX"/>
        </w:rPr>
        <w:t>25%</w:t>
      </w:r>
      <w:r w:rsidRPr="00F55C2A">
        <w:rPr>
          <w:sz w:val="28"/>
          <w:szCs w:val="28"/>
          <w:lang w:val="es-MX"/>
        </w:rPr>
        <w:t xml:space="preserve"> en sentencias con lugar, </w:t>
      </w:r>
      <w:r w:rsidRPr="00F55C2A">
        <w:rPr>
          <w:b/>
          <w:sz w:val="28"/>
          <w:szCs w:val="28"/>
          <w:lang w:val="es-MX"/>
        </w:rPr>
        <w:t>16%</w:t>
      </w:r>
      <w:r w:rsidRPr="00F55C2A">
        <w:rPr>
          <w:sz w:val="28"/>
          <w:szCs w:val="28"/>
          <w:lang w:val="es-MX"/>
        </w:rPr>
        <w:t xml:space="preserve"> sin lugar. Por otra parte, en la etapa de ejecución resalta el </w:t>
      </w:r>
      <w:r w:rsidRPr="00F55C2A">
        <w:rPr>
          <w:b/>
          <w:sz w:val="28"/>
          <w:szCs w:val="28"/>
          <w:lang w:val="es-MX"/>
        </w:rPr>
        <w:t>20%</w:t>
      </w:r>
      <w:r w:rsidRPr="00F55C2A">
        <w:rPr>
          <w:sz w:val="28"/>
          <w:szCs w:val="28"/>
          <w:lang w:val="es-MX"/>
        </w:rPr>
        <w:t xml:space="preserve"> por cumplimiento de la sanción. </w:t>
      </w:r>
    </w:p>
    <w:p w:rsidR="004C71F6" w:rsidRDefault="004C71F6" w:rsidP="004C71F6">
      <w:pPr>
        <w:spacing w:line="360" w:lineRule="auto"/>
        <w:ind w:right="-74"/>
        <w:jc w:val="both"/>
        <w:rPr>
          <w:b/>
          <w:bCs/>
        </w:rPr>
      </w:pPr>
    </w:p>
    <w:p w:rsidR="00D74FA4" w:rsidRPr="00F55C2A" w:rsidRDefault="00D74FA4" w:rsidP="004C71F6">
      <w:pPr>
        <w:spacing w:line="360" w:lineRule="auto"/>
        <w:ind w:right="-74"/>
        <w:jc w:val="both"/>
        <w:rPr>
          <w:b/>
          <w:bCs/>
        </w:rPr>
      </w:pPr>
    </w:p>
    <w:tbl>
      <w:tblPr>
        <w:tblW w:w="7220" w:type="dxa"/>
        <w:jc w:val="center"/>
        <w:tblCellMar>
          <w:left w:w="70" w:type="dxa"/>
          <w:right w:w="70" w:type="dxa"/>
        </w:tblCellMar>
        <w:tblLook w:val="04A0" w:firstRow="1" w:lastRow="0" w:firstColumn="1" w:lastColumn="0" w:noHBand="0" w:noVBand="1"/>
      </w:tblPr>
      <w:tblGrid>
        <w:gridCol w:w="4419"/>
        <w:gridCol w:w="1261"/>
        <w:gridCol w:w="1540"/>
      </w:tblGrid>
      <w:tr w:rsidR="004C71F6" w:rsidRPr="00701D22" w:rsidTr="00B87330">
        <w:trPr>
          <w:trHeight w:val="375"/>
          <w:jc w:val="center"/>
        </w:trPr>
        <w:tc>
          <w:tcPr>
            <w:tcW w:w="7220" w:type="dxa"/>
            <w:gridSpan w:val="3"/>
            <w:tcBorders>
              <w:top w:val="nil"/>
              <w:left w:val="nil"/>
              <w:bottom w:val="nil"/>
              <w:right w:val="nil"/>
            </w:tcBorders>
            <w:shd w:val="clear" w:color="000000" w:fill="FFEB9C"/>
            <w:vAlign w:val="center"/>
            <w:hideMark/>
          </w:tcPr>
          <w:p w:rsidR="004C71F6" w:rsidRPr="00701D22" w:rsidRDefault="004C71F6" w:rsidP="00B87330">
            <w:pPr>
              <w:jc w:val="center"/>
              <w:rPr>
                <w:b/>
                <w:bCs/>
                <w:color w:val="000000"/>
                <w:sz w:val="28"/>
                <w:szCs w:val="28"/>
                <w:lang w:eastAsia="es-CR"/>
              </w:rPr>
            </w:pPr>
            <w:r w:rsidRPr="00701D22">
              <w:rPr>
                <w:b/>
                <w:bCs/>
                <w:color w:val="000000"/>
                <w:sz w:val="28"/>
                <w:szCs w:val="28"/>
                <w:lang w:eastAsia="es-CR"/>
              </w:rPr>
              <w:t>Casos terminados</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jc w:val="center"/>
              <w:rPr>
                <w:b/>
                <w:bCs/>
                <w:sz w:val="28"/>
                <w:szCs w:val="28"/>
                <w:u w:val="single"/>
                <w:lang w:eastAsia="es-CR"/>
              </w:rPr>
            </w:pPr>
            <w:r w:rsidRPr="00701D22">
              <w:rPr>
                <w:b/>
                <w:bCs/>
                <w:sz w:val="28"/>
                <w:szCs w:val="28"/>
                <w:u w:val="single"/>
                <w:lang w:eastAsia="es-CR"/>
              </w:rPr>
              <w:t>Motivo de término</w:t>
            </w:r>
          </w:p>
        </w:tc>
        <w:tc>
          <w:tcPr>
            <w:tcW w:w="1260" w:type="dxa"/>
            <w:tcBorders>
              <w:top w:val="nil"/>
              <w:left w:val="nil"/>
              <w:bottom w:val="nil"/>
              <w:right w:val="nil"/>
            </w:tcBorders>
            <w:shd w:val="clear" w:color="auto" w:fill="auto"/>
            <w:vAlign w:val="center"/>
            <w:hideMark/>
          </w:tcPr>
          <w:p w:rsidR="004C71F6" w:rsidRPr="00701D22" w:rsidRDefault="004C71F6" w:rsidP="00B87330">
            <w:pPr>
              <w:jc w:val="center"/>
              <w:rPr>
                <w:b/>
                <w:bCs/>
                <w:sz w:val="28"/>
                <w:szCs w:val="28"/>
                <w:u w:val="single"/>
                <w:lang w:eastAsia="es-CR"/>
              </w:rPr>
            </w:pPr>
            <w:r w:rsidRPr="00701D22">
              <w:rPr>
                <w:b/>
                <w:bCs/>
                <w:sz w:val="28"/>
                <w:szCs w:val="28"/>
                <w:u w:val="single"/>
                <w:lang w:eastAsia="es-CR"/>
              </w:rPr>
              <w:t>Cantidad</w:t>
            </w:r>
          </w:p>
        </w:tc>
        <w:tc>
          <w:tcPr>
            <w:tcW w:w="1540" w:type="dxa"/>
            <w:tcBorders>
              <w:top w:val="nil"/>
              <w:left w:val="nil"/>
              <w:bottom w:val="nil"/>
              <w:right w:val="nil"/>
            </w:tcBorders>
            <w:shd w:val="clear" w:color="auto" w:fill="auto"/>
            <w:vAlign w:val="center"/>
            <w:hideMark/>
          </w:tcPr>
          <w:p w:rsidR="004C71F6" w:rsidRPr="00701D22" w:rsidRDefault="004C71F6" w:rsidP="00B87330">
            <w:pPr>
              <w:jc w:val="center"/>
              <w:rPr>
                <w:b/>
                <w:bCs/>
                <w:sz w:val="28"/>
                <w:szCs w:val="28"/>
                <w:u w:val="single"/>
                <w:lang w:eastAsia="es-CR"/>
              </w:rPr>
            </w:pPr>
            <w:r w:rsidRPr="00701D22">
              <w:rPr>
                <w:b/>
                <w:bCs/>
                <w:sz w:val="28"/>
                <w:szCs w:val="28"/>
                <w:u w:val="single"/>
                <w:lang w:eastAsia="es-CR"/>
              </w:rPr>
              <w:t>Porcentaje</w:t>
            </w:r>
          </w:p>
        </w:tc>
      </w:tr>
      <w:tr w:rsidR="004C71F6" w:rsidRPr="00701D22" w:rsidTr="00B87330">
        <w:trPr>
          <w:trHeight w:val="73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jc w:val="center"/>
              <w:rPr>
                <w:b/>
                <w:bCs/>
                <w:sz w:val="28"/>
                <w:szCs w:val="28"/>
                <w:lang w:eastAsia="es-CR"/>
              </w:rPr>
            </w:pPr>
            <w:r w:rsidRPr="00701D22">
              <w:rPr>
                <w:b/>
                <w:bCs/>
                <w:sz w:val="28"/>
                <w:szCs w:val="28"/>
                <w:lang w:eastAsia="es-CR"/>
              </w:rPr>
              <w:t>Total</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b/>
                <w:bCs/>
                <w:sz w:val="28"/>
                <w:szCs w:val="28"/>
                <w:lang w:eastAsia="es-CR"/>
              </w:rPr>
            </w:pPr>
            <w:r w:rsidRPr="00701D22">
              <w:rPr>
                <w:b/>
                <w:bCs/>
                <w:sz w:val="28"/>
                <w:szCs w:val="28"/>
                <w:lang w:eastAsia="es-CR"/>
              </w:rPr>
              <w:t>962</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b/>
                <w:bCs/>
                <w:sz w:val="28"/>
                <w:szCs w:val="28"/>
                <w:lang w:eastAsia="es-CR"/>
              </w:rPr>
            </w:pPr>
            <w:r w:rsidRPr="00701D22">
              <w:rPr>
                <w:b/>
                <w:bCs/>
                <w:sz w:val="28"/>
                <w:szCs w:val="28"/>
                <w:lang w:eastAsia="es-CR"/>
              </w:rPr>
              <w:t>100%</w:t>
            </w:r>
          </w:p>
        </w:tc>
      </w:tr>
      <w:tr w:rsidR="004C71F6" w:rsidRPr="00701D22" w:rsidTr="00B87330">
        <w:trPr>
          <w:trHeight w:val="735"/>
          <w:jc w:val="center"/>
        </w:trPr>
        <w:tc>
          <w:tcPr>
            <w:tcW w:w="4420" w:type="dxa"/>
            <w:tcBorders>
              <w:top w:val="nil"/>
              <w:left w:val="nil"/>
              <w:bottom w:val="nil"/>
              <w:right w:val="nil"/>
            </w:tcBorders>
            <w:shd w:val="clear" w:color="000000" w:fill="C6EFCE"/>
            <w:vAlign w:val="center"/>
            <w:hideMark/>
          </w:tcPr>
          <w:p w:rsidR="004C71F6" w:rsidRPr="00701D22" w:rsidRDefault="004C71F6" w:rsidP="00B87330">
            <w:pPr>
              <w:rPr>
                <w:b/>
                <w:bCs/>
                <w:color w:val="000000"/>
                <w:sz w:val="28"/>
                <w:szCs w:val="28"/>
                <w:lang w:eastAsia="es-CR"/>
              </w:rPr>
            </w:pPr>
            <w:r w:rsidRPr="00701D22">
              <w:rPr>
                <w:b/>
                <w:bCs/>
                <w:color w:val="000000"/>
                <w:sz w:val="28"/>
                <w:szCs w:val="28"/>
                <w:lang w:eastAsia="es-CR"/>
              </w:rPr>
              <w:t>En etapa de conocimiento</w:t>
            </w:r>
          </w:p>
        </w:tc>
        <w:tc>
          <w:tcPr>
            <w:tcW w:w="1260" w:type="dxa"/>
            <w:tcBorders>
              <w:top w:val="nil"/>
              <w:left w:val="nil"/>
              <w:bottom w:val="nil"/>
              <w:right w:val="nil"/>
            </w:tcBorders>
            <w:shd w:val="clear" w:color="000000" w:fill="C6EFCE"/>
            <w:vAlign w:val="center"/>
            <w:hideMark/>
          </w:tcPr>
          <w:p w:rsidR="004C71F6" w:rsidRPr="00701D22" w:rsidRDefault="004C71F6" w:rsidP="00B87330">
            <w:pPr>
              <w:ind w:right="301"/>
              <w:jc w:val="right"/>
              <w:rPr>
                <w:rFonts w:ascii="Calibri" w:hAnsi="Calibri" w:cs="Arial"/>
                <w:color w:val="006100"/>
                <w:sz w:val="22"/>
                <w:szCs w:val="22"/>
                <w:lang w:eastAsia="es-CR"/>
              </w:rPr>
            </w:pPr>
            <w:r w:rsidRPr="00701D22">
              <w:rPr>
                <w:rFonts w:ascii="Calibri" w:hAnsi="Calibri" w:cs="Arial"/>
                <w:color w:val="006100"/>
                <w:sz w:val="22"/>
                <w:szCs w:val="22"/>
                <w:lang w:eastAsia="es-CR"/>
              </w:rPr>
              <w:t> </w:t>
            </w:r>
          </w:p>
        </w:tc>
        <w:tc>
          <w:tcPr>
            <w:tcW w:w="1540" w:type="dxa"/>
            <w:tcBorders>
              <w:top w:val="nil"/>
              <w:left w:val="nil"/>
              <w:bottom w:val="nil"/>
              <w:right w:val="nil"/>
            </w:tcBorders>
            <w:shd w:val="clear" w:color="000000" w:fill="C6EFCE"/>
            <w:vAlign w:val="center"/>
            <w:hideMark/>
          </w:tcPr>
          <w:p w:rsidR="004C71F6" w:rsidRPr="00701D22" w:rsidRDefault="004C71F6" w:rsidP="00B87330">
            <w:pPr>
              <w:ind w:right="305"/>
              <w:rPr>
                <w:rFonts w:ascii="Calibri" w:hAnsi="Calibri" w:cs="Arial"/>
                <w:color w:val="006100"/>
                <w:sz w:val="22"/>
                <w:szCs w:val="22"/>
                <w:lang w:eastAsia="es-CR"/>
              </w:rPr>
            </w:pPr>
            <w:r w:rsidRPr="00701D22">
              <w:rPr>
                <w:rFonts w:ascii="Calibri" w:hAnsi="Calibri" w:cs="Arial"/>
                <w:color w:val="006100"/>
                <w:sz w:val="22"/>
                <w:szCs w:val="22"/>
                <w:lang w:eastAsia="es-CR"/>
              </w:rPr>
              <w:t> </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Sentencia con lugar</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237</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25%</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Sentencia sin lugar</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156</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16%</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Prescripción</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77</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8%</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Por solicitud del parte actor /actora</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44</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5%</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Por excepción o incidentes</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39</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4%</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Por conciliación cumplida</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36</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4%</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Incompetencia</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35</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4%</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Rechazada de plano</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20</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2%</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Acumulación</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6</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1%</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Remitido a la Sala Primera</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1</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0%</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Otras razones</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64</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7%</w:t>
            </w:r>
          </w:p>
        </w:tc>
      </w:tr>
      <w:tr w:rsidR="004C71F6" w:rsidRPr="00701D22" w:rsidTr="00B87330">
        <w:trPr>
          <w:trHeight w:val="765"/>
          <w:jc w:val="center"/>
        </w:trPr>
        <w:tc>
          <w:tcPr>
            <w:tcW w:w="4420" w:type="dxa"/>
            <w:tcBorders>
              <w:top w:val="nil"/>
              <w:left w:val="nil"/>
              <w:bottom w:val="nil"/>
              <w:right w:val="nil"/>
            </w:tcBorders>
            <w:shd w:val="clear" w:color="000000" w:fill="C6EFCE"/>
            <w:vAlign w:val="center"/>
            <w:hideMark/>
          </w:tcPr>
          <w:p w:rsidR="004C71F6" w:rsidRPr="00701D22" w:rsidRDefault="004C71F6" w:rsidP="00B87330">
            <w:pPr>
              <w:rPr>
                <w:b/>
                <w:bCs/>
                <w:color w:val="000000"/>
                <w:sz w:val="28"/>
                <w:szCs w:val="28"/>
                <w:lang w:eastAsia="es-CR"/>
              </w:rPr>
            </w:pPr>
            <w:r w:rsidRPr="00701D22">
              <w:rPr>
                <w:b/>
                <w:bCs/>
                <w:color w:val="000000"/>
                <w:sz w:val="28"/>
                <w:szCs w:val="28"/>
                <w:lang w:eastAsia="es-CR"/>
              </w:rPr>
              <w:lastRenderedPageBreak/>
              <w:t>En etapa de ej</w:t>
            </w:r>
            <w:r w:rsidRPr="00F55C2A">
              <w:rPr>
                <w:b/>
                <w:bCs/>
                <w:color w:val="000000"/>
                <w:sz w:val="28"/>
                <w:szCs w:val="28"/>
                <w:lang w:eastAsia="es-CR"/>
              </w:rPr>
              <w:t>e</w:t>
            </w:r>
            <w:r w:rsidRPr="00701D22">
              <w:rPr>
                <w:b/>
                <w:bCs/>
                <w:color w:val="000000"/>
                <w:sz w:val="28"/>
                <w:szCs w:val="28"/>
                <w:lang w:eastAsia="es-CR"/>
              </w:rPr>
              <w:t>cución</w:t>
            </w:r>
          </w:p>
        </w:tc>
        <w:tc>
          <w:tcPr>
            <w:tcW w:w="1260" w:type="dxa"/>
            <w:tcBorders>
              <w:top w:val="nil"/>
              <w:left w:val="nil"/>
              <w:bottom w:val="nil"/>
              <w:right w:val="nil"/>
            </w:tcBorders>
            <w:shd w:val="clear" w:color="000000" w:fill="C6EFCE"/>
            <w:vAlign w:val="center"/>
            <w:hideMark/>
          </w:tcPr>
          <w:p w:rsidR="004C71F6" w:rsidRPr="00701D22" w:rsidRDefault="004C71F6" w:rsidP="00B87330">
            <w:pPr>
              <w:ind w:right="301"/>
              <w:jc w:val="right"/>
              <w:rPr>
                <w:rFonts w:ascii="Calibri" w:hAnsi="Calibri" w:cs="Arial"/>
                <w:color w:val="006100"/>
                <w:sz w:val="22"/>
                <w:szCs w:val="22"/>
                <w:lang w:eastAsia="es-CR"/>
              </w:rPr>
            </w:pPr>
            <w:r w:rsidRPr="00701D22">
              <w:rPr>
                <w:rFonts w:ascii="Calibri" w:hAnsi="Calibri" w:cs="Arial"/>
                <w:color w:val="006100"/>
                <w:sz w:val="22"/>
                <w:szCs w:val="22"/>
                <w:lang w:eastAsia="es-CR"/>
              </w:rPr>
              <w:t> </w:t>
            </w:r>
          </w:p>
        </w:tc>
        <w:tc>
          <w:tcPr>
            <w:tcW w:w="1540" w:type="dxa"/>
            <w:tcBorders>
              <w:top w:val="nil"/>
              <w:left w:val="nil"/>
              <w:bottom w:val="nil"/>
              <w:right w:val="nil"/>
            </w:tcBorders>
            <w:shd w:val="clear" w:color="000000" w:fill="C6EFCE"/>
            <w:vAlign w:val="center"/>
            <w:hideMark/>
          </w:tcPr>
          <w:p w:rsidR="004C71F6" w:rsidRPr="00701D22" w:rsidRDefault="004C71F6" w:rsidP="00B87330">
            <w:pPr>
              <w:ind w:right="305"/>
              <w:rPr>
                <w:rFonts w:ascii="Calibri" w:hAnsi="Calibri" w:cs="Arial"/>
                <w:color w:val="006100"/>
                <w:sz w:val="22"/>
                <w:szCs w:val="22"/>
                <w:lang w:eastAsia="es-CR"/>
              </w:rPr>
            </w:pPr>
            <w:r w:rsidRPr="00701D22">
              <w:rPr>
                <w:rFonts w:ascii="Calibri" w:hAnsi="Calibri" w:cs="Arial"/>
                <w:color w:val="006100"/>
                <w:sz w:val="22"/>
                <w:szCs w:val="22"/>
                <w:lang w:eastAsia="es-CR"/>
              </w:rPr>
              <w:t> </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Por cumplimiento de la sanción</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192</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20%</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Por incumplimiento del actor /actora</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34</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4%</w:t>
            </w:r>
          </w:p>
        </w:tc>
      </w:tr>
      <w:tr w:rsidR="004C71F6" w:rsidRPr="00701D22" w:rsidTr="00B87330">
        <w:trPr>
          <w:trHeight w:val="375"/>
          <w:jc w:val="center"/>
        </w:trPr>
        <w:tc>
          <w:tcPr>
            <w:tcW w:w="4420" w:type="dxa"/>
            <w:tcBorders>
              <w:top w:val="nil"/>
              <w:left w:val="nil"/>
              <w:bottom w:val="nil"/>
              <w:right w:val="nil"/>
            </w:tcBorders>
            <w:shd w:val="clear" w:color="auto" w:fill="auto"/>
            <w:vAlign w:val="center"/>
            <w:hideMark/>
          </w:tcPr>
          <w:p w:rsidR="004C71F6" w:rsidRPr="00701D22" w:rsidRDefault="004C71F6" w:rsidP="00B87330">
            <w:pPr>
              <w:rPr>
                <w:sz w:val="28"/>
                <w:szCs w:val="28"/>
                <w:lang w:eastAsia="es-CR"/>
              </w:rPr>
            </w:pPr>
            <w:r w:rsidRPr="00701D22">
              <w:rPr>
                <w:sz w:val="28"/>
                <w:szCs w:val="28"/>
                <w:lang w:eastAsia="es-CR"/>
              </w:rPr>
              <w:t>Remitido al Centro de Conciliación</w:t>
            </w:r>
          </w:p>
        </w:tc>
        <w:tc>
          <w:tcPr>
            <w:tcW w:w="1260" w:type="dxa"/>
            <w:tcBorders>
              <w:top w:val="nil"/>
              <w:left w:val="nil"/>
              <w:bottom w:val="nil"/>
              <w:right w:val="nil"/>
            </w:tcBorders>
            <w:shd w:val="clear" w:color="auto" w:fill="auto"/>
            <w:vAlign w:val="center"/>
            <w:hideMark/>
          </w:tcPr>
          <w:p w:rsidR="004C71F6" w:rsidRPr="00701D22" w:rsidRDefault="004C71F6" w:rsidP="00B87330">
            <w:pPr>
              <w:ind w:right="301"/>
              <w:jc w:val="right"/>
              <w:rPr>
                <w:sz w:val="28"/>
                <w:szCs w:val="28"/>
                <w:lang w:eastAsia="es-CR"/>
              </w:rPr>
            </w:pPr>
            <w:r w:rsidRPr="00701D22">
              <w:rPr>
                <w:sz w:val="28"/>
                <w:szCs w:val="28"/>
                <w:lang w:eastAsia="es-CR"/>
              </w:rPr>
              <w:t>21</w:t>
            </w:r>
          </w:p>
        </w:tc>
        <w:tc>
          <w:tcPr>
            <w:tcW w:w="1540" w:type="dxa"/>
            <w:tcBorders>
              <w:top w:val="nil"/>
              <w:left w:val="nil"/>
              <w:bottom w:val="nil"/>
              <w:right w:val="nil"/>
            </w:tcBorders>
            <w:shd w:val="clear" w:color="auto" w:fill="auto"/>
            <w:vAlign w:val="center"/>
            <w:hideMark/>
          </w:tcPr>
          <w:p w:rsidR="004C71F6" w:rsidRPr="00701D22" w:rsidRDefault="004C71F6" w:rsidP="00B87330">
            <w:pPr>
              <w:ind w:right="305"/>
              <w:jc w:val="right"/>
              <w:rPr>
                <w:sz w:val="28"/>
                <w:szCs w:val="28"/>
                <w:lang w:eastAsia="es-CR"/>
              </w:rPr>
            </w:pPr>
            <w:r w:rsidRPr="00701D22">
              <w:rPr>
                <w:sz w:val="28"/>
                <w:szCs w:val="28"/>
                <w:lang w:eastAsia="es-CR"/>
              </w:rPr>
              <w:t>2%</w:t>
            </w:r>
          </w:p>
        </w:tc>
      </w:tr>
    </w:tbl>
    <w:p w:rsidR="004C71F6" w:rsidRPr="00F55C2A" w:rsidRDefault="004C71F6" w:rsidP="004C71F6">
      <w:pPr>
        <w:spacing w:line="360" w:lineRule="auto"/>
        <w:ind w:right="-74"/>
        <w:jc w:val="both"/>
        <w:rPr>
          <w:b/>
          <w:bCs/>
        </w:rPr>
      </w:pPr>
    </w:p>
    <w:p w:rsidR="004C71F6" w:rsidRPr="00F55C2A" w:rsidRDefault="004C71F6" w:rsidP="004C71F6">
      <w:pPr>
        <w:spacing w:line="360" w:lineRule="auto"/>
        <w:ind w:left="600" w:right="-74" w:hanging="600"/>
        <w:jc w:val="both"/>
        <w:rPr>
          <w:b/>
          <w:bCs/>
          <w:sz w:val="28"/>
          <w:szCs w:val="28"/>
          <w:u w:val="single"/>
        </w:rPr>
      </w:pPr>
    </w:p>
    <w:p w:rsidR="004C71F6" w:rsidRPr="00F55C2A" w:rsidRDefault="004C71F6" w:rsidP="004C71F6">
      <w:pPr>
        <w:spacing w:line="360" w:lineRule="auto"/>
        <w:ind w:left="600" w:right="-74" w:hanging="600"/>
        <w:jc w:val="both"/>
        <w:rPr>
          <w:b/>
          <w:bCs/>
          <w:sz w:val="18"/>
          <w:szCs w:val="18"/>
          <w:lang w:val="es-MX"/>
        </w:rPr>
      </w:pPr>
    </w:p>
    <w:p w:rsidR="004C71F6" w:rsidRPr="00D74FA4" w:rsidRDefault="004C71F6" w:rsidP="004C71F6">
      <w:pPr>
        <w:spacing w:line="360" w:lineRule="auto"/>
        <w:ind w:left="600" w:right="-74" w:hanging="600"/>
        <w:jc w:val="both"/>
        <w:rPr>
          <w:b/>
          <w:bCs/>
          <w:sz w:val="28"/>
          <w:szCs w:val="28"/>
          <w:lang w:val="es-MX"/>
        </w:rPr>
      </w:pPr>
      <w:r w:rsidRPr="00D74FA4">
        <w:rPr>
          <w:b/>
          <w:bCs/>
          <w:sz w:val="28"/>
          <w:szCs w:val="28"/>
          <w:lang w:val="es-MX"/>
        </w:rPr>
        <w:t>7</w:t>
      </w:r>
      <w:r w:rsidR="008A155B" w:rsidRPr="00D74FA4">
        <w:rPr>
          <w:b/>
          <w:bCs/>
          <w:sz w:val="28"/>
          <w:szCs w:val="28"/>
          <w:lang w:val="es-MX"/>
        </w:rPr>
        <w:t>.2</w:t>
      </w:r>
      <w:r w:rsidRPr="00D74FA4">
        <w:rPr>
          <w:b/>
          <w:bCs/>
          <w:sz w:val="28"/>
          <w:szCs w:val="28"/>
          <w:lang w:val="es-MX"/>
        </w:rPr>
        <w:t>.</w:t>
      </w:r>
      <w:r w:rsidRPr="00D74FA4">
        <w:rPr>
          <w:b/>
          <w:bCs/>
          <w:sz w:val="28"/>
          <w:szCs w:val="28"/>
          <w:lang w:val="es-MX"/>
        </w:rPr>
        <w:tab/>
        <w:t>Resoluciones dictadas y duración promedio.</w:t>
      </w:r>
    </w:p>
    <w:p w:rsidR="004C71F6" w:rsidRPr="00F55C2A" w:rsidRDefault="004C71F6" w:rsidP="004C71F6">
      <w:pPr>
        <w:spacing w:line="360" w:lineRule="auto"/>
        <w:jc w:val="both"/>
        <w:rPr>
          <w:bCs/>
        </w:rPr>
      </w:pPr>
    </w:p>
    <w:p w:rsidR="004C71F6" w:rsidRPr="00F55C2A" w:rsidRDefault="004C71F6" w:rsidP="004C71F6">
      <w:pPr>
        <w:spacing w:line="360" w:lineRule="auto"/>
        <w:jc w:val="both"/>
        <w:rPr>
          <w:bCs/>
          <w:sz w:val="28"/>
          <w:szCs w:val="28"/>
        </w:rPr>
      </w:pPr>
      <w:r w:rsidRPr="00F55C2A">
        <w:rPr>
          <w:bCs/>
          <w:sz w:val="28"/>
          <w:szCs w:val="28"/>
        </w:rPr>
        <w:t xml:space="preserve">Una consecuencia de la problemática anterior es tener resultados con períodos largos cuando se calcula la duración promedio en ciertos tipos de asunto. Por ejemplo, el resultado del cálculo de lo reportado como terminado por “incumplimiento de Sanción” es alto pues, cuando se ha llegado a tal determinación han pasado años al incluir el tiempo de ejecución de las sanciones que puede ser de varios años; en este año, para este tipo de motivo de terminación se consumió en promedio </w:t>
      </w:r>
      <w:r w:rsidRPr="00F55C2A">
        <w:rPr>
          <w:b/>
          <w:bCs/>
          <w:sz w:val="28"/>
          <w:szCs w:val="28"/>
        </w:rPr>
        <w:t>66 meses 1 semanas (</w:t>
      </w:r>
      <w:r w:rsidRPr="00F55C2A">
        <w:rPr>
          <w:bCs/>
          <w:sz w:val="28"/>
          <w:szCs w:val="28"/>
        </w:rPr>
        <w:t>más de</w:t>
      </w:r>
      <w:r w:rsidRPr="00F55C2A">
        <w:rPr>
          <w:b/>
          <w:bCs/>
          <w:sz w:val="28"/>
          <w:szCs w:val="28"/>
        </w:rPr>
        <w:t xml:space="preserve"> cinco años y medio</w:t>
      </w:r>
      <w:r w:rsidRPr="00F55C2A">
        <w:rPr>
          <w:bCs/>
          <w:sz w:val="28"/>
          <w:szCs w:val="28"/>
        </w:rPr>
        <w:t xml:space="preserve">). Si el promedio el dictado de sentencias “Con Lugar” es de </w:t>
      </w:r>
      <w:r w:rsidRPr="00F55C2A">
        <w:rPr>
          <w:b/>
          <w:bCs/>
          <w:sz w:val="28"/>
          <w:szCs w:val="28"/>
        </w:rPr>
        <w:t>33 meses y dos semanas</w:t>
      </w:r>
      <w:r w:rsidRPr="00F55C2A">
        <w:rPr>
          <w:bCs/>
          <w:sz w:val="28"/>
          <w:szCs w:val="28"/>
        </w:rPr>
        <w:t xml:space="preserve"> se estima que la etapa de ejecución y que termina con el dictado de incumplimiento de la sanción sería de</w:t>
      </w:r>
      <w:r w:rsidRPr="00F55C2A">
        <w:rPr>
          <w:b/>
          <w:bCs/>
          <w:sz w:val="28"/>
          <w:szCs w:val="28"/>
        </w:rPr>
        <w:t xml:space="preserve"> 32 meses con tres semanas </w:t>
      </w:r>
      <w:r w:rsidRPr="00F55C2A">
        <w:rPr>
          <w:bCs/>
          <w:sz w:val="28"/>
          <w:szCs w:val="28"/>
        </w:rPr>
        <w:t>luego del dictado se la sentencia correspondiente.</w:t>
      </w:r>
    </w:p>
    <w:p w:rsidR="004C71F6" w:rsidRDefault="004C71F6" w:rsidP="004C71F6">
      <w:pPr>
        <w:spacing w:line="360" w:lineRule="auto"/>
        <w:jc w:val="both"/>
        <w:rPr>
          <w:bCs/>
          <w:sz w:val="28"/>
          <w:szCs w:val="28"/>
        </w:rPr>
      </w:pPr>
    </w:p>
    <w:p w:rsidR="00D74FA4" w:rsidRDefault="00D74FA4" w:rsidP="004C71F6">
      <w:pPr>
        <w:spacing w:line="360" w:lineRule="auto"/>
        <w:jc w:val="both"/>
        <w:rPr>
          <w:bCs/>
          <w:sz w:val="28"/>
          <w:szCs w:val="28"/>
        </w:rPr>
      </w:pPr>
    </w:p>
    <w:p w:rsidR="00D74FA4" w:rsidRDefault="00D74FA4" w:rsidP="004C71F6">
      <w:pPr>
        <w:spacing w:line="360" w:lineRule="auto"/>
        <w:jc w:val="both"/>
        <w:rPr>
          <w:bCs/>
          <w:sz w:val="28"/>
          <w:szCs w:val="28"/>
        </w:rPr>
      </w:pPr>
    </w:p>
    <w:p w:rsidR="00D74FA4" w:rsidRDefault="00D74FA4" w:rsidP="004C71F6">
      <w:pPr>
        <w:spacing w:line="360" w:lineRule="auto"/>
        <w:jc w:val="both"/>
        <w:rPr>
          <w:bCs/>
          <w:sz w:val="28"/>
          <w:szCs w:val="28"/>
        </w:rPr>
      </w:pPr>
    </w:p>
    <w:p w:rsidR="00D74FA4" w:rsidRDefault="00D74FA4" w:rsidP="004C71F6">
      <w:pPr>
        <w:spacing w:line="360" w:lineRule="auto"/>
        <w:jc w:val="both"/>
        <w:rPr>
          <w:bCs/>
          <w:sz w:val="28"/>
          <w:szCs w:val="28"/>
        </w:rPr>
      </w:pPr>
    </w:p>
    <w:p w:rsidR="00D74FA4" w:rsidRPr="00F55C2A" w:rsidRDefault="00D74FA4" w:rsidP="004C71F6">
      <w:pPr>
        <w:spacing w:line="360" w:lineRule="auto"/>
        <w:jc w:val="both"/>
        <w:rPr>
          <w:bCs/>
          <w:sz w:val="28"/>
          <w:szCs w:val="28"/>
        </w:rPr>
      </w:pPr>
    </w:p>
    <w:tbl>
      <w:tblPr>
        <w:tblW w:w="8170" w:type="dxa"/>
        <w:jc w:val="center"/>
        <w:tblCellMar>
          <w:left w:w="70" w:type="dxa"/>
          <w:right w:w="70" w:type="dxa"/>
        </w:tblCellMar>
        <w:tblLook w:val="0000" w:firstRow="0" w:lastRow="0" w:firstColumn="0" w:lastColumn="0" w:noHBand="0" w:noVBand="0"/>
      </w:tblPr>
      <w:tblGrid>
        <w:gridCol w:w="4340"/>
        <w:gridCol w:w="1261"/>
        <w:gridCol w:w="2569"/>
      </w:tblGrid>
      <w:tr w:rsidR="004C71F6" w:rsidRPr="00F55C2A" w:rsidTr="00B87330">
        <w:trPr>
          <w:trHeight w:val="330"/>
          <w:jc w:val="center"/>
        </w:trPr>
        <w:tc>
          <w:tcPr>
            <w:tcW w:w="4340" w:type="dxa"/>
            <w:vMerge w:val="restart"/>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lang w:val="es-ES"/>
              </w:rPr>
              <w:lastRenderedPageBreak/>
              <w:t>Tipo de resolución</w:t>
            </w:r>
          </w:p>
        </w:tc>
        <w:tc>
          <w:tcPr>
            <w:tcW w:w="3830" w:type="dxa"/>
            <w:gridSpan w:val="2"/>
            <w:tcBorders>
              <w:top w:val="nil"/>
              <w:left w:val="nil"/>
              <w:bottom w:val="nil"/>
              <w:right w:val="nil"/>
            </w:tcBorders>
            <w:shd w:val="clear" w:color="auto" w:fill="auto"/>
            <w:vAlign w:val="center"/>
          </w:tcPr>
          <w:p w:rsidR="004C71F6" w:rsidRPr="00F55C2A" w:rsidRDefault="004C71F6" w:rsidP="00B87330">
            <w:pPr>
              <w:jc w:val="center"/>
              <w:rPr>
                <w:b/>
                <w:bCs/>
                <w:sz w:val="28"/>
                <w:szCs w:val="28"/>
                <w:u w:val="single"/>
                <w:lang w:val="es-ES"/>
              </w:rPr>
            </w:pPr>
            <w:r w:rsidRPr="00F55C2A">
              <w:rPr>
                <w:b/>
                <w:bCs/>
                <w:sz w:val="28"/>
                <w:szCs w:val="28"/>
                <w:u w:val="single"/>
                <w:lang w:val="es-ES"/>
              </w:rPr>
              <w:t>Casos terminados</w:t>
            </w:r>
          </w:p>
        </w:tc>
      </w:tr>
      <w:tr w:rsidR="004C71F6" w:rsidRPr="00F55C2A" w:rsidTr="00B87330">
        <w:trPr>
          <w:trHeight w:val="63"/>
          <w:jc w:val="center"/>
        </w:trPr>
        <w:tc>
          <w:tcPr>
            <w:tcW w:w="4340" w:type="dxa"/>
            <w:vMerge/>
            <w:tcBorders>
              <w:top w:val="nil"/>
              <w:left w:val="nil"/>
              <w:bottom w:val="nil"/>
              <w:right w:val="nil"/>
            </w:tcBorders>
            <w:vAlign w:val="center"/>
          </w:tcPr>
          <w:p w:rsidR="004C71F6" w:rsidRPr="00F55C2A" w:rsidRDefault="004C71F6" w:rsidP="00B87330">
            <w:pPr>
              <w:rPr>
                <w:b/>
                <w:bCs/>
                <w:sz w:val="28"/>
                <w:szCs w:val="28"/>
                <w:u w:val="single"/>
                <w:lang w:val="es-ES"/>
              </w:rPr>
            </w:pPr>
          </w:p>
        </w:tc>
        <w:tc>
          <w:tcPr>
            <w:tcW w:w="1261" w:type="dxa"/>
            <w:tcBorders>
              <w:top w:val="nil"/>
              <w:left w:val="nil"/>
              <w:bottom w:val="nil"/>
              <w:right w:val="nil"/>
            </w:tcBorders>
            <w:shd w:val="clear" w:color="auto" w:fill="auto"/>
            <w:vAlign w:val="center"/>
          </w:tcPr>
          <w:p w:rsidR="004C71F6" w:rsidRPr="00F55C2A" w:rsidRDefault="004C71F6" w:rsidP="00B87330">
            <w:pPr>
              <w:rPr>
                <w:b/>
                <w:bCs/>
                <w:sz w:val="28"/>
                <w:szCs w:val="28"/>
                <w:u w:val="single"/>
                <w:lang w:val="es-ES"/>
              </w:rPr>
            </w:pPr>
            <w:r w:rsidRPr="00F55C2A">
              <w:rPr>
                <w:b/>
                <w:bCs/>
                <w:sz w:val="28"/>
                <w:szCs w:val="28"/>
                <w:u w:val="single"/>
                <w:lang w:val="es-ES"/>
              </w:rPr>
              <w:t>Cantidad</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b/>
                <w:bCs/>
                <w:sz w:val="28"/>
                <w:szCs w:val="28"/>
                <w:u w:val="single"/>
                <w:lang w:val="es-ES"/>
              </w:rPr>
            </w:pPr>
            <w:r w:rsidRPr="00F55C2A">
              <w:rPr>
                <w:b/>
                <w:bCs/>
                <w:sz w:val="28"/>
                <w:szCs w:val="28"/>
                <w:u w:val="single"/>
                <w:lang w:val="es-ES"/>
              </w:rPr>
              <w:t>Duración promedio</w:t>
            </w:r>
          </w:p>
        </w:tc>
      </w:tr>
      <w:tr w:rsidR="004C71F6" w:rsidRPr="00F55C2A" w:rsidTr="00B87330">
        <w:trPr>
          <w:trHeight w:val="750"/>
          <w:jc w:val="center"/>
        </w:trPr>
        <w:tc>
          <w:tcPr>
            <w:tcW w:w="4340" w:type="dxa"/>
            <w:tcBorders>
              <w:top w:val="nil"/>
              <w:left w:val="nil"/>
              <w:bottom w:val="nil"/>
              <w:right w:val="nil"/>
            </w:tcBorders>
            <w:shd w:val="clear" w:color="auto" w:fill="auto"/>
            <w:vAlign w:val="center"/>
          </w:tcPr>
          <w:p w:rsidR="004C71F6" w:rsidRPr="00F55C2A" w:rsidRDefault="004C71F6" w:rsidP="00B87330">
            <w:pPr>
              <w:jc w:val="center"/>
              <w:rPr>
                <w:b/>
                <w:bCs/>
                <w:sz w:val="28"/>
                <w:szCs w:val="28"/>
                <w:lang w:val="es-ES"/>
              </w:rPr>
            </w:pPr>
            <w:r w:rsidRPr="00F55C2A">
              <w:rPr>
                <w:b/>
                <w:bCs/>
                <w:sz w:val="28"/>
                <w:szCs w:val="28"/>
                <w:lang w:val="es-ES"/>
              </w:rPr>
              <w:t>TOTAL</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b/>
                <w:bCs/>
                <w:sz w:val="28"/>
                <w:szCs w:val="28"/>
                <w:lang w:val="es-ES"/>
              </w:rPr>
            </w:pPr>
            <w:r w:rsidRPr="00F55C2A">
              <w:rPr>
                <w:b/>
                <w:bCs/>
                <w:sz w:val="28"/>
                <w:szCs w:val="28"/>
                <w:lang w:val="es-ES"/>
              </w:rPr>
              <w:t>962</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b/>
                <w:bCs/>
                <w:sz w:val="28"/>
                <w:szCs w:val="28"/>
                <w:lang w:val="es-ES"/>
              </w:rPr>
            </w:pPr>
            <w:r w:rsidRPr="00F55C2A">
              <w:rPr>
                <w:b/>
                <w:bCs/>
                <w:sz w:val="28"/>
                <w:szCs w:val="28"/>
                <w:lang w:val="es-ES"/>
              </w:rPr>
              <w:t>18 meses 1 semana</w:t>
            </w:r>
          </w:p>
        </w:tc>
      </w:tr>
      <w:tr w:rsidR="004C71F6" w:rsidRPr="00F55C2A" w:rsidTr="00B87330">
        <w:trPr>
          <w:trHeight w:val="257"/>
          <w:jc w:val="center"/>
        </w:trPr>
        <w:tc>
          <w:tcPr>
            <w:tcW w:w="434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Acumulación</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sz w:val="28"/>
                <w:szCs w:val="28"/>
                <w:lang w:val="es-ES"/>
              </w:rPr>
            </w:pPr>
            <w:r w:rsidRPr="00F55C2A">
              <w:rPr>
                <w:sz w:val="28"/>
                <w:szCs w:val="28"/>
                <w:lang w:val="es-ES"/>
              </w:rPr>
              <w:t>6</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30 meses 0 semana</w:t>
            </w:r>
          </w:p>
        </w:tc>
      </w:tr>
      <w:tr w:rsidR="004C71F6" w:rsidRPr="00F55C2A" w:rsidTr="00B87330">
        <w:trPr>
          <w:trHeight w:val="116"/>
          <w:jc w:val="center"/>
        </w:trPr>
        <w:tc>
          <w:tcPr>
            <w:tcW w:w="434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Incompetencia</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sz w:val="28"/>
                <w:szCs w:val="28"/>
                <w:lang w:val="es-ES"/>
              </w:rPr>
            </w:pPr>
            <w:r w:rsidRPr="00F55C2A">
              <w:rPr>
                <w:sz w:val="28"/>
                <w:szCs w:val="28"/>
                <w:lang w:val="es-ES"/>
              </w:rPr>
              <w:t>35</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9 meses 2 semanas</w:t>
            </w:r>
          </w:p>
        </w:tc>
      </w:tr>
      <w:tr w:rsidR="004C71F6" w:rsidRPr="00F55C2A" w:rsidTr="00B87330">
        <w:trPr>
          <w:trHeight w:val="63"/>
          <w:jc w:val="center"/>
        </w:trPr>
        <w:tc>
          <w:tcPr>
            <w:tcW w:w="434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Sentencia sin lugar</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sz w:val="28"/>
                <w:szCs w:val="28"/>
                <w:lang w:val="es-ES"/>
              </w:rPr>
            </w:pPr>
            <w:r w:rsidRPr="00F55C2A">
              <w:rPr>
                <w:sz w:val="28"/>
                <w:szCs w:val="28"/>
                <w:lang w:val="es-ES"/>
              </w:rPr>
              <w:t>156</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36 meses 2 semanas</w:t>
            </w:r>
          </w:p>
        </w:tc>
      </w:tr>
      <w:tr w:rsidR="004C71F6" w:rsidRPr="00F55C2A" w:rsidTr="00B87330">
        <w:trPr>
          <w:trHeight w:val="63"/>
          <w:jc w:val="center"/>
        </w:trPr>
        <w:tc>
          <w:tcPr>
            <w:tcW w:w="434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Sentencia con lugar</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sz w:val="28"/>
                <w:szCs w:val="28"/>
                <w:lang w:val="es-ES"/>
              </w:rPr>
            </w:pPr>
            <w:r w:rsidRPr="00F55C2A">
              <w:rPr>
                <w:sz w:val="28"/>
                <w:szCs w:val="28"/>
                <w:lang w:val="es-ES"/>
              </w:rPr>
              <w:t>237</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33 meses 2 semanas</w:t>
            </w:r>
          </w:p>
        </w:tc>
      </w:tr>
      <w:tr w:rsidR="004C71F6" w:rsidRPr="00F55C2A" w:rsidTr="00B87330">
        <w:trPr>
          <w:trHeight w:val="63"/>
          <w:jc w:val="center"/>
        </w:trPr>
        <w:tc>
          <w:tcPr>
            <w:tcW w:w="434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Por conciliación cumplida</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sz w:val="28"/>
                <w:szCs w:val="28"/>
                <w:lang w:val="es-ES"/>
              </w:rPr>
            </w:pPr>
            <w:r w:rsidRPr="00F55C2A">
              <w:rPr>
                <w:sz w:val="28"/>
                <w:szCs w:val="28"/>
                <w:lang w:val="es-ES"/>
              </w:rPr>
              <w:t>36</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18 meses 2 semana</w:t>
            </w:r>
          </w:p>
        </w:tc>
      </w:tr>
      <w:tr w:rsidR="004C71F6" w:rsidRPr="00F55C2A" w:rsidTr="00B87330">
        <w:trPr>
          <w:trHeight w:val="63"/>
          <w:jc w:val="center"/>
        </w:trPr>
        <w:tc>
          <w:tcPr>
            <w:tcW w:w="434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Por excepción o incidentes</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sz w:val="28"/>
                <w:szCs w:val="28"/>
                <w:lang w:val="es-ES"/>
              </w:rPr>
            </w:pPr>
            <w:r w:rsidRPr="00F55C2A">
              <w:rPr>
                <w:sz w:val="28"/>
                <w:szCs w:val="28"/>
                <w:lang w:val="es-ES"/>
              </w:rPr>
              <w:t>39</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23 meses 3 semanas</w:t>
            </w:r>
          </w:p>
        </w:tc>
      </w:tr>
      <w:tr w:rsidR="004C71F6" w:rsidRPr="00F55C2A" w:rsidTr="00B87330">
        <w:trPr>
          <w:trHeight w:val="63"/>
          <w:jc w:val="center"/>
        </w:trPr>
        <w:tc>
          <w:tcPr>
            <w:tcW w:w="434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Prescripción</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sz w:val="28"/>
                <w:szCs w:val="28"/>
                <w:lang w:val="es-ES"/>
              </w:rPr>
            </w:pPr>
            <w:r w:rsidRPr="00F55C2A">
              <w:rPr>
                <w:sz w:val="28"/>
                <w:szCs w:val="28"/>
                <w:lang w:val="es-ES"/>
              </w:rPr>
              <w:t>77</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22 meses 3 semanas</w:t>
            </w:r>
          </w:p>
        </w:tc>
      </w:tr>
      <w:tr w:rsidR="004C71F6" w:rsidRPr="00F55C2A" w:rsidTr="00B87330">
        <w:trPr>
          <w:trHeight w:val="63"/>
          <w:jc w:val="center"/>
        </w:trPr>
        <w:tc>
          <w:tcPr>
            <w:tcW w:w="434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Rechazada de plano</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sz w:val="28"/>
                <w:szCs w:val="28"/>
                <w:lang w:val="es-ES"/>
              </w:rPr>
            </w:pPr>
            <w:r w:rsidRPr="00F55C2A">
              <w:rPr>
                <w:sz w:val="28"/>
                <w:szCs w:val="28"/>
                <w:lang w:val="es-ES"/>
              </w:rPr>
              <w:t>20</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18 meses 3 semanas</w:t>
            </w:r>
          </w:p>
        </w:tc>
      </w:tr>
      <w:tr w:rsidR="004C71F6" w:rsidRPr="00F55C2A" w:rsidTr="00B87330">
        <w:trPr>
          <w:trHeight w:val="63"/>
          <w:jc w:val="center"/>
        </w:trPr>
        <w:tc>
          <w:tcPr>
            <w:tcW w:w="434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Por solicitud de la parte actor /actora</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sz w:val="28"/>
                <w:szCs w:val="28"/>
                <w:lang w:val="es-ES"/>
              </w:rPr>
            </w:pPr>
            <w:r w:rsidRPr="00F55C2A">
              <w:rPr>
                <w:sz w:val="28"/>
                <w:szCs w:val="28"/>
                <w:lang w:val="es-ES"/>
              </w:rPr>
              <w:t>44</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10 meses 1 semana</w:t>
            </w:r>
          </w:p>
        </w:tc>
      </w:tr>
      <w:tr w:rsidR="004C71F6" w:rsidRPr="00F55C2A" w:rsidTr="00B87330">
        <w:trPr>
          <w:trHeight w:val="63"/>
          <w:jc w:val="center"/>
        </w:trPr>
        <w:tc>
          <w:tcPr>
            <w:tcW w:w="434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Por incumplimiento del actor /actora</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sz w:val="28"/>
                <w:szCs w:val="28"/>
                <w:lang w:val="es-ES"/>
              </w:rPr>
            </w:pPr>
            <w:r w:rsidRPr="00F55C2A">
              <w:rPr>
                <w:sz w:val="28"/>
                <w:szCs w:val="28"/>
                <w:lang w:val="es-ES"/>
              </w:rPr>
              <w:t>34</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14 meses 1 semana</w:t>
            </w:r>
          </w:p>
        </w:tc>
      </w:tr>
      <w:tr w:rsidR="004C71F6" w:rsidRPr="00F55C2A" w:rsidTr="00B87330">
        <w:trPr>
          <w:trHeight w:val="63"/>
          <w:jc w:val="center"/>
        </w:trPr>
        <w:tc>
          <w:tcPr>
            <w:tcW w:w="434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Remitido al Centro de Conciliación</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sz w:val="28"/>
                <w:szCs w:val="28"/>
                <w:lang w:val="es-ES"/>
              </w:rPr>
            </w:pPr>
            <w:r w:rsidRPr="00F55C2A">
              <w:rPr>
                <w:sz w:val="28"/>
                <w:szCs w:val="28"/>
                <w:lang w:val="es-ES"/>
              </w:rPr>
              <w:t>21</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14 meses 3 semana</w:t>
            </w:r>
          </w:p>
        </w:tc>
      </w:tr>
      <w:tr w:rsidR="004C71F6" w:rsidRPr="00F55C2A" w:rsidTr="00B87330">
        <w:trPr>
          <w:trHeight w:val="63"/>
          <w:jc w:val="center"/>
        </w:trPr>
        <w:tc>
          <w:tcPr>
            <w:tcW w:w="434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Remitido a la Sala Primera</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sz w:val="28"/>
                <w:szCs w:val="28"/>
                <w:lang w:val="es-ES"/>
              </w:rPr>
            </w:pPr>
            <w:r w:rsidRPr="00F55C2A">
              <w:rPr>
                <w:sz w:val="28"/>
                <w:szCs w:val="28"/>
                <w:lang w:val="es-ES"/>
              </w:rPr>
              <w:t>1</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6 meses 1 semana</w:t>
            </w:r>
          </w:p>
        </w:tc>
      </w:tr>
      <w:tr w:rsidR="004C71F6" w:rsidRPr="00F55C2A" w:rsidTr="00B87330">
        <w:trPr>
          <w:trHeight w:val="63"/>
          <w:jc w:val="center"/>
        </w:trPr>
        <w:tc>
          <w:tcPr>
            <w:tcW w:w="4340" w:type="dxa"/>
            <w:tcBorders>
              <w:top w:val="nil"/>
              <w:left w:val="nil"/>
              <w:bottom w:val="nil"/>
              <w:right w:val="nil"/>
            </w:tcBorders>
            <w:shd w:val="clear" w:color="auto" w:fill="auto"/>
            <w:vAlign w:val="center"/>
          </w:tcPr>
          <w:p w:rsidR="004C71F6" w:rsidRPr="00F55C2A" w:rsidRDefault="004C71F6" w:rsidP="00B87330">
            <w:pPr>
              <w:rPr>
                <w:sz w:val="28"/>
                <w:szCs w:val="28"/>
                <w:lang w:val="es-ES"/>
              </w:rPr>
            </w:pPr>
            <w:r w:rsidRPr="00F55C2A">
              <w:rPr>
                <w:sz w:val="28"/>
                <w:szCs w:val="28"/>
                <w:lang w:val="es-ES"/>
              </w:rPr>
              <w:t>Otras razones</w:t>
            </w:r>
          </w:p>
        </w:tc>
        <w:tc>
          <w:tcPr>
            <w:tcW w:w="1261" w:type="dxa"/>
            <w:tcBorders>
              <w:top w:val="nil"/>
              <w:left w:val="nil"/>
              <w:bottom w:val="nil"/>
              <w:right w:val="nil"/>
            </w:tcBorders>
            <w:shd w:val="clear" w:color="auto" w:fill="auto"/>
            <w:vAlign w:val="center"/>
          </w:tcPr>
          <w:p w:rsidR="004C71F6" w:rsidRPr="00F55C2A" w:rsidRDefault="004C71F6" w:rsidP="00B87330">
            <w:pPr>
              <w:ind w:right="301"/>
              <w:jc w:val="right"/>
              <w:rPr>
                <w:sz w:val="28"/>
                <w:szCs w:val="28"/>
                <w:lang w:val="es-ES"/>
              </w:rPr>
            </w:pPr>
            <w:r w:rsidRPr="00F55C2A">
              <w:rPr>
                <w:sz w:val="28"/>
                <w:szCs w:val="28"/>
                <w:lang w:val="es-ES"/>
              </w:rPr>
              <w:t>64</w:t>
            </w:r>
          </w:p>
        </w:tc>
        <w:tc>
          <w:tcPr>
            <w:tcW w:w="2569" w:type="dxa"/>
            <w:tcBorders>
              <w:top w:val="nil"/>
              <w:left w:val="nil"/>
              <w:bottom w:val="nil"/>
              <w:right w:val="nil"/>
            </w:tcBorders>
            <w:shd w:val="clear" w:color="auto" w:fill="auto"/>
            <w:vAlign w:val="center"/>
          </w:tcPr>
          <w:p w:rsidR="004C71F6" w:rsidRPr="00F55C2A" w:rsidRDefault="004C71F6" w:rsidP="00B87330">
            <w:pPr>
              <w:jc w:val="right"/>
              <w:rPr>
                <w:sz w:val="28"/>
                <w:szCs w:val="28"/>
                <w:lang w:val="es-ES"/>
              </w:rPr>
            </w:pPr>
            <w:r w:rsidRPr="00F55C2A">
              <w:rPr>
                <w:sz w:val="28"/>
                <w:szCs w:val="28"/>
                <w:lang w:val="es-ES"/>
              </w:rPr>
              <w:t>21 meses 1 semanas</w:t>
            </w:r>
          </w:p>
        </w:tc>
      </w:tr>
    </w:tbl>
    <w:p w:rsidR="004C71F6" w:rsidRPr="00F55C2A" w:rsidRDefault="004C71F6" w:rsidP="004C71F6">
      <w:pPr>
        <w:spacing w:line="360" w:lineRule="auto"/>
        <w:ind w:right="-74"/>
        <w:jc w:val="both"/>
        <w:rPr>
          <w:b/>
          <w:bCs/>
        </w:rPr>
      </w:pPr>
    </w:p>
    <w:p w:rsidR="004C71F6" w:rsidRPr="00F55C2A" w:rsidRDefault="004C71F6" w:rsidP="004C71F6">
      <w:pPr>
        <w:spacing w:line="360" w:lineRule="auto"/>
        <w:ind w:right="-74"/>
        <w:jc w:val="both"/>
        <w:rPr>
          <w:b/>
          <w:bCs/>
        </w:rPr>
      </w:pPr>
    </w:p>
    <w:p w:rsidR="004C71F6" w:rsidRPr="00F55C2A" w:rsidRDefault="004C71F6" w:rsidP="004C71F6">
      <w:pPr>
        <w:tabs>
          <w:tab w:val="left" w:pos="600"/>
        </w:tabs>
        <w:spacing w:line="360" w:lineRule="auto"/>
        <w:ind w:right="-74"/>
        <w:rPr>
          <w:b/>
          <w:bCs/>
          <w:sz w:val="28"/>
          <w:szCs w:val="28"/>
        </w:rPr>
      </w:pPr>
      <w:r w:rsidRPr="00F55C2A">
        <w:rPr>
          <w:b/>
          <w:bCs/>
          <w:sz w:val="28"/>
          <w:szCs w:val="28"/>
        </w:rPr>
        <w:t>VIII. CASOS EN TRÁMITE AL FINALIZAR</w:t>
      </w:r>
    </w:p>
    <w:p w:rsidR="004C71F6" w:rsidRPr="00F55C2A" w:rsidRDefault="004C71F6" w:rsidP="004C71F6">
      <w:pPr>
        <w:spacing w:line="360" w:lineRule="auto"/>
        <w:ind w:right="-74"/>
        <w:jc w:val="both"/>
        <w:rPr>
          <w:sz w:val="18"/>
          <w:szCs w:val="18"/>
          <w:lang w:val="es-ES_tradnl"/>
        </w:rPr>
      </w:pPr>
    </w:p>
    <w:p w:rsidR="004C71F6" w:rsidRPr="00F55C2A" w:rsidRDefault="004C71F6" w:rsidP="004C71F6">
      <w:pPr>
        <w:spacing w:line="360" w:lineRule="auto"/>
        <w:ind w:right="-74"/>
        <w:jc w:val="both"/>
        <w:rPr>
          <w:sz w:val="28"/>
          <w:szCs w:val="28"/>
          <w:lang w:val="es-ES_tradnl"/>
        </w:rPr>
      </w:pPr>
      <w:r w:rsidRPr="00F55C2A">
        <w:rPr>
          <w:sz w:val="28"/>
          <w:szCs w:val="28"/>
          <w:lang w:val="es-ES_tradnl"/>
        </w:rPr>
        <w:t xml:space="preserve">A pesar que el volumen de casos entrados es menor al de finiquito, se produjo un leve aumento del circulante al finalizar el 2015. En este fenómeno influye el incremento de los casos reentrados. No obstante, la magnitud del aumento del circulante es tan pequeña que el dato del 2015 le ubica dentro de la relativa estabilidad observada en los últimos años. Como se ilustra a continuación, el circulante al finalizar cada período anual desde el </w:t>
      </w:r>
      <w:smartTag w:uri="urn:schemas-microsoft-com:office:smarttags" w:element="metricconverter">
        <w:smartTagPr>
          <w:attr w:name="ProductID" w:val="2011 ha"/>
        </w:smartTagPr>
        <w:r w:rsidRPr="00F55C2A">
          <w:rPr>
            <w:sz w:val="28"/>
            <w:szCs w:val="28"/>
            <w:lang w:val="es-ES_tradnl"/>
          </w:rPr>
          <w:t>2011 ha</w:t>
        </w:r>
      </w:smartTag>
      <w:r w:rsidRPr="00F55C2A">
        <w:rPr>
          <w:sz w:val="28"/>
          <w:szCs w:val="28"/>
          <w:lang w:val="es-ES_tradnl"/>
        </w:rPr>
        <w:t xml:space="preserve"> oscilado en un intervalo que va </w:t>
      </w:r>
      <w:r w:rsidRPr="00F55C2A">
        <w:rPr>
          <w:sz w:val="28"/>
          <w:szCs w:val="28"/>
          <w:u w:val="single"/>
          <w:lang w:val="es-ES_tradnl"/>
        </w:rPr>
        <w:t>de los 3000 y los 3200 expedientes</w:t>
      </w:r>
      <w:r w:rsidRPr="00F55C2A">
        <w:rPr>
          <w:sz w:val="28"/>
          <w:szCs w:val="28"/>
          <w:lang w:val="es-ES_tradnl"/>
        </w:rPr>
        <w:t xml:space="preserve">; para finales del 2015 se reportaron </w:t>
      </w:r>
      <w:r w:rsidRPr="00F55C2A">
        <w:rPr>
          <w:b/>
          <w:sz w:val="28"/>
          <w:szCs w:val="28"/>
          <w:lang w:val="es-ES_tradnl"/>
        </w:rPr>
        <w:t>3.165</w:t>
      </w:r>
      <w:r w:rsidRPr="00F55C2A">
        <w:rPr>
          <w:sz w:val="28"/>
          <w:szCs w:val="28"/>
          <w:lang w:val="es-ES_tradnl"/>
        </w:rPr>
        <w:t xml:space="preserve"> expedientes sin una resolución definitiva, apenas </w:t>
      </w:r>
      <w:r w:rsidRPr="00F55C2A">
        <w:rPr>
          <w:b/>
          <w:sz w:val="28"/>
          <w:szCs w:val="28"/>
          <w:lang w:val="es-ES_tradnl"/>
        </w:rPr>
        <w:t>54</w:t>
      </w:r>
      <w:r w:rsidRPr="00F55C2A">
        <w:rPr>
          <w:sz w:val="28"/>
          <w:szCs w:val="28"/>
          <w:lang w:val="es-ES_tradnl"/>
        </w:rPr>
        <w:t xml:space="preserve"> menos que el fin del ejercicio del 2014 cuando se tenían </w:t>
      </w:r>
      <w:r w:rsidRPr="00F55C2A">
        <w:rPr>
          <w:b/>
          <w:sz w:val="28"/>
          <w:szCs w:val="28"/>
          <w:lang w:val="es-ES_tradnl"/>
        </w:rPr>
        <w:t>3.111</w:t>
      </w:r>
      <w:r w:rsidRPr="00F55C2A">
        <w:rPr>
          <w:sz w:val="28"/>
          <w:szCs w:val="28"/>
          <w:lang w:val="es-ES_tradnl"/>
        </w:rPr>
        <w:t xml:space="preserve"> asuntos pendientes; en otros </w:t>
      </w:r>
      <w:r w:rsidRPr="00F55C2A">
        <w:rPr>
          <w:sz w:val="28"/>
          <w:szCs w:val="28"/>
          <w:lang w:val="es-ES_tradnl"/>
        </w:rPr>
        <w:lastRenderedPageBreak/>
        <w:t>términos, el resultado del 2015 es ligeramente mayor (</w:t>
      </w:r>
      <w:r w:rsidRPr="00F55C2A">
        <w:rPr>
          <w:b/>
          <w:sz w:val="28"/>
          <w:szCs w:val="28"/>
          <w:lang w:val="es-ES_tradnl"/>
        </w:rPr>
        <w:t>1,7%</w:t>
      </w:r>
      <w:r w:rsidRPr="00F55C2A">
        <w:rPr>
          <w:sz w:val="28"/>
          <w:szCs w:val="28"/>
          <w:lang w:val="es-ES_tradnl"/>
        </w:rPr>
        <w:t xml:space="preserve">) al reportado doce meses antes. </w:t>
      </w:r>
    </w:p>
    <w:p w:rsidR="004C71F6" w:rsidRPr="00F55C2A" w:rsidRDefault="004C71F6" w:rsidP="004C71F6">
      <w:pPr>
        <w:spacing w:line="360" w:lineRule="auto"/>
        <w:ind w:right="-74"/>
        <w:jc w:val="both"/>
        <w:rPr>
          <w:sz w:val="16"/>
          <w:szCs w:val="16"/>
          <w:lang w:val="es-ES_tradnl"/>
        </w:rPr>
      </w:pPr>
    </w:p>
    <w:p w:rsidR="004C71F6" w:rsidRPr="00F55C2A" w:rsidRDefault="006A2BFA" w:rsidP="004C71F6">
      <w:pPr>
        <w:spacing w:line="360" w:lineRule="auto"/>
        <w:ind w:right="-74"/>
        <w:jc w:val="center"/>
        <w:rPr>
          <w:sz w:val="32"/>
          <w:szCs w:val="32"/>
          <w:lang w:val="es-ES_tradnl"/>
        </w:rPr>
      </w:pPr>
      <w:r>
        <w:rPr>
          <w:noProof/>
          <w:sz w:val="28"/>
          <w:szCs w:val="28"/>
          <w:lang w:eastAsia="es-CR"/>
        </w:rPr>
        <w:drawing>
          <wp:inline distT="0" distB="0" distL="0" distR="0">
            <wp:extent cx="5172710" cy="3126105"/>
            <wp:effectExtent l="0" t="0" r="0" b="0"/>
            <wp:docPr id="13" name="Objet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C71F6" w:rsidRPr="00F55C2A" w:rsidRDefault="004C71F6" w:rsidP="004C71F6">
      <w:pPr>
        <w:spacing w:line="360" w:lineRule="auto"/>
        <w:ind w:right="-74"/>
        <w:jc w:val="both"/>
        <w:rPr>
          <w:sz w:val="28"/>
          <w:szCs w:val="28"/>
          <w:lang w:val="es-ES_tradnl"/>
        </w:rPr>
      </w:pPr>
    </w:p>
    <w:p w:rsidR="004C71F6" w:rsidRPr="00F55C2A" w:rsidRDefault="004C71F6" w:rsidP="004C71F6">
      <w:pPr>
        <w:pStyle w:val="Textoindependiente3"/>
        <w:spacing w:line="360" w:lineRule="auto"/>
        <w:ind w:right="-74"/>
        <w:rPr>
          <w:rFonts w:ascii="Times New Roman" w:hAnsi="Times New Roman"/>
          <w:sz w:val="28"/>
          <w:szCs w:val="28"/>
          <w:lang w:val="es-MX"/>
        </w:rPr>
      </w:pPr>
      <w:r w:rsidRPr="00F55C2A">
        <w:rPr>
          <w:rFonts w:ascii="Times New Roman" w:hAnsi="Times New Roman"/>
          <w:b/>
          <w:bCs/>
          <w:sz w:val="28"/>
          <w:szCs w:val="28"/>
        </w:rPr>
        <w:t>8.1.</w:t>
      </w:r>
      <w:r w:rsidRPr="00F55C2A">
        <w:rPr>
          <w:rFonts w:ascii="Times New Roman" w:hAnsi="Times New Roman"/>
          <w:b/>
          <w:bCs/>
          <w:sz w:val="28"/>
          <w:szCs w:val="28"/>
        </w:rPr>
        <w:tab/>
        <w:t>Tiempo de espera para trámite final</w:t>
      </w:r>
    </w:p>
    <w:p w:rsidR="004C71F6" w:rsidRPr="00F55C2A" w:rsidRDefault="004C71F6" w:rsidP="004C71F6">
      <w:pPr>
        <w:spacing w:line="360" w:lineRule="auto"/>
        <w:ind w:right="-74"/>
        <w:jc w:val="both"/>
        <w:rPr>
          <w:sz w:val="28"/>
          <w:szCs w:val="28"/>
        </w:rPr>
      </w:pPr>
    </w:p>
    <w:p w:rsidR="004C71F6" w:rsidRPr="00F55C2A" w:rsidRDefault="004C71F6" w:rsidP="004C71F6">
      <w:pPr>
        <w:spacing w:line="360" w:lineRule="auto"/>
        <w:ind w:right="-74"/>
        <w:jc w:val="both"/>
        <w:rPr>
          <w:sz w:val="28"/>
          <w:szCs w:val="28"/>
          <w:lang w:val="es-ES_tradnl"/>
        </w:rPr>
      </w:pPr>
      <w:r w:rsidRPr="00F55C2A">
        <w:rPr>
          <w:sz w:val="28"/>
          <w:szCs w:val="28"/>
        </w:rPr>
        <w:t xml:space="preserve">A final del 2015, se reportan más casos antiguos que a la conclusión del 2014. Como se muestra en el despliegue siguiente, </w:t>
      </w:r>
      <w:r w:rsidRPr="00F55C2A">
        <w:rPr>
          <w:sz w:val="28"/>
          <w:szCs w:val="28"/>
          <w:lang w:val="es-ES_tradnl"/>
        </w:rPr>
        <w:t xml:space="preserve">el </w:t>
      </w:r>
      <w:r w:rsidRPr="00F55C2A">
        <w:rPr>
          <w:b/>
          <w:sz w:val="28"/>
          <w:szCs w:val="28"/>
          <w:lang w:val="es-ES_tradnl"/>
        </w:rPr>
        <w:t xml:space="preserve">26%(828 </w:t>
      </w:r>
      <w:r w:rsidRPr="00F55C2A">
        <w:rPr>
          <w:sz w:val="28"/>
          <w:szCs w:val="28"/>
          <w:lang w:val="es-ES_tradnl"/>
        </w:rPr>
        <w:t>casos</w:t>
      </w:r>
      <w:r w:rsidRPr="00F55C2A">
        <w:rPr>
          <w:b/>
          <w:sz w:val="28"/>
          <w:szCs w:val="28"/>
          <w:lang w:val="es-ES_tradnl"/>
        </w:rPr>
        <w:t>)</w:t>
      </w:r>
      <w:r w:rsidRPr="00F55C2A">
        <w:rPr>
          <w:sz w:val="28"/>
          <w:szCs w:val="28"/>
          <w:lang w:val="es-ES_tradnl"/>
        </w:rPr>
        <w:t xml:space="preserve"> del circulante al finalizar el 2015 tienen menos de un año de estar a la espera de una resolución cuando que, doce meses antes eran el </w:t>
      </w:r>
      <w:r w:rsidRPr="00F55C2A">
        <w:rPr>
          <w:b/>
          <w:sz w:val="28"/>
          <w:szCs w:val="28"/>
          <w:lang w:val="es-ES_tradnl"/>
        </w:rPr>
        <w:t xml:space="preserve">29% (914 </w:t>
      </w:r>
      <w:r w:rsidRPr="00F55C2A">
        <w:rPr>
          <w:sz w:val="28"/>
          <w:szCs w:val="28"/>
          <w:lang w:val="es-ES_tradnl"/>
        </w:rPr>
        <w:t>casos</w:t>
      </w:r>
      <w:r w:rsidRPr="00F55C2A">
        <w:rPr>
          <w:b/>
          <w:sz w:val="28"/>
          <w:szCs w:val="28"/>
          <w:lang w:val="es-ES_tradnl"/>
        </w:rPr>
        <w:t>)</w:t>
      </w:r>
      <w:r w:rsidRPr="00F55C2A">
        <w:rPr>
          <w:sz w:val="28"/>
          <w:szCs w:val="28"/>
          <w:lang w:val="es-ES_tradnl"/>
        </w:rPr>
        <w:t xml:space="preserve">. La reducción del porcentaje de asuntos de reciente ingreso en la existencia produce consecuentemente que se incremente el peso relativo de asuntos que acumulan más de un año de espera final. Al final del 2015, el porcentaje de los asuntos que tienen de uno a menos de tres años de espera sube al </w:t>
      </w:r>
      <w:r w:rsidRPr="00F55C2A">
        <w:rPr>
          <w:b/>
          <w:sz w:val="28"/>
          <w:szCs w:val="28"/>
          <w:lang w:val="es-ES_tradnl"/>
        </w:rPr>
        <w:t>41%</w:t>
      </w:r>
      <w:r w:rsidRPr="00F55C2A">
        <w:rPr>
          <w:sz w:val="28"/>
          <w:szCs w:val="28"/>
          <w:lang w:val="es-ES_tradnl"/>
        </w:rPr>
        <w:t xml:space="preserve"> (</w:t>
      </w:r>
      <w:r w:rsidRPr="00F55C2A">
        <w:rPr>
          <w:b/>
          <w:sz w:val="28"/>
          <w:szCs w:val="28"/>
          <w:lang w:val="es-ES_tradnl"/>
        </w:rPr>
        <w:t>1312</w:t>
      </w:r>
      <w:r w:rsidRPr="00F55C2A">
        <w:rPr>
          <w:sz w:val="28"/>
          <w:szCs w:val="28"/>
          <w:lang w:val="es-ES_tradnl"/>
        </w:rPr>
        <w:t xml:space="preserve"> casos) cuando que doce meses antes eran el </w:t>
      </w:r>
      <w:r w:rsidRPr="00F55C2A">
        <w:rPr>
          <w:b/>
          <w:sz w:val="28"/>
          <w:szCs w:val="28"/>
          <w:lang w:val="es-ES_tradnl"/>
        </w:rPr>
        <w:t xml:space="preserve">39% (1218 </w:t>
      </w:r>
      <w:r w:rsidRPr="00F55C2A">
        <w:rPr>
          <w:sz w:val="28"/>
          <w:szCs w:val="28"/>
          <w:lang w:val="es-ES_tradnl"/>
        </w:rPr>
        <w:t xml:space="preserve">casos). También crece el peso relativo </w:t>
      </w:r>
      <w:r w:rsidRPr="00F55C2A">
        <w:rPr>
          <w:sz w:val="28"/>
          <w:szCs w:val="28"/>
          <w:lang w:val="es-ES_tradnl"/>
        </w:rPr>
        <w:lastRenderedPageBreak/>
        <w:t xml:space="preserve">del asunto con más de tres años de espera en un punto porcentual. De esta forma, se ha producido incremento en el tiempo de espera (antigüedad) de la existencia. </w:t>
      </w:r>
    </w:p>
    <w:p w:rsidR="004C71F6" w:rsidRPr="00F55C2A" w:rsidRDefault="004C71F6" w:rsidP="004C71F6">
      <w:pPr>
        <w:spacing w:line="360" w:lineRule="auto"/>
        <w:jc w:val="both"/>
        <w:rPr>
          <w:b/>
          <w:bCs/>
          <w:sz w:val="24"/>
          <w:szCs w:val="24"/>
          <w:u w:val="single"/>
          <w:lang w:eastAsia="es-CR"/>
        </w:rPr>
      </w:pPr>
    </w:p>
    <w:tbl>
      <w:tblPr>
        <w:tblW w:w="6160" w:type="dxa"/>
        <w:jc w:val="center"/>
        <w:tblCellMar>
          <w:left w:w="70" w:type="dxa"/>
          <w:right w:w="70" w:type="dxa"/>
        </w:tblCellMar>
        <w:tblLook w:val="04A0" w:firstRow="1" w:lastRow="0" w:firstColumn="1" w:lastColumn="0" w:noHBand="0" w:noVBand="1"/>
      </w:tblPr>
      <w:tblGrid>
        <w:gridCol w:w="2920"/>
        <w:gridCol w:w="1620"/>
        <w:gridCol w:w="1620"/>
      </w:tblGrid>
      <w:tr w:rsidR="004C71F6" w:rsidRPr="00E33329" w:rsidTr="00B87330">
        <w:trPr>
          <w:trHeight w:val="645"/>
          <w:jc w:val="center"/>
        </w:trPr>
        <w:tc>
          <w:tcPr>
            <w:tcW w:w="2920" w:type="dxa"/>
            <w:vMerge w:val="restart"/>
            <w:tcBorders>
              <w:top w:val="nil"/>
              <w:left w:val="nil"/>
              <w:bottom w:val="nil"/>
              <w:right w:val="nil"/>
            </w:tcBorders>
            <w:shd w:val="clear" w:color="auto" w:fill="auto"/>
            <w:vAlign w:val="center"/>
            <w:hideMark/>
          </w:tcPr>
          <w:p w:rsidR="004C71F6" w:rsidRPr="00E33329" w:rsidRDefault="004C71F6" w:rsidP="00B87330">
            <w:pPr>
              <w:jc w:val="center"/>
              <w:rPr>
                <w:b/>
                <w:bCs/>
                <w:sz w:val="24"/>
                <w:szCs w:val="24"/>
                <w:u w:val="single"/>
                <w:lang w:eastAsia="es-CR"/>
              </w:rPr>
            </w:pPr>
            <w:r w:rsidRPr="00E33329">
              <w:rPr>
                <w:b/>
                <w:bCs/>
                <w:sz w:val="24"/>
                <w:szCs w:val="24"/>
                <w:u w:val="single"/>
                <w:lang w:eastAsia="es-CR"/>
              </w:rPr>
              <w:t>Tiempo de espera para tramite final</w:t>
            </w:r>
          </w:p>
        </w:tc>
        <w:tc>
          <w:tcPr>
            <w:tcW w:w="3240" w:type="dxa"/>
            <w:gridSpan w:val="2"/>
            <w:tcBorders>
              <w:top w:val="nil"/>
              <w:left w:val="nil"/>
              <w:bottom w:val="nil"/>
              <w:right w:val="nil"/>
            </w:tcBorders>
            <w:shd w:val="clear" w:color="auto" w:fill="auto"/>
            <w:vAlign w:val="center"/>
            <w:hideMark/>
          </w:tcPr>
          <w:p w:rsidR="004C71F6" w:rsidRPr="00E33329" w:rsidRDefault="004C71F6" w:rsidP="00B87330">
            <w:pPr>
              <w:jc w:val="center"/>
              <w:rPr>
                <w:b/>
                <w:bCs/>
                <w:sz w:val="24"/>
                <w:szCs w:val="24"/>
                <w:u w:val="single"/>
                <w:lang w:eastAsia="es-CR"/>
              </w:rPr>
            </w:pPr>
            <w:r w:rsidRPr="00E33329">
              <w:rPr>
                <w:b/>
                <w:bCs/>
                <w:sz w:val="24"/>
                <w:szCs w:val="24"/>
                <w:u w:val="single"/>
                <w:lang w:eastAsia="es-CR"/>
              </w:rPr>
              <w:t>Porcentaje de casos en trámite al finalizar el año</w:t>
            </w:r>
          </w:p>
        </w:tc>
      </w:tr>
      <w:tr w:rsidR="004C71F6" w:rsidRPr="00E33329" w:rsidTr="00B87330">
        <w:trPr>
          <w:trHeight w:val="315"/>
          <w:jc w:val="center"/>
        </w:trPr>
        <w:tc>
          <w:tcPr>
            <w:tcW w:w="2920" w:type="dxa"/>
            <w:vMerge/>
            <w:tcBorders>
              <w:top w:val="nil"/>
              <w:left w:val="nil"/>
              <w:bottom w:val="nil"/>
              <w:right w:val="nil"/>
            </w:tcBorders>
            <w:vAlign w:val="center"/>
            <w:hideMark/>
          </w:tcPr>
          <w:p w:rsidR="004C71F6" w:rsidRPr="00E33329" w:rsidRDefault="004C71F6" w:rsidP="00B87330">
            <w:pPr>
              <w:rPr>
                <w:b/>
                <w:bCs/>
                <w:sz w:val="24"/>
                <w:szCs w:val="24"/>
                <w:u w:val="single"/>
                <w:lang w:eastAsia="es-CR"/>
              </w:rPr>
            </w:pPr>
          </w:p>
        </w:tc>
        <w:tc>
          <w:tcPr>
            <w:tcW w:w="1620" w:type="dxa"/>
            <w:tcBorders>
              <w:top w:val="nil"/>
              <w:left w:val="nil"/>
              <w:bottom w:val="nil"/>
              <w:right w:val="nil"/>
            </w:tcBorders>
            <w:shd w:val="clear" w:color="auto" w:fill="auto"/>
            <w:vAlign w:val="center"/>
            <w:hideMark/>
          </w:tcPr>
          <w:p w:rsidR="004C71F6" w:rsidRPr="00E33329" w:rsidRDefault="004C71F6" w:rsidP="00B87330">
            <w:pPr>
              <w:jc w:val="center"/>
              <w:rPr>
                <w:b/>
                <w:bCs/>
                <w:sz w:val="24"/>
                <w:szCs w:val="24"/>
                <w:u w:val="single"/>
                <w:lang w:eastAsia="es-CR"/>
              </w:rPr>
            </w:pPr>
            <w:r w:rsidRPr="00E33329">
              <w:rPr>
                <w:b/>
                <w:bCs/>
                <w:sz w:val="24"/>
                <w:szCs w:val="24"/>
                <w:u w:val="single"/>
                <w:lang w:eastAsia="es-CR"/>
              </w:rPr>
              <w:t>2014</w:t>
            </w:r>
          </w:p>
        </w:tc>
        <w:tc>
          <w:tcPr>
            <w:tcW w:w="1620" w:type="dxa"/>
            <w:tcBorders>
              <w:top w:val="nil"/>
              <w:left w:val="nil"/>
              <w:bottom w:val="nil"/>
              <w:right w:val="nil"/>
            </w:tcBorders>
            <w:shd w:val="clear" w:color="auto" w:fill="auto"/>
            <w:vAlign w:val="center"/>
            <w:hideMark/>
          </w:tcPr>
          <w:p w:rsidR="004C71F6" w:rsidRPr="00E33329" w:rsidRDefault="004C71F6" w:rsidP="00B87330">
            <w:pPr>
              <w:jc w:val="center"/>
              <w:rPr>
                <w:b/>
                <w:bCs/>
                <w:sz w:val="24"/>
                <w:szCs w:val="24"/>
                <w:u w:val="single"/>
                <w:lang w:eastAsia="es-CR"/>
              </w:rPr>
            </w:pPr>
            <w:r w:rsidRPr="00E33329">
              <w:rPr>
                <w:b/>
                <w:bCs/>
                <w:sz w:val="24"/>
                <w:szCs w:val="24"/>
                <w:u w:val="single"/>
                <w:lang w:eastAsia="es-CR"/>
              </w:rPr>
              <w:t>2015</w:t>
            </w:r>
          </w:p>
        </w:tc>
      </w:tr>
      <w:tr w:rsidR="004C71F6" w:rsidRPr="00E33329" w:rsidTr="00B87330">
        <w:trPr>
          <w:trHeight w:val="315"/>
          <w:jc w:val="center"/>
        </w:trPr>
        <w:tc>
          <w:tcPr>
            <w:tcW w:w="2920" w:type="dxa"/>
            <w:tcBorders>
              <w:top w:val="nil"/>
              <w:left w:val="nil"/>
              <w:bottom w:val="nil"/>
              <w:right w:val="nil"/>
            </w:tcBorders>
            <w:shd w:val="clear" w:color="auto" w:fill="auto"/>
            <w:vAlign w:val="center"/>
            <w:hideMark/>
          </w:tcPr>
          <w:p w:rsidR="004C71F6" w:rsidRPr="00E33329" w:rsidRDefault="004C71F6" w:rsidP="00B87330">
            <w:pPr>
              <w:jc w:val="center"/>
              <w:rPr>
                <w:b/>
                <w:bCs/>
                <w:sz w:val="24"/>
                <w:szCs w:val="24"/>
                <w:lang w:eastAsia="es-CR"/>
              </w:rPr>
            </w:pPr>
          </w:p>
        </w:tc>
        <w:tc>
          <w:tcPr>
            <w:tcW w:w="1620" w:type="dxa"/>
            <w:tcBorders>
              <w:top w:val="nil"/>
              <w:left w:val="nil"/>
              <w:bottom w:val="nil"/>
              <w:right w:val="nil"/>
            </w:tcBorders>
            <w:shd w:val="clear" w:color="auto" w:fill="auto"/>
            <w:vAlign w:val="center"/>
            <w:hideMark/>
          </w:tcPr>
          <w:p w:rsidR="004C71F6" w:rsidRPr="00E33329" w:rsidRDefault="004C71F6" w:rsidP="00B87330">
            <w:pPr>
              <w:rPr>
                <w:sz w:val="24"/>
                <w:szCs w:val="24"/>
                <w:lang w:eastAsia="es-CR"/>
              </w:rPr>
            </w:pPr>
          </w:p>
        </w:tc>
        <w:tc>
          <w:tcPr>
            <w:tcW w:w="1620" w:type="dxa"/>
            <w:tcBorders>
              <w:top w:val="nil"/>
              <w:left w:val="nil"/>
              <w:bottom w:val="nil"/>
              <w:right w:val="nil"/>
            </w:tcBorders>
            <w:shd w:val="clear" w:color="auto" w:fill="auto"/>
            <w:vAlign w:val="center"/>
            <w:hideMark/>
          </w:tcPr>
          <w:p w:rsidR="004C71F6" w:rsidRPr="00E33329" w:rsidRDefault="004C71F6" w:rsidP="00B87330">
            <w:pPr>
              <w:rPr>
                <w:sz w:val="24"/>
                <w:szCs w:val="24"/>
                <w:lang w:eastAsia="es-CR"/>
              </w:rPr>
            </w:pPr>
          </w:p>
        </w:tc>
      </w:tr>
      <w:tr w:rsidR="004C71F6" w:rsidRPr="00E33329" w:rsidTr="00B87330">
        <w:trPr>
          <w:trHeight w:val="315"/>
          <w:jc w:val="center"/>
        </w:trPr>
        <w:tc>
          <w:tcPr>
            <w:tcW w:w="2920" w:type="dxa"/>
            <w:tcBorders>
              <w:top w:val="nil"/>
              <w:left w:val="nil"/>
              <w:bottom w:val="nil"/>
              <w:right w:val="nil"/>
            </w:tcBorders>
            <w:shd w:val="clear" w:color="auto" w:fill="auto"/>
            <w:vAlign w:val="center"/>
            <w:hideMark/>
          </w:tcPr>
          <w:p w:rsidR="004C71F6" w:rsidRPr="00E33329" w:rsidRDefault="004C71F6" w:rsidP="00B87330">
            <w:pPr>
              <w:jc w:val="center"/>
              <w:rPr>
                <w:b/>
                <w:bCs/>
                <w:sz w:val="24"/>
                <w:szCs w:val="24"/>
                <w:lang w:eastAsia="es-CR"/>
              </w:rPr>
            </w:pPr>
            <w:r w:rsidRPr="00E33329">
              <w:rPr>
                <w:b/>
                <w:bCs/>
                <w:sz w:val="24"/>
                <w:szCs w:val="24"/>
                <w:lang w:eastAsia="es-CR"/>
              </w:rPr>
              <w:t>Total</w:t>
            </w:r>
          </w:p>
        </w:tc>
        <w:tc>
          <w:tcPr>
            <w:tcW w:w="1620" w:type="dxa"/>
            <w:tcBorders>
              <w:top w:val="nil"/>
              <w:left w:val="nil"/>
              <w:bottom w:val="nil"/>
              <w:right w:val="nil"/>
            </w:tcBorders>
            <w:shd w:val="clear" w:color="auto" w:fill="auto"/>
            <w:vAlign w:val="center"/>
            <w:hideMark/>
          </w:tcPr>
          <w:p w:rsidR="004C71F6" w:rsidRPr="00E33329" w:rsidRDefault="004C71F6" w:rsidP="00B87330">
            <w:pPr>
              <w:jc w:val="center"/>
              <w:rPr>
                <w:b/>
                <w:bCs/>
                <w:sz w:val="24"/>
                <w:szCs w:val="24"/>
                <w:lang w:eastAsia="es-CR"/>
              </w:rPr>
            </w:pPr>
            <w:r w:rsidRPr="00E33329">
              <w:rPr>
                <w:b/>
                <w:bCs/>
                <w:sz w:val="24"/>
                <w:szCs w:val="24"/>
                <w:lang w:eastAsia="es-CR"/>
              </w:rPr>
              <w:t>100%</w:t>
            </w:r>
          </w:p>
        </w:tc>
        <w:tc>
          <w:tcPr>
            <w:tcW w:w="1620" w:type="dxa"/>
            <w:tcBorders>
              <w:top w:val="nil"/>
              <w:left w:val="nil"/>
              <w:bottom w:val="nil"/>
              <w:right w:val="nil"/>
            </w:tcBorders>
            <w:shd w:val="clear" w:color="auto" w:fill="auto"/>
            <w:vAlign w:val="center"/>
            <w:hideMark/>
          </w:tcPr>
          <w:p w:rsidR="004C71F6" w:rsidRPr="00E33329" w:rsidRDefault="004C71F6" w:rsidP="00B87330">
            <w:pPr>
              <w:jc w:val="center"/>
              <w:rPr>
                <w:b/>
                <w:bCs/>
                <w:sz w:val="24"/>
                <w:szCs w:val="24"/>
                <w:lang w:eastAsia="es-CR"/>
              </w:rPr>
            </w:pPr>
            <w:r w:rsidRPr="00E33329">
              <w:rPr>
                <w:b/>
                <w:bCs/>
                <w:sz w:val="24"/>
                <w:szCs w:val="24"/>
                <w:lang w:eastAsia="es-CR"/>
              </w:rPr>
              <w:t>100%</w:t>
            </w:r>
          </w:p>
        </w:tc>
      </w:tr>
      <w:tr w:rsidR="004C71F6" w:rsidRPr="00E33329" w:rsidTr="00B87330">
        <w:trPr>
          <w:trHeight w:val="315"/>
          <w:jc w:val="center"/>
        </w:trPr>
        <w:tc>
          <w:tcPr>
            <w:tcW w:w="2920" w:type="dxa"/>
            <w:tcBorders>
              <w:top w:val="nil"/>
              <w:left w:val="nil"/>
              <w:bottom w:val="nil"/>
              <w:right w:val="nil"/>
            </w:tcBorders>
            <w:shd w:val="clear" w:color="auto" w:fill="auto"/>
            <w:vAlign w:val="center"/>
            <w:hideMark/>
          </w:tcPr>
          <w:p w:rsidR="004C71F6" w:rsidRPr="00E33329" w:rsidRDefault="004C71F6" w:rsidP="00B87330">
            <w:pPr>
              <w:jc w:val="center"/>
              <w:rPr>
                <w:b/>
                <w:bCs/>
                <w:sz w:val="24"/>
                <w:szCs w:val="24"/>
                <w:lang w:eastAsia="es-CR"/>
              </w:rPr>
            </w:pPr>
          </w:p>
        </w:tc>
        <w:tc>
          <w:tcPr>
            <w:tcW w:w="1620" w:type="dxa"/>
            <w:tcBorders>
              <w:top w:val="nil"/>
              <w:left w:val="nil"/>
              <w:bottom w:val="nil"/>
              <w:right w:val="nil"/>
            </w:tcBorders>
            <w:shd w:val="clear" w:color="auto" w:fill="auto"/>
            <w:vAlign w:val="center"/>
            <w:hideMark/>
          </w:tcPr>
          <w:p w:rsidR="004C71F6" w:rsidRPr="00E33329" w:rsidRDefault="004C71F6" w:rsidP="00B87330">
            <w:pPr>
              <w:rPr>
                <w:sz w:val="24"/>
                <w:szCs w:val="24"/>
                <w:lang w:eastAsia="es-CR"/>
              </w:rPr>
            </w:pPr>
          </w:p>
        </w:tc>
        <w:tc>
          <w:tcPr>
            <w:tcW w:w="1620" w:type="dxa"/>
            <w:tcBorders>
              <w:top w:val="nil"/>
              <w:left w:val="nil"/>
              <w:bottom w:val="nil"/>
              <w:right w:val="nil"/>
            </w:tcBorders>
            <w:shd w:val="clear" w:color="auto" w:fill="auto"/>
            <w:vAlign w:val="center"/>
            <w:hideMark/>
          </w:tcPr>
          <w:p w:rsidR="004C71F6" w:rsidRPr="00E33329" w:rsidRDefault="004C71F6" w:rsidP="00B87330">
            <w:pPr>
              <w:rPr>
                <w:sz w:val="24"/>
                <w:szCs w:val="24"/>
                <w:lang w:eastAsia="es-CR"/>
              </w:rPr>
            </w:pPr>
          </w:p>
        </w:tc>
      </w:tr>
      <w:tr w:rsidR="004C71F6" w:rsidRPr="00E33329" w:rsidTr="00B87330">
        <w:trPr>
          <w:trHeight w:val="315"/>
          <w:jc w:val="center"/>
        </w:trPr>
        <w:tc>
          <w:tcPr>
            <w:tcW w:w="2920" w:type="dxa"/>
            <w:tcBorders>
              <w:top w:val="nil"/>
              <w:left w:val="nil"/>
              <w:bottom w:val="nil"/>
              <w:right w:val="nil"/>
            </w:tcBorders>
            <w:shd w:val="clear" w:color="auto" w:fill="auto"/>
            <w:vAlign w:val="bottom"/>
            <w:hideMark/>
          </w:tcPr>
          <w:p w:rsidR="004C71F6" w:rsidRPr="00E33329" w:rsidRDefault="004C71F6" w:rsidP="00B87330">
            <w:pPr>
              <w:rPr>
                <w:sz w:val="24"/>
                <w:szCs w:val="24"/>
                <w:lang w:eastAsia="es-CR"/>
              </w:rPr>
            </w:pPr>
            <w:r w:rsidRPr="00E33329">
              <w:rPr>
                <w:sz w:val="24"/>
                <w:szCs w:val="24"/>
                <w:lang w:eastAsia="es-CR"/>
              </w:rPr>
              <w:t>Menos un año</w:t>
            </w:r>
          </w:p>
        </w:tc>
        <w:tc>
          <w:tcPr>
            <w:tcW w:w="1620" w:type="dxa"/>
            <w:tcBorders>
              <w:top w:val="nil"/>
              <w:left w:val="nil"/>
              <w:bottom w:val="nil"/>
              <w:right w:val="nil"/>
            </w:tcBorders>
            <w:shd w:val="clear" w:color="auto" w:fill="auto"/>
            <w:vAlign w:val="center"/>
            <w:hideMark/>
          </w:tcPr>
          <w:p w:rsidR="004C71F6" w:rsidRPr="00E33329" w:rsidRDefault="004C71F6" w:rsidP="00B87330">
            <w:pPr>
              <w:jc w:val="center"/>
              <w:rPr>
                <w:sz w:val="24"/>
                <w:szCs w:val="24"/>
                <w:lang w:eastAsia="es-CR"/>
              </w:rPr>
            </w:pPr>
            <w:r w:rsidRPr="00E33329">
              <w:rPr>
                <w:sz w:val="24"/>
                <w:szCs w:val="24"/>
                <w:lang w:eastAsia="es-CR"/>
              </w:rPr>
              <w:t>29%</w:t>
            </w:r>
          </w:p>
        </w:tc>
        <w:tc>
          <w:tcPr>
            <w:tcW w:w="1620" w:type="dxa"/>
            <w:tcBorders>
              <w:top w:val="nil"/>
              <w:left w:val="nil"/>
              <w:bottom w:val="nil"/>
              <w:right w:val="nil"/>
            </w:tcBorders>
            <w:shd w:val="clear" w:color="auto" w:fill="auto"/>
            <w:vAlign w:val="center"/>
            <w:hideMark/>
          </w:tcPr>
          <w:p w:rsidR="004C71F6" w:rsidRPr="00E33329" w:rsidRDefault="004C71F6" w:rsidP="00B87330">
            <w:pPr>
              <w:jc w:val="center"/>
              <w:rPr>
                <w:sz w:val="24"/>
                <w:szCs w:val="24"/>
                <w:lang w:eastAsia="es-CR"/>
              </w:rPr>
            </w:pPr>
            <w:r w:rsidRPr="00E33329">
              <w:rPr>
                <w:sz w:val="24"/>
                <w:szCs w:val="24"/>
                <w:lang w:eastAsia="es-CR"/>
              </w:rPr>
              <w:t>26%</w:t>
            </w:r>
          </w:p>
        </w:tc>
      </w:tr>
      <w:tr w:rsidR="004C71F6" w:rsidRPr="00E33329" w:rsidTr="00B87330">
        <w:trPr>
          <w:trHeight w:val="315"/>
          <w:jc w:val="center"/>
        </w:trPr>
        <w:tc>
          <w:tcPr>
            <w:tcW w:w="2920" w:type="dxa"/>
            <w:tcBorders>
              <w:top w:val="nil"/>
              <w:left w:val="nil"/>
              <w:bottom w:val="nil"/>
              <w:right w:val="nil"/>
            </w:tcBorders>
            <w:shd w:val="clear" w:color="auto" w:fill="auto"/>
            <w:vAlign w:val="bottom"/>
            <w:hideMark/>
          </w:tcPr>
          <w:p w:rsidR="004C71F6" w:rsidRPr="00E33329" w:rsidRDefault="004C71F6" w:rsidP="00B87330">
            <w:pPr>
              <w:rPr>
                <w:sz w:val="24"/>
                <w:szCs w:val="24"/>
                <w:lang w:eastAsia="es-CR"/>
              </w:rPr>
            </w:pPr>
            <w:r w:rsidRPr="00E33329">
              <w:rPr>
                <w:sz w:val="24"/>
                <w:szCs w:val="24"/>
                <w:lang w:eastAsia="es-CR"/>
              </w:rPr>
              <w:t>De uno a menos de tres años</w:t>
            </w:r>
          </w:p>
        </w:tc>
        <w:tc>
          <w:tcPr>
            <w:tcW w:w="1620" w:type="dxa"/>
            <w:tcBorders>
              <w:top w:val="nil"/>
              <w:left w:val="nil"/>
              <w:bottom w:val="nil"/>
              <w:right w:val="nil"/>
            </w:tcBorders>
            <w:shd w:val="clear" w:color="auto" w:fill="auto"/>
            <w:vAlign w:val="center"/>
            <w:hideMark/>
          </w:tcPr>
          <w:p w:rsidR="004C71F6" w:rsidRPr="00E33329" w:rsidRDefault="004C71F6" w:rsidP="00B87330">
            <w:pPr>
              <w:jc w:val="center"/>
              <w:rPr>
                <w:sz w:val="24"/>
                <w:szCs w:val="24"/>
                <w:lang w:eastAsia="es-CR"/>
              </w:rPr>
            </w:pPr>
            <w:r w:rsidRPr="00E33329">
              <w:rPr>
                <w:sz w:val="24"/>
                <w:szCs w:val="24"/>
                <w:lang w:eastAsia="es-CR"/>
              </w:rPr>
              <w:t>31%</w:t>
            </w:r>
          </w:p>
        </w:tc>
        <w:tc>
          <w:tcPr>
            <w:tcW w:w="1620" w:type="dxa"/>
            <w:tcBorders>
              <w:top w:val="nil"/>
              <w:left w:val="nil"/>
              <w:bottom w:val="nil"/>
              <w:right w:val="nil"/>
            </w:tcBorders>
            <w:shd w:val="clear" w:color="auto" w:fill="auto"/>
            <w:vAlign w:val="center"/>
            <w:hideMark/>
          </w:tcPr>
          <w:p w:rsidR="004C71F6" w:rsidRPr="00E33329" w:rsidRDefault="004C71F6" w:rsidP="00B87330">
            <w:pPr>
              <w:jc w:val="center"/>
              <w:rPr>
                <w:sz w:val="24"/>
                <w:szCs w:val="24"/>
                <w:lang w:eastAsia="es-CR"/>
              </w:rPr>
            </w:pPr>
            <w:r w:rsidRPr="00E33329">
              <w:rPr>
                <w:sz w:val="24"/>
                <w:szCs w:val="24"/>
                <w:lang w:eastAsia="es-CR"/>
              </w:rPr>
              <w:t>33%</w:t>
            </w:r>
          </w:p>
        </w:tc>
      </w:tr>
      <w:tr w:rsidR="004C71F6" w:rsidRPr="00E33329" w:rsidTr="00B87330">
        <w:trPr>
          <w:trHeight w:val="315"/>
          <w:jc w:val="center"/>
        </w:trPr>
        <w:tc>
          <w:tcPr>
            <w:tcW w:w="2920" w:type="dxa"/>
            <w:tcBorders>
              <w:top w:val="nil"/>
              <w:left w:val="nil"/>
              <w:bottom w:val="nil"/>
              <w:right w:val="nil"/>
            </w:tcBorders>
            <w:shd w:val="clear" w:color="auto" w:fill="auto"/>
            <w:vAlign w:val="bottom"/>
            <w:hideMark/>
          </w:tcPr>
          <w:p w:rsidR="004C71F6" w:rsidRPr="00E33329" w:rsidRDefault="004C71F6" w:rsidP="00B87330">
            <w:pPr>
              <w:rPr>
                <w:sz w:val="24"/>
                <w:szCs w:val="24"/>
                <w:lang w:eastAsia="es-CR"/>
              </w:rPr>
            </w:pPr>
            <w:r w:rsidRPr="00E33329">
              <w:rPr>
                <w:sz w:val="24"/>
                <w:szCs w:val="24"/>
                <w:lang w:eastAsia="es-CR"/>
              </w:rPr>
              <w:t>Tres o más años</w:t>
            </w:r>
          </w:p>
        </w:tc>
        <w:tc>
          <w:tcPr>
            <w:tcW w:w="1620" w:type="dxa"/>
            <w:tcBorders>
              <w:top w:val="nil"/>
              <w:left w:val="nil"/>
              <w:bottom w:val="nil"/>
              <w:right w:val="nil"/>
            </w:tcBorders>
            <w:shd w:val="clear" w:color="auto" w:fill="auto"/>
            <w:vAlign w:val="center"/>
            <w:hideMark/>
          </w:tcPr>
          <w:p w:rsidR="004C71F6" w:rsidRPr="00E33329" w:rsidRDefault="004C71F6" w:rsidP="00B87330">
            <w:pPr>
              <w:jc w:val="center"/>
              <w:rPr>
                <w:sz w:val="24"/>
                <w:szCs w:val="24"/>
                <w:lang w:eastAsia="es-CR"/>
              </w:rPr>
            </w:pPr>
            <w:r w:rsidRPr="00E33329">
              <w:rPr>
                <w:sz w:val="24"/>
                <w:szCs w:val="24"/>
                <w:lang w:eastAsia="es-CR"/>
              </w:rPr>
              <w:t>40%</w:t>
            </w:r>
          </w:p>
        </w:tc>
        <w:tc>
          <w:tcPr>
            <w:tcW w:w="1620" w:type="dxa"/>
            <w:tcBorders>
              <w:top w:val="nil"/>
              <w:left w:val="nil"/>
              <w:bottom w:val="nil"/>
              <w:right w:val="nil"/>
            </w:tcBorders>
            <w:shd w:val="clear" w:color="auto" w:fill="auto"/>
            <w:vAlign w:val="center"/>
            <w:hideMark/>
          </w:tcPr>
          <w:p w:rsidR="004C71F6" w:rsidRPr="00E33329" w:rsidRDefault="004C71F6" w:rsidP="00B87330">
            <w:pPr>
              <w:jc w:val="center"/>
              <w:rPr>
                <w:sz w:val="24"/>
                <w:szCs w:val="24"/>
                <w:lang w:eastAsia="es-CR"/>
              </w:rPr>
            </w:pPr>
            <w:r w:rsidRPr="00E33329">
              <w:rPr>
                <w:sz w:val="24"/>
                <w:szCs w:val="24"/>
                <w:lang w:eastAsia="es-CR"/>
              </w:rPr>
              <w:t>41%</w:t>
            </w:r>
          </w:p>
        </w:tc>
      </w:tr>
    </w:tbl>
    <w:p w:rsidR="004C71F6" w:rsidRPr="00F55C2A" w:rsidRDefault="004C71F6" w:rsidP="004C71F6">
      <w:pPr>
        <w:spacing w:line="360" w:lineRule="auto"/>
        <w:jc w:val="both"/>
        <w:rPr>
          <w:b/>
          <w:bCs/>
          <w:sz w:val="24"/>
          <w:szCs w:val="24"/>
          <w:u w:val="single"/>
          <w:lang w:eastAsia="es-CR"/>
        </w:rPr>
      </w:pPr>
    </w:p>
    <w:p w:rsidR="004C71F6" w:rsidRPr="00F55C2A" w:rsidRDefault="004C71F6" w:rsidP="004C71F6">
      <w:pPr>
        <w:spacing w:line="360" w:lineRule="auto"/>
        <w:jc w:val="both"/>
        <w:rPr>
          <w:b/>
          <w:bCs/>
          <w:sz w:val="24"/>
          <w:szCs w:val="24"/>
          <w:u w:val="single"/>
          <w:lang w:eastAsia="es-CR"/>
        </w:rPr>
      </w:pPr>
    </w:p>
    <w:p w:rsidR="004C71F6" w:rsidRPr="00F55C2A" w:rsidRDefault="004C71F6" w:rsidP="004C71F6">
      <w:pPr>
        <w:spacing w:line="360" w:lineRule="auto"/>
        <w:jc w:val="both"/>
      </w:pPr>
      <w:r w:rsidRPr="00F55C2A">
        <w:rPr>
          <w:sz w:val="28"/>
          <w:szCs w:val="28"/>
          <w:lang w:val="es-ES_tradnl"/>
        </w:rPr>
        <w:t xml:space="preserve">A continuación, se desglosa la cantidad de casos que se encuentran activos, según el año de ingreso durante el último quinquenio. Al final del 2015 se reportan </w:t>
      </w:r>
      <w:r w:rsidRPr="00F55C2A">
        <w:rPr>
          <w:b/>
          <w:sz w:val="28"/>
          <w:szCs w:val="28"/>
          <w:lang w:val="es-ES_tradnl"/>
        </w:rPr>
        <w:t>1.309</w:t>
      </w:r>
      <w:r w:rsidRPr="00F55C2A">
        <w:rPr>
          <w:sz w:val="28"/>
          <w:szCs w:val="28"/>
          <w:lang w:val="es-ES_tradnl"/>
        </w:rPr>
        <w:t xml:space="preserve"> casos activos que tienen tres o más años a la espera de una resolución, mientras que al final del 2014 eran </w:t>
      </w:r>
      <w:r w:rsidRPr="00F55C2A">
        <w:rPr>
          <w:b/>
          <w:sz w:val="28"/>
          <w:szCs w:val="28"/>
          <w:lang w:val="es-ES_tradnl"/>
        </w:rPr>
        <w:t>1.234</w:t>
      </w:r>
      <w:r w:rsidRPr="00F55C2A">
        <w:rPr>
          <w:sz w:val="28"/>
          <w:szCs w:val="28"/>
          <w:lang w:val="es-ES_tradnl"/>
        </w:rPr>
        <w:t xml:space="preserve">. </w:t>
      </w:r>
    </w:p>
    <w:p w:rsidR="004C71F6" w:rsidRPr="00F55C2A" w:rsidRDefault="004C71F6" w:rsidP="004C71F6"/>
    <w:tbl>
      <w:tblPr>
        <w:tblW w:w="5440" w:type="dxa"/>
        <w:jc w:val="center"/>
        <w:tblCellMar>
          <w:left w:w="70" w:type="dxa"/>
          <w:right w:w="70" w:type="dxa"/>
        </w:tblCellMar>
        <w:tblLook w:val="04A0" w:firstRow="1" w:lastRow="0" w:firstColumn="1" w:lastColumn="0" w:noHBand="0" w:noVBand="1"/>
      </w:tblPr>
      <w:tblGrid>
        <w:gridCol w:w="1200"/>
        <w:gridCol w:w="1240"/>
        <w:gridCol w:w="1240"/>
        <w:gridCol w:w="880"/>
        <w:gridCol w:w="880"/>
      </w:tblGrid>
      <w:tr w:rsidR="004C71F6" w:rsidRPr="00F55C2A" w:rsidTr="00B87330">
        <w:trPr>
          <w:trHeight w:val="750"/>
          <w:jc w:val="center"/>
        </w:trPr>
        <w:tc>
          <w:tcPr>
            <w:tcW w:w="1200" w:type="dxa"/>
            <w:vMerge w:val="restart"/>
            <w:tcBorders>
              <w:top w:val="nil"/>
              <w:left w:val="nil"/>
              <w:bottom w:val="nil"/>
              <w:right w:val="nil"/>
            </w:tcBorders>
            <w:shd w:val="clear" w:color="auto" w:fill="auto"/>
            <w:vAlign w:val="center"/>
            <w:hideMark/>
          </w:tcPr>
          <w:p w:rsidR="004C71F6" w:rsidRPr="00F55C2A" w:rsidRDefault="004C71F6" w:rsidP="00B87330">
            <w:pPr>
              <w:jc w:val="center"/>
              <w:rPr>
                <w:b/>
                <w:bCs/>
                <w:sz w:val="24"/>
                <w:szCs w:val="24"/>
                <w:lang w:eastAsia="es-CR"/>
              </w:rPr>
            </w:pPr>
            <w:r w:rsidRPr="00F55C2A">
              <w:rPr>
                <w:b/>
                <w:bCs/>
                <w:sz w:val="24"/>
                <w:szCs w:val="24"/>
                <w:lang w:eastAsia="es-CR"/>
              </w:rPr>
              <w:t>Año de ingreso</w:t>
            </w:r>
          </w:p>
        </w:tc>
        <w:tc>
          <w:tcPr>
            <w:tcW w:w="2480" w:type="dxa"/>
            <w:gridSpan w:val="2"/>
            <w:tcBorders>
              <w:top w:val="nil"/>
              <w:left w:val="nil"/>
              <w:bottom w:val="nil"/>
              <w:right w:val="nil"/>
            </w:tcBorders>
            <w:shd w:val="clear" w:color="auto" w:fill="auto"/>
            <w:vAlign w:val="center"/>
            <w:hideMark/>
          </w:tcPr>
          <w:p w:rsidR="004C71F6" w:rsidRPr="00F55C2A" w:rsidRDefault="004C71F6" w:rsidP="00B87330">
            <w:pPr>
              <w:jc w:val="center"/>
              <w:rPr>
                <w:b/>
                <w:bCs/>
                <w:sz w:val="24"/>
                <w:szCs w:val="24"/>
                <w:lang w:eastAsia="es-CR"/>
              </w:rPr>
            </w:pPr>
            <w:r w:rsidRPr="00F55C2A">
              <w:rPr>
                <w:b/>
                <w:bCs/>
                <w:sz w:val="24"/>
                <w:szCs w:val="24"/>
                <w:lang w:eastAsia="es-CR"/>
              </w:rPr>
              <w:t>Cantidad de Casos en trámite al finalizar …</w:t>
            </w:r>
          </w:p>
        </w:tc>
        <w:tc>
          <w:tcPr>
            <w:tcW w:w="1760" w:type="dxa"/>
            <w:gridSpan w:val="2"/>
            <w:tcBorders>
              <w:top w:val="nil"/>
              <w:left w:val="nil"/>
              <w:bottom w:val="nil"/>
              <w:right w:val="nil"/>
            </w:tcBorders>
            <w:shd w:val="clear" w:color="auto" w:fill="auto"/>
            <w:vAlign w:val="center"/>
            <w:hideMark/>
          </w:tcPr>
          <w:p w:rsidR="004C71F6" w:rsidRPr="00F55C2A" w:rsidRDefault="004C71F6" w:rsidP="00B87330">
            <w:pPr>
              <w:jc w:val="center"/>
              <w:rPr>
                <w:b/>
                <w:bCs/>
                <w:sz w:val="24"/>
                <w:szCs w:val="24"/>
                <w:lang w:eastAsia="es-CR"/>
              </w:rPr>
            </w:pPr>
            <w:r w:rsidRPr="00F55C2A">
              <w:rPr>
                <w:b/>
                <w:bCs/>
                <w:sz w:val="24"/>
                <w:szCs w:val="24"/>
                <w:lang w:eastAsia="es-CR"/>
              </w:rPr>
              <w:t>Porcentajes dentro de cada año</w:t>
            </w:r>
          </w:p>
        </w:tc>
      </w:tr>
      <w:tr w:rsidR="004C71F6" w:rsidRPr="00F55C2A" w:rsidTr="00B87330">
        <w:trPr>
          <w:trHeight w:val="315"/>
          <w:jc w:val="center"/>
        </w:trPr>
        <w:tc>
          <w:tcPr>
            <w:tcW w:w="1200" w:type="dxa"/>
            <w:vMerge/>
            <w:tcBorders>
              <w:top w:val="nil"/>
              <w:left w:val="nil"/>
              <w:bottom w:val="nil"/>
              <w:right w:val="nil"/>
            </w:tcBorders>
            <w:vAlign w:val="center"/>
            <w:hideMark/>
          </w:tcPr>
          <w:p w:rsidR="004C71F6" w:rsidRPr="00F55C2A" w:rsidRDefault="004C71F6" w:rsidP="00B87330">
            <w:pPr>
              <w:rPr>
                <w:b/>
                <w:bCs/>
                <w:sz w:val="24"/>
                <w:szCs w:val="24"/>
                <w:lang w:eastAsia="es-CR"/>
              </w:rPr>
            </w:pP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b/>
                <w:bCs/>
                <w:sz w:val="24"/>
                <w:szCs w:val="24"/>
                <w:lang w:eastAsia="es-CR"/>
              </w:rPr>
            </w:pPr>
            <w:r w:rsidRPr="00F55C2A">
              <w:rPr>
                <w:b/>
                <w:bCs/>
                <w:sz w:val="24"/>
                <w:szCs w:val="24"/>
                <w:lang w:eastAsia="es-CR"/>
              </w:rPr>
              <w:t>2014</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b/>
                <w:bCs/>
                <w:sz w:val="24"/>
                <w:szCs w:val="24"/>
                <w:lang w:eastAsia="es-CR"/>
              </w:rPr>
            </w:pPr>
            <w:r w:rsidRPr="00F55C2A">
              <w:rPr>
                <w:b/>
                <w:bCs/>
                <w:sz w:val="24"/>
                <w:szCs w:val="24"/>
                <w:lang w:eastAsia="es-CR"/>
              </w:rPr>
              <w:t>2015</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b/>
                <w:bCs/>
                <w:sz w:val="24"/>
                <w:szCs w:val="24"/>
                <w:lang w:eastAsia="es-CR"/>
              </w:rPr>
            </w:pPr>
            <w:r w:rsidRPr="00F55C2A">
              <w:rPr>
                <w:b/>
                <w:bCs/>
                <w:sz w:val="24"/>
                <w:szCs w:val="24"/>
                <w:lang w:eastAsia="es-CR"/>
              </w:rPr>
              <w:t>2010</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b/>
                <w:bCs/>
                <w:sz w:val="24"/>
                <w:szCs w:val="24"/>
                <w:lang w:eastAsia="es-CR"/>
              </w:rPr>
            </w:pPr>
            <w:r w:rsidRPr="00F55C2A">
              <w:rPr>
                <w:b/>
                <w:bCs/>
                <w:sz w:val="24"/>
                <w:szCs w:val="24"/>
                <w:lang w:eastAsia="es-CR"/>
              </w:rPr>
              <w:t>2011</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1994</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0</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4</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(b)</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(b)</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color w:val="000000"/>
                <w:sz w:val="24"/>
                <w:szCs w:val="24"/>
                <w:lang w:eastAsia="es-CR"/>
              </w:rPr>
            </w:pPr>
            <w:r w:rsidRPr="00F55C2A">
              <w:rPr>
                <w:color w:val="000000"/>
                <w:sz w:val="24"/>
                <w:szCs w:val="24"/>
                <w:lang w:eastAsia="es-CR"/>
              </w:rPr>
              <w:t>1996</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color w:val="000000"/>
                <w:sz w:val="24"/>
                <w:szCs w:val="24"/>
                <w:lang w:eastAsia="es-CR"/>
              </w:rPr>
            </w:pPr>
            <w:r w:rsidRPr="00F55C2A">
              <w:rPr>
                <w:color w:val="000000"/>
                <w:sz w:val="24"/>
                <w:szCs w:val="24"/>
                <w:lang w:eastAsia="es-CR"/>
              </w:rPr>
              <w:t>1</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color w:val="000000"/>
                <w:sz w:val="24"/>
                <w:szCs w:val="24"/>
                <w:lang w:eastAsia="es-CR"/>
              </w:rPr>
            </w:pPr>
            <w:r w:rsidRPr="00F55C2A">
              <w:rPr>
                <w:color w:val="000000"/>
                <w:sz w:val="24"/>
                <w:szCs w:val="24"/>
                <w:lang w:eastAsia="es-CR"/>
              </w:rPr>
              <w:t>2</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(b)</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(b)</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color w:val="000000"/>
                <w:sz w:val="24"/>
                <w:szCs w:val="24"/>
                <w:lang w:eastAsia="es-CR"/>
              </w:rPr>
            </w:pPr>
            <w:r w:rsidRPr="00F55C2A">
              <w:rPr>
                <w:color w:val="000000"/>
                <w:sz w:val="24"/>
                <w:szCs w:val="24"/>
                <w:lang w:eastAsia="es-CR"/>
              </w:rPr>
              <w:t>1997</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(b)</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(b)</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color w:val="000000"/>
                <w:sz w:val="24"/>
                <w:szCs w:val="24"/>
                <w:lang w:eastAsia="es-CR"/>
              </w:rPr>
            </w:pPr>
            <w:r w:rsidRPr="00F55C2A">
              <w:rPr>
                <w:color w:val="000000"/>
                <w:sz w:val="24"/>
                <w:szCs w:val="24"/>
                <w:lang w:eastAsia="es-CR"/>
              </w:rPr>
              <w:t>1998</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3</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(b)</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(b)</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color w:val="000000"/>
                <w:sz w:val="24"/>
                <w:szCs w:val="24"/>
                <w:lang w:eastAsia="es-CR"/>
              </w:rPr>
            </w:pPr>
            <w:r w:rsidRPr="00F55C2A">
              <w:rPr>
                <w:color w:val="000000"/>
                <w:sz w:val="24"/>
                <w:szCs w:val="24"/>
                <w:lang w:eastAsia="es-CR"/>
              </w:rPr>
              <w:t>1999</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13</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8</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(b)</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(b)</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color w:val="000000"/>
                <w:sz w:val="24"/>
                <w:szCs w:val="24"/>
                <w:lang w:eastAsia="es-CR"/>
              </w:rPr>
            </w:pPr>
            <w:r w:rsidRPr="00F55C2A">
              <w:rPr>
                <w:color w:val="000000"/>
                <w:sz w:val="24"/>
                <w:szCs w:val="24"/>
                <w:lang w:eastAsia="es-CR"/>
              </w:rPr>
              <w:t>2000</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23</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19</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2001</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36</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28</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2002</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56</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49</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2003</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79</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76</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3%</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2004</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73</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68</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2005</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65</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58</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lastRenderedPageBreak/>
              <w:t>2006</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55</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47</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2007</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79</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72</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3%</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2008</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127</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98</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4%</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3%</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2009</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162</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132</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5%</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4%</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2010</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206</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167</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7%</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5%</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2011</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255</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194</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8%</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6%</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2012</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415</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284</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13%</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9%</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2013</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548</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367</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18%</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12%</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2014</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u w:val="single"/>
                <w:lang w:eastAsia="es-CR"/>
              </w:rPr>
            </w:pPr>
            <w:r w:rsidRPr="00F55C2A">
              <w:rPr>
                <w:sz w:val="24"/>
                <w:szCs w:val="24"/>
                <w:u w:val="single"/>
                <w:lang w:eastAsia="es-CR"/>
              </w:rPr>
              <w:t>914</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u w:val="single"/>
                <w:lang w:eastAsia="es-CR"/>
              </w:rPr>
            </w:pPr>
            <w:r w:rsidRPr="00F55C2A">
              <w:rPr>
                <w:sz w:val="24"/>
                <w:szCs w:val="24"/>
                <w:u w:val="single"/>
                <w:lang w:eastAsia="es-CR"/>
              </w:rPr>
              <w:t>661</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29%</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21%</w:t>
            </w:r>
          </w:p>
        </w:tc>
      </w:tr>
      <w:tr w:rsidR="004C71F6" w:rsidRPr="00F55C2A" w:rsidTr="00B87330">
        <w:trPr>
          <w:trHeight w:val="31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2015</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u w:val="single"/>
                <w:lang w:eastAsia="es-CR"/>
              </w:rPr>
            </w:pPr>
            <w:r w:rsidRPr="00F55C2A">
              <w:rPr>
                <w:sz w:val="24"/>
                <w:szCs w:val="24"/>
                <w:u w:val="single"/>
                <w:lang w:eastAsia="es-CR"/>
              </w:rPr>
              <w:t>---</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u w:val="single"/>
                <w:lang w:eastAsia="es-CR"/>
              </w:rPr>
            </w:pPr>
            <w:r w:rsidRPr="00F55C2A">
              <w:rPr>
                <w:sz w:val="24"/>
                <w:szCs w:val="24"/>
                <w:u w:val="single"/>
                <w:lang w:eastAsia="es-CR"/>
              </w:rPr>
              <w:t>828</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sz w:val="24"/>
                <w:szCs w:val="24"/>
                <w:lang w:eastAsia="es-CR"/>
              </w:rPr>
            </w:pPr>
            <w:r w:rsidRPr="00F55C2A">
              <w:rPr>
                <w:sz w:val="24"/>
                <w:szCs w:val="24"/>
                <w:lang w:eastAsia="es-CR"/>
              </w:rPr>
              <w:t>26%</w:t>
            </w:r>
          </w:p>
        </w:tc>
      </w:tr>
      <w:tr w:rsidR="004C71F6" w:rsidRPr="00F55C2A" w:rsidTr="00B87330">
        <w:trPr>
          <w:trHeight w:val="375"/>
          <w:jc w:val="center"/>
        </w:trPr>
        <w:tc>
          <w:tcPr>
            <w:tcW w:w="1200" w:type="dxa"/>
            <w:tcBorders>
              <w:top w:val="nil"/>
              <w:left w:val="nil"/>
              <w:bottom w:val="nil"/>
              <w:right w:val="nil"/>
            </w:tcBorders>
            <w:shd w:val="clear" w:color="auto" w:fill="auto"/>
            <w:vAlign w:val="center"/>
            <w:hideMark/>
          </w:tcPr>
          <w:p w:rsidR="004C71F6" w:rsidRPr="00F55C2A" w:rsidRDefault="004C71F6" w:rsidP="00B87330">
            <w:pPr>
              <w:jc w:val="center"/>
              <w:rPr>
                <w:b/>
                <w:bCs/>
                <w:sz w:val="28"/>
                <w:szCs w:val="28"/>
                <w:lang w:eastAsia="es-CR"/>
              </w:rPr>
            </w:pPr>
            <w:r w:rsidRPr="00F55C2A">
              <w:rPr>
                <w:b/>
                <w:bCs/>
                <w:sz w:val="28"/>
                <w:szCs w:val="28"/>
                <w:lang w:eastAsia="es-CR"/>
              </w:rPr>
              <w:t>Total</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b/>
                <w:bCs/>
                <w:sz w:val="28"/>
                <w:szCs w:val="28"/>
                <w:lang w:eastAsia="es-CR"/>
              </w:rPr>
            </w:pPr>
            <w:r w:rsidRPr="00F55C2A">
              <w:rPr>
                <w:b/>
                <w:bCs/>
                <w:sz w:val="28"/>
                <w:szCs w:val="28"/>
                <w:lang w:eastAsia="es-CR"/>
              </w:rPr>
              <w:t>3.111</w:t>
            </w:r>
          </w:p>
        </w:tc>
        <w:tc>
          <w:tcPr>
            <w:tcW w:w="1240" w:type="dxa"/>
            <w:tcBorders>
              <w:top w:val="nil"/>
              <w:left w:val="nil"/>
              <w:bottom w:val="nil"/>
              <w:right w:val="nil"/>
            </w:tcBorders>
            <w:shd w:val="clear" w:color="auto" w:fill="auto"/>
            <w:vAlign w:val="center"/>
            <w:hideMark/>
          </w:tcPr>
          <w:p w:rsidR="004C71F6" w:rsidRPr="00F55C2A" w:rsidRDefault="004C71F6" w:rsidP="00B87330">
            <w:pPr>
              <w:jc w:val="center"/>
              <w:rPr>
                <w:b/>
                <w:bCs/>
                <w:sz w:val="28"/>
                <w:szCs w:val="28"/>
                <w:lang w:eastAsia="es-CR"/>
              </w:rPr>
            </w:pPr>
            <w:r w:rsidRPr="00F55C2A">
              <w:rPr>
                <w:b/>
                <w:bCs/>
                <w:sz w:val="28"/>
                <w:szCs w:val="28"/>
                <w:lang w:eastAsia="es-CR"/>
              </w:rPr>
              <w:t>3.165</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b/>
                <w:bCs/>
                <w:sz w:val="28"/>
                <w:szCs w:val="28"/>
                <w:lang w:eastAsia="es-CR"/>
              </w:rPr>
            </w:pPr>
            <w:r w:rsidRPr="00F55C2A">
              <w:rPr>
                <w:b/>
                <w:bCs/>
                <w:sz w:val="28"/>
                <w:szCs w:val="28"/>
                <w:lang w:eastAsia="es-CR"/>
              </w:rPr>
              <w:t>100%</w:t>
            </w:r>
          </w:p>
        </w:tc>
        <w:tc>
          <w:tcPr>
            <w:tcW w:w="880" w:type="dxa"/>
            <w:tcBorders>
              <w:top w:val="nil"/>
              <w:left w:val="nil"/>
              <w:bottom w:val="nil"/>
              <w:right w:val="nil"/>
            </w:tcBorders>
            <w:shd w:val="clear" w:color="auto" w:fill="auto"/>
            <w:vAlign w:val="center"/>
            <w:hideMark/>
          </w:tcPr>
          <w:p w:rsidR="004C71F6" w:rsidRPr="00F55C2A" w:rsidRDefault="004C71F6" w:rsidP="00B87330">
            <w:pPr>
              <w:jc w:val="center"/>
              <w:rPr>
                <w:b/>
                <w:bCs/>
                <w:sz w:val="28"/>
                <w:szCs w:val="28"/>
                <w:lang w:eastAsia="es-CR"/>
              </w:rPr>
            </w:pPr>
            <w:r w:rsidRPr="00F55C2A">
              <w:rPr>
                <w:b/>
                <w:bCs/>
                <w:sz w:val="28"/>
                <w:szCs w:val="28"/>
                <w:lang w:eastAsia="es-CR"/>
              </w:rPr>
              <w:t>100%</w:t>
            </w:r>
          </w:p>
        </w:tc>
      </w:tr>
      <w:tr w:rsidR="004C71F6" w:rsidRPr="00F55C2A" w:rsidTr="00B87330">
        <w:trPr>
          <w:trHeight w:val="255"/>
          <w:jc w:val="center"/>
        </w:trPr>
        <w:tc>
          <w:tcPr>
            <w:tcW w:w="5440" w:type="dxa"/>
            <w:gridSpan w:val="5"/>
            <w:tcBorders>
              <w:top w:val="nil"/>
              <w:left w:val="nil"/>
              <w:bottom w:val="nil"/>
              <w:right w:val="nil"/>
            </w:tcBorders>
            <w:shd w:val="clear" w:color="auto" w:fill="auto"/>
            <w:vAlign w:val="center"/>
            <w:hideMark/>
          </w:tcPr>
          <w:p w:rsidR="004C71F6" w:rsidRPr="00F55C2A" w:rsidRDefault="004C71F6" w:rsidP="00B87330">
            <w:pPr>
              <w:rPr>
                <w:rFonts w:ascii="Arial" w:hAnsi="Arial" w:cs="Arial"/>
                <w:i/>
                <w:iCs/>
                <w:lang w:eastAsia="es-CR"/>
              </w:rPr>
            </w:pPr>
            <w:r w:rsidRPr="00F55C2A">
              <w:rPr>
                <w:rFonts w:ascii="Arial" w:hAnsi="Arial" w:cs="Arial"/>
                <w:i/>
                <w:iCs/>
                <w:lang w:eastAsia="es-CR"/>
              </w:rPr>
              <w:t>(b) El resultado da porcentajes menores al 0,5%</w:t>
            </w:r>
          </w:p>
        </w:tc>
      </w:tr>
    </w:tbl>
    <w:p w:rsidR="004C71F6" w:rsidRPr="00F55C2A" w:rsidRDefault="004C71F6" w:rsidP="004C71F6"/>
    <w:p w:rsidR="004C71F6" w:rsidRPr="00F55C2A" w:rsidRDefault="004C71F6" w:rsidP="004C71F6"/>
    <w:p w:rsidR="004C71F6" w:rsidRPr="000468D2" w:rsidRDefault="004C71F6" w:rsidP="004C71F6">
      <w:pPr>
        <w:spacing w:line="360" w:lineRule="auto"/>
        <w:jc w:val="both"/>
        <w:rPr>
          <w:sz w:val="28"/>
          <w:szCs w:val="28"/>
        </w:rPr>
      </w:pPr>
      <w:r w:rsidRPr="00F55C2A">
        <w:rPr>
          <w:sz w:val="28"/>
          <w:szCs w:val="28"/>
        </w:rPr>
        <w:t>De despliegue anterior, es importante acotar que en la existencia al finalizar el 2015 se reportan cuatro asuntos en trámite ingresados en 1994 y uno más cuyo ingreso ocurrió en 1996, siendo que en el reporte del 2014 tales asuntos no se reportaban. Esto es consecuencia de un inventario de casos con el cual se detectó esta inconsistencia.</w:t>
      </w:r>
    </w:p>
    <w:p w:rsidR="004C71F6" w:rsidRPr="00CD3925" w:rsidRDefault="004C71F6" w:rsidP="004C71F6">
      <w:pPr>
        <w:pStyle w:val="Textoindependiente2"/>
        <w:rPr>
          <w:b/>
          <w:bCs/>
          <w:lang w:val="es-CR"/>
        </w:rPr>
      </w:pPr>
    </w:p>
    <w:p w:rsidR="004C71F6" w:rsidRPr="0031256C" w:rsidRDefault="004C71F6" w:rsidP="004C71F6">
      <w:pPr>
        <w:pStyle w:val="Textoindependiente2"/>
        <w:rPr>
          <w:b/>
          <w:bCs/>
          <w:lang w:val="es-CR"/>
        </w:rPr>
      </w:pPr>
    </w:p>
    <w:p w:rsidR="0031256C" w:rsidRPr="0031256C" w:rsidRDefault="0031256C" w:rsidP="000131C6">
      <w:pPr>
        <w:pStyle w:val="Textoindependiente2"/>
        <w:rPr>
          <w:b/>
          <w:bCs/>
          <w:lang w:val="es-CR"/>
        </w:rPr>
      </w:pPr>
    </w:p>
    <w:sectPr w:rsidR="0031256C" w:rsidRPr="0031256C" w:rsidSect="00D874F3">
      <w:headerReference w:type="default" r:id="rId21"/>
      <w:footerReference w:type="default" r:id="rId22"/>
      <w:pgSz w:w="12242" w:h="15842" w:code="1"/>
      <w:pgMar w:top="2268"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7E1" w:rsidRDefault="00D227E1">
      <w:r>
        <w:separator/>
      </w:r>
    </w:p>
  </w:endnote>
  <w:endnote w:type="continuationSeparator" w:id="0">
    <w:p w:rsidR="00D227E1" w:rsidRDefault="00D2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4C" w:rsidRDefault="00267F4C" w:rsidP="004129F5">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068A">
      <w:rPr>
        <w:rStyle w:val="Nmerodepgina"/>
        <w:noProof/>
      </w:rPr>
      <w:t>2</w:t>
    </w:r>
    <w:r>
      <w:rPr>
        <w:rStyle w:val="Nmerodepgina"/>
      </w:rPr>
      <w:fldChar w:fldCharType="end"/>
    </w:r>
  </w:p>
  <w:p w:rsidR="00267F4C" w:rsidRPr="0036463A" w:rsidRDefault="00267F4C" w:rsidP="0036463A">
    <w:pPr>
      <w:pBdr>
        <w:top w:val="single" w:sz="4" w:space="1" w:color="auto"/>
      </w:pBdr>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p w:rsidR="00267F4C" w:rsidRDefault="00267F4C" w:rsidP="002F641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7E1" w:rsidRDefault="00D227E1">
      <w:r>
        <w:separator/>
      </w:r>
    </w:p>
  </w:footnote>
  <w:footnote w:type="continuationSeparator" w:id="0">
    <w:p w:rsidR="00D227E1" w:rsidRDefault="00D227E1">
      <w:r>
        <w:continuationSeparator/>
      </w:r>
    </w:p>
  </w:footnote>
  <w:footnote w:id="1">
    <w:p w:rsidR="00267F4C" w:rsidRPr="00203CAE" w:rsidRDefault="00267F4C" w:rsidP="004C71F6">
      <w:pPr>
        <w:pStyle w:val="Textonotapie"/>
        <w:jc w:val="both"/>
      </w:pPr>
      <w:r w:rsidRPr="00203CAE">
        <w:rPr>
          <w:rStyle w:val="Refdenotaalpie"/>
        </w:rPr>
        <w:footnoteRef/>
      </w:r>
      <w:r>
        <w:t xml:space="preserve"> Con esta tasa se pretende determinar el grado </w:t>
      </w:r>
      <w:r w:rsidRPr="00203CAE">
        <w:t xml:space="preserve">de saturación o retraso existente,  si este ha disminuido o por el contrario se ha aumentado a través del tiempo. Si la tasa de congestión es mayor a 100 (cien), existe </w:t>
      </w:r>
      <w:r>
        <w:t xml:space="preserve">algún grado de </w:t>
      </w:r>
      <w:r w:rsidRPr="00203CAE">
        <w:t>congestión en el Juzgado, materia o Sistema Judicial.  Si la tasa de congestión es igual a 100 (cien), no registra congestión, por lo que se le ha dado trámite en el período a todos los casos ingresados y pendiente; esto significa que no tiene casos pendientes para el año siguiente.</w:t>
      </w:r>
    </w:p>
  </w:footnote>
  <w:footnote w:id="2">
    <w:p w:rsidR="00267F4C" w:rsidRPr="00C24BDB" w:rsidRDefault="00267F4C" w:rsidP="004C71F6">
      <w:pPr>
        <w:pStyle w:val="Textonotapie"/>
        <w:jc w:val="both"/>
        <w:rPr>
          <w:lang w:val="es-CR"/>
        </w:rPr>
      </w:pPr>
      <w:r w:rsidRPr="00203CAE">
        <w:rPr>
          <w:rStyle w:val="Refdenotaalpie"/>
        </w:rPr>
        <w:footnoteRef/>
      </w:r>
      <w:r>
        <w:rPr>
          <w:lang w:val="es-CR"/>
        </w:rPr>
        <w:t xml:space="preserve">El porcentaje </w:t>
      </w:r>
      <w:r w:rsidRPr="00203CAE">
        <w:rPr>
          <w:lang w:val="es-CR"/>
        </w:rPr>
        <w:t>de pendencia se calcula al dividir la cantidad de asuntos pendientes entre la ca</w:t>
      </w:r>
      <w:r>
        <w:rPr>
          <w:lang w:val="es-CR"/>
        </w:rPr>
        <w:t xml:space="preserve">rga de trabajo, mientras que el porcentaje </w:t>
      </w:r>
      <w:r w:rsidRPr="00203CAE">
        <w:rPr>
          <w:lang w:val="es-CR"/>
        </w:rPr>
        <w:t>de resolución se produce del cocie</w:t>
      </w:r>
      <w:r>
        <w:rPr>
          <w:lang w:val="es-CR"/>
        </w:rPr>
        <w:t>nte de los asuntos resueltos re</w:t>
      </w:r>
      <w:r w:rsidRPr="00203CAE">
        <w:rPr>
          <w:lang w:val="es-CR"/>
        </w:rPr>
        <w:t xml:space="preserve">specto a la carga de trabajo. </w:t>
      </w:r>
    </w:p>
  </w:footnote>
  <w:footnote w:id="3">
    <w:p w:rsidR="00267F4C" w:rsidRPr="00D3160A" w:rsidRDefault="00267F4C" w:rsidP="004C71F6">
      <w:pPr>
        <w:pStyle w:val="Textonotapie"/>
      </w:pPr>
      <w:r w:rsidRPr="00F55C2A">
        <w:rPr>
          <w:rStyle w:val="Refdenotaalpie"/>
        </w:rPr>
        <w:footnoteRef/>
      </w:r>
      <w:r w:rsidRPr="00F55C2A">
        <w:t>Es necesario acotar que en Tribunal no solo ingresa este tipo de asunto sino apelaciones de auto, de auto-sentencias y otras resoluciones emitidas desde el Juzgado Notarial.</w:t>
      </w:r>
    </w:p>
  </w:footnote>
  <w:footnote w:id="4">
    <w:p w:rsidR="00267F4C" w:rsidRPr="00042529" w:rsidRDefault="00267F4C" w:rsidP="004C71F6">
      <w:pPr>
        <w:pStyle w:val="Textonotapie"/>
        <w:jc w:val="both"/>
      </w:pPr>
      <w:r w:rsidRPr="00F55C2A">
        <w:rPr>
          <w:rStyle w:val="Refdenotaalpie"/>
        </w:rPr>
        <w:footnoteRef/>
      </w:r>
      <w:r w:rsidRPr="00F55C2A">
        <w:rPr>
          <w:bCs/>
        </w:rPr>
        <w:t>Al respecto se le consultó, mediante correo electrónico, al coordinador Judicial 3 del Tribunal disciplinario Notarial, señor Roberto Morales González, acerca de las fechas de entrada y finiquito estipuladas para un conjunto importante de expedientes y confirmó que estas estaban bien consignadas.</w:t>
      </w:r>
    </w:p>
  </w:footnote>
  <w:footnote w:id="5">
    <w:p w:rsidR="00267F4C" w:rsidRPr="00FB3015" w:rsidRDefault="00267F4C" w:rsidP="004C71F6">
      <w:pPr>
        <w:pStyle w:val="Textonotapie"/>
        <w:jc w:val="both"/>
      </w:pPr>
      <w:r w:rsidRPr="00FB3015">
        <w:rPr>
          <w:rStyle w:val="Refdenotaalpie"/>
        </w:rPr>
        <w:footnoteRef/>
      </w:r>
      <w:r w:rsidRPr="00FB3015">
        <w:t xml:space="preserve"> E</w:t>
      </w:r>
      <w:r>
        <w:t>l</w:t>
      </w:r>
      <w:r w:rsidRPr="00FB3015">
        <w:t xml:space="preserve"> Juez </w:t>
      </w:r>
      <w:r>
        <w:t xml:space="preserve">involucrado </w:t>
      </w:r>
      <w:r w:rsidRPr="00FB3015">
        <w:rPr>
          <w:bCs/>
          <w:color w:val="000000"/>
          <w:shd w:val="clear" w:color="auto" w:fill="FFFFFF"/>
        </w:rPr>
        <w:t>quedó bajo supervisión de la Oficina de Reducción del Circulante, para elaborar un plan de trabajo para que coadyuve al trámite de expedientes que presentan retraso en el Tribunal, además deberá integrar como mínimo una vez por semana el tribunal colegiado para votar los asuntos con proyecto visto y los que a partir del fecha de traslado realice en el Programa de Reducción de Circulante a incluirse en la votación regular que hace dicho Tribunal.</w:t>
      </w:r>
      <w:r>
        <w:rPr>
          <w:bCs/>
          <w:color w:val="000000"/>
          <w:shd w:val="clear" w:color="auto" w:fill="FFFFFF"/>
        </w:rPr>
        <w:t xml:space="preserve"> Se debe recordar que esta problemática se venía dando desde periodos anteriores al 2015.</w:t>
      </w:r>
    </w:p>
  </w:footnote>
  <w:footnote w:id="6">
    <w:p w:rsidR="00267F4C" w:rsidRPr="00FC21E3" w:rsidRDefault="00267F4C">
      <w:pPr>
        <w:pStyle w:val="Textonotapie"/>
      </w:pPr>
      <w:r w:rsidRPr="00D74FA4">
        <w:rPr>
          <w:rStyle w:val="Refdenotaalpie"/>
        </w:rPr>
        <w:footnoteRef/>
      </w:r>
      <w:r w:rsidRPr="00D74FA4">
        <w:t xml:space="preserve"> El Tribunal Disciplinario Notarial en pleno mediante oficio No. 16-TDN-2015 del 16 de enero de 2015 presentó los cuestionamientos, observaciones y aclaraciones a cada uno de los aspectos señalados por la Sección de Auditoría Operativa mediante el oficio 315-90-SAO-2015.</w:t>
      </w:r>
    </w:p>
  </w:footnote>
  <w:footnote w:id="7">
    <w:p w:rsidR="00267F4C" w:rsidRPr="00F55C2A" w:rsidRDefault="00267F4C" w:rsidP="004C71F6">
      <w:pPr>
        <w:pStyle w:val="Textonotapie"/>
        <w:jc w:val="both"/>
      </w:pPr>
      <w:r w:rsidRPr="00F55C2A">
        <w:rPr>
          <w:rStyle w:val="Refdenotaalpie"/>
        </w:rPr>
        <w:footnoteRef/>
      </w:r>
      <w:r w:rsidRPr="00F55C2A">
        <w:t xml:space="preserve"> Esta Tasa determina el grado de saturación o retraso existente, si este ha disminuido o por el contrario se ha aumentado a través del tiempo. Si la tasa de congestión es mayor a 100 (cien), existe congestión en el Juzgado, materia o Sistema Judicial.  Si la tasa de congestión es igual a 100 (cien), no registra congestión, por lo que se le ha dado trámite en el período a todos los casos ingresados y pendiente; esto significa que no tiene casos pendientes para el año siguiente.</w:t>
      </w:r>
    </w:p>
  </w:footnote>
  <w:footnote w:id="8">
    <w:p w:rsidR="00267F4C" w:rsidRDefault="00267F4C" w:rsidP="004C71F6">
      <w:pPr>
        <w:pStyle w:val="Textonotapie"/>
        <w:jc w:val="both"/>
      </w:pPr>
      <w:r w:rsidRPr="00F55C2A">
        <w:rPr>
          <w:rStyle w:val="Refdenotaalpie"/>
        </w:rPr>
        <w:footnoteRef/>
      </w:r>
      <w:r w:rsidRPr="00F55C2A">
        <w:rPr>
          <w:lang w:val="es-CR"/>
        </w:rPr>
        <w:t>El porcentaje de pendencia o asuntos pendientes es la división la cantidad de expedientes que están a la espera de ser tramitados o bien que ya iniciaron su tramitación, pero aún no se da por terminado entre la carga de trabajo (suma de existencia inicial, casis entrados y reentrados). Por su parte, el porcentaje de resolución indica la porción de la carga de trabajo que fue finiquitado en el Juzgado.</w:t>
      </w:r>
    </w:p>
  </w:footnote>
  <w:footnote w:id="9">
    <w:p w:rsidR="00267F4C" w:rsidRPr="00403F32" w:rsidRDefault="00267F4C" w:rsidP="003C2A34">
      <w:pPr>
        <w:pStyle w:val="Textonotapie"/>
        <w:jc w:val="both"/>
        <w:rPr>
          <w:lang w:val="es-CR"/>
        </w:rPr>
      </w:pPr>
      <w:r>
        <w:rPr>
          <w:rStyle w:val="Refdenotaalpie"/>
        </w:rPr>
        <w:footnoteRef/>
      </w:r>
      <w:r>
        <w:t xml:space="preserve"> En </w:t>
      </w:r>
      <w:r w:rsidRPr="00403F32">
        <w:t xml:space="preserve">el Juzgado Notarial luego de dictada la sentencia sancionatoria los asuntos entran en una etapa de ejecución extensa en cuanto a tiempo. Esto produce que el monto del circulante se mantenga alto. </w:t>
      </w:r>
      <w:r>
        <w:t xml:space="preserve"> Ante ello conviene que en el Juzgado se realicen depuraciones constantes del sistema de registro de datos con el fin de que se excluidos.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4C" w:rsidRDefault="00267F4C" w:rsidP="00BF0EE8">
    <w:pPr>
      <w:framePr w:w="640" w:hSpace="141" w:wrap="auto" w:vAnchor="text" w:hAnchor="margin" w:x="8456" w:y="-91"/>
    </w:pPr>
  </w:p>
  <w:p w:rsidR="00267F4C" w:rsidRDefault="00267F4C" w:rsidP="00BF0EE8">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 Dirección de Planificación</w:t>
    </w:r>
    <w:r w:rsidRPr="00E749C7">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32.4pt" o:ole="">
          <v:imagedata r:id="rId1" o:title=""/>
        </v:shape>
        <o:OLEObject Type="Embed" ProgID="PBrush" ShapeID="_x0000_i1025" DrawAspect="Content" ObjectID="_1542455268" r:id="rId2"/>
      </w:object>
    </w:r>
  </w:p>
  <w:p w:rsidR="00267F4C" w:rsidRDefault="00267F4C" w:rsidP="00BF0EE8">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267F4C" w:rsidRPr="005B3B0C" w:rsidRDefault="00267F4C" w:rsidP="00BF0EE8">
    <w:pPr>
      <w:pStyle w:val="Encabezado"/>
      <w:jc w:val="center"/>
      <w:rPr>
        <w:lang w:val="en-US"/>
      </w:rPr>
    </w:pPr>
    <w:r w:rsidRPr="001018BE">
      <w:rPr>
        <w:rFonts w:ascii="Book Antiqua" w:hAnsi="Book Antiqua" w:cs="Book Antiqua"/>
        <w:i/>
        <w:iCs/>
        <w:sz w:val="18"/>
        <w:szCs w:val="18"/>
        <w:lang w:val="es-ES"/>
      </w:rPr>
      <w:t xml:space="preserve">Telf.   </w:t>
    </w:r>
    <w:r w:rsidRPr="005B3B0C">
      <w:rPr>
        <w:rFonts w:ascii="Book Antiqua" w:hAnsi="Book Antiqua" w:cs="Book Antiqua"/>
        <w:i/>
        <w:iCs/>
        <w:sz w:val="18"/>
        <w:szCs w:val="18"/>
        <w:lang w:val="en-US"/>
      </w:rPr>
      <w:t>2295-3600 / 3599  Fax. 22</w:t>
    </w:r>
    <w:r>
      <w:rPr>
        <w:rFonts w:ascii="Book Antiqua" w:hAnsi="Book Antiqua" w:cs="Book Antiqua"/>
        <w:i/>
        <w:iCs/>
        <w:sz w:val="18"/>
        <w:szCs w:val="18"/>
        <w:lang w:val="en-US"/>
      </w:rPr>
      <w:t xml:space="preserve">57-5633   / Apdo.  95-1003  / </w:t>
    </w:r>
    <w:r w:rsidRPr="005B3B0C">
      <w:rPr>
        <w:rFonts w:ascii="Book Antiqua" w:hAnsi="Book Antiqua" w:cs="Book Antiqua"/>
        <w:i/>
        <w:iCs/>
        <w:sz w:val="18"/>
        <w:szCs w:val="18"/>
        <w:lang w:val="en-US"/>
      </w:rPr>
      <w:t>planificacion@poder-judicial.go.cr</w:t>
    </w:r>
  </w:p>
  <w:p w:rsidR="00267F4C" w:rsidRPr="005B3B0C" w:rsidRDefault="00267F4C" w:rsidP="00BF0EE8">
    <w:pPr>
      <w:pBdr>
        <w:bottom w:val="single" w:sz="6" w:space="0" w:color="auto"/>
      </w:pBdr>
      <w:spacing w:after="2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15:restartNumberingAfterBreak="0">
    <w:nsid w:val="036E373D"/>
    <w:multiLevelType w:val="hybridMultilevel"/>
    <w:tmpl w:val="ABFC7D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825EB4"/>
    <w:multiLevelType w:val="hybridMultilevel"/>
    <w:tmpl w:val="E8E41D8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D60857"/>
    <w:multiLevelType w:val="hybridMultilevel"/>
    <w:tmpl w:val="5B568C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066DDA"/>
    <w:multiLevelType w:val="hybridMultilevel"/>
    <w:tmpl w:val="3E8AAD26"/>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A1016CA"/>
    <w:multiLevelType w:val="hybridMultilevel"/>
    <w:tmpl w:val="F3CA4A88"/>
    <w:lvl w:ilvl="0" w:tplc="FAC8538A">
      <w:start w:val="4"/>
      <w:numFmt w:val="upperRoman"/>
      <w:lvlText w:val="%1."/>
      <w:lvlJc w:val="right"/>
      <w:pPr>
        <w:tabs>
          <w:tab w:val="num" w:pos="1800"/>
        </w:tabs>
        <w:ind w:left="180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6" w15:restartNumberingAfterBreak="0">
    <w:nsid w:val="1E6A74D0"/>
    <w:multiLevelType w:val="hybridMultilevel"/>
    <w:tmpl w:val="0F94FB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FA53C0C"/>
    <w:multiLevelType w:val="hybridMultilevel"/>
    <w:tmpl w:val="1BEA30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21590ADC"/>
    <w:multiLevelType w:val="hybridMultilevel"/>
    <w:tmpl w:val="ACAA9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1C358E"/>
    <w:multiLevelType w:val="hybridMultilevel"/>
    <w:tmpl w:val="BA5002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2BED64B9"/>
    <w:multiLevelType w:val="hybridMultilevel"/>
    <w:tmpl w:val="97D673C0"/>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B7654E"/>
    <w:multiLevelType w:val="hybridMultilevel"/>
    <w:tmpl w:val="7EC2656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632C05"/>
    <w:multiLevelType w:val="hybridMultilevel"/>
    <w:tmpl w:val="24F2B7A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54632734"/>
    <w:multiLevelType w:val="hybridMultilevel"/>
    <w:tmpl w:val="C85E69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4921D2F"/>
    <w:multiLevelType w:val="hybridMultilevel"/>
    <w:tmpl w:val="54B660D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7F467A3"/>
    <w:multiLevelType w:val="hybridMultilevel"/>
    <w:tmpl w:val="44E0B0DE"/>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2F52F4"/>
    <w:multiLevelType w:val="hybridMultilevel"/>
    <w:tmpl w:val="62D056FE"/>
    <w:lvl w:ilvl="0" w:tplc="DBBA16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A5A716F"/>
    <w:multiLevelType w:val="hybridMultilevel"/>
    <w:tmpl w:val="EB1C485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A606265"/>
    <w:multiLevelType w:val="hybridMultilevel"/>
    <w:tmpl w:val="A4AE122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E604F3C"/>
    <w:multiLevelType w:val="hybridMultilevel"/>
    <w:tmpl w:val="E146C2F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EBC2D07"/>
    <w:multiLevelType w:val="hybridMultilevel"/>
    <w:tmpl w:val="32A6893E"/>
    <w:lvl w:ilvl="0" w:tplc="DBBA165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F91798B"/>
    <w:multiLevelType w:val="hybridMultilevel"/>
    <w:tmpl w:val="272872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065602F"/>
    <w:multiLevelType w:val="hybridMultilevel"/>
    <w:tmpl w:val="4A809D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6133A9"/>
    <w:multiLevelType w:val="hybridMultilevel"/>
    <w:tmpl w:val="1F02E7E8"/>
    <w:lvl w:ilvl="0" w:tplc="AEEAEEE6">
      <w:start w:val="5"/>
      <w:numFmt w:val="upperRoman"/>
      <w:lvlText w:val="%1."/>
      <w:lvlJc w:val="left"/>
      <w:pPr>
        <w:tabs>
          <w:tab w:val="num" w:pos="720"/>
        </w:tabs>
        <w:ind w:left="720" w:hanging="720"/>
      </w:pPr>
      <w:rPr>
        <w:rFonts w:hint="default"/>
      </w:rPr>
    </w:lvl>
    <w:lvl w:ilvl="1" w:tplc="61C2D50E">
      <w:start w:val="1"/>
      <w:numFmt w:val="bullet"/>
      <w:lvlText w:val=""/>
      <w:lvlJc w:val="left"/>
      <w:pPr>
        <w:tabs>
          <w:tab w:val="num" w:pos="840"/>
        </w:tabs>
        <w:ind w:left="840" w:hanging="360"/>
      </w:pPr>
      <w:rPr>
        <w:rFonts w:ascii="Wingdings" w:hAnsi="Wingdings" w:cs="Wingdings" w:hint="default"/>
        <w:color w:val="000000"/>
      </w:rPr>
    </w:lvl>
    <w:lvl w:ilvl="2" w:tplc="0C0A001B">
      <w:start w:val="1"/>
      <w:numFmt w:val="lowerRoman"/>
      <w:lvlText w:val="%3."/>
      <w:lvlJc w:val="right"/>
      <w:pPr>
        <w:tabs>
          <w:tab w:val="num" w:pos="1560"/>
        </w:tabs>
        <w:ind w:left="1560" w:hanging="180"/>
      </w:pPr>
    </w:lvl>
    <w:lvl w:ilvl="3" w:tplc="0C0A000F">
      <w:start w:val="1"/>
      <w:numFmt w:val="decimal"/>
      <w:lvlText w:val="%4."/>
      <w:lvlJc w:val="left"/>
      <w:pPr>
        <w:tabs>
          <w:tab w:val="num" w:pos="2280"/>
        </w:tabs>
        <w:ind w:left="2280" w:hanging="360"/>
      </w:pPr>
    </w:lvl>
    <w:lvl w:ilvl="4" w:tplc="0C0A0019">
      <w:start w:val="1"/>
      <w:numFmt w:val="lowerLetter"/>
      <w:lvlText w:val="%5."/>
      <w:lvlJc w:val="left"/>
      <w:pPr>
        <w:tabs>
          <w:tab w:val="num" w:pos="3000"/>
        </w:tabs>
        <w:ind w:left="3000" w:hanging="360"/>
      </w:pPr>
    </w:lvl>
    <w:lvl w:ilvl="5" w:tplc="0C0A001B">
      <w:start w:val="1"/>
      <w:numFmt w:val="lowerRoman"/>
      <w:lvlText w:val="%6."/>
      <w:lvlJc w:val="right"/>
      <w:pPr>
        <w:tabs>
          <w:tab w:val="num" w:pos="3720"/>
        </w:tabs>
        <w:ind w:left="3720" w:hanging="180"/>
      </w:pPr>
    </w:lvl>
    <w:lvl w:ilvl="6" w:tplc="0C0A000F">
      <w:start w:val="1"/>
      <w:numFmt w:val="decimal"/>
      <w:lvlText w:val="%7."/>
      <w:lvlJc w:val="left"/>
      <w:pPr>
        <w:tabs>
          <w:tab w:val="num" w:pos="4440"/>
        </w:tabs>
        <w:ind w:left="4440" w:hanging="360"/>
      </w:pPr>
    </w:lvl>
    <w:lvl w:ilvl="7" w:tplc="0C0A0019">
      <w:start w:val="1"/>
      <w:numFmt w:val="lowerLetter"/>
      <w:lvlText w:val="%8."/>
      <w:lvlJc w:val="left"/>
      <w:pPr>
        <w:tabs>
          <w:tab w:val="num" w:pos="5160"/>
        </w:tabs>
        <w:ind w:left="5160" w:hanging="360"/>
      </w:pPr>
    </w:lvl>
    <w:lvl w:ilvl="8" w:tplc="0C0A001B">
      <w:start w:val="1"/>
      <w:numFmt w:val="lowerRoman"/>
      <w:lvlText w:val="%9."/>
      <w:lvlJc w:val="right"/>
      <w:pPr>
        <w:tabs>
          <w:tab w:val="num" w:pos="5880"/>
        </w:tabs>
        <w:ind w:left="5880" w:hanging="180"/>
      </w:pPr>
    </w:lvl>
  </w:abstractNum>
  <w:abstractNum w:abstractNumId="24" w15:restartNumberingAfterBreak="0">
    <w:nsid w:val="6FEE44C0"/>
    <w:multiLevelType w:val="hybridMultilevel"/>
    <w:tmpl w:val="B69C224C"/>
    <w:lvl w:ilvl="0" w:tplc="53D461A4">
      <w:start w:val="1"/>
      <w:numFmt w:val="bullet"/>
      <w:lvlText w:val=""/>
      <w:lvlJc w:val="left"/>
      <w:pPr>
        <w:tabs>
          <w:tab w:val="num" w:pos="1080"/>
        </w:tabs>
        <w:ind w:left="1080" w:hanging="360"/>
      </w:pPr>
      <w:rPr>
        <w:rFonts w:ascii="Symbol" w:hAnsi="Symbol" w:cs="Symbol" w:hint="default"/>
        <w:color w:val="auto"/>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18C4B81"/>
    <w:multiLevelType w:val="hybridMultilevel"/>
    <w:tmpl w:val="BBCC1D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5A507C0"/>
    <w:multiLevelType w:val="hybridMultilevel"/>
    <w:tmpl w:val="0BCCF4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8CE490A"/>
    <w:multiLevelType w:val="hybridMultilevel"/>
    <w:tmpl w:val="A42226F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1"/>
  </w:num>
  <w:num w:numId="2">
    <w:abstractNumId w:val="26"/>
  </w:num>
  <w:num w:numId="3">
    <w:abstractNumId w:val="8"/>
  </w:num>
  <w:num w:numId="4">
    <w:abstractNumId w:val="22"/>
  </w:num>
  <w:num w:numId="5">
    <w:abstractNumId w:val="10"/>
  </w:num>
  <w:num w:numId="6">
    <w:abstractNumId w:val="15"/>
  </w:num>
  <w:num w:numId="7">
    <w:abstractNumId w:val="27"/>
  </w:num>
  <w:num w:numId="8">
    <w:abstractNumId w:val="20"/>
  </w:num>
  <w:num w:numId="9">
    <w:abstractNumId w:val="17"/>
  </w:num>
  <w:num w:numId="10">
    <w:abstractNumId w:val="11"/>
  </w:num>
  <w:num w:numId="11">
    <w:abstractNumId w:val="16"/>
  </w:num>
  <w:num w:numId="12">
    <w:abstractNumId w:val="24"/>
  </w:num>
  <w:num w:numId="13">
    <w:abstractNumId w:val="18"/>
  </w:num>
  <w:num w:numId="14">
    <w:abstractNumId w:val="14"/>
  </w:num>
  <w:num w:numId="15">
    <w:abstractNumId w:val="2"/>
  </w:num>
  <w:num w:numId="16">
    <w:abstractNumId w:val="21"/>
  </w:num>
  <w:num w:numId="17">
    <w:abstractNumId w:val="4"/>
  </w:num>
  <w:num w:numId="18">
    <w:abstractNumId w:val="23"/>
  </w:num>
  <w:num w:numId="19">
    <w:abstractNumId w:val="9"/>
  </w:num>
  <w:num w:numId="20">
    <w:abstractNumId w:val="5"/>
  </w:num>
  <w:num w:numId="21">
    <w:abstractNumId w:val="7"/>
  </w:num>
  <w:num w:numId="22">
    <w:abstractNumId w:val="19"/>
  </w:num>
  <w:num w:numId="23">
    <w:abstractNumId w:val="2"/>
  </w:num>
  <w:num w:numId="24">
    <w:abstractNumId w:val="2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3"/>
  </w:num>
  <w:num w:numId="2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C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8"/>
    <w:rsid w:val="000131C6"/>
    <w:rsid w:val="0003358A"/>
    <w:rsid w:val="0003625B"/>
    <w:rsid w:val="00043736"/>
    <w:rsid w:val="00044B65"/>
    <w:rsid w:val="00054A79"/>
    <w:rsid w:val="00057F01"/>
    <w:rsid w:val="000745D1"/>
    <w:rsid w:val="00077A41"/>
    <w:rsid w:val="00083A70"/>
    <w:rsid w:val="000920EF"/>
    <w:rsid w:val="0009367A"/>
    <w:rsid w:val="000A326D"/>
    <w:rsid w:val="000A5E79"/>
    <w:rsid w:val="000B1F7E"/>
    <w:rsid w:val="000D5362"/>
    <w:rsid w:val="000E0040"/>
    <w:rsid w:val="000E1624"/>
    <w:rsid w:val="001018BE"/>
    <w:rsid w:val="001020D5"/>
    <w:rsid w:val="00132550"/>
    <w:rsid w:val="00135450"/>
    <w:rsid w:val="00140C56"/>
    <w:rsid w:val="00145106"/>
    <w:rsid w:val="001458F9"/>
    <w:rsid w:val="001575F3"/>
    <w:rsid w:val="00170E9E"/>
    <w:rsid w:val="001739BF"/>
    <w:rsid w:val="00185C2E"/>
    <w:rsid w:val="001874A4"/>
    <w:rsid w:val="00193B73"/>
    <w:rsid w:val="0019575A"/>
    <w:rsid w:val="001A233B"/>
    <w:rsid w:val="001B3DBC"/>
    <w:rsid w:val="001C21DB"/>
    <w:rsid w:val="001D00AE"/>
    <w:rsid w:val="001E043E"/>
    <w:rsid w:val="001E0BF7"/>
    <w:rsid w:val="001E3252"/>
    <w:rsid w:val="001E517B"/>
    <w:rsid w:val="001F15BD"/>
    <w:rsid w:val="001F1A91"/>
    <w:rsid w:val="001F50E2"/>
    <w:rsid w:val="001F561E"/>
    <w:rsid w:val="0021051F"/>
    <w:rsid w:val="00220632"/>
    <w:rsid w:val="0022401C"/>
    <w:rsid w:val="0025295F"/>
    <w:rsid w:val="002557CB"/>
    <w:rsid w:val="00267F4C"/>
    <w:rsid w:val="002727AA"/>
    <w:rsid w:val="00273333"/>
    <w:rsid w:val="00282497"/>
    <w:rsid w:val="0028385A"/>
    <w:rsid w:val="00283912"/>
    <w:rsid w:val="002A4E48"/>
    <w:rsid w:val="002B047F"/>
    <w:rsid w:val="002C4CD7"/>
    <w:rsid w:val="002C7CA1"/>
    <w:rsid w:val="002D5A56"/>
    <w:rsid w:val="002D61DE"/>
    <w:rsid w:val="002E000C"/>
    <w:rsid w:val="002E35AC"/>
    <w:rsid w:val="002F6410"/>
    <w:rsid w:val="00300509"/>
    <w:rsid w:val="003014A8"/>
    <w:rsid w:val="0031256C"/>
    <w:rsid w:val="00323785"/>
    <w:rsid w:val="003255B2"/>
    <w:rsid w:val="00331C96"/>
    <w:rsid w:val="00344AEA"/>
    <w:rsid w:val="00344B76"/>
    <w:rsid w:val="00350F97"/>
    <w:rsid w:val="00353618"/>
    <w:rsid w:val="00362450"/>
    <w:rsid w:val="00363033"/>
    <w:rsid w:val="00364509"/>
    <w:rsid w:val="0036463A"/>
    <w:rsid w:val="00364898"/>
    <w:rsid w:val="0037092F"/>
    <w:rsid w:val="003722A7"/>
    <w:rsid w:val="00372DAA"/>
    <w:rsid w:val="00375954"/>
    <w:rsid w:val="0038346A"/>
    <w:rsid w:val="003A43CF"/>
    <w:rsid w:val="003B19A1"/>
    <w:rsid w:val="003B219A"/>
    <w:rsid w:val="003C2A34"/>
    <w:rsid w:val="003D2F3D"/>
    <w:rsid w:val="003E3D38"/>
    <w:rsid w:val="003E724E"/>
    <w:rsid w:val="003F1345"/>
    <w:rsid w:val="003F61C4"/>
    <w:rsid w:val="004129F5"/>
    <w:rsid w:val="00415C13"/>
    <w:rsid w:val="00430D8E"/>
    <w:rsid w:val="0043202D"/>
    <w:rsid w:val="00447FE6"/>
    <w:rsid w:val="00493F2D"/>
    <w:rsid w:val="00495E50"/>
    <w:rsid w:val="004B616A"/>
    <w:rsid w:val="004C71F6"/>
    <w:rsid w:val="004D75FB"/>
    <w:rsid w:val="004D7C5A"/>
    <w:rsid w:val="004E343C"/>
    <w:rsid w:val="0051132D"/>
    <w:rsid w:val="005212AB"/>
    <w:rsid w:val="00530519"/>
    <w:rsid w:val="005337D4"/>
    <w:rsid w:val="00534174"/>
    <w:rsid w:val="005354B5"/>
    <w:rsid w:val="005372AA"/>
    <w:rsid w:val="00540814"/>
    <w:rsid w:val="00544065"/>
    <w:rsid w:val="005442E3"/>
    <w:rsid w:val="005523FD"/>
    <w:rsid w:val="00555F52"/>
    <w:rsid w:val="0055711D"/>
    <w:rsid w:val="005729BE"/>
    <w:rsid w:val="00583205"/>
    <w:rsid w:val="00583731"/>
    <w:rsid w:val="00587A31"/>
    <w:rsid w:val="00590116"/>
    <w:rsid w:val="00592114"/>
    <w:rsid w:val="005A323A"/>
    <w:rsid w:val="005B3B0C"/>
    <w:rsid w:val="005C5393"/>
    <w:rsid w:val="005C7E81"/>
    <w:rsid w:val="005D215B"/>
    <w:rsid w:val="005E0D5D"/>
    <w:rsid w:val="005E3D48"/>
    <w:rsid w:val="005E5F18"/>
    <w:rsid w:val="005E5F8F"/>
    <w:rsid w:val="0060020A"/>
    <w:rsid w:val="00617990"/>
    <w:rsid w:val="0062351B"/>
    <w:rsid w:val="00641214"/>
    <w:rsid w:val="006756E4"/>
    <w:rsid w:val="00677280"/>
    <w:rsid w:val="00677737"/>
    <w:rsid w:val="00677760"/>
    <w:rsid w:val="00693F61"/>
    <w:rsid w:val="006968D2"/>
    <w:rsid w:val="006A2BFA"/>
    <w:rsid w:val="006A4EE6"/>
    <w:rsid w:val="006A7461"/>
    <w:rsid w:val="006B3982"/>
    <w:rsid w:val="006B7CEA"/>
    <w:rsid w:val="006C1DA7"/>
    <w:rsid w:val="006C42AF"/>
    <w:rsid w:val="006D2D82"/>
    <w:rsid w:val="006D3B9A"/>
    <w:rsid w:val="006D6954"/>
    <w:rsid w:val="006E0146"/>
    <w:rsid w:val="006E050A"/>
    <w:rsid w:val="006E3B1A"/>
    <w:rsid w:val="00707EB6"/>
    <w:rsid w:val="00710209"/>
    <w:rsid w:val="007323A3"/>
    <w:rsid w:val="00736DA5"/>
    <w:rsid w:val="00752F2E"/>
    <w:rsid w:val="007530F7"/>
    <w:rsid w:val="007552C6"/>
    <w:rsid w:val="007614EF"/>
    <w:rsid w:val="0076603E"/>
    <w:rsid w:val="0076657D"/>
    <w:rsid w:val="00770E6A"/>
    <w:rsid w:val="0077233C"/>
    <w:rsid w:val="00776526"/>
    <w:rsid w:val="00794407"/>
    <w:rsid w:val="00795519"/>
    <w:rsid w:val="007C3294"/>
    <w:rsid w:val="007C67E9"/>
    <w:rsid w:val="007C6C79"/>
    <w:rsid w:val="007D068A"/>
    <w:rsid w:val="007D0CCF"/>
    <w:rsid w:val="007D24FD"/>
    <w:rsid w:val="007D7F1C"/>
    <w:rsid w:val="007E300C"/>
    <w:rsid w:val="007F4827"/>
    <w:rsid w:val="007F79C9"/>
    <w:rsid w:val="00822EE0"/>
    <w:rsid w:val="008344E6"/>
    <w:rsid w:val="00841DD1"/>
    <w:rsid w:val="00844B08"/>
    <w:rsid w:val="00845711"/>
    <w:rsid w:val="00853026"/>
    <w:rsid w:val="0086065C"/>
    <w:rsid w:val="008737C7"/>
    <w:rsid w:val="008A155B"/>
    <w:rsid w:val="008A3B13"/>
    <w:rsid w:val="008A3EE3"/>
    <w:rsid w:val="008A634E"/>
    <w:rsid w:val="008B7460"/>
    <w:rsid w:val="008C473D"/>
    <w:rsid w:val="008D78B1"/>
    <w:rsid w:val="008E281C"/>
    <w:rsid w:val="008E6824"/>
    <w:rsid w:val="008E70F8"/>
    <w:rsid w:val="009102F7"/>
    <w:rsid w:val="00913C2E"/>
    <w:rsid w:val="00914A07"/>
    <w:rsid w:val="00924666"/>
    <w:rsid w:val="00951000"/>
    <w:rsid w:val="00951321"/>
    <w:rsid w:val="009533E7"/>
    <w:rsid w:val="00954BF3"/>
    <w:rsid w:val="00962998"/>
    <w:rsid w:val="00964019"/>
    <w:rsid w:val="00965606"/>
    <w:rsid w:val="00972E96"/>
    <w:rsid w:val="009772DD"/>
    <w:rsid w:val="009873B7"/>
    <w:rsid w:val="009A1F15"/>
    <w:rsid w:val="009C0A09"/>
    <w:rsid w:val="009C3901"/>
    <w:rsid w:val="009C61AB"/>
    <w:rsid w:val="009D2F7D"/>
    <w:rsid w:val="009E4A9B"/>
    <w:rsid w:val="009E798F"/>
    <w:rsid w:val="00A108DA"/>
    <w:rsid w:val="00A1099D"/>
    <w:rsid w:val="00A1430C"/>
    <w:rsid w:val="00A2782E"/>
    <w:rsid w:val="00A32793"/>
    <w:rsid w:val="00A36EF8"/>
    <w:rsid w:val="00A37E82"/>
    <w:rsid w:val="00A57D85"/>
    <w:rsid w:val="00A603DF"/>
    <w:rsid w:val="00A6538A"/>
    <w:rsid w:val="00A6644A"/>
    <w:rsid w:val="00A82381"/>
    <w:rsid w:val="00A92BFE"/>
    <w:rsid w:val="00AA53CF"/>
    <w:rsid w:val="00AA72DF"/>
    <w:rsid w:val="00AB1939"/>
    <w:rsid w:val="00AB403D"/>
    <w:rsid w:val="00AB61B4"/>
    <w:rsid w:val="00AE059D"/>
    <w:rsid w:val="00AE2928"/>
    <w:rsid w:val="00AE4FE3"/>
    <w:rsid w:val="00AF32D3"/>
    <w:rsid w:val="00AF6104"/>
    <w:rsid w:val="00B00DDF"/>
    <w:rsid w:val="00B00F5D"/>
    <w:rsid w:val="00B0189A"/>
    <w:rsid w:val="00B15CB4"/>
    <w:rsid w:val="00B216DB"/>
    <w:rsid w:val="00B32783"/>
    <w:rsid w:val="00B4039C"/>
    <w:rsid w:val="00B44293"/>
    <w:rsid w:val="00B5157C"/>
    <w:rsid w:val="00B53F3E"/>
    <w:rsid w:val="00B54D5A"/>
    <w:rsid w:val="00B65838"/>
    <w:rsid w:val="00B71485"/>
    <w:rsid w:val="00B7674C"/>
    <w:rsid w:val="00B87330"/>
    <w:rsid w:val="00BC1B05"/>
    <w:rsid w:val="00BC2295"/>
    <w:rsid w:val="00BD032B"/>
    <w:rsid w:val="00BD1708"/>
    <w:rsid w:val="00BD2A83"/>
    <w:rsid w:val="00BE43F8"/>
    <w:rsid w:val="00BF0EE8"/>
    <w:rsid w:val="00BF5206"/>
    <w:rsid w:val="00BF7474"/>
    <w:rsid w:val="00C03413"/>
    <w:rsid w:val="00C148F1"/>
    <w:rsid w:val="00C22C27"/>
    <w:rsid w:val="00C24077"/>
    <w:rsid w:val="00C30095"/>
    <w:rsid w:val="00C340AA"/>
    <w:rsid w:val="00C34357"/>
    <w:rsid w:val="00C50632"/>
    <w:rsid w:val="00C51461"/>
    <w:rsid w:val="00C644CA"/>
    <w:rsid w:val="00C6557F"/>
    <w:rsid w:val="00C65CC2"/>
    <w:rsid w:val="00C65D37"/>
    <w:rsid w:val="00C6653B"/>
    <w:rsid w:val="00C7629D"/>
    <w:rsid w:val="00CA5CA6"/>
    <w:rsid w:val="00CA6DFA"/>
    <w:rsid w:val="00CC5A94"/>
    <w:rsid w:val="00CC695F"/>
    <w:rsid w:val="00CD1CC6"/>
    <w:rsid w:val="00CD5D96"/>
    <w:rsid w:val="00CE28FF"/>
    <w:rsid w:val="00CE6E5F"/>
    <w:rsid w:val="00CF47E9"/>
    <w:rsid w:val="00CF5E9E"/>
    <w:rsid w:val="00CF6082"/>
    <w:rsid w:val="00D00C39"/>
    <w:rsid w:val="00D140B7"/>
    <w:rsid w:val="00D227E1"/>
    <w:rsid w:val="00D24E41"/>
    <w:rsid w:val="00D32651"/>
    <w:rsid w:val="00D37EDE"/>
    <w:rsid w:val="00D434E4"/>
    <w:rsid w:val="00D43CA5"/>
    <w:rsid w:val="00D51E66"/>
    <w:rsid w:val="00D61566"/>
    <w:rsid w:val="00D733DB"/>
    <w:rsid w:val="00D73699"/>
    <w:rsid w:val="00D74FA4"/>
    <w:rsid w:val="00D84911"/>
    <w:rsid w:val="00D874F3"/>
    <w:rsid w:val="00D9736B"/>
    <w:rsid w:val="00DB48C2"/>
    <w:rsid w:val="00DC3AD4"/>
    <w:rsid w:val="00DE7517"/>
    <w:rsid w:val="00E043DC"/>
    <w:rsid w:val="00E0621D"/>
    <w:rsid w:val="00E108B2"/>
    <w:rsid w:val="00E12B71"/>
    <w:rsid w:val="00E148E1"/>
    <w:rsid w:val="00E2682D"/>
    <w:rsid w:val="00E30DF3"/>
    <w:rsid w:val="00E32CA8"/>
    <w:rsid w:val="00E34864"/>
    <w:rsid w:val="00E417C5"/>
    <w:rsid w:val="00E43E6D"/>
    <w:rsid w:val="00E70C34"/>
    <w:rsid w:val="00E713E7"/>
    <w:rsid w:val="00E74828"/>
    <w:rsid w:val="00E749C7"/>
    <w:rsid w:val="00E751CA"/>
    <w:rsid w:val="00E800B5"/>
    <w:rsid w:val="00E806CF"/>
    <w:rsid w:val="00E814A8"/>
    <w:rsid w:val="00E924A7"/>
    <w:rsid w:val="00EA4E61"/>
    <w:rsid w:val="00EB5E80"/>
    <w:rsid w:val="00EB7D9B"/>
    <w:rsid w:val="00EC38DE"/>
    <w:rsid w:val="00ED6EEF"/>
    <w:rsid w:val="00EE6E61"/>
    <w:rsid w:val="00EF7391"/>
    <w:rsid w:val="00F10B98"/>
    <w:rsid w:val="00F21F83"/>
    <w:rsid w:val="00F310CE"/>
    <w:rsid w:val="00F326F8"/>
    <w:rsid w:val="00F40A2F"/>
    <w:rsid w:val="00F42F3A"/>
    <w:rsid w:val="00F47EE8"/>
    <w:rsid w:val="00F51758"/>
    <w:rsid w:val="00F55EF4"/>
    <w:rsid w:val="00F67910"/>
    <w:rsid w:val="00F75A7A"/>
    <w:rsid w:val="00F81E0B"/>
    <w:rsid w:val="00F95301"/>
    <w:rsid w:val="00FC0FF2"/>
    <w:rsid w:val="00FC21E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8480644-32BB-4FA3-A47C-40C5CE72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8"/>
    <w:rPr>
      <w:lang w:eastAsia="es-ES"/>
    </w:rPr>
  </w:style>
  <w:style w:type="paragraph" w:styleId="Ttulo1">
    <w:name w:val="heading 1"/>
    <w:aliases w:val="Título Principal"/>
    <w:basedOn w:val="Normal"/>
    <w:next w:val="Normal"/>
    <w:qFormat/>
    <w:rsid w:val="000131C6"/>
    <w:pPr>
      <w:keepNext/>
      <w:widowControl w:val="0"/>
      <w:tabs>
        <w:tab w:val="center" w:pos="4680"/>
      </w:tabs>
      <w:autoSpaceDE w:val="0"/>
      <w:autoSpaceDN w:val="0"/>
      <w:adjustRightInd w:val="0"/>
      <w:jc w:val="both"/>
      <w:outlineLvl w:val="0"/>
    </w:pPr>
    <w:rPr>
      <w:rFonts w:ascii="Arial" w:hAnsi="Arial" w:cs="Arial"/>
      <w:b/>
      <w:bCs/>
      <w:i/>
      <w:iCs/>
      <w:color w:val="000000"/>
      <w:spacing w:val="-3"/>
      <w:sz w:val="24"/>
      <w:szCs w:val="24"/>
      <w:u w:color="000000"/>
      <w:lang w:val="es-ES"/>
    </w:rPr>
  </w:style>
  <w:style w:type="paragraph" w:styleId="Ttulo2">
    <w:name w:val="heading 2"/>
    <w:basedOn w:val="Normal"/>
    <w:next w:val="Normal"/>
    <w:qFormat/>
    <w:rsid w:val="000131C6"/>
    <w:pPr>
      <w:keepNext/>
      <w:widowControl w:val="0"/>
      <w:autoSpaceDE w:val="0"/>
      <w:autoSpaceDN w:val="0"/>
      <w:adjustRightInd w:val="0"/>
      <w:spacing w:before="240" w:after="60"/>
      <w:outlineLvl w:val="1"/>
    </w:pPr>
    <w:rPr>
      <w:rFonts w:ascii="Arial" w:hAnsi="Arial" w:cs="Arial"/>
      <w:b/>
      <w:bCs/>
      <w:i/>
      <w:iCs/>
      <w:sz w:val="28"/>
      <w:szCs w:val="28"/>
      <w:lang w:val="es-ES"/>
    </w:rPr>
  </w:style>
  <w:style w:type="paragraph" w:styleId="Ttulo3">
    <w:name w:val="heading 3"/>
    <w:basedOn w:val="Normal"/>
    <w:next w:val="Normal"/>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E749C7"/>
    <w:rPr>
      <w:rFonts w:ascii="Tahoma" w:hAnsi="Tahoma" w:cs="Tahoma"/>
      <w:sz w:val="16"/>
      <w:szCs w:val="16"/>
      <w:lang w:val="es-ES"/>
    </w:rPr>
  </w:style>
  <w:style w:type="paragraph" w:styleId="Textoindependiente2">
    <w:name w:val="Body Text 2"/>
    <w:basedOn w:val="Normal"/>
    <w:link w:val="Textoindependiente2Car"/>
    <w:rsid w:val="00BF0EE8"/>
    <w:pPr>
      <w:jc w:val="both"/>
    </w:pPr>
    <w:rPr>
      <w:rFonts w:ascii="Bookman Old Style" w:hAnsi="Bookman Old Style"/>
      <w:sz w:val="24"/>
      <w:szCs w:val="24"/>
      <w:lang w:val="es-ES_tradnl"/>
    </w:rPr>
  </w:style>
  <w:style w:type="character" w:styleId="Hipervnculo">
    <w:name w:val="Hyperlink"/>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
    <w:basedOn w:val="Normal"/>
    <w:link w:val="EncabezadoCar"/>
    <w:rsid w:val="00BF0EE8"/>
    <w:pPr>
      <w:tabs>
        <w:tab w:val="center" w:pos="4252"/>
        <w:tab w:val="right" w:pos="8504"/>
      </w:tabs>
    </w:pPr>
  </w:style>
  <w:style w:type="character" w:customStyle="1" w:styleId="EncabezadoCar">
    <w:name w:val="Encabezado Car"/>
    <w:aliases w:val="encabezado Car"/>
    <w:link w:val="Encabezado"/>
    <w:locked/>
    <w:rsid w:val="009772DD"/>
    <w:rPr>
      <w:lang w:val="es-CR" w:eastAsia="es-ES"/>
    </w:rPr>
  </w:style>
  <w:style w:type="paragraph" w:styleId="Piedepgina">
    <w:name w:val="footer"/>
    <w:basedOn w:val="Normal"/>
    <w:rsid w:val="00BF0EE8"/>
    <w:pPr>
      <w:tabs>
        <w:tab w:val="center" w:pos="4252"/>
        <w:tab w:val="right" w:pos="8504"/>
      </w:tabs>
    </w:pPr>
  </w:style>
  <w:style w:type="character" w:styleId="Nmerodepgina">
    <w:name w:val="page number"/>
    <w:rsid w:val="002F6410"/>
    <w:rPr>
      <w:rFonts w:cs="Times New Roman"/>
    </w:rPr>
  </w:style>
  <w:style w:type="paragraph" w:styleId="NormalWeb">
    <w:name w:val="Normal (Web)"/>
    <w:basedOn w:val="Normal"/>
    <w:uiPriority w:val="99"/>
    <w:rsid w:val="009772DD"/>
    <w:pPr>
      <w:widowControl w:val="0"/>
      <w:autoSpaceDE w:val="0"/>
      <w:autoSpaceDN w:val="0"/>
      <w:adjustRightInd w:val="0"/>
    </w:pPr>
    <w:rPr>
      <w:rFonts w:ascii="Arial Unicode MS" w:eastAsia="Arial Unicode MS" w:hAnsi="Arial" w:cs="Arial Unicode MS"/>
      <w:color w:val="000000"/>
      <w:sz w:val="24"/>
      <w:szCs w:val="24"/>
      <w:u w:color="000000"/>
      <w:lang w:val="es-ES"/>
    </w:rPr>
  </w:style>
  <w:style w:type="table" w:styleId="Tablaconcuadrcula">
    <w:name w:val="Table Grid"/>
    <w:basedOn w:val="Tablanormal"/>
    <w:rsid w:val="0097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B15CB4"/>
    <w:pPr>
      <w:spacing w:after="120"/>
    </w:pPr>
  </w:style>
  <w:style w:type="paragraph" w:styleId="Textonotapie">
    <w:name w:val="footnote text"/>
    <w:basedOn w:val="Normal"/>
    <w:link w:val="TextonotapieCar"/>
    <w:uiPriority w:val="99"/>
    <w:semiHidden/>
    <w:rsid w:val="00B15CB4"/>
    <w:rPr>
      <w:lang w:val="es-ES"/>
    </w:rPr>
  </w:style>
  <w:style w:type="character" w:customStyle="1" w:styleId="TextonotapieCar">
    <w:name w:val="Texto nota pie Car"/>
    <w:link w:val="Textonotapie"/>
    <w:uiPriority w:val="99"/>
    <w:semiHidden/>
    <w:locked/>
    <w:rsid w:val="000131C6"/>
    <w:rPr>
      <w:rFonts w:cs="Times New Roman"/>
      <w:lang w:val="es-ES" w:eastAsia="es-ES"/>
    </w:rPr>
  </w:style>
  <w:style w:type="character" w:styleId="Refdenotaalpie">
    <w:name w:val="footnote reference"/>
    <w:uiPriority w:val="99"/>
    <w:semiHidden/>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link w:val="Textoindependiente3Car"/>
    <w:rsid w:val="000131C6"/>
    <w:pPr>
      <w:widowControl w:val="0"/>
      <w:autoSpaceDE w:val="0"/>
      <w:autoSpaceDN w:val="0"/>
      <w:adjustRightInd w:val="0"/>
      <w:jc w:val="both"/>
    </w:pPr>
    <w:rPr>
      <w:rFonts w:ascii="Book Antiqua" w:hAnsi="Book Antiqua"/>
      <w:sz w:val="24"/>
      <w:szCs w:val="24"/>
      <w:lang w:val="es-ES"/>
    </w:rPr>
  </w:style>
  <w:style w:type="character" w:styleId="Hipervnculovisitado">
    <w:name w:val="FollowedHyperlink"/>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basedOn w:val="Normal"/>
    <w:uiPriority w:val="34"/>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Puesto">
    <w:name w:val="Title"/>
    <w:basedOn w:val="Normal"/>
    <w:link w:val="PuestoCar"/>
    <w:qFormat/>
    <w:rsid w:val="006E3B1A"/>
    <w:pPr>
      <w:jc w:val="center"/>
    </w:pPr>
    <w:rPr>
      <w:rFonts w:ascii="Arial" w:hAnsi="Arial"/>
      <w:b/>
      <w:bCs/>
      <w:sz w:val="36"/>
      <w:szCs w:val="36"/>
    </w:rPr>
  </w:style>
  <w:style w:type="character" w:customStyle="1" w:styleId="PuestoCar">
    <w:name w:val="Puesto Car"/>
    <w:link w:val="Puesto"/>
    <w:locked/>
    <w:rsid w:val="006E3B1A"/>
    <w:rPr>
      <w:rFonts w:ascii="Arial" w:hAnsi="Arial"/>
      <w:b/>
      <w:bCs/>
      <w:sz w:val="36"/>
      <w:szCs w:val="36"/>
      <w:lang w:val="es-CR" w:eastAsia="es-ES" w:bidi="ar-SA"/>
    </w:rPr>
  </w:style>
  <w:style w:type="paragraph" w:customStyle="1" w:styleId="Prrafodelista2">
    <w:name w:val="Párrafo de lista2"/>
    <w:basedOn w:val="Normal"/>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styleId="Descripcin">
    <w:name w:val="caption"/>
    <w:basedOn w:val="Normal"/>
    <w:next w:val="Normal"/>
    <w:qFormat/>
    <w:rsid w:val="00364509"/>
    <w:pPr>
      <w:widowControl w:val="0"/>
      <w:autoSpaceDE w:val="0"/>
      <w:autoSpaceDN w:val="0"/>
      <w:adjustRightInd w:val="0"/>
    </w:pPr>
    <w:rPr>
      <w:rFonts w:ascii="Arial" w:hAnsi="Arial" w:cs="Arial"/>
      <w:b/>
      <w:bCs/>
      <w:lang w:val="es-ES"/>
    </w:rPr>
  </w:style>
  <w:style w:type="character" w:customStyle="1" w:styleId="Textoindependiente2Car">
    <w:name w:val="Texto independiente 2 Car"/>
    <w:link w:val="Textoindependiente2"/>
    <w:rsid w:val="004C71F6"/>
    <w:rPr>
      <w:rFonts w:ascii="Bookman Old Style" w:hAnsi="Bookman Old Style" w:cs="Bookman Old Style"/>
      <w:sz w:val="24"/>
      <w:szCs w:val="24"/>
      <w:lang w:val="es-ES_tradnl" w:eastAsia="es-ES"/>
    </w:rPr>
  </w:style>
  <w:style w:type="character" w:customStyle="1" w:styleId="TextoindependienteCar">
    <w:name w:val="Texto independiente Car"/>
    <w:link w:val="Textoindependiente"/>
    <w:rsid w:val="004C71F6"/>
    <w:rPr>
      <w:lang w:eastAsia="es-ES"/>
    </w:rPr>
  </w:style>
  <w:style w:type="character" w:customStyle="1" w:styleId="Textoindependiente3Car">
    <w:name w:val="Texto independiente 3 Car"/>
    <w:link w:val="Textoindependiente3"/>
    <w:rsid w:val="004C71F6"/>
    <w:rPr>
      <w:rFonts w:ascii="Book Antiqua" w:hAnsi="Book Antiqua" w:cs="Book Antiqua"/>
      <w:sz w:val="24"/>
      <w:szCs w:val="24"/>
      <w:lang w:val="es-ES" w:eastAsia="es-ES"/>
    </w:rPr>
  </w:style>
  <w:style w:type="character" w:customStyle="1" w:styleId="apple-converted-space">
    <w:name w:val="apple-converted-space"/>
    <w:basedOn w:val="Fuentedeprrafopredeter"/>
    <w:rsid w:val="004C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1095" b="1" i="0" u="none" strike="noStrike" baseline="0">
                <a:solidFill>
                  <a:srgbClr val="000000"/>
                </a:solidFill>
                <a:latin typeface="Times New Roman"/>
                <a:ea typeface="Times New Roman"/>
                <a:cs typeface="Times New Roman"/>
              </a:defRPr>
            </a:pPr>
            <a:r>
              <a:rPr lang="es-CR"/>
              <a:t>Gráfico N° 1 
Tendencia histórica anual de la Tasa de congestión calculada para el Tribunal Disciplinario Notarial desde 2011</a:t>
            </a:r>
          </a:p>
        </c:rich>
      </c:tx>
      <c:layout>
        <c:manualLayout>
          <c:xMode val="edge"/>
          <c:yMode val="edge"/>
          <c:x val="0.10582830372009949"/>
          <c:y val="1.9002375296912167E-2"/>
        </c:manualLayout>
      </c:layout>
      <c:overlay val="0"/>
      <c:spPr>
        <a:noFill/>
        <a:ln w="25292">
          <a:noFill/>
        </a:ln>
      </c:spPr>
    </c:title>
    <c:autoTitleDeleted val="0"/>
    <c:plotArea>
      <c:layout>
        <c:manualLayout>
          <c:layoutTarget val="inner"/>
          <c:xMode val="edge"/>
          <c:yMode val="edge"/>
          <c:x val="0.11111111111111113"/>
          <c:y val="0.25739644970414233"/>
          <c:w val="0.81800766283524906"/>
          <c:h val="0.53846153846153844"/>
        </c:manualLayout>
      </c:layout>
      <c:lineChart>
        <c:grouping val="stacked"/>
        <c:varyColors val="0"/>
        <c:ser>
          <c:idx val="0"/>
          <c:order val="0"/>
          <c:tx>
            <c:strRef>
              <c:f>Sheet1!$A$2</c:f>
              <c:strCache>
                <c:ptCount val="1"/>
              </c:strCache>
            </c:strRef>
          </c:tx>
          <c:spPr>
            <a:ln w="25292">
              <a:solidFill>
                <a:srgbClr val="000000"/>
              </a:solidFill>
              <a:prstDash val="solid"/>
            </a:ln>
          </c:spPr>
          <c:marker>
            <c:symbol val="diamond"/>
            <c:size val="4"/>
            <c:spPr>
              <a:solidFill>
                <a:srgbClr val="000000"/>
              </a:solidFill>
              <a:ln>
                <a:solidFill>
                  <a:srgbClr val="000000"/>
                </a:solidFill>
                <a:prstDash val="solid"/>
              </a:ln>
            </c:spPr>
          </c:marker>
          <c:dLbls>
            <c:dLbl>
              <c:idx val="0"/>
              <c:layout>
                <c:manualLayout>
                  <c:x val="-6.5778332842395523E-2"/>
                  <c:y val="-2.466010151139159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E4C-4537-8F39-6C1EE7838763}"/>
                </c:ext>
                <c:ext xmlns:c15="http://schemas.microsoft.com/office/drawing/2012/chart" uri="{CE6537A1-D6FC-4f65-9D91-7224C49458BB}"/>
              </c:extLst>
            </c:dLbl>
            <c:dLbl>
              <c:idx val="1"/>
              <c:layout>
                <c:manualLayout>
                  <c:x val="-4.8600525273378485E-2"/>
                  <c:y val="-5.28027177862495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E4C-4537-8F39-6C1EE7838763}"/>
                </c:ext>
                <c:ext xmlns:c15="http://schemas.microsoft.com/office/drawing/2012/chart" uri="{CE6537A1-D6FC-4f65-9D91-7224C49458BB}"/>
              </c:extLst>
            </c:dLbl>
            <c:dLbl>
              <c:idx val="2"/>
              <c:layout>
                <c:manualLayout>
                  <c:x val="-3.755748968576237E-2"/>
                  <c:y val="-4.577183319363311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E4C-4537-8F39-6C1EE7838763}"/>
                </c:ext>
                <c:ext xmlns:c15="http://schemas.microsoft.com/office/drawing/2012/chart" uri="{CE6537A1-D6FC-4f65-9D91-7224C49458BB}"/>
              </c:extLst>
            </c:dLbl>
            <c:dLbl>
              <c:idx val="3"/>
              <c:layout>
                <c:manualLayout>
                  <c:x val="-3.2649423423298914E-2"/>
                  <c:y val="-4.5372884065632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E4C-4537-8F39-6C1EE7838763}"/>
                </c:ext>
                <c:ext xmlns:c15="http://schemas.microsoft.com/office/drawing/2012/chart" uri="{CE6537A1-D6FC-4f65-9D91-7224C49458BB}"/>
              </c:extLst>
            </c:dLbl>
            <c:dLbl>
              <c:idx val="4"/>
              <c:layout>
                <c:manualLayout>
                  <c:x val="-4.1545235486183961E-2"/>
                  <c:y val="-3.898788789905649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E4C-4537-8F39-6C1EE7838763}"/>
                </c:ext>
                <c:ext xmlns:c15="http://schemas.microsoft.com/office/drawing/2012/chart" uri="{CE6537A1-D6FC-4f65-9D91-7224C49458BB}"/>
              </c:extLst>
            </c:dLbl>
            <c:dLbl>
              <c:idx val="5"/>
              <c:layout>
                <c:manualLayout>
                  <c:xMode val="edge"/>
                  <c:yMode val="edge"/>
                  <c:x val="0.94478527607362206"/>
                  <c:y val="0.4893111638954889"/>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E4C-4537-8F39-6C1EE7838763}"/>
                </c:ext>
                <c:ext xmlns:c15="http://schemas.microsoft.com/office/drawing/2012/chart" uri="{CE6537A1-D6FC-4f65-9D91-7224C49458BB}"/>
              </c:extLst>
            </c:dLbl>
            <c:spPr>
              <a:noFill/>
              <a:ln w="25292">
                <a:noFill/>
              </a:ln>
            </c:spPr>
            <c:txPr>
              <a:bodyPr/>
              <a:lstStyle/>
              <a:p>
                <a:pPr>
                  <a:defRPr sz="1048" b="0" i="0" u="none" strike="noStrike" baseline="0">
                    <a:solidFill>
                      <a:srgbClr val="000000"/>
                    </a:solidFill>
                    <a:latin typeface="Times New Roman"/>
                    <a:ea typeface="Times New Roman"/>
                    <a:cs typeface="Times New Roman"/>
                  </a:defRPr>
                </a:pPr>
                <a:endParaRPr lang="es-C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Sheet1!$B$1:$O$1</c:f>
              <c:numCache>
                <c:formatCode>General</c:formatCode>
                <c:ptCount val="5"/>
                <c:pt idx="0">
                  <c:v>2011</c:v>
                </c:pt>
                <c:pt idx="1">
                  <c:v>2012</c:v>
                </c:pt>
                <c:pt idx="2">
                  <c:v>2013</c:v>
                </c:pt>
                <c:pt idx="3">
                  <c:v>2014</c:v>
                </c:pt>
                <c:pt idx="4">
                  <c:v>2015</c:v>
                </c:pt>
              </c:numCache>
            </c:numRef>
          </c:cat>
          <c:val>
            <c:numRef>
              <c:f>Sheet1!$B$2:$O$2</c:f>
              <c:numCache>
                <c:formatCode>General</c:formatCode>
                <c:ptCount val="5"/>
                <c:pt idx="0">
                  <c:v>140</c:v>
                </c:pt>
                <c:pt idx="1">
                  <c:v>151</c:v>
                </c:pt>
                <c:pt idx="2">
                  <c:v>181</c:v>
                </c:pt>
                <c:pt idx="3">
                  <c:v>180</c:v>
                </c:pt>
                <c:pt idx="4">
                  <c:v>145</c:v>
                </c:pt>
              </c:numCache>
            </c:numRef>
          </c:val>
          <c:smooth val="0"/>
          <c:extLst xmlns:c16r2="http://schemas.microsoft.com/office/drawing/2015/06/chart">
            <c:ext xmlns:c16="http://schemas.microsoft.com/office/drawing/2014/chart" uri="{C3380CC4-5D6E-409C-BE32-E72D297353CC}">
              <c16:uniqueId val="{00000006-2E4C-4537-8F39-6C1EE7838763}"/>
            </c:ext>
          </c:extLst>
        </c:ser>
        <c:dLbls>
          <c:showLegendKey val="0"/>
          <c:showVal val="1"/>
          <c:showCatName val="0"/>
          <c:showSerName val="0"/>
          <c:showPercent val="0"/>
          <c:showBubbleSize val="0"/>
        </c:dLbls>
        <c:marker val="1"/>
        <c:smooth val="0"/>
        <c:axId val="266099608"/>
        <c:axId val="266100000"/>
      </c:lineChart>
      <c:catAx>
        <c:axId val="266099608"/>
        <c:scaling>
          <c:orientation val="minMax"/>
        </c:scaling>
        <c:delete val="0"/>
        <c:axPos val="b"/>
        <c:title>
          <c:tx>
            <c:rich>
              <a:bodyPr/>
              <a:lstStyle/>
              <a:p>
                <a:pPr>
                  <a:defRPr sz="1067"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51227003882579192"/>
              <c:y val="0.8503562945368176"/>
            </c:manualLayout>
          </c:layout>
          <c:overlay val="0"/>
          <c:spPr>
            <a:noFill/>
            <a:ln w="25292">
              <a:noFill/>
            </a:ln>
          </c:spPr>
        </c:title>
        <c:numFmt formatCode="General" sourceLinked="1"/>
        <c:majorTickMark val="out"/>
        <c:minorTickMark val="none"/>
        <c:tickLblPos val="nextTo"/>
        <c:spPr>
          <a:ln w="3161">
            <a:solidFill>
              <a:srgbClr val="000000"/>
            </a:solidFill>
            <a:prstDash val="solid"/>
          </a:ln>
        </c:spPr>
        <c:txPr>
          <a:bodyPr rot="0" vert="horz"/>
          <a:lstStyle/>
          <a:p>
            <a:pPr>
              <a:defRPr sz="1048" b="1" i="0" u="none" strike="noStrike" baseline="0">
                <a:solidFill>
                  <a:srgbClr val="000000"/>
                </a:solidFill>
                <a:latin typeface="Times New Roman"/>
                <a:ea typeface="Times New Roman"/>
                <a:cs typeface="Times New Roman"/>
              </a:defRPr>
            </a:pPr>
            <a:endParaRPr lang="es-CR"/>
          </a:p>
        </c:txPr>
        <c:crossAx val="266100000"/>
        <c:crossesAt val="1"/>
        <c:auto val="1"/>
        <c:lblAlgn val="ctr"/>
        <c:lblOffset val="100"/>
        <c:tickLblSkip val="1"/>
        <c:tickMarkSkip val="1"/>
        <c:noMultiLvlLbl val="0"/>
      </c:catAx>
      <c:valAx>
        <c:axId val="266100000"/>
        <c:scaling>
          <c:orientation val="minMax"/>
          <c:max val="250"/>
          <c:min val="0"/>
        </c:scaling>
        <c:delete val="0"/>
        <c:axPos val="l"/>
        <c:majorGridlines>
          <c:spPr>
            <a:ln w="12646">
              <a:solidFill>
                <a:srgbClr val="000000"/>
              </a:solidFill>
              <a:prstDash val="sysDash"/>
            </a:ln>
          </c:spPr>
        </c:majorGridlines>
        <c:title>
          <c:tx>
            <c:rich>
              <a:bodyPr/>
              <a:lstStyle/>
              <a:p>
                <a:pPr>
                  <a:defRPr sz="1067" b="1" i="0" u="none" strike="noStrike" baseline="0">
                    <a:solidFill>
                      <a:srgbClr val="000000"/>
                    </a:solidFill>
                    <a:latin typeface="Times New Roman"/>
                    <a:ea typeface="Times New Roman"/>
                    <a:cs typeface="Times New Roman"/>
                  </a:defRPr>
                </a:pPr>
                <a:r>
                  <a:rPr lang="es-CR"/>
                  <a:t>Razón</a:t>
                </a:r>
              </a:p>
            </c:rich>
          </c:tx>
          <c:layout>
            <c:manualLayout>
              <c:xMode val="edge"/>
              <c:yMode val="edge"/>
              <c:x val="1.5336792578347059E-3"/>
              <c:y val="0.47268408551068924"/>
            </c:manualLayout>
          </c:layout>
          <c:overlay val="0"/>
          <c:spPr>
            <a:noFill/>
            <a:ln w="25292">
              <a:noFill/>
            </a:ln>
          </c:spPr>
        </c:title>
        <c:numFmt formatCode="General" sourceLinked="1"/>
        <c:majorTickMark val="out"/>
        <c:minorTickMark val="none"/>
        <c:tickLblPos val="nextTo"/>
        <c:spPr>
          <a:ln w="3161">
            <a:solidFill>
              <a:srgbClr val="000000"/>
            </a:solidFill>
            <a:prstDash val="solid"/>
          </a:ln>
        </c:spPr>
        <c:txPr>
          <a:bodyPr rot="0" vert="horz"/>
          <a:lstStyle/>
          <a:p>
            <a:pPr>
              <a:defRPr sz="1048" b="1" i="0" u="none" strike="noStrike" baseline="0">
                <a:solidFill>
                  <a:srgbClr val="000000"/>
                </a:solidFill>
                <a:latin typeface="Times New Roman"/>
                <a:ea typeface="Times New Roman"/>
                <a:cs typeface="Times New Roman"/>
              </a:defRPr>
            </a:pPr>
            <a:endParaRPr lang="es-CR"/>
          </a:p>
        </c:txPr>
        <c:crossAx val="266099608"/>
        <c:crosses val="autoZero"/>
        <c:crossBetween val="between"/>
        <c:majorUnit val="250"/>
        <c:minorUnit val="30"/>
      </c:valAx>
      <c:spPr>
        <a:solidFill>
          <a:srgbClr val="CCFFFF"/>
        </a:solidFill>
        <a:ln w="12646">
          <a:solidFill>
            <a:srgbClr val="808080"/>
          </a:solidFill>
          <a:prstDash val="solid"/>
        </a:ln>
      </c:spPr>
    </c:plotArea>
    <c:plotVisOnly val="1"/>
    <c:dispBlanksAs val="zero"/>
    <c:showDLblsOverMax val="0"/>
  </c:chart>
  <c:spPr>
    <a:gradFill rotWithShape="0">
      <a:gsLst>
        <a:gs pos="0">
          <a:srgbClr val="3366FF"/>
        </a:gs>
        <a:gs pos="50000">
          <a:srgbClr val="00FFFF"/>
        </a:gs>
        <a:gs pos="100000">
          <a:srgbClr val="3366FF"/>
        </a:gs>
      </a:gsLst>
      <a:lin ang="5400000" scaled="1"/>
    </a:gradFill>
    <a:ln w="3161">
      <a:solidFill>
        <a:srgbClr val="000000"/>
      </a:solidFill>
      <a:prstDash val="solid"/>
    </a:ln>
  </c:spPr>
  <c:txPr>
    <a:bodyPr/>
    <a:lstStyle/>
    <a:p>
      <a:pPr>
        <a:defRPr sz="1467" b="1" i="0" u="none" strike="noStrike" baseline="0">
          <a:solidFill>
            <a:srgbClr val="000000"/>
          </a:solidFill>
          <a:latin typeface="Arial"/>
          <a:ea typeface="Arial"/>
          <a:cs typeface="Arial"/>
        </a:defRPr>
      </a:pPr>
      <a:endParaRPr lang="es-CR"/>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1047" b="1" i="0" u="none" strike="noStrike" baseline="0">
                <a:solidFill>
                  <a:srgbClr val="000000"/>
                </a:solidFill>
                <a:latin typeface="Times New Roman"/>
                <a:ea typeface="Times New Roman"/>
                <a:cs typeface="Times New Roman"/>
              </a:defRPr>
            </a:pPr>
            <a:r>
              <a:rPr lang="es-CR"/>
              <a:t>Gráfico N°</a:t>
            </a:r>
            <a:r>
              <a:rPr lang="es-CR">
                <a:solidFill>
                  <a:sysClr val="windowText" lastClr="000000"/>
                </a:solidFill>
              </a:rPr>
              <a:t>10</a:t>
            </a:r>
            <a:r>
              <a:rPr lang="es-CR"/>
              <a:t>
Tendencia histórica anual de los porcentajes de pendencia y resolución calculadas para el Juzgado Notarial durante el período 
para el período 2011 - 2015</a:t>
            </a:r>
          </a:p>
        </c:rich>
      </c:tx>
      <c:layout>
        <c:manualLayout>
          <c:xMode val="edge"/>
          <c:yMode val="edge"/>
          <c:x val="0.12738853503184713"/>
          <c:y val="2.02020202020202E-2"/>
        </c:manualLayout>
      </c:layout>
      <c:overlay val="0"/>
      <c:spPr>
        <a:noFill/>
        <a:ln w="25324">
          <a:noFill/>
        </a:ln>
      </c:spPr>
    </c:title>
    <c:autoTitleDeleted val="0"/>
    <c:plotArea>
      <c:layout>
        <c:manualLayout>
          <c:layoutTarget val="inner"/>
          <c:xMode val="edge"/>
          <c:yMode val="edge"/>
          <c:x val="0.11706349206349206"/>
          <c:y val="0.33647798742138407"/>
          <c:w val="0.83134920634920728"/>
          <c:h val="0.45283018867924574"/>
        </c:manualLayout>
      </c:layout>
      <c:lineChart>
        <c:grouping val="standard"/>
        <c:varyColors val="0"/>
        <c:ser>
          <c:idx val="0"/>
          <c:order val="0"/>
          <c:tx>
            <c:strRef>
              <c:f>Sheet1!$A$2</c:f>
              <c:strCache>
                <c:ptCount val="1"/>
                <c:pt idx="0">
                  <c:v>Tasa de Pendencia</c:v>
                </c:pt>
              </c:strCache>
            </c:strRef>
          </c:tx>
          <c:spPr>
            <a:ln w="25324">
              <a:solidFill>
                <a:srgbClr val="000000"/>
              </a:solidFill>
              <a:prstDash val="solid"/>
            </a:ln>
          </c:spPr>
          <c:marker>
            <c:symbol val="diamond"/>
            <c:size val="4"/>
            <c:spPr>
              <a:solidFill>
                <a:srgbClr val="000000"/>
              </a:solidFill>
              <a:ln>
                <a:solidFill>
                  <a:srgbClr val="000000"/>
                </a:solidFill>
                <a:prstDash val="solid"/>
              </a:ln>
            </c:spPr>
          </c:marker>
          <c:dLbls>
            <c:numFmt formatCode="0%" sourceLinked="0"/>
            <c:spPr>
              <a:noFill/>
              <a:ln w="25324">
                <a:noFill/>
              </a:ln>
            </c:spPr>
            <c:txPr>
              <a:bodyPr/>
              <a:lstStyle/>
              <a:p>
                <a:pPr>
                  <a:defRPr sz="1073" b="0" i="0" u="none" strike="noStrike" baseline="0">
                    <a:solidFill>
                      <a:srgbClr val="000000"/>
                    </a:solidFill>
                    <a:latin typeface="Times New Roman"/>
                    <a:ea typeface="Times New Roman"/>
                    <a:cs typeface="Times New Roman"/>
                  </a:defRPr>
                </a:pPr>
                <a:endParaRPr lang="es-C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Sheet1!$B$1:$O$1</c:f>
              <c:numCache>
                <c:formatCode>General</c:formatCode>
                <c:ptCount val="5"/>
                <c:pt idx="0">
                  <c:v>2011</c:v>
                </c:pt>
                <c:pt idx="1">
                  <c:v>2012</c:v>
                </c:pt>
                <c:pt idx="2">
                  <c:v>2013</c:v>
                </c:pt>
                <c:pt idx="3">
                  <c:v>2014</c:v>
                </c:pt>
                <c:pt idx="4">
                  <c:v>2015</c:v>
                </c:pt>
              </c:numCache>
            </c:numRef>
          </c:cat>
          <c:val>
            <c:numRef>
              <c:f>Sheet1!$B$2:$O$2</c:f>
              <c:numCache>
                <c:formatCode>0%</c:formatCode>
                <c:ptCount val="5"/>
                <c:pt idx="0">
                  <c:v>0.70000000000000062</c:v>
                </c:pt>
                <c:pt idx="1">
                  <c:v>0.76000000000000079</c:v>
                </c:pt>
                <c:pt idx="2">
                  <c:v>0.77000000000000079</c:v>
                </c:pt>
                <c:pt idx="3">
                  <c:v>0.75000000000000078</c:v>
                </c:pt>
                <c:pt idx="4">
                  <c:v>0.77000000000000079</c:v>
                </c:pt>
              </c:numCache>
            </c:numRef>
          </c:val>
          <c:smooth val="0"/>
          <c:extLst xmlns:c16r2="http://schemas.microsoft.com/office/drawing/2015/06/chart">
            <c:ext xmlns:c16="http://schemas.microsoft.com/office/drawing/2014/chart" uri="{C3380CC4-5D6E-409C-BE32-E72D297353CC}">
              <c16:uniqueId val="{00000000-E6F7-4235-A54A-47C357A5CEE4}"/>
            </c:ext>
          </c:extLst>
        </c:ser>
        <c:ser>
          <c:idx val="1"/>
          <c:order val="1"/>
          <c:tx>
            <c:strRef>
              <c:f>Sheet1!$A$3</c:f>
              <c:strCache>
                <c:ptCount val="1"/>
                <c:pt idx="0">
                  <c:v>Tasa de Resolución</c:v>
                </c:pt>
              </c:strCache>
            </c:strRef>
          </c:tx>
          <c:spPr>
            <a:ln w="25324">
              <a:solidFill>
                <a:srgbClr val="FF00FF"/>
              </a:solidFill>
              <a:prstDash val="solid"/>
            </a:ln>
          </c:spPr>
          <c:marker>
            <c:symbol val="square"/>
            <c:size val="5"/>
            <c:spPr>
              <a:solidFill>
                <a:srgbClr val="FF00FF"/>
              </a:solidFill>
              <a:ln>
                <a:solidFill>
                  <a:srgbClr val="FF00FF"/>
                </a:solidFill>
                <a:prstDash val="solid"/>
              </a:ln>
            </c:spPr>
          </c:marker>
          <c:dLbls>
            <c:dLbl>
              <c:idx val="5"/>
              <c:numFmt formatCode="0%" sourceLinked="0"/>
              <c:spPr>
                <a:noFill/>
                <a:ln w="25324">
                  <a:noFill/>
                </a:ln>
              </c:spPr>
              <c:txPr>
                <a:bodyPr/>
                <a:lstStyle/>
                <a:p>
                  <a:pPr>
                    <a:defRPr sz="973" b="0" i="0" u="none" strike="noStrike" baseline="0">
                      <a:solidFill>
                        <a:srgbClr val="000000"/>
                      </a:solidFill>
                      <a:latin typeface="Times New Roman"/>
                      <a:ea typeface="Times New Roman"/>
                      <a:cs typeface="Times New Roman"/>
                    </a:defRPr>
                  </a:pPr>
                  <a:endParaRPr lang="es-CR"/>
                </a:p>
              </c:txPr>
              <c:dLblPos val="b"/>
              <c:showLegendKey val="0"/>
              <c:showVal val="1"/>
              <c:showCatName val="0"/>
              <c:showSerName val="0"/>
              <c:showPercent val="0"/>
              <c:showBubbleSize val="0"/>
            </c:dLbl>
            <c:numFmt formatCode="0%" sourceLinked="0"/>
            <c:spPr>
              <a:noFill/>
              <a:ln w="25324">
                <a:noFill/>
              </a:ln>
            </c:spPr>
            <c:txPr>
              <a:bodyPr/>
              <a:lstStyle/>
              <a:p>
                <a:pPr>
                  <a:defRPr sz="1098" b="0" i="0" u="none" strike="noStrike" baseline="0">
                    <a:solidFill>
                      <a:srgbClr val="000000"/>
                    </a:solidFill>
                    <a:latin typeface="Times New Roman"/>
                    <a:ea typeface="Times New Roman"/>
                    <a:cs typeface="Times New Roman"/>
                  </a:defRPr>
                </a:pPr>
                <a:endParaRPr lang="es-CR"/>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Sheet1!$B$1:$O$1</c:f>
              <c:numCache>
                <c:formatCode>General</c:formatCode>
                <c:ptCount val="5"/>
                <c:pt idx="0">
                  <c:v>2011</c:v>
                </c:pt>
                <c:pt idx="1">
                  <c:v>2012</c:v>
                </c:pt>
                <c:pt idx="2">
                  <c:v>2013</c:v>
                </c:pt>
                <c:pt idx="3">
                  <c:v>2014</c:v>
                </c:pt>
                <c:pt idx="4">
                  <c:v>2015</c:v>
                </c:pt>
              </c:numCache>
            </c:numRef>
          </c:cat>
          <c:val>
            <c:numRef>
              <c:f>Sheet1!$B$3:$O$3</c:f>
              <c:numCache>
                <c:formatCode>0%</c:formatCode>
                <c:ptCount val="5"/>
                <c:pt idx="0">
                  <c:v>0.30000000000000032</c:v>
                </c:pt>
                <c:pt idx="1">
                  <c:v>0.24000000000000016</c:v>
                </c:pt>
                <c:pt idx="2">
                  <c:v>0.23</c:v>
                </c:pt>
                <c:pt idx="3">
                  <c:v>0.25</c:v>
                </c:pt>
                <c:pt idx="4">
                  <c:v>0.23</c:v>
                </c:pt>
              </c:numCache>
            </c:numRef>
          </c:val>
          <c:smooth val="0"/>
          <c:extLst xmlns:c16r2="http://schemas.microsoft.com/office/drawing/2015/06/chart">
            <c:ext xmlns:c16="http://schemas.microsoft.com/office/drawing/2014/chart" uri="{C3380CC4-5D6E-409C-BE32-E72D297353CC}">
              <c16:uniqueId val="{00000002-E6F7-4235-A54A-47C357A5CEE4}"/>
            </c:ext>
          </c:extLst>
        </c:ser>
        <c:dLbls>
          <c:showLegendKey val="0"/>
          <c:showVal val="1"/>
          <c:showCatName val="0"/>
          <c:showSerName val="0"/>
          <c:showPercent val="0"/>
          <c:showBubbleSize val="0"/>
        </c:dLbls>
        <c:marker val="1"/>
        <c:smooth val="0"/>
        <c:axId val="268887576"/>
        <c:axId val="270038832"/>
      </c:lineChart>
      <c:catAx>
        <c:axId val="268887576"/>
        <c:scaling>
          <c:orientation val="minMax"/>
        </c:scaling>
        <c:delete val="0"/>
        <c:axPos val="b"/>
        <c:title>
          <c:tx>
            <c:rich>
              <a:bodyPr/>
              <a:lstStyle/>
              <a:p>
                <a:pPr>
                  <a:defRPr sz="1093" b="1" i="0" u="none" strike="noStrike" baseline="0">
                    <a:solidFill>
                      <a:srgbClr val="000000"/>
                    </a:solidFill>
                    <a:latin typeface="Times New Roman"/>
                    <a:ea typeface="Times New Roman"/>
                    <a:cs typeface="Times New Roman"/>
                  </a:defRPr>
                </a:pPr>
                <a:r>
                  <a:rPr lang="es-CR"/>
                  <a:t>Años</a:t>
                </a:r>
              </a:p>
            </c:rich>
          </c:tx>
          <c:layout>
            <c:manualLayout>
              <c:xMode val="edge"/>
              <c:yMode val="edge"/>
              <c:x val="0.74203821656051117"/>
              <c:y val="0.87626262626262619"/>
            </c:manualLayout>
          </c:layout>
          <c:overlay val="0"/>
          <c:spPr>
            <a:noFill/>
            <a:ln w="25324">
              <a:noFill/>
            </a:ln>
          </c:spPr>
        </c:title>
        <c:numFmt formatCode="General" sourceLinked="1"/>
        <c:majorTickMark val="out"/>
        <c:minorTickMark val="none"/>
        <c:tickLblPos val="nextTo"/>
        <c:spPr>
          <a:ln w="3165">
            <a:solidFill>
              <a:srgbClr val="000000"/>
            </a:solidFill>
            <a:prstDash val="solid"/>
          </a:ln>
        </c:spPr>
        <c:txPr>
          <a:bodyPr rot="0" vert="horz"/>
          <a:lstStyle/>
          <a:p>
            <a:pPr>
              <a:defRPr sz="1073" b="1" i="0" u="none" strike="noStrike" baseline="0">
                <a:solidFill>
                  <a:srgbClr val="000000"/>
                </a:solidFill>
                <a:latin typeface="Times New Roman"/>
                <a:ea typeface="Times New Roman"/>
                <a:cs typeface="Times New Roman"/>
              </a:defRPr>
            </a:pPr>
            <a:endParaRPr lang="es-CR"/>
          </a:p>
        </c:txPr>
        <c:crossAx val="270038832"/>
        <c:crossesAt val="0"/>
        <c:auto val="1"/>
        <c:lblAlgn val="ctr"/>
        <c:lblOffset val="100"/>
        <c:tickLblSkip val="1"/>
        <c:tickMarkSkip val="1"/>
        <c:noMultiLvlLbl val="0"/>
      </c:catAx>
      <c:valAx>
        <c:axId val="270038832"/>
        <c:scaling>
          <c:orientation val="minMax"/>
          <c:max val="1"/>
          <c:min val="0"/>
        </c:scaling>
        <c:delete val="0"/>
        <c:axPos val="l"/>
        <c:majorGridlines>
          <c:spPr>
            <a:ln w="12662">
              <a:solidFill>
                <a:srgbClr val="000000"/>
              </a:solidFill>
              <a:prstDash val="sysDash"/>
            </a:ln>
          </c:spPr>
        </c:majorGridlines>
        <c:title>
          <c:tx>
            <c:rich>
              <a:bodyPr/>
              <a:lstStyle/>
              <a:p>
                <a:pPr>
                  <a:defRPr sz="793" b="1" i="0" u="none" strike="noStrike" baseline="0">
                    <a:solidFill>
                      <a:srgbClr val="000000"/>
                    </a:solidFill>
                    <a:latin typeface="Times New Roman"/>
                    <a:ea typeface="Times New Roman"/>
                    <a:cs typeface="Times New Roman"/>
                  </a:defRPr>
                </a:pPr>
                <a:r>
                  <a:rPr lang="es-CR"/>
                  <a:t>Porcentaje</a:t>
                </a:r>
              </a:p>
            </c:rich>
          </c:tx>
          <c:layout>
            <c:manualLayout>
              <c:xMode val="edge"/>
              <c:yMode val="edge"/>
              <c:x val="0"/>
              <c:y val="0.50505050505050508"/>
            </c:manualLayout>
          </c:layout>
          <c:overlay val="0"/>
          <c:spPr>
            <a:noFill/>
            <a:ln w="25324">
              <a:noFill/>
            </a:ln>
          </c:spPr>
        </c:title>
        <c:numFmt formatCode="0%" sourceLinked="1"/>
        <c:majorTickMark val="out"/>
        <c:minorTickMark val="none"/>
        <c:tickLblPos val="nextTo"/>
        <c:spPr>
          <a:ln w="3165">
            <a:solidFill>
              <a:srgbClr val="000000"/>
            </a:solidFill>
            <a:prstDash val="solid"/>
          </a:ln>
        </c:spPr>
        <c:txPr>
          <a:bodyPr rot="0" vert="horz"/>
          <a:lstStyle/>
          <a:p>
            <a:pPr>
              <a:defRPr sz="1073" b="1" i="0" u="none" strike="noStrike" baseline="0">
                <a:solidFill>
                  <a:srgbClr val="000000"/>
                </a:solidFill>
                <a:latin typeface="Times New Roman"/>
                <a:ea typeface="Times New Roman"/>
                <a:cs typeface="Times New Roman"/>
              </a:defRPr>
            </a:pPr>
            <a:endParaRPr lang="es-CR"/>
          </a:p>
        </c:txPr>
        <c:crossAx val="268887576"/>
        <c:crosses val="autoZero"/>
        <c:crossBetween val="between"/>
        <c:majorUnit val="1"/>
        <c:minorUnit val="1"/>
      </c:valAx>
      <c:spPr>
        <a:gradFill rotWithShape="0">
          <a:gsLst>
            <a:gs pos="0">
              <a:srgbClr val="C0C0C0">
                <a:gamma/>
                <a:tint val="22353"/>
                <a:invGamma/>
              </a:srgbClr>
            </a:gs>
            <a:gs pos="50000">
              <a:srgbClr val="C0C0C0"/>
            </a:gs>
            <a:gs pos="100000">
              <a:srgbClr val="C0C0C0">
                <a:gamma/>
                <a:tint val="22353"/>
                <a:invGamma/>
              </a:srgbClr>
            </a:gs>
          </a:gsLst>
          <a:lin ang="5400000" scaled="1"/>
        </a:gradFill>
        <a:ln w="12662">
          <a:solidFill>
            <a:srgbClr val="808080"/>
          </a:solidFill>
          <a:prstDash val="solid"/>
        </a:ln>
      </c:spPr>
    </c:plotArea>
    <c:plotVisOnly val="1"/>
    <c:dispBlanksAs val="gap"/>
    <c:showDLblsOverMax val="0"/>
  </c:chart>
  <c:spPr>
    <a:pattFill prst="pct60">
      <a:fgClr>
        <a:srgbClr val="00CCFF"/>
      </a:fgClr>
      <a:bgClr>
        <a:srgbClr val="CCFFFF"/>
      </a:bgClr>
    </a:pattFill>
    <a:ln w="3165">
      <a:solidFill>
        <a:srgbClr val="000000"/>
      </a:solidFill>
      <a:prstDash val="solid"/>
    </a:ln>
  </c:spPr>
  <c:txPr>
    <a:bodyPr/>
    <a:lstStyle/>
    <a:p>
      <a:pPr>
        <a:defRPr sz="1197" b="1" i="0" u="none" strike="noStrike" baseline="0">
          <a:solidFill>
            <a:srgbClr val="000000"/>
          </a:solidFill>
          <a:latin typeface="Arial"/>
          <a:ea typeface="Arial"/>
          <a:cs typeface="Arial"/>
        </a:defRPr>
      </a:pPr>
      <a:endParaRPr lang="es-CR"/>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1072" b="1" i="0" u="none" strike="noStrike" baseline="0">
                <a:solidFill>
                  <a:srgbClr val="000000"/>
                </a:solidFill>
                <a:latin typeface="Times New Roman"/>
                <a:ea typeface="Times New Roman"/>
                <a:cs typeface="Times New Roman"/>
              </a:defRPr>
            </a:pPr>
            <a:r>
              <a:rPr lang="es-CR"/>
              <a:t>Gráfico Nº </a:t>
            </a:r>
            <a:r>
              <a:rPr lang="es-CR">
                <a:solidFill>
                  <a:sysClr val="windowText" lastClr="000000"/>
                </a:solidFill>
              </a:rPr>
              <a:t>11</a:t>
            </a:r>
            <a:r>
              <a:rPr lang="es-CR"/>
              <a:t>
Tendencia histórica del número de casos entrados del Juzgado Notarial durante el período 2011-2015</a:t>
            </a:r>
          </a:p>
        </c:rich>
      </c:tx>
      <c:layout>
        <c:manualLayout>
          <c:xMode val="edge"/>
          <c:yMode val="edge"/>
          <c:x val="0.11616945769102797"/>
          <c:y val="1.9323516050878269E-2"/>
        </c:manualLayout>
      </c:layout>
      <c:overlay val="0"/>
      <c:spPr>
        <a:noFill/>
        <a:ln w="25337">
          <a:noFill/>
        </a:ln>
      </c:spPr>
    </c:title>
    <c:autoTitleDeleted val="0"/>
    <c:plotArea>
      <c:layout>
        <c:manualLayout>
          <c:layoutTarget val="inner"/>
          <c:xMode val="edge"/>
          <c:yMode val="edge"/>
          <c:x val="0.14117647058823529"/>
          <c:y val="0.25903614457831287"/>
          <c:w val="0.78431372549019607"/>
          <c:h val="0.50602409638554291"/>
        </c:manualLayout>
      </c:layout>
      <c:lineChart>
        <c:grouping val="standard"/>
        <c:varyColors val="0"/>
        <c:ser>
          <c:idx val="0"/>
          <c:order val="0"/>
          <c:tx>
            <c:strRef>
              <c:f>Sheet1!$A$2</c:f>
              <c:strCache>
                <c:ptCount val="1"/>
                <c:pt idx="0">
                  <c:v>Total de casos</c:v>
                </c:pt>
              </c:strCache>
            </c:strRef>
          </c:tx>
          <c:spPr>
            <a:ln w="25337">
              <a:solidFill>
                <a:srgbClr val="333333"/>
              </a:solidFill>
              <a:prstDash val="solid"/>
            </a:ln>
          </c:spPr>
          <c:marker>
            <c:symbol val="diamond"/>
            <c:size val="5"/>
            <c:spPr>
              <a:solidFill>
                <a:srgbClr val="00CCFF"/>
              </a:solidFill>
              <a:ln>
                <a:solidFill>
                  <a:srgbClr val="333333"/>
                </a:solidFill>
                <a:prstDash val="solid"/>
              </a:ln>
            </c:spPr>
          </c:marker>
          <c:dLbls>
            <c:spPr>
              <a:noFill/>
              <a:ln w="25337">
                <a:noFill/>
              </a:ln>
            </c:spPr>
            <c:txPr>
              <a:bodyPr/>
              <a:lstStyle/>
              <a:p>
                <a:pPr>
                  <a:defRPr sz="1097" b="0" i="0" u="none" strike="noStrike" baseline="0">
                    <a:solidFill>
                      <a:srgbClr val="000000"/>
                    </a:solidFill>
                    <a:latin typeface="Times New Roman"/>
                    <a:ea typeface="Times New Roman"/>
                    <a:cs typeface="Times New Roman"/>
                  </a:defRPr>
                </a:pPr>
                <a:endParaRPr lang="es-C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Sheet1!$B$1:$O$1</c:f>
              <c:numCache>
                <c:formatCode>General</c:formatCode>
                <c:ptCount val="5"/>
                <c:pt idx="0">
                  <c:v>2011</c:v>
                </c:pt>
                <c:pt idx="1">
                  <c:v>2012</c:v>
                </c:pt>
                <c:pt idx="2">
                  <c:v>2013</c:v>
                </c:pt>
                <c:pt idx="3">
                  <c:v>2014</c:v>
                </c:pt>
                <c:pt idx="4">
                  <c:v>2015</c:v>
                </c:pt>
              </c:numCache>
            </c:numRef>
          </c:cat>
          <c:val>
            <c:numRef>
              <c:f>Sheet1!$B$2:$O$2</c:f>
              <c:numCache>
                <c:formatCode>General</c:formatCode>
                <c:ptCount val="5"/>
                <c:pt idx="0">
                  <c:v>1105</c:v>
                </c:pt>
                <c:pt idx="1">
                  <c:v>1024</c:v>
                </c:pt>
                <c:pt idx="2">
                  <c:v>914</c:v>
                </c:pt>
                <c:pt idx="3">
                  <c:v>1028</c:v>
                </c:pt>
                <c:pt idx="4">
                  <c:v>929</c:v>
                </c:pt>
              </c:numCache>
            </c:numRef>
          </c:val>
          <c:smooth val="1"/>
          <c:extLst xmlns:c16r2="http://schemas.microsoft.com/office/drawing/2015/06/chart">
            <c:ext xmlns:c16="http://schemas.microsoft.com/office/drawing/2014/chart" uri="{C3380CC4-5D6E-409C-BE32-E72D297353CC}">
              <c16:uniqueId val="{00000000-FD4F-4F27-A703-5A840D00BFAF}"/>
            </c:ext>
          </c:extLst>
        </c:ser>
        <c:dLbls>
          <c:showLegendKey val="0"/>
          <c:showVal val="1"/>
          <c:showCatName val="0"/>
          <c:showSerName val="0"/>
          <c:showPercent val="0"/>
          <c:showBubbleSize val="0"/>
        </c:dLbls>
        <c:marker val="1"/>
        <c:smooth val="0"/>
        <c:axId val="270039616"/>
        <c:axId val="270040008"/>
      </c:lineChart>
      <c:catAx>
        <c:axId val="270039616"/>
        <c:scaling>
          <c:orientation val="minMax"/>
        </c:scaling>
        <c:delete val="0"/>
        <c:axPos val="b"/>
        <c:title>
          <c:tx>
            <c:rich>
              <a:bodyPr/>
              <a:lstStyle/>
              <a:p>
                <a:pPr>
                  <a:defRPr sz="1072" b="1" i="0" u="none" strike="noStrike" baseline="0">
                    <a:solidFill>
                      <a:srgbClr val="000000"/>
                    </a:solidFill>
                    <a:latin typeface="Times New Roman"/>
                    <a:ea typeface="Times New Roman"/>
                    <a:cs typeface="Times New Roman"/>
                  </a:defRPr>
                </a:pPr>
                <a:r>
                  <a:rPr lang="es-CR"/>
                  <a:t>Años</a:t>
                </a:r>
              </a:p>
            </c:rich>
          </c:tx>
          <c:layout>
            <c:manualLayout>
              <c:xMode val="edge"/>
              <c:yMode val="edge"/>
              <c:x val="0.49764518871760782"/>
              <c:y val="0.84782612810418012"/>
            </c:manualLayout>
          </c:layout>
          <c:overlay val="0"/>
          <c:spPr>
            <a:noFill/>
            <a:ln w="25337">
              <a:noFill/>
            </a:ln>
          </c:spPr>
        </c:title>
        <c:numFmt formatCode="General" sourceLinked="1"/>
        <c:majorTickMark val="out"/>
        <c:minorTickMark val="none"/>
        <c:tickLblPos val="nextTo"/>
        <c:spPr>
          <a:ln w="3167">
            <a:solidFill>
              <a:srgbClr val="000000"/>
            </a:solidFill>
            <a:prstDash val="solid"/>
          </a:ln>
        </c:spPr>
        <c:txPr>
          <a:bodyPr rot="0" vert="horz"/>
          <a:lstStyle/>
          <a:p>
            <a:pPr>
              <a:defRPr sz="998" b="1" i="0" u="none" strike="noStrike" baseline="0">
                <a:solidFill>
                  <a:srgbClr val="000000"/>
                </a:solidFill>
                <a:latin typeface="Times New Roman"/>
                <a:ea typeface="Times New Roman"/>
                <a:cs typeface="Times New Roman"/>
              </a:defRPr>
            </a:pPr>
            <a:endParaRPr lang="es-CR"/>
          </a:p>
        </c:txPr>
        <c:crossAx val="270040008"/>
        <c:crosses val="autoZero"/>
        <c:auto val="1"/>
        <c:lblAlgn val="ctr"/>
        <c:lblOffset val="100"/>
        <c:tickLblSkip val="1"/>
        <c:tickMarkSkip val="1"/>
        <c:noMultiLvlLbl val="0"/>
      </c:catAx>
      <c:valAx>
        <c:axId val="270040008"/>
        <c:scaling>
          <c:orientation val="minMax"/>
        </c:scaling>
        <c:delete val="0"/>
        <c:axPos val="l"/>
        <c:majorGridlines>
          <c:spPr>
            <a:ln w="12669">
              <a:solidFill>
                <a:srgbClr val="000000"/>
              </a:solidFill>
              <a:prstDash val="sysDash"/>
            </a:ln>
          </c:spPr>
        </c:majorGridlines>
        <c:title>
          <c:tx>
            <c:rich>
              <a:bodyPr rot="0" vert="wordArtVert"/>
              <a:lstStyle/>
              <a:p>
                <a:pPr algn="ctr">
                  <a:defRPr sz="1072" b="1" i="0" u="none" strike="noStrike" baseline="0">
                    <a:solidFill>
                      <a:srgbClr val="000000"/>
                    </a:solidFill>
                    <a:latin typeface="Times New Roman"/>
                    <a:ea typeface="Times New Roman"/>
                    <a:cs typeface="Times New Roman"/>
                  </a:defRPr>
                </a:pPr>
                <a:r>
                  <a:rPr lang="es-CR"/>
                  <a:t>Casos </a:t>
                </a:r>
              </a:p>
            </c:rich>
          </c:tx>
          <c:layout>
            <c:manualLayout>
              <c:xMode val="edge"/>
              <c:yMode val="edge"/>
              <c:x val="2.1978033262274176E-2"/>
              <c:y val="0.38405795729860742"/>
            </c:manualLayout>
          </c:layout>
          <c:overlay val="0"/>
          <c:spPr>
            <a:noFill/>
            <a:ln w="25337">
              <a:noFill/>
            </a:ln>
          </c:spPr>
        </c:title>
        <c:numFmt formatCode="General" sourceLinked="1"/>
        <c:majorTickMark val="out"/>
        <c:minorTickMark val="none"/>
        <c:tickLblPos val="nextTo"/>
        <c:spPr>
          <a:ln w="3167">
            <a:solidFill>
              <a:srgbClr val="000000"/>
            </a:solidFill>
            <a:prstDash val="solid"/>
          </a:ln>
        </c:spPr>
        <c:txPr>
          <a:bodyPr rot="0" vert="horz"/>
          <a:lstStyle/>
          <a:p>
            <a:pPr>
              <a:defRPr sz="848" b="1" i="0" u="none" strike="noStrike" baseline="0">
                <a:solidFill>
                  <a:srgbClr val="000000"/>
                </a:solidFill>
                <a:latin typeface="Times New Roman"/>
                <a:ea typeface="Times New Roman"/>
                <a:cs typeface="Times New Roman"/>
              </a:defRPr>
            </a:pPr>
            <a:endParaRPr lang="es-CR"/>
          </a:p>
        </c:txPr>
        <c:crossAx val="270039616"/>
        <c:crosses val="autoZero"/>
        <c:crossBetween val="between"/>
        <c:majorUnit val="1500"/>
      </c:valAx>
      <c:spPr>
        <a:pattFill prst="pct25">
          <a:fgClr>
            <a:srgbClr val="99CCFF"/>
          </a:fgClr>
          <a:bgClr>
            <a:srgbClr val="FFFFFF"/>
          </a:bgClr>
        </a:pattFill>
        <a:ln w="12669">
          <a:solidFill>
            <a:srgbClr val="808080"/>
          </a:solidFill>
          <a:prstDash val="solid"/>
        </a:ln>
      </c:spPr>
    </c:plotArea>
    <c:plotVisOnly val="1"/>
    <c:dispBlanksAs val="gap"/>
    <c:showDLblsOverMax val="0"/>
  </c:chart>
  <c:spPr>
    <a:pattFill prst="pct50">
      <a:fgClr>
        <a:srgbClr val="00CCFF"/>
      </a:fgClr>
      <a:bgClr>
        <a:srgbClr val="00FFFF"/>
      </a:bgClr>
    </a:pattFill>
    <a:ln w="12669">
      <a:solidFill>
        <a:srgbClr val="000000"/>
      </a:solidFill>
      <a:prstDash val="solid"/>
    </a:ln>
    <a:effectLst>
      <a:outerShdw dist="35921" dir="2700000" algn="br">
        <a:srgbClr val="000000"/>
      </a:outerShdw>
    </a:effectLst>
  </c:spPr>
  <c:txPr>
    <a:bodyPr/>
    <a:lstStyle/>
    <a:p>
      <a:pPr>
        <a:defRPr sz="998" b="1" i="0" u="none" strike="noStrike" baseline="0">
          <a:solidFill>
            <a:srgbClr val="000000"/>
          </a:solidFill>
          <a:latin typeface="Arial"/>
          <a:ea typeface="Arial"/>
          <a:cs typeface="Arial"/>
        </a:defRPr>
      </a:pPr>
      <a:endParaRPr lang="es-CR"/>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1" b="1" i="0" u="none" strike="noStrike" baseline="0">
                <a:solidFill>
                  <a:srgbClr val="000000"/>
                </a:solidFill>
                <a:latin typeface="Times New Roman"/>
                <a:ea typeface="Times New Roman"/>
                <a:cs typeface="Times New Roman"/>
              </a:defRPr>
            </a:pPr>
            <a:r>
              <a:rPr lang="es-CR" sz="998" b="1" i="0" u="none" strike="noStrike" baseline="0">
                <a:solidFill>
                  <a:srgbClr val="000000"/>
                </a:solidFill>
                <a:latin typeface="Arial"/>
                <a:cs typeface="Arial"/>
              </a:rPr>
              <a:t>Gráfico Nº</a:t>
            </a:r>
            <a:r>
              <a:rPr lang="es-CR" sz="998" b="1" i="0" u="none" strike="noStrike" baseline="0">
                <a:solidFill>
                  <a:sysClr val="windowText" lastClr="000000"/>
                </a:solidFill>
                <a:latin typeface="Arial"/>
                <a:cs typeface="Arial"/>
              </a:rPr>
              <a:t> 12</a:t>
            </a:r>
          </a:p>
          <a:p>
            <a:pPr>
              <a:defRPr sz="1021" b="1" i="0" u="none" strike="noStrike" baseline="0">
                <a:solidFill>
                  <a:srgbClr val="000000"/>
                </a:solidFill>
                <a:latin typeface="Times New Roman"/>
                <a:ea typeface="Times New Roman"/>
                <a:cs typeface="Times New Roman"/>
              </a:defRPr>
            </a:pPr>
            <a:r>
              <a:rPr lang="es-CR" sz="998" b="1" i="0" u="none" strike="noStrike" baseline="0">
                <a:solidFill>
                  <a:srgbClr val="000000"/>
                </a:solidFill>
                <a:latin typeface="Arial"/>
                <a:cs typeface="Arial"/>
              </a:rPr>
              <a:t>Número anual de casos terminados total en el Juzgado Notarial, durante el período 2011-20</a:t>
            </a:r>
            <a:r>
              <a:rPr lang="es-CR" sz="798" b="1" i="0" u="none" strike="noStrike" baseline="0">
                <a:solidFill>
                  <a:srgbClr val="000000"/>
                </a:solidFill>
                <a:latin typeface="Calibri"/>
              </a:rPr>
              <a:t>15</a:t>
            </a:r>
          </a:p>
        </c:rich>
      </c:tx>
      <c:layout>
        <c:manualLayout>
          <c:xMode val="edge"/>
          <c:yMode val="edge"/>
          <c:x val="0.11162077491837927"/>
          <c:y val="1.9438376654531089E-2"/>
        </c:manualLayout>
      </c:layout>
      <c:overlay val="0"/>
      <c:spPr>
        <a:noFill/>
        <a:ln w="25346">
          <a:noFill/>
        </a:ln>
      </c:spPr>
    </c:title>
    <c:autoTitleDeleted val="0"/>
    <c:plotArea>
      <c:layout>
        <c:manualLayout>
          <c:layoutTarget val="inner"/>
          <c:xMode val="edge"/>
          <c:yMode val="edge"/>
          <c:x val="0.12022900763358779"/>
          <c:y val="0.26145552560646901"/>
          <c:w val="0.83587786259542085"/>
          <c:h val="0.54986522911051261"/>
        </c:manualLayout>
      </c:layout>
      <c:lineChart>
        <c:grouping val="standard"/>
        <c:varyColors val="0"/>
        <c:ser>
          <c:idx val="0"/>
          <c:order val="0"/>
          <c:tx>
            <c:strRef>
              <c:f>Sheet1!$A$2</c:f>
              <c:strCache>
                <c:ptCount val="1"/>
                <c:pt idx="0">
                  <c:v>Total de casos</c:v>
                </c:pt>
              </c:strCache>
            </c:strRef>
          </c:tx>
          <c:spPr>
            <a:ln w="25346">
              <a:solidFill>
                <a:srgbClr val="333333"/>
              </a:solidFill>
              <a:prstDash val="solid"/>
            </a:ln>
          </c:spPr>
          <c:marker>
            <c:symbol val="diamond"/>
            <c:size val="5"/>
            <c:spPr>
              <a:solidFill>
                <a:srgbClr val="FF00FF"/>
              </a:solidFill>
              <a:ln>
                <a:solidFill>
                  <a:srgbClr val="FF00FF"/>
                </a:solidFill>
                <a:prstDash val="solid"/>
              </a:ln>
            </c:spPr>
          </c:marker>
          <c:dLbls>
            <c:spPr>
              <a:noFill/>
              <a:ln w="25346">
                <a:noFill/>
              </a:ln>
            </c:spPr>
            <c:txPr>
              <a:bodyPr/>
              <a:lstStyle/>
              <a:p>
                <a:pPr>
                  <a:defRPr sz="1023" b="0" i="0" u="none" strike="noStrike" baseline="0">
                    <a:solidFill>
                      <a:srgbClr val="000000"/>
                    </a:solidFill>
                    <a:latin typeface="Times New Roman"/>
                    <a:ea typeface="Times New Roman"/>
                    <a:cs typeface="Times New Roman"/>
                  </a:defRPr>
                </a:pPr>
                <a:endParaRPr lang="es-CR"/>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Sheet1!$B$1:$O$1</c:f>
              <c:numCache>
                <c:formatCode>General</c:formatCode>
                <c:ptCount val="5"/>
                <c:pt idx="0">
                  <c:v>2011</c:v>
                </c:pt>
                <c:pt idx="1">
                  <c:v>2012</c:v>
                </c:pt>
                <c:pt idx="2">
                  <c:v>2013</c:v>
                </c:pt>
                <c:pt idx="3">
                  <c:v>2014</c:v>
                </c:pt>
                <c:pt idx="4">
                  <c:v>2015</c:v>
                </c:pt>
              </c:numCache>
            </c:numRef>
          </c:cat>
          <c:val>
            <c:numRef>
              <c:f>Sheet1!$B$2:$O$2</c:f>
              <c:numCache>
                <c:formatCode>General</c:formatCode>
                <c:ptCount val="5"/>
                <c:pt idx="0">
                  <c:v>1322</c:v>
                </c:pt>
                <c:pt idx="1">
                  <c:v>968</c:v>
                </c:pt>
                <c:pt idx="2">
                  <c:v>926</c:v>
                </c:pt>
                <c:pt idx="3">
                  <c:v>1041</c:v>
                </c:pt>
                <c:pt idx="4">
                  <c:v>962</c:v>
                </c:pt>
              </c:numCache>
            </c:numRef>
          </c:val>
          <c:smooth val="1"/>
          <c:extLst xmlns:c16r2="http://schemas.microsoft.com/office/drawing/2015/06/chart">
            <c:ext xmlns:c16="http://schemas.microsoft.com/office/drawing/2014/chart" uri="{C3380CC4-5D6E-409C-BE32-E72D297353CC}">
              <c16:uniqueId val="{00000000-EB0C-4FF9-9F87-A67F43F67AF4}"/>
            </c:ext>
          </c:extLst>
        </c:ser>
        <c:ser>
          <c:idx val="1"/>
          <c:order val="1"/>
          <c:tx>
            <c:strRef>
              <c:f>Sheet1!$A$3</c:f>
              <c:strCache>
                <c:ptCount val="1"/>
              </c:strCache>
            </c:strRef>
          </c:tx>
          <c:spPr>
            <a:ln w="25346">
              <a:solidFill>
                <a:srgbClr val="000000"/>
              </a:solidFill>
              <a:prstDash val="solid"/>
            </a:ln>
          </c:spPr>
          <c:marker>
            <c:symbol val="square"/>
            <c:size val="5"/>
            <c:spPr>
              <a:solidFill>
                <a:srgbClr val="000000"/>
              </a:solidFill>
              <a:ln>
                <a:solidFill>
                  <a:srgbClr val="000000"/>
                </a:solidFill>
                <a:prstDash val="solid"/>
              </a:ln>
            </c:spPr>
          </c:marker>
          <c:dLbls>
            <c:dLbl>
              <c:idx val="5"/>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B0C-4FF9-9F87-A67F43F67AF4}"/>
                </c:ext>
                <c:ext xmlns:c15="http://schemas.microsoft.com/office/drawing/2012/chart" uri="{CE6537A1-D6FC-4f65-9D91-7224C49458BB}"/>
              </c:extLst>
            </c:dLbl>
            <c:spPr>
              <a:noFill/>
              <a:ln w="25346">
                <a:noFill/>
              </a:ln>
            </c:spPr>
            <c:txPr>
              <a:bodyPr/>
              <a:lstStyle/>
              <a:p>
                <a:pPr>
                  <a:defRPr sz="1023" b="1" i="0" u="none" strike="noStrike" baseline="0">
                    <a:solidFill>
                      <a:srgbClr val="000000"/>
                    </a:solidFill>
                    <a:latin typeface="Times New Roman"/>
                    <a:ea typeface="Times New Roman"/>
                    <a:cs typeface="Times New Roman"/>
                  </a:defRPr>
                </a:pPr>
                <a:endParaRPr lang="es-CR"/>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Sheet1!$B$1:$O$1</c:f>
              <c:numCache>
                <c:formatCode>General</c:formatCode>
                <c:ptCount val="5"/>
                <c:pt idx="0">
                  <c:v>2011</c:v>
                </c:pt>
                <c:pt idx="1">
                  <c:v>2012</c:v>
                </c:pt>
                <c:pt idx="2">
                  <c:v>2013</c:v>
                </c:pt>
                <c:pt idx="3">
                  <c:v>2014</c:v>
                </c:pt>
                <c:pt idx="4">
                  <c:v>2015</c:v>
                </c:pt>
              </c:numCache>
            </c:numRef>
          </c:cat>
          <c:val>
            <c:numRef>
              <c:f>Sheet1!$B$3:$O$3</c:f>
              <c:numCache>
                <c:formatCode>General</c:formatCode>
                <c:ptCount val="5"/>
              </c:numCache>
            </c:numRef>
          </c:val>
          <c:smooth val="1"/>
          <c:extLst xmlns:c16r2="http://schemas.microsoft.com/office/drawing/2015/06/chart">
            <c:ext xmlns:c16="http://schemas.microsoft.com/office/drawing/2014/chart" uri="{C3380CC4-5D6E-409C-BE32-E72D297353CC}">
              <c16:uniqueId val="{00000002-EB0C-4FF9-9F87-A67F43F67AF4}"/>
            </c:ext>
          </c:extLst>
        </c:ser>
        <c:dLbls>
          <c:showLegendKey val="0"/>
          <c:showVal val="1"/>
          <c:showCatName val="0"/>
          <c:showSerName val="0"/>
          <c:showPercent val="0"/>
          <c:showBubbleSize val="0"/>
        </c:dLbls>
        <c:marker val="1"/>
        <c:smooth val="0"/>
        <c:axId val="270040792"/>
        <c:axId val="270041184"/>
      </c:lineChart>
      <c:catAx>
        <c:axId val="270040792"/>
        <c:scaling>
          <c:orientation val="minMax"/>
        </c:scaling>
        <c:delete val="0"/>
        <c:axPos val="b"/>
        <c:title>
          <c:tx>
            <c:rich>
              <a:bodyPr/>
              <a:lstStyle/>
              <a:p>
                <a:pPr>
                  <a:defRPr sz="1023"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46483179694001658"/>
              <c:y val="0.87473005390455316"/>
            </c:manualLayout>
          </c:layout>
          <c:overlay val="0"/>
          <c:spPr>
            <a:noFill/>
            <a:ln w="25346">
              <a:noFill/>
            </a:ln>
          </c:spPr>
        </c:title>
        <c:numFmt formatCode="General" sourceLinked="1"/>
        <c:majorTickMark val="out"/>
        <c:minorTickMark val="none"/>
        <c:tickLblPos val="nextTo"/>
        <c:spPr>
          <a:ln w="3168">
            <a:solidFill>
              <a:srgbClr val="000000"/>
            </a:solidFill>
            <a:prstDash val="solid"/>
          </a:ln>
        </c:spPr>
        <c:txPr>
          <a:bodyPr rot="0" vert="horz"/>
          <a:lstStyle/>
          <a:p>
            <a:pPr>
              <a:defRPr sz="1023" b="1" i="0" u="none" strike="noStrike" baseline="0">
                <a:solidFill>
                  <a:srgbClr val="000000"/>
                </a:solidFill>
                <a:latin typeface="Times New Roman"/>
                <a:ea typeface="Times New Roman"/>
                <a:cs typeface="Times New Roman"/>
              </a:defRPr>
            </a:pPr>
            <a:endParaRPr lang="es-CR"/>
          </a:p>
        </c:txPr>
        <c:crossAx val="270041184"/>
        <c:crosses val="autoZero"/>
        <c:auto val="1"/>
        <c:lblAlgn val="ctr"/>
        <c:lblOffset val="100"/>
        <c:tickLblSkip val="1"/>
        <c:tickMarkSkip val="1"/>
        <c:noMultiLvlLbl val="0"/>
      </c:catAx>
      <c:valAx>
        <c:axId val="270041184"/>
        <c:scaling>
          <c:orientation val="minMax"/>
          <c:max val="1500"/>
        </c:scaling>
        <c:delete val="0"/>
        <c:axPos val="l"/>
        <c:majorGridlines>
          <c:spPr>
            <a:ln w="12673">
              <a:solidFill>
                <a:srgbClr val="000000"/>
              </a:solidFill>
              <a:prstDash val="sysDash"/>
            </a:ln>
          </c:spPr>
        </c:majorGridlines>
        <c:title>
          <c:tx>
            <c:rich>
              <a:bodyPr rot="0" vert="wordArtVert"/>
              <a:lstStyle/>
              <a:p>
                <a:pPr algn="ctr">
                  <a:defRPr sz="1023" b="1" i="0" u="none" strike="noStrike" baseline="0">
                    <a:solidFill>
                      <a:srgbClr val="000000"/>
                    </a:solidFill>
                    <a:latin typeface="Times New Roman"/>
                    <a:ea typeface="Times New Roman"/>
                    <a:cs typeface="Times New Roman"/>
                  </a:defRPr>
                </a:pPr>
                <a:r>
                  <a:rPr lang="es-CR"/>
                  <a:t>Casos </a:t>
                </a:r>
              </a:p>
            </c:rich>
          </c:tx>
          <c:layout>
            <c:manualLayout>
              <c:xMode val="edge"/>
              <c:yMode val="edge"/>
              <c:x val="0"/>
              <c:y val="0.42764569751361731"/>
            </c:manualLayout>
          </c:layout>
          <c:overlay val="0"/>
          <c:spPr>
            <a:noFill/>
            <a:ln w="25346">
              <a:noFill/>
            </a:ln>
          </c:spPr>
        </c:title>
        <c:numFmt formatCode="General" sourceLinked="1"/>
        <c:majorTickMark val="out"/>
        <c:minorTickMark val="none"/>
        <c:tickLblPos val="nextTo"/>
        <c:spPr>
          <a:ln w="3168">
            <a:solidFill>
              <a:srgbClr val="000000"/>
            </a:solidFill>
            <a:prstDash val="solid"/>
          </a:ln>
        </c:spPr>
        <c:txPr>
          <a:bodyPr rot="0" vert="horz"/>
          <a:lstStyle/>
          <a:p>
            <a:pPr>
              <a:defRPr sz="1023" b="0" i="0" u="none" strike="noStrike" baseline="0">
                <a:solidFill>
                  <a:srgbClr val="000000"/>
                </a:solidFill>
                <a:latin typeface="Times New Roman"/>
                <a:ea typeface="Times New Roman"/>
                <a:cs typeface="Times New Roman"/>
              </a:defRPr>
            </a:pPr>
            <a:endParaRPr lang="es-CR"/>
          </a:p>
        </c:txPr>
        <c:crossAx val="270040792"/>
        <c:crosses val="autoZero"/>
        <c:crossBetween val="between"/>
        <c:majorUnit val="1500"/>
      </c:valAx>
      <c:spPr>
        <a:solidFill>
          <a:srgbClr val="FFFFFF"/>
        </a:solidFill>
        <a:ln w="12673">
          <a:solidFill>
            <a:srgbClr val="808080"/>
          </a:solidFill>
          <a:prstDash val="solid"/>
        </a:ln>
      </c:spPr>
    </c:plotArea>
    <c:plotVisOnly val="1"/>
    <c:dispBlanksAs val="gap"/>
    <c:showDLblsOverMax val="0"/>
  </c:chart>
  <c:spPr>
    <a:pattFill prst="pct50">
      <a:fgClr>
        <a:srgbClr val="00CCFF"/>
      </a:fgClr>
      <a:bgClr>
        <a:srgbClr val="CCFFFF"/>
      </a:bgClr>
    </a:pattFill>
    <a:ln w="12673">
      <a:solidFill>
        <a:srgbClr val="000000"/>
      </a:solidFill>
      <a:prstDash val="solid"/>
    </a:ln>
    <a:effectLst>
      <a:outerShdw dist="35921" dir="2700000" algn="br">
        <a:srgbClr val="000000"/>
      </a:outerShdw>
    </a:effectLst>
  </c:spPr>
  <c:txPr>
    <a:bodyPr/>
    <a:lstStyle/>
    <a:p>
      <a:pPr>
        <a:defRPr sz="1023" b="1" i="0" u="none" strike="noStrike" baseline="0">
          <a:solidFill>
            <a:srgbClr val="000000"/>
          </a:solidFill>
          <a:latin typeface="Times New Roman"/>
          <a:ea typeface="Times New Roman"/>
          <a:cs typeface="Times New Roman"/>
        </a:defRPr>
      </a:pPr>
      <a:endParaRPr lang="es-CR"/>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1048" b="1" i="0" u="none" strike="noStrike" baseline="0">
                <a:solidFill>
                  <a:srgbClr val="000000"/>
                </a:solidFill>
                <a:latin typeface="Times New Roman"/>
                <a:ea typeface="Times New Roman"/>
                <a:cs typeface="Times New Roman"/>
              </a:defRPr>
            </a:pPr>
            <a:r>
              <a:rPr lang="es-CR"/>
              <a:t>Gráfico Nº</a:t>
            </a:r>
            <a:r>
              <a:rPr lang="es-CR">
                <a:solidFill>
                  <a:sysClr val="windowText" lastClr="000000"/>
                </a:solidFill>
              </a:rPr>
              <a:t> 13</a:t>
            </a:r>
            <a:r>
              <a:rPr lang="es-CR"/>
              <a:t>
Número de casos en trámite al finalizar el año del Juzgado Notarial desde el 2011</a:t>
            </a:r>
          </a:p>
        </c:rich>
      </c:tx>
      <c:layout>
        <c:manualLayout>
          <c:xMode val="edge"/>
          <c:yMode val="edge"/>
          <c:x val="0.10240969315772454"/>
          <c:y val="2.0304422174500913E-2"/>
        </c:manualLayout>
      </c:layout>
      <c:overlay val="0"/>
      <c:spPr>
        <a:pattFill prst="pct50">
          <a:fgClr>
            <a:srgbClr val="00CCFF"/>
          </a:fgClr>
          <a:bgClr>
            <a:srgbClr val="CCFFFF"/>
          </a:bgClr>
        </a:pattFill>
        <a:ln w="25358">
          <a:noFill/>
        </a:ln>
      </c:spPr>
    </c:title>
    <c:autoTitleDeleted val="0"/>
    <c:plotArea>
      <c:layout>
        <c:manualLayout>
          <c:layoutTarget val="inner"/>
          <c:xMode val="edge"/>
          <c:yMode val="edge"/>
          <c:x val="0.12030075187969934"/>
          <c:y val="0.27215189873417722"/>
          <c:w val="0.81015037593984951"/>
          <c:h val="0.53797468354430444"/>
        </c:manualLayout>
      </c:layout>
      <c:lineChart>
        <c:grouping val="standard"/>
        <c:varyColors val="0"/>
        <c:ser>
          <c:idx val="0"/>
          <c:order val="0"/>
          <c:tx>
            <c:strRef>
              <c:f>Sheet1!$A$2</c:f>
              <c:strCache>
                <c:ptCount val="1"/>
                <c:pt idx="0">
                  <c:v>Total de casos</c:v>
                </c:pt>
              </c:strCache>
            </c:strRef>
          </c:tx>
          <c:spPr>
            <a:ln w="25358">
              <a:solidFill>
                <a:srgbClr val="333333"/>
              </a:solidFill>
              <a:prstDash val="solid"/>
            </a:ln>
          </c:spPr>
          <c:marker>
            <c:symbol val="diamond"/>
            <c:size val="5"/>
            <c:spPr>
              <a:solidFill>
                <a:srgbClr val="FF00FF"/>
              </a:solidFill>
              <a:ln>
                <a:solidFill>
                  <a:srgbClr val="FF00FF"/>
                </a:solidFill>
                <a:prstDash val="solid"/>
              </a:ln>
            </c:spPr>
          </c:marker>
          <c:dLbls>
            <c:numFmt formatCode="#,##0" sourceLinked="0"/>
            <c:spPr>
              <a:noFill/>
              <a:ln w="25358">
                <a:noFill/>
              </a:ln>
            </c:spPr>
            <c:txPr>
              <a:bodyPr/>
              <a:lstStyle/>
              <a:p>
                <a:pPr>
                  <a:defRPr sz="998" b="0" i="0" u="none" strike="noStrike" baseline="0">
                    <a:solidFill>
                      <a:srgbClr val="000000"/>
                    </a:solidFill>
                    <a:latin typeface="Times New Roman"/>
                    <a:ea typeface="Times New Roman"/>
                    <a:cs typeface="Times New Roman"/>
                  </a:defRPr>
                </a:pPr>
                <a:endParaRPr lang="es-C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5"/>
                <c:pt idx="0">
                  <c:v>2011</c:v>
                </c:pt>
                <c:pt idx="1">
                  <c:v>2012</c:v>
                </c:pt>
                <c:pt idx="2">
                  <c:v>2013</c:v>
                </c:pt>
                <c:pt idx="3">
                  <c:v>2014</c:v>
                </c:pt>
                <c:pt idx="4">
                  <c:v>2015</c:v>
                </c:pt>
              </c:numCache>
            </c:numRef>
          </c:cat>
          <c:val>
            <c:numRef>
              <c:f>Sheet1!$B$2:$P$2</c:f>
              <c:numCache>
                <c:formatCode>General</c:formatCode>
                <c:ptCount val="5"/>
                <c:pt idx="0">
                  <c:v>3074</c:v>
                </c:pt>
                <c:pt idx="1">
                  <c:v>3131</c:v>
                </c:pt>
                <c:pt idx="2">
                  <c:v>3124</c:v>
                </c:pt>
                <c:pt idx="3">
                  <c:v>3111</c:v>
                </c:pt>
                <c:pt idx="4">
                  <c:v>3165</c:v>
                </c:pt>
              </c:numCache>
            </c:numRef>
          </c:val>
          <c:smooth val="1"/>
          <c:extLst xmlns:c16r2="http://schemas.microsoft.com/office/drawing/2015/06/chart">
            <c:ext xmlns:c16="http://schemas.microsoft.com/office/drawing/2014/chart" uri="{C3380CC4-5D6E-409C-BE32-E72D297353CC}">
              <c16:uniqueId val="{00000000-85F8-43A2-88DA-E31B033933C6}"/>
            </c:ext>
          </c:extLst>
        </c:ser>
        <c:dLbls>
          <c:showLegendKey val="0"/>
          <c:showVal val="0"/>
          <c:showCatName val="0"/>
          <c:showSerName val="0"/>
          <c:showPercent val="0"/>
          <c:showBubbleSize val="0"/>
        </c:dLbls>
        <c:marker val="1"/>
        <c:smooth val="0"/>
        <c:axId val="270042360"/>
        <c:axId val="270530416"/>
      </c:lineChart>
      <c:catAx>
        <c:axId val="270042360"/>
        <c:scaling>
          <c:orientation val="minMax"/>
        </c:scaling>
        <c:delete val="0"/>
        <c:axPos val="b"/>
        <c:title>
          <c:tx>
            <c:rich>
              <a:bodyPr/>
              <a:lstStyle/>
              <a:p>
                <a:pPr>
                  <a:defRPr sz="973"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48945776485146614"/>
              <c:y val="0.87563462711100604"/>
            </c:manualLayout>
          </c:layout>
          <c:overlay val="0"/>
          <c:spPr>
            <a:noFill/>
            <a:ln w="25358">
              <a:noFill/>
            </a:ln>
          </c:spPr>
        </c:title>
        <c:numFmt formatCode="General" sourceLinked="1"/>
        <c:majorTickMark val="out"/>
        <c:minorTickMark val="none"/>
        <c:tickLblPos val="nextTo"/>
        <c:spPr>
          <a:ln w="3170">
            <a:solidFill>
              <a:srgbClr val="000000"/>
            </a:solidFill>
            <a:prstDash val="solid"/>
          </a:ln>
        </c:spPr>
        <c:txPr>
          <a:bodyPr rot="0" vert="horz"/>
          <a:lstStyle/>
          <a:p>
            <a:pPr>
              <a:defRPr sz="824" b="1" i="0" u="none" strike="noStrike" baseline="0">
                <a:solidFill>
                  <a:srgbClr val="000000"/>
                </a:solidFill>
                <a:latin typeface="Times New Roman"/>
                <a:ea typeface="Times New Roman"/>
                <a:cs typeface="Times New Roman"/>
              </a:defRPr>
            </a:pPr>
            <a:endParaRPr lang="es-CR"/>
          </a:p>
        </c:txPr>
        <c:crossAx val="270530416"/>
        <c:crosses val="autoZero"/>
        <c:auto val="1"/>
        <c:lblAlgn val="ctr"/>
        <c:lblOffset val="100"/>
        <c:tickLblSkip val="1"/>
        <c:tickMarkSkip val="1"/>
        <c:noMultiLvlLbl val="0"/>
      </c:catAx>
      <c:valAx>
        <c:axId val="270530416"/>
        <c:scaling>
          <c:orientation val="minMax"/>
          <c:max val="4000"/>
          <c:min val="0"/>
        </c:scaling>
        <c:delete val="0"/>
        <c:axPos val="l"/>
        <c:majorGridlines>
          <c:spPr>
            <a:ln w="12678">
              <a:solidFill>
                <a:srgbClr val="000000"/>
              </a:solidFill>
              <a:prstDash val="sysDash"/>
            </a:ln>
          </c:spPr>
        </c:majorGridlines>
        <c:title>
          <c:tx>
            <c:rich>
              <a:bodyPr rot="0" vert="wordArtVert"/>
              <a:lstStyle/>
              <a:p>
                <a:pPr algn="ctr">
                  <a:defRPr sz="973" b="1" i="0" u="none" strike="noStrike" baseline="0">
                    <a:solidFill>
                      <a:srgbClr val="000000"/>
                    </a:solidFill>
                    <a:latin typeface="Times New Roman"/>
                    <a:ea typeface="Times New Roman"/>
                    <a:cs typeface="Times New Roman"/>
                  </a:defRPr>
                </a:pPr>
                <a:r>
                  <a:rPr lang="es-CR"/>
                  <a:t>Casos</a:t>
                </a:r>
              </a:p>
            </c:rich>
          </c:tx>
          <c:layout>
            <c:manualLayout>
              <c:xMode val="edge"/>
              <c:yMode val="edge"/>
              <c:x val="6.0241343705910574E-3"/>
              <c:y val="0.40355324902568995"/>
            </c:manualLayout>
          </c:layout>
          <c:overlay val="0"/>
          <c:spPr>
            <a:pattFill prst="pct50">
              <a:fgClr>
                <a:srgbClr val="CCFFFF"/>
              </a:fgClr>
              <a:bgClr>
                <a:srgbClr val="00CCFF"/>
              </a:bgClr>
            </a:pattFill>
            <a:ln w="25358">
              <a:noFill/>
            </a:ln>
          </c:spPr>
        </c:title>
        <c:numFmt formatCode="General" sourceLinked="1"/>
        <c:majorTickMark val="out"/>
        <c:minorTickMark val="none"/>
        <c:tickLblPos val="nextTo"/>
        <c:spPr>
          <a:ln w="3170">
            <a:solidFill>
              <a:srgbClr val="000000"/>
            </a:solidFill>
            <a:prstDash val="solid"/>
          </a:ln>
        </c:spPr>
        <c:txPr>
          <a:bodyPr rot="0" vert="horz"/>
          <a:lstStyle/>
          <a:p>
            <a:pPr>
              <a:defRPr sz="824" b="1" i="0" u="none" strike="noStrike" baseline="0">
                <a:solidFill>
                  <a:srgbClr val="000000"/>
                </a:solidFill>
                <a:latin typeface="Times New Roman"/>
                <a:ea typeface="Times New Roman"/>
                <a:cs typeface="Times New Roman"/>
              </a:defRPr>
            </a:pPr>
            <a:endParaRPr lang="es-CR"/>
          </a:p>
        </c:txPr>
        <c:crossAx val="270042360"/>
        <c:crosses val="autoZero"/>
        <c:crossBetween val="between"/>
        <c:majorUnit val="4000"/>
        <c:minorUnit val="4000"/>
      </c:valAx>
      <c:spPr>
        <a:pattFill prst="pct30">
          <a:fgClr>
            <a:srgbClr val="FFFFCC"/>
          </a:fgClr>
          <a:bgClr>
            <a:srgbClr val="FFFFFF"/>
          </a:bgClr>
        </a:pattFill>
        <a:ln w="12678">
          <a:solidFill>
            <a:srgbClr val="808080"/>
          </a:solidFill>
          <a:prstDash val="solid"/>
        </a:ln>
      </c:spPr>
    </c:plotArea>
    <c:plotVisOnly val="1"/>
    <c:dispBlanksAs val="gap"/>
    <c:showDLblsOverMax val="0"/>
  </c:chart>
  <c:spPr>
    <a:pattFill prst="pct50">
      <a:fgClr>
        <a:srgbClr val="00CCFF"/>
      </a:fgClr>
      <a:bgClr>
        <a:srgbClr val="CCFFFF"/>
      </a:bgClr>
    </a:pattFill>
    <a:ln w="12678">
      <a:solidFill>
        <a:srgbClr val="000000"/>
      </a:solidFill>
      <a:prstDash val="solid"/>
    </a:ln>
    <a:effectLst>
      <a:outerShdw dist="35921" dir="2700000" algn="br">
        <a:srgbClr val="000000"/>
      </a:outerShdw>
    </a:effectLst>
  </c:spPr>
  <c:txPr>
    <a:bodyPr/>
    <a:lstStyle/>
    <a:p>
      <a:pPr>
        <a:defRPr sz="948" b="1" i="0" u="none" strike="noStrike" baseline="0">
          <a:solidFill>
            <a:srgbClr val="000000"/>
          </a:solidFill>
          <a:latin typeface="Arial"/>
          <a:ea typeface="Arial"/>
          <a:cs typeface="Arial"/>
        </a:defRPr>
      </a:pPr>
      <a:endParaRPr lang="es-C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1197" b="1" i="0" u="none" strike="noStrike" baseline="0">
                <a:solidFill>
                  <a:srgbClr val="000000"/>
                </a:solidFill>
                <a:latin typeface="Times New Roman"/>
                <a:ea typeface="Times New Roman"/>
                <a:cs typeface="Times New Roman"/>
              </a:defRPr>
            </a:pPr>
            <a:r>
              <a:rPr lang="es-CR" sz="1197"/>
              <a:t>Gráfico N° 2 
Evolución de los porcentajes de pendencia y resolución del Tribunal Disciplinario Notarial desde 2010</a:t>
            </a:r>
          </a:p>
        </c:rich>
      </c:tx>
      <c:layout>
        <c:manualLayout>
          <c:xMode val="edge"/>
          <c:yMode val="edge"/>
          <c:x val="0.14196563320209996"/>
          <c:y val="2.02020202020202E-2"/>
        </c:manualLayout>
      </c:layout>
      <c:overlay val="0"/>
      <c:spPr>
        <a:noFill/>
        <a:ln w="25306">
          <a:noFill/>
        </a:ln>
      </c:spPr>
    </c:title>
    <c:autoTitleDeleted val="0"/>
    <c:plotArea>
      <c:layout>
        <c:manualLayout>
          <c:layoutTarget val="inner"/>
          <c:xMode val="edge"/>
          <c:yMode val="edge"/>
          <c:x val="0.1247563352826512"/>
          <c:y val="0.21069182389937124"/>
          <c:w val="0.83040935672514615"/>
          <c:h val="0.61949685534591192"/>
        </c:manualLayout>
      </c:layout>
      <c:lineChart>
        <c:grouping val="standard"/>
        <c:varyColors val="0"/>
        <c:ser>
          <c:idx val="0"/>
          <c:order val="0"/>
          <c:tx>
            <c:strRef>
              <c:f>Sheet1!$A$2</c:f>
              <c:strCache>
                <c:ptCount val="1"/>
                <c:pt idx="0">
                  <c:v>Tasa de Pendencia</c:v>
                </c:pt>
              </c:strCache>
            </c:strRef>
          </c:tx>
          <c:spPr>
            <a:ln w="25306">
              <a:solidFill>
                <a:srgbClr val="000000"/>
              </a:solidFill>
              <a:prstDash val="solid"/>
            </a:ln>
          </c:spPr>
          <c:marker>
            <c:symbol val="diamond"/>
            <c:size val="4"/>
            <c:spPr>
              <a:solidFill>
                <a:srgbClr val="000000"/>
              </a:solidFill>
              <a:ln>
                <a:solidFill>
                  <a:srgbClr val="000000"/>
                </a:solidFill>
                <a:prstDash val="solid"/>
              </a:ln>
            </c:spPr>
          </c:marker>
          <c:dLbls>
            <c:spPr>
              <a:noFill/>
              <a:ln w="25345">
                <a:noFill/>
              </a:ln>
            </c:spPr>
            <c:txPr>
              <a:bodyPr/>
              <a:lstStyle/>
              <a:p>
                <a:pPr>
                  <a:defRPr sz="998" b="0">
                    <a:latin typeface="Times New Roman" pitchFamily="18" charset="0"/>
                    <a:cs typeface="Times New Roman" pitchFamily="18" charset="0"/>
                  </a:defRPr>
                </a:pPr>
                <a:endParaRPr lang="es-CR"/>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Sheet1!$B$1:$O$1</c:f>
              <c:numCache>
                <c:formatCode>General</c:formatCode>
                <c:ptCount val="6"/>
                <c:pt idx="0">
                  <c:v>2010</c:v>
                </c:pt>
                <c:pt idx="1">
                  <c:v>2011</c:v>
                </c:pt>
                <c:pt idx="2">
                  <c:v>2012</c:v>
                </c:pt>
                <c:pt idx="3">
                  <c:v>2013</c:v>
                </c:pt>
                <c:pt idx="4">
                  <c:v>2014</c:v>
                </c:pt>
                <c:pt idx="5">
                  <c:v>2015</c:v>
                </c:pt>
              </c:numCache>
            </c:numRef>
          </c:cat>
          <c:val>
            <c:numRef>
              <c:f>Sheet1!$B$2:$O$2</c:f>
              <c:numCache>
                <c:formatCode>0%</c:formatCode>
                <c:ptCount val="6"/>
                <c:pt idx="0">
                  <c:v>0.16</c:v>
                </c:pt>
                <c:pt idx="1">
                  <c:v>0.29000000000000031</c:v>
                </c:pt>
                <c:pt idx="2">
                  <c:v>0.34</c:v>
                </c:pt>
                <c:pt idx="3">
                  <c:v>0.45</c:v>
                </c:pt>
                <c:pt idx="4">
                  <c:v>0.44</c:v>
                </c:pt>
                <c:pt idx="5">
                  <c:v>0.31000000000000033</c:v>
                </c:pt>
              </c:numCache>
            </c:numRef>
          </c:val>
          <c:smooth val="0"/>
          <c:extLst xmlns:c16r2="http://schemas.microsoft.com/office/drawing/2015/06/chart">
            <c:ext xmlns:c16="http://schemas.microsoft.com/office/drawing/2014/chart" uri="{C3380CC4-5D6E-409C-BE32-E72D297353CC}">
              <c16:uniqueId val="{00000000-3389-425A-8BE6-186280572CCC}"/>
            </c:ext>
          </c:extLst>
        </c:ser>
        <c:ser>
          <c:idx val="1"/>
          <c:order val="1"/>
          <c:tx>
            <c:strRef>
              <c:f>Sheet1!$A$3</c:f>
              <c:strCache>
                <c:ptCount val="1"/>
                <c:pt idx="0">
                  <c:v>Tasa de Resolución</c:v>
                </c:pt>
              </c:strCache>
            </c:strRef>
          </c:tx>
          <c:spPr>
            <a:ln w="25306">
              <a:solidFill>
                <a:srgbClr val="3366FF"/>
              </a:solidFill>
              <a:prstDash val="solid"/>
            </a:ln>
          </c:spPr>
          <c:marker>
            <c:symbol val="square"/>
            <c:size val="4"/>
            <c:spPr>
              <a:solidFill>
                <a:srgbClr val="3366FF"/>
              </a:solidFill>
              <a:ln>
                <a:solidFill>
                  <a:srgbClr val="3366FF"/>
                </a:solidFill>
                <a:prstDash val="solid"/>
              </a:ln>
            </c:spPr>
          </c:marker>
          <c:dLbls>
            <c:spPr>
              <a:noFill/>
              <a:ln w="25345">
                <a:noFill/>
              </a:ln>
            </c:spPr>
            <c:txPr>
              <a:bodyPr/>
              <a:lstStyle/>
              <a:p>
                <a:pPr>
                  <a:defRPr sz="998" b="0">
                    <a:latin typeface="Times New Roman" pitchFamily="18" charset="0"/>
                    <a:cs typeface="Times New Roman" pitchFamily="18" charset="0"/>
                  </a:defRPr>
                </a:pPr>
                <a:endParaRPr lang="es-C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Sheet1!$B$1:$O$1</c:f>
              <c:numCache>
                <c:formatCode>General</c:formatCode>
                <c:ptCount val="6"/>
                <c:pt idx="0">
                  <c:v>2010</c:v>
                </c:pt>
                <c:pt idx="1">
                  <c:v>2011</c:v>
                </c:pt>
                <c:pt idx="2">
                  <c:v>2012</c:v>
                </c:pt>
                <c:pt idx="3">
                  <c:v>2013</c:v>
                </c:pt>
                <c:pt idx="4">
                  <c:v>2014</c:v>
                </c:pt>
                <c:pt idx="5">
                  <c:v>2015</c:v>
                </c:pt>
              </c:numCache>
            </c:numRef>
          </c:cat>
          <c:val>
            <c:numRef>
              <c:f>Sheet1!$B$3:$O$3</c:f>
              <c:numCache>
                <c:formatCode>0%</c:formatCode>
                <c:ptCount val="6"/>
                <c:pt idx="0">
                  <c:v>0.84000000000000064</c:v>
                </c:pt>
                <c:pt idx="1">
                  <c:v>0.71000000000000063</c:v>
                </c:pt>
                <c:pt idx="2">
                  <c:v>0.66000000000000092</c:v>
                </c:pt>
                <c:pt idx="3">
                  <c:v>0.55000000000000004</c:v>
                </c:pt>
                <c:pt idx="4">
                  <c:v>0.56000000000000005</c:v>
                </c:pt>
                <c:pt idx="5">
                  <c:v>0.69000000000000061</c:v>
                </c:pt>
              </c:numCache>
            </c:numRef>
          </c:val>
          <c:smooth val="0"/>
          <c:extLst xmlns:c16r2="http://schemas.microsoft.com/office/drawing/2015/06/chart">
            <c:ext xmlns:c16="http://schemas.microsoft.com/office/drawing/2014/chart" uri="{C3380CC4-5D6E-409C-BE32-E72D297353CC}">
              <c16:uniqueId val="{00000001-3389-425A-8BE6-186280572CCC}"/>
            </c:ext>
          </c:extLst>
        </c:ser>
        <c:dLbls>
          <c:showLegendKey val="0"/>
          <c:showVal val="1"/>
          <c:showCatName val="0"/>
          <c:showSerName val="0"/>
          <c:showPercent val="0"/>
          <c:showBubbleSize val="0"/>
        </c:dLbls>
        <c:marker val="1"/>
        <c:smooth val="0"/>
        <c:axId val="269170560"/>
        <c:axId val="269170952"/>
      </c:lineChart>
      <c:catAx>
        <c:axId val="269170560"/>
        <c:scaling>
          <c:orientation val="minMax"/>
        </c:scaling>
        <c:delete val="0"/>
        <c:axPos val="b"/>
        <c:title>
          <c:tx>
            <c:rich>
              <a:bodyPr/>
              <a:lstStyle/>
              <a:p>
                <a:pPr>
                  <a:defRPr sz="993"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53354125656168083"/>
              <c:y val="0.86616161616161702"/>
            </c:manualLayout>
          </c:layout>
          <c:overlay val="0"/>
          <c:spPr>
            <a:noFill/>
            <a:ln w="25306">
              <a:noFill/>
            </a:ln>
          </c:spPr>
        </c:title>
        <c:numFmt formatCode="General" sourceLinked="1"/>
        <c:majorTickMark val="out"/>
        <c:minorTickMark val="none"/>
        <c:tickLblPos val="nextTo"/>
        <c:spPr>
          <a:ln w="3163">
            <a:solidFill>
              <a:srgbClr val="000000"/>
            </a:solidFill>
            <a:prstDash val="solid"/>
          </a:ln>
        </c:spPr>
        <c:txPr>
          <a:bodyPr rot="0" vert="horz"/>
          <a:lstStyle/>
          <a:p>
            <a:pPr>
              <a:defRPr sz="998" b="1" i="0" u="none" strike="noStrike" baseline="0">
                <a:solidFill>
                  <a:srgbClr val="000000"/>
                </a:solidFill>
                <a:latin typeface="Times New Roman"/>
                <a:ea typeface="Times New Roman"/>
                <a:cs typeface="Times New Roman"/>
              </a:defRPr>
            </a:pPr>
            <a:endParaRPr lang="es-CR"/>
          </a:p>
        </c:txPr>
        <c:crossAx val="269170952"/>
        <c:crossesAt val="0"/>
        <c:auto val="1"/>
        <c:lblAlgn val="ctr"/>
        <c:lblOffset val="100"/>
        <c:tickLblSkip val="1"/>
        <c:tickMarkSkip val="1"/>
        <c:noMultiLvlLbl val="0"/>
      </c:catAx>
      <c:valAx>
        <c:axId val="269170952"/>
        <c:scaling>
          <c:orientation val="minMax"/>
          <c:max val="1"/>
          <c:min val="0"/>
        </c:scaling>
        <c:delete val="0"/>
        <c:axPos val="l"/>
        <c:majorGridlines>
          <c:spPr>
            <a:ln w="12653">
              <a:solidFill>
                <a:srgbClr val="000000"/>
              </a:solidFill>
              <a:prstDash val="sysDash"/>
            </a:ln>
          </c:spPr>
        </c:majorGridlines>
        <c:title>
          <c:tx>
            <c:rich>
              <a:bodyPr/>
              <a:lstStyle/>
              <a:p>
                <a:pPr>
                  <a:defRPr sz="993" b="1" i="0" u="none" strike="noStrike" baseline="0">
                    <a:solidFill>
                      <a:srgbClr val="000000"/>
                    </a:solidFill>
                    <a:latin typeface="Times New Roman"/>
                    <a:ea typeface="Times New Roman"/>
                    <a:cs typeface="Times New Roman"/>
                  </a:defRPr>
                </a:pPr>
                <a:r>
                  <a:rPr lang="es-CR"/>
                  <a:t>Porcentaje</a:t>
                </a:r>
              </a:p>
            </c:rich>
          </c:tx>
          <c:layout>
            <c:manualLayout>
              <c:xMode val="edge"/>
              <c:yMode val="edge"/>
              <c:x val="0"/>
              <c:y val="0.43939393939393984"/>
            </c:manualLayout>
          </c:layout>
          <c:overlay val="0"/>
          <c:spPr>
            <a:noFill/>
            <a:ln w="25306">
              <a:noFill/>
            </a:ln>
          </c:spPr>
        </c:title>
        <c:numFmt formatCode="0%" sourceLinked="1"/>
        <c:majorTickMark val="out"/>
        <c:minorTickMark val="none"/>
        <c:tickLblPos val="nextTo"/>
        <c:spPr>
          <a:ln w="3163">
            <a:solidFill>
              <a:srgbClr val="000000"/>
            </a:solidFill>
            <a:prstDash val="solid"/>
          </a:ln>
        </c:spPr>
        <c:txPr>
          <a:bodyPr rot="0" vert="horz"/>
          <a:lstStyle/>
          <a:p>
            <a:pPr>
              <a:defRPr sz="1073" b="1" i="0" u="none" strike="noStrike" baseline="0">
                <a:solidFill>
                  <a:srgbClr val="000000"/>
                </a:solidFill>
                <a:latin typeface="Times New Roman"/>
                <a:ea typeface="Times New Roman"/>
                <a:cs typeface="Times New Roman"/>
              </a:defRPr>
            </a:pPr>
            <a:endParaRPr lang="es-CR"/>
          </a:p>
        </c:txPr>
        <c:crossAx val="269170560"/>
        <c:crosses val="autoZero"/>
        <c:crossBetween val="between"/>
        <c:majorUnit val="1"/>
        <c:minorUnit val="1"/>
      </c:valAx>
      <c:spPr>
        <a:solidFill>
          <a:srgbClr val="CCFFFF"/>
        </a:solidFill>
        <a:ln w="12653">
          <a:solidFill>
            <a:srgbClr val="808080"/>
          </a:solidFill>
          <a:prstDash val="solid"/>
        </a:ln>
      </c:spPr>
    </c:plotArea>
    <c:plotVisOnly val="1"/>
    <c:dispBlanksAs val="gap"/>
    <c:showDLblsOverMax val="0"/>
  </c:chart>
  <c:spPr>
    <a:gradFill rotWithShape="0">
      <a:gsLst>
        <a:gs pos="0">
          <a:srgbClr val="3366FF"/>
        </a:gs>
        <a:gs pos="100000">
          <a:srgbClr val="00FFFF"/>
        </a:gs>
      </a:gsLst>
      <a:lin ang="5400000" scaled="1"/>
    </a:gradFill>
    <a:ln w="3163">
      <a:solidFill>
        <a:srgbClr val="000000"/>
      </a:solidFill>
      <a:prstDash val="solid"/>
    </a:ln>
  </c:spPr>
  <c:txPr>
    <a:bodyPr/>
    <a:lstStyle/>
    <a:p>
      <a:pPr>
        <a:defRPr sz="1197" b="1" i="0" u="none" strike="noStrike" baseline="0">
          <a:solidFill>
            <a:srgbClr val="000000"/>
          </a:solidFill>
          <a:latin typeface="Arial"/>
          <a:ea typeface="Arial"/>
          <a:cs typeface="Arial"/>
        </a:defRPr>
      </a:pPr>
      <a:endParaRPr lang="es-CR"/>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1072" b="1" i="0" u="none" strike="noStrike" baseline="0">
                <a:solidFill>
                  <a:srgbClr val="000000"/>
                </a:solidFill>
                <a:latin typeface="Times New Roman"/>
                <a:ea typeface="Times New Roman"/>
                <a:cs typeface="Times New Roman"/>
              </a:defRPr>
            </a:pPr>
            <a:r>
              <a:rPr lang="es-CR"/>
              <a:t>Gráfico N° 3
Tendencia histórica del número de casos entrados en el Tribunal Disciplinario Notarial. 2010 - 2015</a:t>
            </a:r>
          </a:p>
        </c:rich>
      </c:tx>
      <c:layout>
        <c:manualLayout>
          <c:xMode val="edge"/>
          <c:yMode val="edge"/>
          <c:x val="0.11620785150707615"/>
          <c:y val="1.9480519480519515E-2"/>
        </c:manualLayout>
      </c:layout>
      <c:overlay val="0"/>
      <c:spPr>
        <a:noFill/>
        <a:ln w="25333">
          <a:noFill/>
        </a:ln>
      </c:spPr>
    </c:title>
    <c:autoTitleDeleted val="0"/>
    <c:plotArea>
      <c:layout>
        <c:manualLayout>
          <c:layoutTarget val="inner"/>
          <c:xMode val="edge"/>
          <c:yMode val="edge"/>
          <c:x val="0.13167938931297721"/>
          <c:y val="0.23989218328840986"/>
          <c:w val="0.79961832061068705"/>
          <c:h val="0.56334231805929924"/>
        </c:manualLayout>
      </c:layout>
      <c:lineChart>
        <c:grouping val="stacked"/>
        <c:varyColors val="0"/>
        <c:ser>
          <c:idx val="0"/>
          <c:order val="0"/>
          <c:tx>
            <c:strRef>
              <c:f>Sheet1!$A$2</c:f>
              <c:strCache>
                <c:ptCount val="1"/>
                <c:pt idx="0">
                  <c:v>Casos entrados</c:v>
                </c:pt>
              </c:strCache>
            </c:strRef>
          </c:tx>
          <c:spPr>
            <a:ln w="25333">
              <a:solidFill>
                <a:srgbClr val="000000"/>
              </a:solidFill>
              <a:prstDash val="solid"/>
            </a:ln>
          </c:spPr>
          <c:marker>
            <c:symbol val="diamond"/>
            <c:size val="4"/>
            <c:spPr>
              <a:solidFill>
                <a:srgbClr val="000000"/>
              </a:solidFill>
              <a:ln>
                <a:solidFill>
                  <a:srgbClr val="000000"/>
                </a:solidFill>
                <a:prstDash val="solid"/>
              </a:ln>
            </c:spPr>
          </c:marker>
          <c:dLbls>
            <c:dLbl>
              <c:idx val="0"/>
              <c:layout>
                <c:manualLayout>
                  <c:x val="-6.6240635371110218E-2"/>
                  <c:y val="-4.1545608937908484E-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E0E-4EEB-9FC5-CF3D25213F9F}"/>
                </c:ext>
                <c:ext xmlns:c15="http://schemas.microsoft.com/office/drawing/2012/chart" uri="{CE6537A1-D6FC-4f65-9D91-7224C49458BB}"/>
              </c:extLst>
            </c:dLbl>
            <c:dLbl>
              <c:idx val="1"/>
              <c:layout>
                <c:manualLayout>
                  <c:x val="-6.4201856667562798E-2"/>
                  <c:y val="1.62167479733483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E0E-4EEB-9FC5-CF3D25213F9F}"/>
                </c:ext>
                <c:ext xmlns:c15="http://schemas.microsoft.com/office/drawing/2012/chart" uri="{CE6537A1-D6FC-4f65-9D91-7224C49458BB}"/>
              </c:extLst>
            </c:dLbl>
            <c:dLbl>
              <c:idx val="2"/>
              <c:layout>
                <c:manualLayout>
                  <c:x val="-3.3111090196431825E-2"/>
                  <c:y val="-3.94327129563350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E0E-4EEB-9FC5-CF3D25213F9F}"/>
                </c:ext>
                <c:ext xmlns:c15="http://schemas.microsoft.com/office/drawing/2012/chart" uri="{CE6537A1-D6FC-4f65-9D91-7224C49458BB}"/>
              </c:extLst>
            </c:dLbl>
            <c:dLbl>
              <c:idx val="3"/>
              <c:layout>
                <c:manualLayout>
                  <c:x val="-1.8839895590744088E-2"/>
                  <c:y val="-5.372702409525008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E0E-4EEB-9FC5-CF3D25213F9F}"/>
                </c:ext>
                <c:ext xmlns:c15="http://schemas.microsoft.com/office/drawing/2012/chart" uri="{CE6537A1-D6FC-4f65-9D91-7224C49458BB}"/>
              </c:extLst>
            </c:dLbl>
            <c:dLbl>
              <c:idx val="4"/>
              <c:layout>
                <c:manualLayout>
                  <c:x val="-9.1558569483590237E-3"/>
                  <c:y val="-4.381793519125612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E0E-4EEB-9FC5-CF3D25213F9F}"/>
                </c:ext>
                <c:ext xmlns:c15="http://schemas.microsoft.com/office/drawing/2012/chart" uri="{CE6537A1-D6FC-4f65-9D91-7224C49458BB}"/>
              </c:extLst>
            </c:dLbl>
            <c:dLbl>
              <c:idx val="5"/>
              <c:layout>
                <c:manualLayout>
                  <c:x val="-1.017518222034706E-2"/>
                  <c:y val="-4.897822765469818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E0E-4EEB-9FC5-CF3D25213F9F}"/>
                </c:ext>
                <c:ext xmlns:c15="http://schemas.microsoft.com/office/drawing/2012/chart" uri="{CE6537A1-D6FC-4f65-9D91-7224C49458BB}"/>
              </c:extLst>
            </c:dLbl>
            <c:spPr>
              <a:noFill/>
              <a:ln w="25333">
                <a:noFill/>
              </a:ln>
            </c:spPr>
            <c:txPr>
              <a:bodyPr/>
              <a:lstStyle/>
              <a:p>
                <a:pPr>
                  <a:defRPr sz="1098" b="0" i="0" u="none" strike="noStrike" baseline="0">
                    <a:solidFill>
                      <a:srgbClr val="000000"/>
                    </a:solidFill>
                    <a:latin typeface="Times New Roman"/>
                    <a:ea typeface="Times New Roman"/>
                    <a:cs typeface="Times New Roman"/>
                  </a:defRPr>
                </a:pPr>
                <a:endParaRPr lang="es-C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6"/>
                <c:pt idx="0">
                  <c:v>2010</c:v>
                </c:pt>
                <c:pt idx="1">
                  <c:v>2011</c:v>
                </c:pt>
                <c:pt idx="2">
                  <c:v>2012</c:v>
                </c:pt>
                <c:pt idx="3">
                  <c:v>2013</c:v>
                </c:pt>
                <c:pt idx="4">
                  <c:v>2014</c:v>
                </c:pt>
                <c:pt idx="5">
                  <c:v>2015</c:v>
                </c:pt>
              </c:numCache>
            </c:numRef>
          </c:cat>
          <c:val>
            <c:numRef>
              <c:f>Sheet1!$B$2:$P$2</c:f>
              <c:numCache>
                <c:formatCode>General</c:formatCode>
                <c:ptCount val="6"/>
                <c:pt idx="0">
                  <c:v>379</c:v>
                </c:pt>
                <c:pt idx="1">
                  <c:v>257</c:v>
                </c:pt>
                <c:pt idx="2">
                  <c:v>312</c:v>
                </c:pt>
                <c:pt idx="3">
                  <c:v>294</c:v>
                </c:pt>
                <c:pt idx="4">
                  <c:v>245</c:v>
                </c:pt>
                <c:pt idx="5">
                  <c:v>217</c:v>
                </c:pt>
              </c:numCache>
            </c:numRef>
          </c:val>
          <c:smooth val="1"/>
          <c:extLst xmlns:c16r2="http://schemas.microsoft.com/office/drawing/2015/06/chart">
            <c:ext xmlns:c16="http://schemas.microsoft.com/office/drawing/2014/chart" uri="{C3380CC4-5D6E-409C-BE32-E72D297353CC}">
              <c16:uniqueId val="{00000006-0E0E-4EEB-9FC5-CF3D25213F9F}"/>
            </c:ext>
          </c:extLst>
        </c:ser>
        <c:dLbls>
          <c:showLegendKey val="0"/>
          <c:showVal val="1"/>
          <c:showCatName val="0"/>
          <c:showSerName val="0"/>
          <c:showPercent val="0"/>
          <c:showBubbleSize val="0"/>
        </c:dLbls>
        <c:marker val="1"/>
        <c:smooth val="0"/>
        <c:axId val="269171736"/>
        <c:axId val="269172128"/>
      </c:lineChart>
      <c:catAx>
        <c:axId val="269171736"/>
        <c:scaling>
          <c:orientation val="minMax"/>
        </c:scaling>
        <c:delete val="0"/>
        <c:axPos val="b"/>
        <c:title>
          <c:tx>
            <c:rich>
              <a:bodyPr/>
              <a:lstStyle/>
              <a:p>
                <a:pPr>
                  <a:defRPr sz="1068"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50764531156423265"/>
              <c:y val="0.86363636363636354"/>
            </c:manualLayout>
          </c:layout>
          <c:overlay val="0"/>
          <c:spPr>
            <a:noFill/>
            <a:ln w="25333">
              <a:noFill/>
            </a:ln>
          </c:spPr>
        </c:title>
        <c:numFmt formatCode="General" sourceLinked="1"/>
        <c:majorTickMark val="out"/>
        <c:minorTickMark val="none"/>
        <c:tickLblPos val="nextTo"/>
        <c:spPr>
          <a:ln w="3167">
            <a:solidFill>
              <a:srgbClr val="000000"/>
            </a:solidFill>
            <a:prstDash val="solid"/>
          </a:ln>
        </c:spPr>
        <c:txPr>
          <a:bodyPr rot="0" vert="horz"/>
          <a:lstStyle/>
          <a:p>
            <a:pPr>
              <a:defRPr sz="1048" b="1" i="0" u="none" strike="noStrike" baseline="0">
                <a:solidFill>
                  <a:srgbClr val="000000"/>
                </a:solidFill>
                <a:latin typeface="Times New Roman"/>
                <a:ea typeface="Times New Roman"/>
                <a:cs typeface="Times New Roman"/>
              </a:defRPr>
            </a:pPr>
            <a:endParaRPr lang="es-CR"/>
          </a:p>
        </c:txPr>
        <c:crossAx val="269172128"/>
        <c:crossesAt val="0"/>
        <c:auto val="1"/>
        <c:lblAlgn val="ctr"/>
        <c:lblOffset val="100"/>
        <c:tickLblSkip val="1"/>
        <c:tickMarkSkip val="1"/>
        <c:noMultiLvlLbl val="0"/>
      </c:catAx>
      <c:valAx>
        <c:axId val="269172128"/>
        <c:scaling>
          <c:orientation val="minMax"/>
          <c:max val="500"/>
          <c:min val="0"/>
        </c:scaling>
        <c:delete val="0"/>
        <c:axPos val="l"/>
        <c:majorGridlines>
          <c:spPr>
            <a:ln w="12667">
              <a:solidFill>
                <a:srgbClr val="000000"/>
              </a:solidFill>
              <a:prstDash val="sysDash"/>
            </a:ln>
          </c:spPr>
        </c:majorGridlines>
        <c:title>
          <c:tx>
            <c:rich>
              <a:bodyPr/>
              <a:lstStyle/>
              <a:p>
                <a:pPr>
                  <a:defRPr sz="1068" b="1" i="0" u="none" strike="noStrike" baseline="0">
                    <a:solidFill>
                      <a:srgbClr val="000000"/>
                    </a:solidFill>
                    <a:latin typeface="Times New Roman"/>
                    <a:ea typeface="Times New Roman"/>
                    <a:cs typeface="Times New Roman"/>
                  </a:defRPr>
                </a:pPr>
                <a:r>
                  <a:rPr lang="es-CR"/>
                  <a:t>Casos</a:t>
                </a:r>
              </a:p>
            </c:rich>
          </c:tx>
          <c:layout>
            <c:manualLayout>
              <c:xMode val="edge"/>
              <c:yMode val="edge"/>
              <c:x val="1.9877769872946587E-2"/>
              <c:y val="0.4805194805194809"/>
            </c:manualLayout>
          </c:layout>
          <c:overlay val="0"/>
          <c:spPr>
            <a:noFill/>
            <a:ln w="25333">
              <a:noFill/>
            </a:ln>
          </c:spPr>
        </c:title>
        <c:numFmt formatCode="General" sourceLinked="1"/>
        <c:majorTickMark val="out"/>
        <c:minorTickMark val="none"/>
        <c:tickLblPos val="nextTo"/>
        <c:spPr>
          <a:ln w="3167">
            <a:solidFill>
              <a:srgbClr val="000000"/>
            </a:solidFill>
            <a:prstDash val="solid"/>
          </a:ln>
        </c:spPr>
        <c:txPr>
          <a:bodyPr rot="0" vert="horz"/>
          <a:lstStyle/>
          <a:p>
            <a:pPr>
              <a:defRPr sz="1048" b="1" i="0" u="none" strike="noStrike" baseline="0">
                <a:solidFill>
                  <a:srgbClr val="000000"/>
                </a:solidFill>
                <a:latin typeface="Times New Roman"/>
                <a:ea typeface="Times New Roman"/>
                <a:cs typeface="Times New Roman"/>
              </a:defRPr>
            </a:pPr>
            <a:endParaRPr lang="es-CR"/>
          </a:p>
        </c:txPr>
        <c:crossAx val="269171736"/>
        <c:crosses val="autoZero"/>
        <c:crossBetween val="between"/>
        <c:majorUnit val="500"/>
        <c:minorUnit val="50"/>
      </c:valAx>
      <c:spPr>
        <a:gradFill rotWithShape="0">
          <a:gsLst>
            <a:gs pos="0">
              <a:srgbClr val="FFFFFF"/>
            </a:gs>
            <a:gs pos="100000">
              <a:srgbClr val="FFFFFF">
                <a:gamma/>
                <a:shade val="72941"/>
                <a:invGamma/>
              </a:srgbClr>
            </a:gs>
          </a:gsLst>
          <a:lin ang="5400000" scaled="1"/>
        </a:gradFill>
        <a:ln w="12667">
          <a:solidFill>
            <a:srgbClr val="808080"/>
          </a:solidFill>
          <a:prstDash val="solid"/>
        </a:ln>
      </c:spPr>
    </c:plotArea>
    <c:plotVisOnly val="1"/>
    <c:dispBlanksAs val="zero"/>
    <c:showDLblsOverMax val="0"/>
  </c:chart>
  <c:spPr>
    <a:solidFill>
      <a:srgbClr val="CCFFFF"/>
    </a:solidFill>
    <a:ln w="3167">
      <a:solidFill>
        <a:srgbClr val="000000"/>
      </a:solidFill>
      <a:prstDash val="solid"/>
    </a:ln>
  </c:spPr>
  <c:txPr>
    <a:bodyPr/>
    <a:lstStyle/>
    <a:p>
      <a:pPr>
        <a:defRPr sz="1497" b="1" i="0" u="none" strike="noStrike" baseline="0">
          <a:solidFill>
            <a:srgbClr val="000000"/>
          </a:solidFill>
          <a:latin typeface="Arial"/>
          <a:ea typeface="Arial"/>
          <a:cs typeface="Arial"/>
        </a:defRPr>
      </a:pPr>
      <a:endParaRPr lang="es-CR"/>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1197" b="1" i="0" u="none" strike="noStrike" baseline="0">
                <a:solidFill>
                  <a:srgbClr val="000000"/>
                </a:solidFill>
                <a:latin typeface="Times New Roman"/>
                <a:ea typeface="Times New Roman"/>
                <a:cs typeface="Times New Roman"/>
              </a:defRPr>
            </a:pPr>
            <a:r>
              <a:rPr lang="es-CR"/>
              <a:t>Gráfico N° 4
Distribución porcentual según tipo de apelación presentada ante el Tribunal Disciplinario Notarial durante el 2015</a:t>
            </a:r>
          </a:p>
        </c:rich>
      </c:tx>
      <c:layout>
        <c:manualLayout>
          <c:xMode val="edge"/>
          <c:yMode val="edge"/>
          <c:x val="0.119266016326826"/>
          <c:y val="1.9480519480519515E-2"/>
        </c:manualLayout>
      </c:layout>
      <c:overlay val="0"/>
      <c:spPr>
        <a:noFill/>
        <a:ln w="25333">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6030534351145057"/>
          <c:y val="0.29380053908355841"/>
          <c:w val="0.76717557251908586"/>
          <c:h val="0.43126684636118601"/>
        </c:manualLayout>
      </c:layout>
      <c:pie3DChart>
        <c:varyColors val="1"/>
        <c:ser>
          <c:idx val="0"/>
          <c:order val="0"/>
          <c:tx>
            <c:strRef>
              <c:f>Sheet1!$A$2</c:f>
              <c:strCache>
                <c:ptCount val="1"/>
                <c:pt idx="0">
                  <c:v>Casos entrados</c:v>
                </c:pt>
              </c:strCache>
            </c:strRef>
          </c:tx>
          <c:spPr>
            <a:solidFill>
              <a:srgbClr val="9999FF"/>
            </a:solidFill>
            <a:ln w="3169">
              <a:solidFill>
                <a:srgbClr val="000000"/>
              </a:solidFill>
              <a:prstDash val="solid"/>
            </a:ln>
            <a:effectLst>
              <a:outerShdw dist="35921" dir="2700000" algn="br">
                <a:srgbClr val="000000"/>
              </a:outerShdw>
            </a:effectLst>
          </c:spPr>
          <c:explosion val="24"/>
          <c:dPt>
            <c:idx val="0"/>
            <c:bubble3D val="0"/>
            <c:explosion val="0"/>
            <c:extLst xmlns:c16r2="http://schemas.microsoft.com/office/drawing/2015/06/chart">
              <c:ext xmlns:c16="http://schemas.microsoft.com/office/drawing/2014/chart" uri="{C3380CC4-5D6E-409C-BE32-E72D297353CC}">
                <c16:uniqueId val="{00000000-BD5F-4B4D-BE9E-CF9F508DF5BC}"/>
              </c:ext>
            </c:extLst>
          </c:dPt>
          <c:dPt>
            <c:idx val="1"/>
            <c:bubble3D val="0"/>
            <c:explosion val="9"/>
            <c:spPr>
              <a:solidFill>
                <a:srgbClr val="993366"/>
              </a:solidFill>
              <a:ln w="3169">
                <a:solidFill>
                  <a:srgbClr val="000000"/>
                </a:solidFill>
                <a:prstDash val="solid"/>
              </a:ln>
              <a:effectLst>
                <a:outerShdw dist="35921" dir="2700000" algn="br">
                  <a:srgbClr val="000000"/>
                </a:outerShdw>
              </a:effectLst>
            </c:spPr>
            <c:extLst xmlns:c16r2="http://schemas.microsoft.com/office/drawing/2015/06/chart">
              <c:ext xmlns:c16="http://schemas.microsoft.com/office/drawing/2014/chart" uri="{C3380CC4-5D6E-409C-BE32-E72D297353CC}">
                <c16:uniqueId val="{00000001-BD5F-4B4D-BE9E-CF9F508DF5BC}"/>
              </c:ext>
            </c:extLst>
          </c:dPt>
          <c:dPt>
            <c:idx val="2"/>
            <c:bubble3D val="0"/>
            <c:explosion val="13"/>
            <c:spPr>
              <a:solidFill>
                <a:srgbClr val="FFFFCC"/>
              </a:solidFill>
              <a:ln w="3169">
                <a:solidFill>
                  <a:srgbClr val="000000"/>
                </a:solidFill>
                <a:prstDash val="solid"/>
              </a:ln>
              <a:effectLst>
                <a:outerShdw dist="35921" dir="2700000" algn="br">
                  <a:srgbClr val="000000"/>
                </a:outerShdw>
              </a:effectLst>
            </c:spPr>
            <c:extLst xmlns:c16r2="http://schemas.microsoft.com/office/drawing/2015/06/chart">
              <c:ext xmlns:c16="http://schemas.microsoft.com/office/drawing/2014/chart" uri="{C3380CC4-5D6E-409C-BE32-E72D297353CC}">
                <c16:uniqueId val="{00000002-BD5F-4B4D-BE9E-CF9F508DF5BC}"/>
              </c:ext>
            </c:extLst>
          </c:dPt>
          <c:dPt>
            <c:idx val="3"/>
            <c:bubble3D val="0"/>
            <c:explosion val="5"/>
            <c:spPr>
              <a:solidFill>
                <a:srgbClr val="CCFFFF"/>
              </a:solidFill>
              <a:ln w="3169">
                <a:solidFill>
                  <a:srgbClr val="000000"/>
                </a:solidFill>
                <a:prstDash val="solid"/>
              </a:ln>
              <a:effectLst>
                <a:outerShdw dist="35921" dir="2700000" algn="br">
                  <a:srgbClr val="000000"/>
                </a:outerShdw>
              </a:effectLst>
            </c:spPr>
            <c:extLst xmlns:c16r2="http://schemas.microsoft.com/office/drawing/2015/06/chart">
              <c:ext xmlns:c16="http://schemas.microsoft.com/office/drawing/2014/chart" uri="{C3380CC4-5D6E-409C-BE32-E72D297353CC}">
                <c16:uniqueId val="{00000003-BD5F-4B4D-BE9E-CF9F508DF5BC}"/>
              </c:ext>
            </c:extLst>
          </c:dPt>
          <c:dLbls>
            <c:dLbl>
              <c:idx val="0"/>
              <c:layout>
                <c:manualLayout>
                  <c:x val="-0.20655735124563701"/>
                  <c:y val="-0.1492964114779777"/>
                </c:manualLayout>
              </c:layout>
              <c:tx>
                <c:rich>
                  <a:bodyPr/>
                  <a:lstStyle/>
                  <a:p>
                    <a:r>
                      <a:rPr lang="en-US"/>
                      <a:t>Apelación de sentencia
</a:t>
                    </a:r>
                    <a:r>
                      <a:rPr lang="en-US" sz="1198" b="1"/>
                      <a:t>64%</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BD5F-4B4D-BE9E-CF9F508DF5BC}"/>
                </c:ext>
                <c:ext xmlns:c15="http://schemas.microsoft.com/office/drawing/2012/chart" uri="{CE6537A1-D6FC-4f65-9D91-7224C49458BB}"/>
              </c:extLst>
            </c:dLbl>
            <c:dLbl>
              <c:idx val="1"/>
              <c:layout>
                <c:manualLayout>
                  <c:x val="-2.3032774951107131E-3"/>
                  <c:y val="7.1283277090363709E-2"/>
                </c:manualLayout>
              </c:layout>
              <c:tx>
                <c:rich>
                  <a:bodyPr/>
                  <a:lstStyle/>
                  <a:p>
                    <a:r>
                      <a:rPr lang="en-US"/>
                      <a:t>Apelación de auto
</a:t>
                    </a:r>
                    <a:r>
                      <a:rPr lang="en-US" sz="1198" b="1"/>
                      <a:t>16%</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BD5F-4B4D-BE9E-CF9F508DF5BC}"/>
                </c:ext>
                <c:ext xmlns:c15="http://schemas.microsoft.com/office/drawing/2012/chart" uri="{CE6537A1-D6FC-4f65-9D91-7224C49458BB}"/>
              </c:extLst>
            </c:dLbl>
            <c:dLbl>
              <c:idx val="2"/>
              <c:layout>
                <c:manualLayout>
                  <c:x val="-3.4860030614614027E-2"/>
                  <c:y val="-4.8343589404265662E-2"/>
                </c:manualLayout>
              </c:layout>
              <c:tx>
                <c:rich>
                  <a:bodyPr/>
                  <a:lstStyle/>
                  <a:p>
                    <a:r>
                      <a:rPr lang="en-US"/>
                      <a:t>Apelación de auto-sentencia
</a:t>
                    </a:r>
                    <a:r>
                      <a:rPr lang="en-US" sz="1198" b="1"/>
                      <a:t>9%</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BD5F-4B4D-BE9E-CF9F508DF5BC}"/>
                </c:ext>
                <c:ext xmlns:c15="http://schemas.microsoft.com/office/drawing/2012/chart" uri="{CE6537A1-D6FC-4f65-9D91-7224C49458BB}"/>
              </c:extLst>
            </c:dLbl>
            <c:dLbl>
              <c:idx val="3"/>
              <c:layout>
                <c:manualLayout>
                  <c:x val="-2.1153006174078316E-2"/>
                  <c:y val="-5.8816085489313913E-2"/>
                </c:manualLayout>
              </c:layout>
              <c:tx>
                <c:rich>
                  <a:bodyPr/>
                  <a:lstStyle/>
                  <a:p>
                    <a:r>
                      <a:rPr lang="en-US"/>
                      <a:t>Otro
</a:t>
                    </a:r>
                    <a:r>
                      <a:rPr lang="en-US" sz="1198" b="1"/>
                      <a:t>11%</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BD5F-4B4D-BE9E-CF9F508DF5BC}"/>
                </c:ext>
                <c:ext xmlns:c15="http://schemas.microsoft.com/office/drawing/2012/chart" uri="{CE6537A1-D6FC-4f65-9D91-7224C49458BB}"/>
              </c:extLst>
            </c:dLbl>
            <c:spPr>
              <a:noFill/>
              <a:ln w="25352">
                <a:noFill/>
              </a:ln>
            </c:spPr>
            <c:txPr>
              <a:bodyPr/>
              <a:lstStyle/>
              <a:p>
                <a:pPr>
                  <a:defRPr sz="998" b="0">
                    <a:latin typeface="Times New Roman" pitchFamily="18" charset="0"/>
                    <a:cs typeface="Times New Roman" pitchFamily="18" charset="0"/>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Sheet1!$B$1:$E$1</c:f>
              <c:strCache>
                <c:ptCount val="4"/>
                <c:pt idx="0">
                  <c:v>Apelación de sentencia</c:v>
                </c:pt>
                <c:pt idx="1">
                  <c:v>Apelación de auto</c:v>
                </c:pt>
                <c:pt idx="2">
                  <c:v>Apelación de auto-sentencia</c:v>
                </c:pt>
                <c:pt idx="3">
                  <c:v>Otro</c:v>
                </c:pt>
              </c:strCache>
            </c:strRef>
          </c:cat>
          <c:val>
            <c:numRef>
              <c:f>Sheet1!$B$2:$E$2</c:f>
              <c:numCache>
                <c:formatCode>General</c:formatCode>
                <c:ptCount val="4"/>
                <c:pt idx="0">
                  <c:v>139</c:v>
                </c:pt>
                <c:pt idx="1">
                  <c:v>35</c:v>
                </c:pt>
                <c:pt idx="2">
                  <c:v>20</c:v>
                </c:pt>
                <c:pt idx="3">
                  <c:v>23</c:v>
                </c:pt>
              </c:numCache>
            </c:numRef>
          </c:val>
          <c:extLst xmlns:c16r2="http://schemas.microsoft.com/office/drawing/2015/06/chart">
            <c:ext xmlns:c16="http://schemas.microsoft.com/office/drawing/2014/chart" uri="{C3380CC4-5D6E-409C-BE32-E72D297353CC}">
              <c16:uniqueId val="{00000004-BD5F-4B4D-BE9E-CF9F508DF5BC}"/>
            </c:ext>
          </c:extLst>
        </c:ser>
        <c:dLbls>
          <c:showLegendKey val="0"/>
          <c:showVal val="1"/>
          <c:showCatName val="0"/>
          <c:showSerName val="0"/>
          <c:showPercent val="0"/>
          <c:showBubbleSize val="0"/>
          <c:showLeaderLines val="1"/>
        </c:dLbls>
      </c:pie3DChart>
      <c:spPr>
        <a:noFill/>
        <a:ln w="25352">
          <a:noFill/>
        </a:ln>
      </c:spPr>
    </c:plotArea>
    <c:plotVisOnly val="1"/>
    <c:dispBlanksAs val="zero"/>
    <c:showDLblsOverMax val="0"/>
  </c:chart>
  <c:spPr>
    <a:solidFill>
      <a:srgbClr val="CCFFFF"/>
    </a:solidFill>
    <a:ln w="3167">
      <a:solidFill>
        <a:srgbClr val="000000"/>
      </a:solidFill>
      <a:prstDash val="solid"/>
    </a:ln>
  </c:spPr>
  <c:txPr>
    <a:bodyPr/>
    <a:lstStyle/>
    <a:p>
      <a:pPr>
        <a:defRPr sz="1497" b="1" i="0" u="none" strike="noStrike" baseline="0">
          <a:solidFill>
            <a:srgbClr val="000000"/>
          </a:solidFill>
          <a:latin typeface="Arial"/>
          <a:ea typeface="Arial"/>
          <a:cs typeface="Arial"/>
        </a:defRPr>
      </a:pPr>
      <a:endParaRPr lang="es-CR"/>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1046" b="1" i="0" u="none" strike="noStrike" baseline="0">
                <a:solidFill>
                  <a:srgbClr val="000000"/>
                </a:solidFill>
                <a:latin typeface="Times New Roman"/>
                <a:ea typeface="Times New Roman"/>
                <a:cs typeface="Times New Roman"/>
              </a:defRPr>
            </a:pPr>
            <a:r>
              <a:rPr lang="es-CR"/>
              <a:t>Gráfico </a:t>
            </a:r>
            <a:r>
              <a:rPr lang="es-CR">
                <a:solidFill>
                  <a:sysClr val="windowText" lastClr="000000"/>
                </a:solidFill>
              </a:rPr>
              <a:t>N° 5</a:t>
            </a:r>
            <a:r>
              <a:rPr lang="es-CR"/>
              <a:t>
Tendencia histórica del número de casos terminados en el Tribunal Disciplinario Notarial. 2010 - 2015</a:t>
            </a:r>
          </a:p>
        </c:rich>
      </c:tx>
      <c:layout>
        <c:manualLayout>
          <c:xMode val="edge"/>
          <c:yMode val="edge"/>
          <c:x val="0.14820599573490834"/>
          <c:y val="2.1276595744680847E-2"/>
        </c:manualLayout>
      </c:layout>
      <c:overlay val="0"/>
      <c:spPr>
        <a:noFill/>
        <a:ln w="25307">
          <a:noFill/>
        </a:ln>
      </c:spPr>
    </c:title>
    <c:autoTitleDeleted val="0"/>
    <c:plotArea>
      <c:layout>
        <c:manualLayout>
          <c:layoutTarget val="inner"/>
          <c:xMode val="edge"/>
          <c:yMode val="edge"/>
          <c:x val="0.12670565302144249"/>
          <c:y val="0.29139072847682118"/>
          <c:w val="0.80116959064327553"/>
          <c:h val="0.48344370860927188"/>
        </c:manualLayout>
      </c:layout>
      <c:lineChart>
        <c:grouping val="stacked"/>
        <c:varyColors val="0"/>
        <c:ser>
          <c:idx val="1"/>
          <c:order val="0"/>
          <c:tx>
            <c:strRef>
              <c:f>Sheet1!$A$3</c:f>
              <c:strCache>
                <c:ptCount val="1"/>
                <c:pt idx="0">
                  <c:v>Casos terminados</c:v>
                </c:pt>
              </c:strCache>
            </c:strRef>
          </c:tx>
          <c:spPr>
            <a:ln w="12654">
              <a:solidFill>
                <a:srgbClr val="333333"/>
              </a:solidFill>
              <a:prstDash val="solid"/>
            </a:ln>
          </c:spPr>
          <c:marker>
            <c:symbol val="star"/>
            <c:size val="4"/>
            <c:spPr>
              <a:noFill/>
              <a:ln>
                <a:solidFill>
                  <a:srgbClr val="000000"/>
                </a:solidFill>
                <a:prstDash val="solid"/>
              </a:ln>
            </c:spPr>
          </c:marker>
          <c:dLbls>
            <c:dLbl>
              <c:idx val="0"/>
              <c:layout>
                <c:manualLayout>
                  <c:x val="-4.0277216641411963E-2"/>
                  <c:y val="-4.85595591467593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7DF-408B-91A6-C327C44779DB}"/>
                </c:ext>
                <c:ext xmlns:c15="http://schemas.microsoft.com/office/drawing/2012/chart" uri="{CE6537A1-D6FC-4f65-9D91-7224C49458BB}"/>
              </c:extLst>
            </c:dLbl>
            <c:dLbl>
              <c:idx val="1"/>
              <c:layout>
                <c:manualLayout>
                  <c:x val="-3.1956902297859836E-2"/>
                  <c:y val="-4.627216401550454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7DF-408B-91A6-C327C44779DB}"/>
                </c:ext>
                <c:ext xmlns:c15="http://schemas.microsoft.com/office/drawing/2012/chart" uri="{CE6537A1-D6FC-4f65-9D91-7224C49458BB}"/>
              </c:extLst>
            </c:dLbl>
            <c:dLbl>
              <c:idx val="2"/>
              <c:layout>
                <c:manualLayout>
                  <c:x val="-3.4557024771780458E-2"/>
                  <c:y val="-3.935204396504435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7DF-408B-91A6-C327C44779DB}"/>
                </c:ext>
                <c:ext xmlns:c15="http://schemas.microsoft.com/office/drawing/2012/chart" uri="{CE6537A1-D6FC-4f65-9D91-7224C49458BB}"/>
              </c:extLst>
            </c:dLbl>
            <c:dLbl>
              <c:idx val="3"/>
              <c:layout>
                <c:manualLayout>
                  <c:x val="-3.091689763571661E-2"/>
                  <c:y val="-5.075083801922473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7DF-408B-91A6-C327C44779DB}"/>
                </c:ext>
                <c:ext xmlns:c15="http://schemas.microsoft.com/office/drawing/2012/chart" uri="{CE6537A1-D6FC-4f65-9D91-7224C49458BB}"/>
              </c:extLst>
            </c:dLbl>
            <c:dLbl>
              <c:idx val="4"/>
              <c:layout>
                <c:manualLayout>
                  <c:x val="-1.4796271279684121E-2"/>
                  <c:y val="-4.179349001178453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7DF-408B-91A6-C327C44779DB}"/>
                </c:ext>
                <c:ext xmlns:c15="http://schemas.microsoft.com/office/drawing/2012/chart" uri="{CE6537A1-D6FC-4f65-9D91-7224C49458BB}"/>
              </c:extLst>
            </c:dLbl>
            <c:dLbl>
              <c:idx val="5"/>
              <c:layout>
                <c:manualLayout>
                  <c:x val="-1.1156144143620041E-2"/>
                  <c:y val="-4.866567006456405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7DF-408B-91A6-C327C44779DB}"/>
                </c:ext>
                <c:ext xmlns:c15="http://schemas.microsoft.com/office/drawing/2012/chart" uri="{CE6537A1-D6FC-4f65-9D91-7224C49458BB}"/>
              </c:extLst>
            </c:dLbl>
            <c:spPr>
              <a:noFill/>
              <a:ln w="25307">
                <a:noFill/>
              </a:ln>
            </c:spPr>
            <c:txPr>
              <a:bodyPr/>
              <a:lstStyle/>
              <a:p>
                <a:pPr>
                  <a:defRPr sz="948" b="0" i="0" u="none" strike="noStrike" baseline="0">
                    <a:solidFill>
                      <a:srgbClr val="000000"/>
                    </a:solidFill>
                    <a:latin typeface="Times New Roman"/>
                    <a:ea typeface="Times New Roman"/>
                    <a:cs typeface="Times New Roman"/>
                  </a:defRPr>
                </a:pPr>
                <a:endParaRPr lang="es-C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6"/>
                <c:pt idx="0">
                  <c:v>2010</c:v>
                </c:pt>
                <c:pt idx="1">
                  <c:v>2011</c:v>
                </c:pt>
                <c:pt idx="2">
                  <c:v>2012</c:v>
                </c:pt>
                <c:pt idx="3">
                  <c:v>2013</c:v>
                </c:pt>
                <c:pt idx="4">
                  <c:v>2014</c:v>
                </c:pt>
                <c:pt idx="5">
                  <c:v>2015</c:v>
                </c:pt>
              </c:numCache>
            </c:numRef>
          </c:cat>
          <c:val>
            <c:numRef>
              <c:f>Sheet1!$B$3:$P$3</c:f>
              <c:numCache>
                <c:formatCode>General</c:formatCode>
                <c:ptCount val="6"/>
                <c:pt idx="0">
                  <c:v>411</c:v>
                </c:pt>
                <c:pt idx="1">
                  <c:v>241</c:v>
                </c:pt>
                <c:pt idx="2">
                  <c:v>272</c:v>
                </c:pt>
                <c:pt idx="3">
                  <c:v>239</c:v>
                </c:pt>
                <c:pt idx="4">
                  <c:v>243</c:v>
                </c:pt>
                <c:pt idx="5">
                  <c:v>291</c:v>
                </c:pt>
              </c:numCache>
            </c:numRef>
          </c:val>
          <c:smooth val="1"/>
          <c:extLst xmlns:c16r2="http://schemas.microsoft.com/office/drawing/2015/06/chart">
            <c:ext xmlns:c16="http://schemas.microsoft.com/office/drawing/2014/chart" uri="{C3380CC4-5D6E-409C-BE32-E72D297353CC}">
              <c16:uniqueId val="{00000006-97DF-408B-91A6-C327C44779DB}"/>
            </c:ext>
          </c:extLst>
        </c:ser>
        <c:dLbls>
          <c:showLegendKey val="0"/>
          <c:showVal val="1"/>
          <c:showCatName val="0"/>
          <c:showSerName val="0"/>
          <c:showPercent val="0"/>
          <c:showBubbleSize val="0"/>
        </c:dLbls>
        <c:marker val="1"/>
        <c:smooth val="0"/>
        <c:axId val="269173304"/>
        <c:axId val="269173696"/>
      </c:lineChart>
      <c:catAx>
        <c:axId val="269173304"/>
        <c:scaling>
          <c:orientation val="minMax"/>
        </c:scaling>
        <c:delete val="0"/>
        <c:axPos val="b"/>
        <c:title>
          <c:tx>
            <c:rich>
              <a:bodyPr/>
              <a:lstStyle/>
              <a:p>
                <a:pPr>
                  <a:defRPr sz="1043"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5007800196850396"/>
              <c:y val="0.84840425531914965"/>
            </c:manualLayout>
          </c:layout>
          <c:overlay val="0"/>
          <c:spPr>
            <a:noFill/>
            <a:ln w="25307">
              <a:noFill/>
            </a:ln>
          </c:spPr>
        </c:title>
        <c:numFmt formatCode="General" sourceLinked="1"/>
        <c:majorTickMark val="out"/>
        <c:minorTickMark val="none"/>
        <c:tickLblPos val="nextTo"/>
        <c:spPr>
          <a:ln w="3163">
            <a:solidFill>
              <a:srgbClr val="000000"/>
            </a:solidFill>
            <a:prstDash val="solid"/>
          </a:ln>
        </c:spPr>
        <c:txPr>
          <a:bodyPr rot="0" vert="horz"/>
          <a:lstStyle/>
          <a:p>
            <a:pPr>
              <a:defRPr sz="898" b="1" i="0" u="none" strike="noStrike" baseline="0">
                <a:solidFill>
                  <a:srgbClr val="000000"/>
                </a:solidFill>
                <a:latin typeface="Times New Roman"/>
                <a:ea typeface="Times New Roman"/>
                <a:cs typeface="Times New Roman"/>
              </a:defRPr>
            </a:pPr>
            <a:endParaRPr lang="es-CR"/>
          </a:p>
        </c:txPr>
        <c:crossAx val="269173696"/>
        <c:crossesAt val="0"/>
        <c:auto val="1"/>
        <c:lblAlgn val="ctr"/>
        <c:lblOffset val="100"/>
        <c:tickLblSkip val="1"/>
        <c:tickMarkSkip val="1"/>
        <c:noMultiLvlLbl val="0"/>
      </c:catAx>
      <c:valAx>
        <c:axId val="269173696"/>
        <c:scaling>
          <c:orientation val="minMax"/>
          <c:max val="500"/>
          <c:min val="0"/>
        </c:scaling>
        <c:delete val="0"/>
        <c:axPos val="l"/>
        <c:majorGridlines>
          <c:spPr>
            <a:ln w="12654">
              <a:solidFill>
                <a:srgbClr val="000000"/>
              </a:solidFill>
              <a:prstDash val="sysDash"/>
            </a:ln>
          </c:spPr>
        </c:majorGridlines>
        <c:title>
          <c:tx>
            <c:rich>
              <a:bodyPr/>
              <a:lstStyle/>
              <a:p>
                <a:pPr>
                  <a:defRPr sz="1043" b="1" i="0" u="none" strike="noStrike" baseline="0">
                    <a:solidFill>
                      <a:srgbClr val="000000"/>
                    </a:solidFill>
                    <a:latin typeface="Times New Roman"/>
                    <a:ea typeface="Times New Roman"/>
                    <a:cs typeface="Times New Roman"/>
                  </a:defRPr>
                </a:pPr>
                <a:r>
                  <a:rPr lang="es-CR"/>
                  <a:t>Casos</a:t>
                </a:r>
              </a:p>
            </c:rich>
          </c:tx>
          <c:layout>
            <c:manualLayout>
              <c:xMode val="edge"/>
              <c:yMode val="edge"/>
              <c:x val="1.8720677493438347E-2"/>
              <c:y val="0.48138297872340502"/>
            </c:manualLayout>
          </c:layout>
          <c:overlay val="0"/>
          <c:spPr>
            <a:noFill/>
            <a:ln w="25307">
              <a:noFill/>
            </a:ln>
          </c:spPr>
        </c:title>
        <c:numFmt formatCode="General" sourceLinked="1"/>
        <c:majorTickMark val="out"/>
        <c:minorTickMark val="none"/>
        <c:tickLblPos val="nextTo"/>
        <c:spPr>
          <a:ln w="3163">
            <a:solidFill>
              <a:srgbClr val="000000"/>
            </a:solidFill>
            <a:prstDash val="solid"/>
          </a:ln>
        </c:spPr>
        <c:txPr>
          <a:bodyPr rot="0" vert="horz"/>
          <a:lstStyle/>
          <a:p>
            <a:pPr>
              <a:defRPr sz="898" b="1" i="0" u="none" strike="noStrike" baseline="0">
                <a:solidFill>
                  <a:srgbClr val="000000"/>
                </a:solidFill>
                <a:latin typeface="Times New Roman"/>
                <a:ea typeface="Times New Roman"/>
                <a:cs typeface="Times New Roman"/>
              </a:defRPr>
            </a:pPr>
            <a:endParaRPr lang="es-CR"/>
          </a:p>
        </c:txPr>
        <c:crossAx val="269173304"/>
        <c:crosses val="autoZero"/>
        <c:crossBetween val="between"/>
        <c:majorUnit val="500"/>
        <c:minorUnit val="50"/>
      </c:valAx>
      <c:spPr>
        <a:gradFill rotWithShape="0">
          <a:gsLst>
            <a:gs pos="0">
              <a:srgbClr val="FFFFFF"/>
            </a:gs>
            <a:gs pos="100000">
              <a:srgbClr val="FFFFFF">
                <a:gamma/>
                <a:shade val="72941"/>
                <a:invGamma/>
              </a:srgbClr>
            </a:gs>
          </a:gsLst>
          <a:lin ang="5400000" scaled="1"/>
        </a:gradFill>
        <a:ln w="12654">
          <a:solidFill>
            <a:srgbClr val="808080"/>
          </a:solidFill>
          <a:prstDash val="solid"/>
        </a:ln>
      </c:spPr>
    </c:plotArea>
    <c:plotVisOnly val="1"/>
    <c:dispBlanksAs val="zero"/>
    <c:showDLblsOverMax val="0"/>
  </c:chart>
  <c:spPr>
    <a:solidFill>
      <a:srgbClr val="CCFFFF"/>
    </a:solidFill>
    <a:ln w="3163">
      <a:solidFill>
        <a:srgbClr val="000000"/>
      </a:solidFill>
      <a:prstDash val="solid"/>
    </a:ln>
  </c:spPr>
  <c:txPr>
    <a:bodyPr/>
    <a:lstStyle/>
    <a:p>
      <a:pPr>
        <a:defRPr sz="1197" b="1" i="0" u="none" strike="noStrike" baseline="0">
          <a:solidFill>
            <a:srgbClr val="000000"/>
          </a:solidFill>
          <a:latin typeface="Arial"/>
          <a:ea typeface="Arial"/>
          <a:cs typeface="Arial"/>
        </a:defRPr>
      </a:pPr>
      <a:endParaRPr lang="es-C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1195" b="1" i="0" u="none" strike="noStrike" baseline="0">
                <a:solidFill>
                  <a:srgbClr val="000000"/>
                </a:solidFill>
                <a:latin typeface="Times New Roman"/>
                <a:ea typeface="Times New Roman"/>
                <a:cs typeface="Times New Roman"/>
              </a:defRPr>
            </a:pPr>
            <a:r>
              <a:rPr lang="es-CR"/>
              <a:t>Gráfico Nº </a:t>
            </a:r>
            <a:r>
              <a:rPr lang="es-CR">
                <a:solidFill>
                  <a:sysClr val="windowText" lastClr="000000"/>
                </a:solidFill>
              </a:rPr>
              <a:t>6</a:t>
            </a:r>
            <a:r>
              <a:rPr lang="es-CR"/>
              <a:t>
Distribución porcentual del número de votos emitidos según tipo en el Tribunal Disciplinario Notarial. 2015</a:t>
            </a:r>
          </a:p>
        </c:rich>
      </c:tx>
      <c:layout>
        <c:manualLayout>
          <c:xMode val="edge"/>
          <c:yMode val="edge"/>
          <c:x val="0.11684363318221594"/>
          <c:y val="1.9802050605743277E-2"/>
        </c:manualLayout>
      </c:layout>
      <c:overlay val="0"/>
      <c:spPr>
        <a:noFill/>
        <a:ln w="25308">
          <a:noFill/>
        </a:ln>
      </c:spPr>
    </c:title>
    <c:autoTitleDeleted val="0"/>
    <c:view3D>
      <c:rotX val="15"/>
      <c:rotY val="360"/>
      <c:rAngAx val="0"/>
      <c:perspective val="0"/>
    </c:view3D>
    <c:floor>
      <c:thickness val="0"/>
    </c:floor>
    <c:sideWall>
      <c:thickness val="0"/>
    </c:sideWall>
    <c:backWall>
      <c:thickness val="0"/>
    </c:backWall>
    <c:plotArea>
      <c:layout>
        <c:manualLayout>
          <c:layoutTarget val="inner"/>
          <c:xMode val="edge"/>
          <c:yMode val="edge"/>
          <c:x val="0.20683111954459218"/>
          <c:y val="0.40740740740740738"/>
          <c:w val="0.63567362428842633"/>
          <c:h val="0.41049382716049382"/>
        </c:manualLayout>
      </c:layout>
      <c:pie3DChart>
        <c:varyColors val="1"/>
        <c:ser>
          <c:idx val="0"/>
          <c:order val="0"/>
          <c:tx>
            <c:strRef>
              <c:f>Sheet1!$A$2</c:f>
              <c:strCache>
                <c:ptCount val="1"/>
                <c:pt idx="0">
                  <c:v>Casos terminados</c:v>
                </c:pt>
              </c:strCache>
            </c:strRef>
          </c:tx>
          <c:spPr>
            <a:solidFill>
              <a:srgbClr val="9999FF"/>
            </a:solidFill>
            <a:ln w="12654">
              <a:solidFill>
                <a:srgbClr val="000000"/>
              </a:solidFill>
              <a:prstDash val="solid"/>
            </a:ln>
          </c:spPr>
          <c:explosion val="12"/>
          <c:dPt>
            <c:idx val="0"/>
            <c:bubble3D val="0"/>
            <c:spPr>
              <a:solidFill>
                <a:srgbClr val="FF8080"/>
              </a:solidFill>
              <a:ln w="12654">
                <a:solidFill>
                  <a:srgbClr val="000000"/>
                </a:solidFill>
                <a:prstDash val="solid"/>
              </a:ln>
            </c:spPr>
            <c:extLst xmlns:c16r2="http://schemas.microsoft.com/office/drawing/2015/06/chart">
              <c:ext xmlns:c16="http://schemas.microsoft.com/office/drawing/2014/chart" uri="{C3380CC4-5D6E-409C-BE32-E72D297353CC}">
                <c16:uniqueId val="{00000000-1883-4E5A-B6BD-7F3394064D40}"/>
              </c:ext>
            </c:extLst>
          </c:dPt>
          <c:dPt>
            <c:idx val="1"/>
            <c:bubble3D val="0"/>
            <c:spPr>
              <a:solidFill>
                <a:srgbClr val="00CCFF"/>
              </a:solidFill>
              <a:ln w="12654">
                <a:solidFill>
                  <a:srgbClr val="000000"/>
                </a:solidFill>
                <a:prstDash val="solid"/>
              </a:ln>
            </c:spPr>
            <c:extLst xmlns:c16r2="http://schemas.microsoft.com/office/drawing/2015/06/chart">
              <c:ext xmlns:c16="http://schemas.microsoft.com/office/drawing/2014/chart" uri="{C3380CC4-5D6E-409C-BE32-E72D297353CC}">
                <c16:uniqueId val="{00000001-1883-4E5A-B6BD-7F3394064D40}"/>
              </c:ext>
            </c:extLst>
          </c:dPt>
          <c:dPt>
            <c:idx val="2"/>
            <c:bubble3D val="0"/>
            <c:spPr>
              <a:solidFill>
                <a:srgbClr val="FFFF00"/>
              </a:solidFill>
              <a:ln w="12654">
                <a:solidFill>
                  <a:srgbClr val="000000"/>
                </a:solidFill>
                <a:prstDash val="solid"/>
              </a:ln>
            </c:spPr>
            <c:extLst xmlns:c16r2="http://schemas.microsoft.com/office/drawing/2015/06/chart">
              <c:ext xmlns:c16="http://schemas.microsoft.com/office/drawing/2014/chart" uri="{C3380CC4-5D6E-409C-BE32-E72D297353CC}">
                <c16:uniqueId val="{00000002-1883-4E5A-B6BD-7F3394064D40}"/>
              </c:ext>
            </c:extLst>
          </c:dPt>
          <c:dPt>
            <c:idx val="3"/>
            <c:bubble3D val="0"/>
            <c:spPr>
              <a:solidFill>
                <a:srgbClr val="969696"/>
              </a:solidFill>
              <a:ln w="12654">
                <a:solidFill>
                  <a:srgbClr val="000000"/>
                </a:solidFill>
                <a:prstDash val="solid"/>
              </a:ln>
            </c:spPr>
            <c:extLst xmlns:c16r2="http://schemas.microsoft.com/office/drawing/2015/06/chart">
              <c:ext xmlns:c16="http://schemas.microsoft.com/office/drawing/2014/chart" uri="{C3380CC4-5D6E-409C-BE32-E72D297353CC}">
                <c16:uniqueId val="{00000003-1883-4E5A-B6BD-7F3394064D40}"/>
              </c:ext>
            </c:extLst>
          </c:dPt>
          <c:dPt>
            <c:idx val="4"/>
            <c:bubble3D val="0"/>
            <c:spPr>
              <a:solidFill>
                <a:srgbClr val="FF9900"/>
              </a:solidFill>
              <a:ln w="12654">
                <a:solidFill>
                  <a:srgbClr val="000000"/>
                </a:solidFill>
                <a:prstDash val="solid"/>
              </a:ln>
            </c:spPr>
            <c:extLst xmlns:c16r2="http://schemas.microsoft.com/office/drawing/2015/06/chart">
              <c:ext xmlns:c16="http://schemas.microsoft.com/office/drawing/2014/chart" uri="{C3380CC4-5D6E-409C-BE32-E72D297353CC}">
                <c16:uniqueId val="{00000004-1883-4E5A-B6BD-7F3394064D40}"/>
              </c:ext>
            </c:extLst>
          </c:dPt>
          <c:dPt>
            <c:idx val="5"/>
            <c:bubble3D val="0"/>
            <c:spPr>
              <a:solidFill>
                <a:srgbClr val="339966"/>
              </a:solidFill>
              <a:ln w="12654">
                <a:solidFill>
                  <a:srgbClr val="000000"/>
                </a:solidFill>
                <a:prstDash val="solid"/>
              </a:ln>
            </c:spPr>
            <c:extLst xmlns:c16r2="http://schemas.microsoft.com/office/drawing/2015/06/chart">
              <c:ext xmlns:c16="http://schemas.microsoft.com/office/drawing/2014/chart" uri="{C3380CC4-5D6E-409C-BE32-E72D297353CC}">
                <c16:uniqueId val="{00000005-1883-4E5A-B6BD-7F3394064D40}"/>
              </c:ext>
            </c:extLst>
          </c:dPt>
          <c:dLbls>
            <c:dLbl>
              <c:idx val="0"/>
              <c:layout>
                <c:manualLayout>
                  <c:x val="-0.25889758585328498"/>
                  <c:y val="-0.14753729422436124"/>
                </c:manualLayout>
              </c:layout>
              <c:tx>
                <c:rich>
                  <a:bodyPr/>
                  <a:lstStyle/>
                  <a:p>
                    <a:pPr>
                      <a:defRPr sz="1419" b="1" i="0" u="none" strike="noStrike" baseline="0">
                        <a:solidFill>
                          <a:srgbClr val="000000"/>
                        </a:solidFill>
                        <a:latin typeface="Arial"/>
                        <a:ea typeface="Arial"/>
                        <a:cs typeface="Arial"/>
                      </a:defRPr>
                    </a:pPr>
                    <a:r>
                      <a:rPr lang="en-US" sz="793" b="1" i="0" strike="noStrike">
                        <a:solidFill>
                          <a:srgbClr val="000000"/>
                        </a:solidFill>
                        <a:latin typeface="Times New Roman"/>
                        <a:cs typeface="Times New Roman"/>
                      </a:rPr>
                      <a:t>Confirmatoria</a:t>
                    </a:r>
                  </a:p>
                  <a:p>
                    <a:pPr>
                      <a:defRPr sz="1419" b="1" i="0" u="none" strike="noStrike" baseline="0">
                        <a:solidFill>
                          <a:srgbClr val="000000"/>
                        </a:solidFill>
                        <a:latin typeface="Arial"/>
                        <a:ea typeface="Arial"/>
                        <a:cs typeface="Arial"/>
                      </a:defRPr>
                    </a:pPr>
                    <a:r>
                      <a:rPr lang="en-US" sz="968" b="1" i="0" strike="noStrike">
                        <a:solidFill>
                          <a:srgbClr val="000000"/>
                        </a:solidFill>
                        <a:latin typeface="Times New Roman"/>
                        <a:cs typeface="Times New Roman"/>
                      </a:rPr>
                      <a:t>58%</a:t>
                    </a:r>
                  </a:p>
                </c:rich>
              </c:tx>
              <c:spPr>
                <a:noFill/>
                <a:ln w="25308">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1883-4E5A-B6BD-7F3394064D40}"/>
                </c:ext>
                <c:ext xmlns:c15="http://schemas.microsoft.com/office/drawing/2012/chart" uri="{CE6537A1-D6FC-4f65-9D91-7224C49458BB}"/>
              </c:extLst>
            </c:dLbl>
            <c:dLbl>
              <c:idx val="1"/>
              <c:layout>
                <c:manualLayout>
                  <c:x val="0.18052399759551729"/>
                  <c:y val="-0.15061465707875638"/>
                </c:manualLayout>
              </c:layout>
              <c:tx>
                <c:rich>
                  <a:bodyPr/>
                  <a:lstStyle/>
                  <a:p>
                    <a:pPr>
                      <a:defRPr sz="1422" b="1" i="0" u="none" strike="noStrike" baseline="0">
                        <a:solidFill>
                          <a:srgbClr val="000000"/>
                        </a:solidFill>
                        <a:latin typeface="Arial"/>
                        <a:ea typeface="Arial"/>
                        <a:cs typeface="Arial"/>
                      </a:defRPr>
                    </a:pPr>
                    <a:r>
                      <a:rPr lang="en-US" sz="793" b="1" i="0" strike="noStrike">
                        <a:solidFill>
                          <a:srgbClr val="000000"/>
                        </a:solidFill>
                        <a:latin typeface="Times New Roman"/>
                        <a:cs typeface="Times New Roman"/>
                      </a:rPr>
                      <a:t>Revoca</a:t>
                    </a:r>
                    <a:r>
                      <a:rPr lang="en-US" sz="968" b="1" i="0" strike="noStrike">
                        <a:solidFill>
                          <a:srgbClr val="000000"/>
                        </a:solidFill>
                        <a:latin typeface="Times New Roman"/>
                        <a:cs typeface="Times New Roman"/>
                      </a:rPr>
                      <a:t> 19%</a:t>
                    </a:r>
                  </a:p>
                </c:rich>
              </c:tx>
              <c:spPr>
                <a:noFill/>
                <a:ln w="25308">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1883-4E5A-B6BD-7F3394064D40}"/>
                </c:ext>
                <c:ext xmlns:c15="http://schemas.microsoft.com/office/drawing/2012/chart" uri="{CE6537A1-D6FC-4f65-9D91-7224C49458BB}"/>
              </c:extLst>
            </c:dLbl>
            <c:dLbl>
              <c:idx val="2"/>
              <c:layout>
                <c:manualLayout>
                  <c:x val="-8.8041082639848667E-2"/>
                  <c:y val="3.0503875753154649E-2"/>
                </c:manualLayout>
              </c:layout>
              <c:tx>
                <c:rich>
                  <a:bodyPr/>
                  <a:lstStyle/>
                  <a:p>
                    <a:pPr>
                      <a:defRPr sz="1419" b="1" i="0" u="none" strike="noStrike" baseline="0">
                        <a:solidFill>
                          <a:srgbClr val="000000"/>
                        </a:solidFill>
                        <a:latin typeface="Arial"/>
                        <a:ea typeface="Arial"/>
                        <a:cs typeface="Arial"/>
                      </a:defRPr>
                    </a:pPr>
                    <a:r>
                      <a:rPr lang="en-US" sz="793" b="1" i="0" strike="noStrike">
                        <a:solidFill>
                          <a:srgbClr val="000000"/>
                        </a:solidFill>
                        <a:latin typeface="Times New Roman"/>
                        <a:cs typeface="Times New Roman"/>
                      </a:rPr>
                      <a:t>Anula</a:t>
                    </a:r>
                  </a:p>
                  <a:p>
                    <a:pPr>
                      <a:defRPr sz="1419" b="1" i="0" u="none" strike="noStrike" baseline="0">
                        <a:solidFill>
                          <a:srgbClr val="000000"/>
                        </a:solidFill>
                        <a:latin typeface="Arial"/>
                        <a:ea typeface="Arial"/>
                        <a:cs typeface="Arial"/>
                      </a:defRPr>
                    </a:pPr>
                    <a:r>
                      <a:rPr lang="en-US" sz="968" b="1" i="0" strike="noStrike">
                        <a:solidFill>
                          <a:srgbClr val="000000"/>
                        </a:solidFill>
                        <a:latin typeface="Times New Roman"/>
                        <a:cs typeface="Times New Roman"/>
                      </a:rPr>
                      <a:t>12%</a:t>
                    </a:r>
                  </a:p>
                </c:rich>
              </c:tx>
              <c:spPr>
                <a:noFill/>
                <a:ln w="25308">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1883-4E5A-B6BD-7F3394064D40}"/>
                </c:ext>
                <c:ext xmlns:c15="http://schemas.microsoft.com/office/drawing/2012/chart" uri="{CE6537A1-D6FC-4f65-9D91-7224C49458BB}"/>
              </c:extLst>
            </c:dLbl>
            <c:dLbl>
              <c:idx val="3"/>
              <c:layout>
                <c:manualLayout>
                  <c:x val="-0.11375594418170699"/>
                  <c:y val="-1.7847017266406091E-2"/>
                </c:manualLayout>
              </c:layout>
              <c:tx>
                <c:rich>
                  <a:bodyPr/>
                  <a:lstStyle/>
                  <a:p>
                    <a:pPr>
                      <a:defRPr sz="1419" b="1" i="0" u="none" strike="noStrike" baseline="0">
                        <a:solidFill>
                          <a:srgbClr val="000000"/>
                        </a:solidFill>
                        <a:latin typeface="Arial"/>
                        <a:ea typeface="Arial"/>
                        <a:cs typeface="Arial"/>
                      </a:defRPr>
                    </a:pPr>
                    <a:r>
                      <a:rPr lang="en-US" sz="793" b="1" i="0" strike="noStrike">
                        <a:solidFill>
                          <a:srgbClr val="000000"/>
                        </a:solidFill>
                        <a:latin typeface="Times New Roman"/>
                        <a:cs typeface="Times New Roman"/>
                      </a:rPr>
                      <a:t>Mal admitida</a:t>
                    </a:r>
                  </a:p>
                  <a:p>
                    <a:pPr>
                      <a:defRPr sz="1419" b="1" i="0" u="none" strike="noStrike" baseline="0">
                        <a:solidFill>
                          <a:srgbClr val="000000"/>
                        </a:solidFill>
                        <a:latin typeface="Arial"/>
                        <a:ea typeface="Arial"/>
                        <a:cs typeface="Arial"/>
                      </a:defRPr>
                    </a:pPr>
                    <a:r>
                      <a:rPr lang="en-US" sz="968" b="1" i="0" strike="noStrike">
                        <a:solidFill>
                          <a:srgbClr val="000000"/>
                        </a:solidFill>
                        <a:latin typeface="Times New Roman"/>
                        <a:cs typeface="Times New Roman"/>
                      </a:rPr>
                      <a:t>3%</a:t>
                    </a:r>
                  </a:p>
                </c:rich>
              </c:tx>
              <c:spPr>
                <a:noFill/>
                <a:ln w="25308">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1883-4E5A-B6BD-7F3394064D40}"/>
                </c:ext>
                <c:ext xmlns:c15="http://schemas.microsoft.com/office/drawing/2012/chart" uri="{CE6537A1-D6FC-4f65-9D91-7224C49458BB}"/>
              </c:extLst>
            </c:dLbl>
            <c:dLbl>
              <c:idx val="4"/>
              <c:layout>
                <c:manualLayout>
                  <c:x val="-6.6772843422624684E-2"/>
                  <c:y val="-9.2531208970165826E-2"/>
                </c:manualLayout>
              </c:layout>
              <c:tx>
                <c:rich>
                  <a:bodyPr/>
                  <a:lstStyle/>
                  <a:p>
                    <a:pPr>
                      <a:defRPr sz="1419" b="1" i="0" u="none" strike="noStrike" baseline="0">
                        <a:solidFill>
                          <a:srgbClr val="000000"/>
                        </a:solidFill>
                        <a:latin typeface="Arial"/>
                        <a:ea typeface="Arial"/>
                        <a:cs typeface="Arial"/>
                      </a:defRPr>
                    </a:pPr>
                    <a:r>
                      <a:rPr lang="en-US" sz="793" b="1" i="0" strike="noStrike">
                        <a:solidFill>
                          <a:srgbClr val="000000"/>
                        </a:solidFill>
                        <a:latin typeface="Times New Roman"/>
                        <a:cs typeface="Times New Roman"/>
                      </a:rPr>
                      <a:t>Modificatoria</a:t>
                    </a:r>
                  </a:p>
                  <a:p>
                    <a:pPr>
                      <a:defRPr sz="1419" b="1" i="0" u="none" strike="noStrike" baseline="0">
                        <a:solidFill>
                          <a:srgbClr val="000000"/>
                        </a:solidFill>
                        <a:latin typeface="Arial"/>
                        <a:ea typeface="Arial"/>
                        <a:cs typeface="Arial"/>
                      </a:defRPr>
                    </a:pPr>
                    <a:r>
                      <a:rPr lang="en-US" sz="968" b="1" i="0" strike="noStrike">
                        <a:solidFill>
                          <a:srgbClr val="000000"/>
                        </a:solidFill>
                        <a:latin typeface="Times New Roman"/>
                        <a:cs typeface="Times New Roman"/>
                      </a:rPr>
                      <a:t>3%</a:t>
                    </a:r>
                  </a:p>
                </c:rich>
              </c:tx>
              <c:spPr>
                <a:noFill/>
                <a:ln w="25308">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1883-4E5A-B6BD-7F3394064D40}"/>
                </c:ext>
                <c:ext xmlns:c15="http://schemas.microsoft.com/office/drawing/2012/chart" uri="{CE6537A1-D6FC-4f65-9D91-7224C49458BB}"/>
              </c:extLst>
            </c:dLbl>
            <c:dLbl>
              <c:idx val="5"/>
              <c:layout>
                <c:manualLayout>
                  <c:x val="4.0801499836498348E-2"/>
                  <c:y val="-3.3634632304625212E-2"/>
                </c:manualLayout>
              </c:layout>
              <c:tx>
                <c:rich>
                  <a:bodyPr/>
                  <a:lstStyle/>
                  <a:p>
                    <a:pPr>
                      <a:defRPr sz="1419" b="1" i="0" u="none" strike="noStrike" baseline="0">
                        <a:solidFill>
                          <a:srgbClr val="000000"/>
                        </a:solidFill>
                        <a:latin typeface="Arial"/>
                        <a:ea typeface="Arial"/>
                        <a:cs typeface="Arial"/>
                      </a:defRPr>
                    </a:pPr>
                    <a:r>
                      <a:rPr lang="en-US" sz="793" b="1" i="0" strike="noStrike">
                        <a:solidFill>
                          <a:srgbClr val="000000"/>
                        </a:solidFill>
                        <a:latin typeface="Times New Roman"/>
                        <a:cs typeface="Times New Roman"/>
                      </a:rPr>
                      <a:t>Otros</a:t>
                    </a:r>
                  </a:p>
                  <a:p>
                    <a:pPr>
                      <a:defRPr sz="1419" b="1" i="0" u="none" strike="noStrike" baseline="0">
                        <a:solidFill>
                          <a:srgbClr val="000000"/>
                        </a:solidFill>
                        <a:latin typeface="Arial"/>
                        <a:ea typeface="Arial"/>
                        <a:cs typeface="Arial"/>
                      </a:defRPr>
                    </a:pPr>
                    <a:r>
                      <a:rPr lang="en-US" sz="968" b="1" i="0" strike="noStrike">
                        <a:solidFill>
                          <a:srgbClr val="000000"/>
                        </a:solidFill>
                        <a:latin typeface="Times New Roman"/>
                        <a:cs typeface="Times New Roman"/>
                      </a:rPr>
                      <a:t>5%</a:t>
                    </a:r>
                  </a:p>
                </c:rich>
              </c:tx>
              <c:spPr>
                <a:noFill/>
                <a:ln w="25308">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1883-4E5A-B6BD-7F3394064D40}"/>
                </c:ext>
                <c:ext xmlns:c15="http://schemas.microsoft.com/office/drawing/2012/chart" uri="{CE6537A1-D6FC-4f65-9D91-7224C49458BB}"/>
              </c:extLst>
            </c:dLbl>
            <c:dLbl>
              <c:idx val="6"/>
              <c:layout>
                <c:manualLayout>
                  <c:xMode val="edge"/>
                  <c:yMode val="edge"/>
                  <c:x val="0.67678300455235263"/>
                  <c:y val="0.2524752475247524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1883-4E5A-B6BD-7F3394064D40}"/>
                </c:ext>
                <c:ext xmlns:c15="http://schemas.microsoft.com/office/drawing/2012/chart" uri="{CE6537A1-D6FC-4f65-9D91-7224C49458BB}"/>
              </c:extLst>
            </c:dLbl>
            <c:numFmt formatCode="0%" sourceLinked="0"/>
            <c:spPr>
              <a:noFill/>
              <a:ln w="25308">
                <a:noFill/>
              </a:ln>
            </c:spPr>
            <c:txPr>
              <a:bodyPr/>
              <a:lstStyle/>
              <a:p>
                <a:pPr>
                  <a:defRPr sz="1197"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Sheet1!$B$1:$G$1</c:f>
              <c:strCache>
                <c:ptCount val="6"/>
                <c:pt idx="0">
                  <c:v>Confirmatoria</c:v>
                </c:pt>
                <c:pt idx="1">
                  <c:v>Revoca</c:v>
                </c:pt>
                <c:pt idx="2">
                  <c:v>Anula</c:v>
                </c:pt>
                <c:pt idx="3">
                  <c:v>Mal admitida</c:v>
                </c:pt>
                <c:pt idx="4">
                  <c:v>Modificatoria</c:v>
                </c:pt>
                <c:pt idx="5">
                  <c:v>Otros</c:v>
                </c:pt>
              </c:strCache>
            </c:strRef>
          </c:cat>
          <c:val>
            <c:numRef>
              <c:f>Sheet1!$B$2:$G$2</c:f>
              <c:numCache>
                <c:formatCode>General</c:formatCode>
                <c:ptCount val="6"/>
                <c:pt idx="0">
                  <c:v>167</c:v>
                </c:pt>
                <c:pt idx="1">
                  <c:v>53</c:v>
                </c:pt>
                <c:pt idx="2">
                  <c:v>36</c:v>
                </c:pt>
                <c:pt idx="3">
                  <c:v>10</c:v>
                </c:pt>
                <c:pt idx="4">
                  <c:v>10</c:v>
                </c:pt>
                <c:pt idx="5">
                  <c:v>15</c:v>
                </c:pt>
              </c:numCache>
            </c:numRef>
          </c:val>
          <c:extLst xmlns:c16r2="http://schemas.microsoft.com/office/drawing/2015/06/chart">
            <c:ext xmlns:c16="http://schemas.microsoft.com/office/drawing/2014/chart" uri="{C3380CC4-5D6E-409C-BE32-E72D297353CC}">
              <c16:uniqueId val="{00000007-1883-4E5A-B6BD-7F3394064D40}"/>
            </c:ext>
          </c:extLst>
        </c:ser>
        <c:dLbls>
          <c:showLegendKey val="0"/>
          <c:showVal val="0"/>
          <c:showCatName val="1"/>
          <c:showSerName val="0"/>
          <c:showPercent val="1"/>
          <c:showBubbleSize val="0"/>
          <c:showLeaderLines val="1"/>
        </c:dLbls>
      </c:pie3DChart>
      <c:spPr>
        <a:noFill/>
        <a:ln w="25346">
          <a:noFill/>
        </a:ln>
      </c:spPr>
    </c:plotArea>
    <c:plotVisOnly val="1"/>
    <c:dispBlanksAs val="zero"/>
    <c:showDLblsOverMax val="0"/>
  </c:chart>
  <c:spPr>
    <a:gradFill rotWithShape="0">
      <a:gsLst>
        <a:gs pos="0">
          <a:srgbClr val="00CCFF">
            <a:gamma/>
            <a:tint val="15686"/>
            <a:invGamma/>
          </a:srgbClr>
        </a:gs>
        <a:gs pos="50000">
          <a:srgbClr val="00CCFF"/>
        </a:gs>
        <a:gs pos="100000">
          <a:srgbClr val="00CCFF">
            <a:gamma/>
            <a:tint val="15686"/>
            <a:invGamma/>
          </a:srgbClr>
        </a:gs>
      </a:gsLst>
      <a:lin ang="5400000" scaled="1"/>
    </a:gradFill>
    <a:ln w="3163">
      <a:solidFill>
        <a:srgbClr val="000000"/>
      </a:solidFill>
      <a:prstDash val="solid"/>
    </a:ln>
    <a:effectLst>
      <a:outerShdw dist="35921" dir="2700000" algn="br">
        <a:srgbClr val="000000"/>
      </a:outerShdw>
    </a:effectLst>
  </c:spPr>
  <c:txPr>
    <a:bodyPr/>
    <a:lstStyle/>
    <a:p>
      <a:pPr>
        <a:defRPr sz="1422" b="1" i="0" u="none" strike="noStrike" baseline="0">
          <a:solidFill>
            <a:srgbClr val="000000"/>
          </a:solidFill>
          <a:latin typeface="Arial"/>
          <a:ea typeface="Arial"/>
          <a:cs typeface="Arial"/>
        </a:defRPr>
      </a:pPr>
      <a:endParaRPr lang="es-CR"/>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1197" b="1" i="0" u="none" strike="noStrike" baseline="0">
                <a:solidFill>
                  <a:srgbClr val="000000"/>
                </a:solidFill>
                <a:latin typeface="Times New Roman"/>
                <a:ea typeface="Times New Roman"/>
                <a:cs typeface="Times New Roman"/>
              </a:defRPr>
            </a:pPr>
            <a:r>
              <a:rPr lang="es-CR" sz="1197"/>
              <a:t>Gráfico N° </a:t>
            </a:r>
            <a:r>
              <a:rPr lang="es-CR" sz="1197">
                <a:solidFill>
                  <a:sysClr val="windowText" lastClr="000000"/>
                </a:solidFill>
              </a:rPr>
              <a:t>7</a:t>
            </a:r>
            <a:r>
              <a:rPr lang="es-CR" sz="1197"/>
              <a:t>
Evolución de volumen de casos en trámite al finalizar el año en el Tribunal Disciplinario Notarial desde el 2010</a:t>
            </a:r>
          </a:p>
        </c:rich>
      </c:tx>
      <c:layout>
        <c:manualLayout>
          <c:xMode val="edge"/>
          <c:yMode val="edge"/>
          <c:x val="0.10124620572663179"/>
          <c:y val="2.0253224554605615E-2"/>
        </c:manualLayout>
      </c:layout>
      <c:overlay val="0"/>
      <c:spPr>
        <a:noFill/>
        <a:ln w="25328">
          <a:noFill/>
        </a:ln>
      </c:spPr>
    </c:title>
    <c:autoTitleDeleted val="0"/>
    <c:plotArea>
      <c:layout>
        <c:manualLayout>
          <c:layoutTarget val="inner"/>
          <c:xMode val="edge"/>
          <c:yMode val="edge"/>
          <c:x val="0.1328125"/>
          <c:y val="0.2050561797752809"/>
          <c:w val="0.798828125"/>
          <c:h val="0.61797752808988826"/>
        </c:manualLayout>
      </c:layout>
      <c:lineChart>
        <c:grouping val="stacked"/>
        <c:varyColors val="0"/>
        <c:ser>
          <c:idx val="0"/>
          <c:order val="0"/>
          <c:tx>
            <c:strRef>
              <c:f>Sheet1!$A$2</c:f>
              <c:strCache>
                <c:ptCount val="1"/>
                <c:pt idx="0">
                  <c:v>Existencia al finalizar</c:v>
                </c:pt>
              </c:strCache>
            </c:strRef>
          </c:tx>
          <c:spPr>
            <a:ln w="12669">
              <a:solidFill>
                <a:srgbClr val="000000"/>
              </a:solidFill>
              <a:prstDash val="solid"/>
            </a:ln>
          </c:spPr>
          <c:marker>
            <c:symbol val="diamond"/>
            <c:size val="4"/>
            <c:spPr>
              <a:solidFill>
                <a:srgbClr val="000000"/>
              </a:solidFill>
              <a:ln>
                <a:solidFill>
                  <a:srgbClr val="000000"/>
                </a:solidFill>
                <a:prstDash val="solid"/>
              </a:ln>
            </c:spPr>
          </c:marker>
          <c:dLbls>
            <c:dLbl>
              <c:idx val="0"/>
              <c:layout>
                <c:manualLayout>
                  <c:x val="-4.0583189296459855E-2"/>
                  <c:y val="-4.771845006019682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8FD-42B1-9893-8BC80A82CEF0}"/>
                </c:ext>
                <c:ext xmlns:c15="http://schemas.microsoft.com/office/drawing/2012/chart" uri="{CE6537A1-D6FC-4f65-9D91-7224C49458BB}"/>
              </c:extLst>
            </c:dLbl>
            <c:dLbl>
              <c:idx val="1"/>
              <c:layout>
                <c:manualLayout>
                  <c:x val="-3.3054600295432578E-2"/>
                  <c:y val="-4.659443315461591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8FD-42B1-9893-8BC80A82CEF0}"/>
                </c:ext>
                <c:ext xmlns:c15="http://schemas.microsoft.com/office/drawing/2012/chart" uri="{CE6537A1-D6FC-4f65-9D91-7224C49458BB}"/>
              </c:extLst>
            </c:dLbl>
            <c:dLbl>
              <c:idx val="2"/>
              <c:layout>
                <c:manualLayout>
                  <c:x val="-7.2254983257022121E-2"/>
                  <c:y val="-2.884252139090137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8FD-42B1-9893-8BC80A82CEF0}"/>
                </c:ext>
                <c:ext xmlns:c15="http://schemas.microsoft.com/office/drawing/2012/chart" uri="{CE6537A1-D6FC-4f65-9D91-7224C49458BB}"/>
              </c:extLst>
            </c:dLbl>
            <c:dLbl>
              <c:idx val="3"/>
              <c:layout>
                <c:manualLayout>
                  <c:x val="-1.6439989945837601E-2"/>
                  <c:y val="-3.577937711826449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8FD-42B1-9893-8BC80A82CEF0}"/>
                </c:ext>
                <c:ext xmlns:c15="http://schemas.microsoft.com/office/drawing/2012/chart" uri="{CE6537A1-D6FC-4f65-9D91-7224C49458BB}"/>
              </c:extLst>
            </c:dLbl>
            <c:dLbl>
              <c:idx val="4"/>
              <c:layout>
                <c:manualLayout>
                  <c:x val="-5.7961361473022419E-3"/>
                  <c:y val="-3.713604112134923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8FD-42B1-9893-8BC80A82CEF0}"/>
                </c:ext>
                <c:ext xmlns:c15="http://schemas.microsoft.com/office/drawing/2012/chart" uri="{CE6537A1-D6FC-4f65-9D91-7224C49458BB}"/>
              </c:extLst>
            </c:dLbl>
            <c:dLbl>
              <c:idx val="5"/>
              <c:layout>
                <c:manualLayout>
                  <c:x val="-9.1709739375520107E-3"/>
                  <c:y val="-2.34348329404568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8FD-42B1-9893-8BC80A82CEF0}"/>
                </c:ext>
                <c:ext xmlns:c15="http://schemas.microsoft.com/office/drawing/2012/chart" uri="{CE6537A1-D6FC-4f65-9D91-7224C49458BB}"/>
              </c:extLst>
            </c:dLbl>
            <c:spPr>
              <a:noFill/>
              <a:ln w="25328">
                <a:noFill/>
              </a:ln>
            </c:spPr>
            <c:txPr>
              <a:bodyPr/>
              <a:lstStyle/>
              <a:p>
                <a:pPr>
                  <a:defRPr sz="1097" b="0" i="0" u="none" strike="noStrike" baseline="0">
                    <a:solidFill>
                      <a:srgbClr val="000000"/>
                    </a:solidFill>
                    <a:latin typeface="Times New Roman"/>
                    <a:ea typeface="Times New Roman"/>
                    <a:cs typeface="Times New Roman"/>
                  </a:defRPr>
                </a:pPr>
                <a:endParaRPr lang="es-C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Sheet1!$B$1:$P$1</c:f>
              <c:numCache>
                <c:formatCode>General</c:formatCode>
                <c:ptCount val="6"/>
                <c:pt idx="0">
                  <c:v>2010</c:v>
                </c:pt>
                <c:pt idx="1">
                  <c:v>2011</c:v>
                </c:pt>
                <c:pt idx="2">
                  <c:v>2012</c:v>
                </c:pt>
                <c:pt idx="3">
                  <c:v>2013</c:v>
                </c:pt>
                <c:pt idx="4">
                  <c:v>2014</c:v>
                </c:pt>
                <c:pt idx="5">
                  <c:v>2015</c:v>
                </c:pt>
              </c:numCache>
            </c:numRef>
          </c:cat>
          <c:val>
            <c:numRef>
              <c:f>Sheet1!$B$2:$P$2</c:f>
              <c:numCache>
                <c:formatCode>General</c:formatCode>
                <c:ptCount val="6"/>
                <c:pt idx="0">
                  <c:v>80</c:v>
                </c:pt>
                <c:pt idx="1">
                  <c:v>97</c:v>
                </c:pt>
                <c:pt idx="2">
                  <c:v>138</c:v>
                </c:pt>
                <c:pt idx="3">
                  <c:v>193</c:v>
                </c:pt>
                <c:pt idx="4">
                  <c:v>195</c:v>
                </c:pt>
                <c:pt idx="5">
                  <c:v>131</c:v>
                </c:pt>
              </c:numCache>
            </c:numRef>
          </c:val>
          <c:smooth val="1"/>
          <c:extLst xmlns:c16r2="http://schemas.microsoft.com/office/drawing/2015/06/chart">
            <c:ext xmlns:c16="http://schemas.microsoft.com/office/drawing/2014/chart" uri="{C3380CC4-5D6E-409C-BE32-E72D297353CC}">
              <c16:uniqueId val="{00000006-28FD-42B1-9893-8BC80A82CEF0}"/>
            </c:ext>
          </c:extLst>
        </c:ser>
        <c:dLbls>
          <c:showLegendKey val="0"/>
          <c:showVal val="1"/>
          <c:showCatName val="0"/>
          <c:showSerName val="0"/>
          <c:showPercent val="0"/>
          <c:showBubbleSize val="0"/>
        </c:dLbls>
        <c:marker val="1"/>
        <c:smooth val="0"/>
        <c:axId val="268884832"/>
        <c:axId val="268885224"/>
      </c:lineChart>
      <c:catAx>
        <c:axId val="268884832"/>
        <c:scaling>
          <c:orientation val="minMax"/>
        </c:scaling>
        <c:delete val="0"/>
        <c:axPos val="b"/>
        <c:title>
          <c:tx>
            <c:rich>
              <a:bodyPr/>
              <a:lstStyle/>
              <a:p>
                <a:pPr>
                  <a:defRPr sz="1072"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5"/>
              <c:y val="0.85316441821747524"/>
            </c:manualLayout>
          </c:layout>
          <c:overlay val="0"/>
          <c:spPr>
            <a:noFill/>
            <a:ln w="25328">
              <a:noFill/>
            </a:ln>
          </c:spPr>
        </c:title>
        <c:numFmt formatCode="General" sourceLinked="1"/>
        <c:majorTickMark val="out"/>
        <c:minorTickMark val="none"/>
        <c:tickLblPos val="nextTo"/>
        <c:spPr>
          <a:ln w="3166">
            <a:solidFill>
              <a:srgbClr val="000000"/>
            </a:solidFill>
            <a:prstDash val="solid"/>
          </a:ln>
        </c:spPr>
        <c:txPr>
          <a:bodyPr rot="0" vert="horz"/>
          <a:lstStyle/>
          <a:p>
            <a:pPr>
              <a:defRPr sz="948" b="1" i="0" u="none" strike="noStrike" baseline="0">
                <a:solidFill>
                  <a:srgbClr val="000000"/>
                </a:solidFill>
                <a:latin typeface="Times New Roman"/>
                <a:ea typeface="Times New Roman"/>
                <a:cs typeface="Times New Roman"/>
              </a:defRPr>
            </a:pPr>
            <a:endParaRPr lang="es-CR"/>
          </a:p>
        </c:txPr>
        <c:crossAx val="268885224"/>
        <c:crossesAt val="0"/>
        <c:auto val="1"/>
        <c:lblAlgn val="ctr"/>
        <c:lblOffset val="100"/>
        <c:tickLblSkip val="1"/>
        <c:tickMarkSkip val="1"/>
        <c:noMultiLvlLbl val="0"/>
      </c:catAx>
      <c:valAx>
        <c:axId val="268885224"/>
        <c:scaling>
          <c:orientation val="minMax"/>
          <c:max val="250"/>
          <c:min val="0"/>
        </c:scaling>
        <c:delete val="0"/>
        <c:axPos val="l"/>
        <c:majorGridlines>
          <c:spPr>
            <a:ln w="12664">
              <a:solidFill>
                <a:srgbClr val="000000"/>
              </a:solidFill>
              <a:prstDash val="sysDash"/>
            </a:ln>
          </c:spPr>
        </c:majorGridlines>
        <c:title>
          <c:tx>
            <c:rich>
              <a:bodyPr/>
              <a:lstStyle/>
              <a:p>
                <a:pPr>
                  <a:defRPr sz="1072" b="1" i="0" u="none" strike="noStrike" baseline="0">
                    <a:solidFill>
                      <a:srgbClr val="000000"/>
                    </a:solidFill>
                    <a:latin typeface="Times New Roman"/>
                    <a:ea typeface="Times New Roman"/>
                    <a:cs typeface="Times New Roman"/>
                  </a:defRPr>
                </a:pPr>
                <a:r>
                  <a:rPr lang="es-CR"/>
                  <a:t>Casos</a:t>
                </a:r>
              </a:p>
            </c:rich>
          </c:tx>
          <c:layout>
            <c:manualLayout>
              <c:xMode val="edge"/>
              <c:yMode val="edge"/>
              <c:x val="1.7133891127458833E-2"/>
              <c:y val="0.48101260198005796"/>
            </c:manualLayout>
          </c:layout>
          <c:overlay val="0"/>
          <c:spPr>
            <a:noFill/>
            <a:ln w="25328">
              <a:noFill/>
            </a:ln>
          </c:spPr>
        </c:title>
        <c:numFmt formatCode="General" sourceLinked="1"/>
        <c:majorTickMark val="out"/>
        <c:minorTickMark val="none"/>
        <c:tickLblPos val="nextTo"/>
        <c:spPr>
          <a:ln w="3166">
            <a:solidFill>
              <a:srgbClr val="000000"/>
            </a:solidFill>
            <a:prstDash val="solid"/>
          </a:ln>
        </c:spPr>
        <c:txPr>
          <a:bodyPr rot="0" vert="horz"/>
          <a:lstStyle/>
          <a:p>
            <a:pPr>
              <a:defRPr sz="948" b="1" i="0" u="none" strike="noStrike" baseline="0">
                <a:solidFill>
                  <a:srgbClr val="000000"/>
                </a:solidFill>
                <a:latin typeface="Times New Roman"/>
                <a:ea typeface="Times New Roman"/>
                <a:cs typeface="Times New Roman"/>
              </a:defRPr>
            </a:pPr>
            <a:endParaRPr lang="es-CR"/>
          </a:p>
        </c:txPr>
        <c:crossAx val="268884832"/>
        <c:crosses val="autoZero"/>
        <c:crossBetween val="between"/>
        <c:majorUnit val="250"/>
        <c:minorUnit val="40"/>
      </c:valAx>
      <c:spPr>
        <a:solidFill>
          <a:srgbClr val="CCFFFF"/>
        </a:solidFill>
        <a:ln w="12664">
          <a:solidFill>
            <a:srgbClr val="808080"/>
          </a:solidFill>
          <a:prstDash val="solid"/>
        </a:ln>
      </c:spPr>
    </c:plotArea>
    <c:plotVisOnly val="1"/>
    <c:dispBlanksAs val="zero"/>
    <c:showDLblsOverMax val="0"/>
  </c:chart>
  <c:spPr>
    <a:gradFill rotWithShape="0">
      <a:gsLst>
        <a:gs pos="0">
          <a:srgbClr val="3366FF"/>
        </a:gs>
        <a:gs pos="50000">
          <a:srgbClr val="99CCFF"/>
        </a:gs>
        <a:gs pos="100000">
          <a:srgbClr val="3366FF"/>
        </a:gs>
      </a:gsLst>
      <a:lin ang="5400000" scaled="1"/>
    </a:gradFill>
    <a:ln w="3166">
      <a:solidFill>
        <a:srgbClr val="000000"/>
      </a:solidFill>
      <a:prstDash val="solid"/>
    </a:ln>
  </c:spPr>
  <c:txPr>
    <a:bodyPr/>
    <a:lstStyle/>
    <a:p>
      <a:pPr>
        <a:defRPr sz="1197" b="1" i="0" u="none" strike="noStrike" baseline="0">
          <a:solidFill>
            <a:srgbClr val="000000"/>
          </a:solidFill>
          <a:latin typeface="Arial"/>
          <a:ea typeface="Arial"/>
          <a:cs typeface="Arial"/>
        </a:defRPr>
      </a:pPr>
      <a:endParaRPr lang="es-CR"/>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1195" b="1" i="0" u="none" strike="noStrike" baseline="0">
                <a:solidFill>
                  <a:srgbClr val="000000"/>
                </a:solidFill>
                <a:latin typeface="Times New Roman"/>
                <a:ea typeface="Times New Roman"/>
                <a:cs typeface="Times New Roman"/>
              </a:defRPr>
            </a:pPr>
            <a:r>
              <a:rPr lang="es-CR"/>
              <a:t>Gráfico Nº</a:t>
            </a:r>
            <a:r>
              <a:rPr lang="es-CR">
                <a:solidFill>
                  <a:srgbClr val="FF0000"/>
                </a:solidFill>
              </a:rPr>
              <a:t> </a:t>
            </a:r>
            <a:r>
              <a:rPr lang="es-CR">
                <a:solidFill>
                  <a:sysClr val="windowText" lastClr="000000"/>
                </a:solidFill>
              </a:rPr>
              <a:t>8</a:t>
            </a:r>
            <a:r>
              <a:rPr lang="es-CR"/>
              <a:t>
Distribución porcentual del volumen de casos en trámite  según tipo de apelación presentada ante el Tribunal Disciplinario Notarial. 2015</a:t>
            </a:r>
          </a:p>
        </c:rich>
      </c:tx>
      <c:layout>
        <c:manualLayout>
          <c:xMode val="edge"/>
          <c:yMode val="edge"/>
          <c:x val="0.13859759007396819"/>
          <c:y val="3.2117321541703846E-2"/>
        </c:manualLayout>
      </c:layout>
      <c:overlay val="0"/>
      <c:spPr>
        <a:noFill/>
        <a:ln w="25308">
          <a:noFill/>
        </a:ln>
      </c:spPr>
    </c:title>
    <c:autoTitleDeleted val="0"/>
    <c:view3D>
      <c:rotX val="15"/>
      <c:rotY val="360"/>
      <c:rAngAx val="0"/>
      <c:perspective val="0"/>
    </c:view3D>
    <c:floor>
      <c:thickness val="0"/>
    </c:floor>
    <c:sideWall>
      <c:thickness val="0"/>
    </c:sideWall>
    <c:backWall>
      <c:thickness val="0"/>
    </c:backWall>
    <c:plotArea>
      <c:layout>
        <c:manualLayout>
          <c:layoutTarget val="inner"/>
          <c:xMode val="edge"/>
          <c:yMode val="edge"/>
          <c:x val="0.21062618595825428"/>
          <c:y val="0.40740740740740738"/>
          <c:w val="0.6261859582542697"/>
          <c:h val="0.40432098765432173"/>
        </c:manualLayout>
      </c:layout>
      <c:pie3DChart>
        <c:varyColors val="1"/>
        <c:ser>
          <c:idx val="0"/>
          <c:order val="0"/>
          <c:tx>
            <c:strRef>
              <c:f>Sheet1!$A$2</c:f>
              <c:strCache>
                <c:ptCount val="1"/>
                <c:pt idx="0">
                  <c:v>Casos terminados</c:v>
                </c:pt>
              </c:strCache>
            </c:strRef>
          </c:tx>
          <c:spPr>
            <a:ln w="12654">
              <a:solidFill>
                <a:srgbClr val="000000"/>
              </a:solidFill>
              <a:prstDash val="solid"/>
            </a:ln>
          </c:spPr>
          <c:explosion val="12"/>
          <c:dPt>
            <c:idx val="0"/>
            <c:bubble3D val="0"/>
            <c:spPr>
              <a:solidFill>
                <a:srgbClr val="FF8080"/>
              </a:solidFill>
              <a:ln w="12654">
                <a:solidFill>
                  <a:srgbClr val="000000"/>
                </a:solidFill>
                <a:prstDash val="solid"/>
              </a:ln>
            </c:spPr>
            <c:extLst xmlns:c16r2="http://schemas.microsoft.com/office/drawing/2015/06/chart">
              <c:ext xmlns:c16="http://schemas.microsoft.com/office/drawing/2014/chart" uri="{C3380CC4-5D6E-409C-BE32-E72D297353CC}">
                <c16:uniqueId val="{00000000-633E-4C72-9B5B-817BED38AD5D}"/>
              </c:ext>
            </c:extLst>
          </c:dPt>
          <c:dPt>
            <c:idx val="1"/>
            <c:bubble3D val="0"/>
            <c:spPr>
              <a:solidFill>
                <a:srgbClr val="00CCFF"/>
              </a:solidFill>
              <a:ln w="12654">
                <a:solidFill>
                  <a:srgbClr val="000000"/>
                </a:solidFill>
                <a:prstDash val="solid"/>
              </a:ln>
            </c:spPr>
            <c:extLst xmlns:c16r2="http://schemas.microsoft.com/office/drawing/2015/06/chart">
              <c:ext xmlns:c16="http://schemas.microsoft.com/office/drawing/2014/chart" uri="{C3380CC4-5D6E-409C-BE32-E72D297353CC}">
                <c16:uniqueId val="{00000001-633E-4C72-9B5B-817BED38AD5D}"/>
              </c:ext>
            </c:extLst>
          </c:dPt>
          <c:dPt>
            <c:idx val="2"/>
            <c:bubble3D val="0"/>
            <c:spPr>
              <a:solidFill>
                <a:srgbClr val="FFFF00"/>
              </a:solidFill>
              <a:ln w="12654">
                <a:solidFill>
                  <a:srgbClr val="000000"/>
                </a:solidFill>
                <a:prstDash val="solid"/>
              </a:ln>
            </c:spPr>
            <c:extLst xmlns:c16r2="http://schemas.microsoft.com/office/drawing/2015/06/chart">
              <c:ext xmlns:c16="http://schemas.microsoft.com/office/drawing/2014/chart" uri="{C3380CC4-5D6E-409C-BE32-E72D297353CC}">
                <c16:uniqueId val="{00000002-633E-4C72-9B5B-817BED38AD5D}"/>
              </c:ext>
            </c:extLst>
          </c:dPt>
          <c:dPt>
            <c:idx val="3"/>
            <c:bubble3D val="0"/>
            <c:spPr>
              <a:solidFill>
                <a:srgbClr val="969696"/>
              </a:solidFill>
              <a:ln w="12654">
                <a:solidFill>
                  <a:srgbClr val="000000"/>
                </a:solidFill>
                <a:prstDash val="solid"/>
              </a:ln>
            </c:spPr>
            <c:extLst xmlns:c16r2="http://schemas.microsoft.com/office/drawing/2015/06/chart">
              <c:ext xmlns:c16="http://schemas.microsoft.com/office/drawing/2014/chart" uri="{C3380CC4-5D6E-409C-BE32-E72D297353CC}">
                <c16:uniqueId val="{00000003-633E-4C72-9B5B-817BED38AD5D}"/>
              </c:ext>
            </c:extLst>
          </c:dPt>
          <c:dPt>
            <c:idx val="4"/>
            <c:bubble3D val="0"/>
            <c:spPr>
              <a:solidFill>
                <a:srgbClr val="FF9900"/>
              </a:solidFill>
              <a:ln w="12654">
                <a:solidFill>
                  <a:srgbClr val="000000"/>
                </a:solidFill>
                <a:prstDash val="solid"/>
              </a:ln>
            </c:spPr>
            <c:extLst xmlns:c16r2="http://schemas.microsoft.com/office/drawing/2015/06/chart">
              <c:ext xmlns:c16="http://schemas.microsoft.com/office/drawing/2014/chart" uri="{C3380CC4-5D6E-409C-BE32-E72D297353CC}">
                <c16:uniqueId val="{00000004-633E-4C72-9B5B-817BED38AD5D}"/>
              </c:ext>
            </c:extLst>
          </c:dPt>
          <c:dLbls>
            <c:dLbl>
              <c:idx val="0"/>
              <c:layout>
                <c:manualLayout>
                  <c:x val="-0.24270524233432308"/>
                  <c:y val="-0.13612267216597917"/>
                </c:manualLayout>
              </c:layout>
              <c:tx>
                <c:rich>
                  <a:bodyPr/>
                  <a:lstStyle/>
                  <a:p>
                    <a:r>
                      <a:rPr lang="en-US"/>
                      <a:t>En proceso disciplinario
</a:t>
                    </a:r>
                    <a:r>
                      <a:rPr lang="en-US" sz="1197" b="1"/>
                      <a:t>55%</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633E-4C72-9B5B-817BED38AD5D}"/>
                </c:ext>
                <c:ext xmlns:c15="http://schemas.microsoft.com/office/drawing/2012/chart" uri="{CE6537A1-D6FC-4f65-9D91-7224C49458BB}"/>
              </c:extLst>
            </c:dLbl>
            <c:dLbl>
              <c:idx val="1"/>
              <c:layout>
                <c:manualLayout>
                  <c:x val="-5.1910675483072016E-2"/>
                  <c:y val="-1.8597675290588728E-2"/>
                </c:manualLayout>
              </c:layout>
              <c:tx>
                <c:rich>
                  <a:bodyPr/>
                  <a:lstStyle/>
                  <a:p>
                    <a:r>
                      <a:rPr lang="en-US"/>
                      <a:t>De sentencia de suspención
</a:t>
                    </a:r>
                    <a:r>
                      <a:rPr lang="en-US" sz="1197" b="1"/>
                      <a:t>22%</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633E-4C72-9B5B-817BED38AD5D}"/>
                </c:ext>
                <c:ext xmlns:c15="http://schemas.microsoft.com/office/drawing/2012/chart" uri="{CE6537A1-D6FC-4f65-9D91-7224C49458BB}"/>
              </c:extLst>
            </c:dLbl>
            <c:dLbl>
              <c:idx val="2"/>
              <c:layout>
                <c:manualLayout>
                  <c:x val="-5.3467468087260613E-2"/>
                  <c:y val="-1.0589301337332867E-2"/>
                </c:manualLayout>
              </c:layout>
              <c:tx>
                <c:rich>
                  <a:bodyPr/>
                  <a:lstStyle/>
                  <a:p>
                    <a:r>
                      <a:rPr lang="en-US"/>
                      <a:t>De auto
</a:t>
                    </a:r>
                    <a:r>
                      <a:rPr lang="en-US" sz="1197" b="1"/>
                      <a:t>3%</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633E-4C72-9B5B-817BED38AD5D}"/>
                </c:ext>
                <c:ext xmlns:c15="http://schemas.microsoft.com/office/drawing/2012/chart" uri="{CE6537A1-D6FC-4f65-9D91-7224C49458BB}"/>
              </c:extLst>
            </c:dLbl>
            <c:dLbl>
              <c:idx val="3"/>
              <c:layout>
                <c:manualLayout>
                  <c:x val="3.7944130314571216E-2"/>
                  <c:y val="-0.1291485439320085"/>
                </c:manualLayout>
              </c:layout>
              <c:tx>
                <c:rich>
                  <a:bodyPr/>
                  <a:lstStyle/>
                  <a:p>
                    <a:r>
                      <a:rPr lang="en-US"/>
                      <a:t>De auto-sentencia
</a:t>
                    </a:r>
                    <a:r>
                      <a:rPr lang="en-US" sz="1197" b="1"/>
                      <a:t>3%</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633E-4C72-9B5B-817BED38AD5D}"/>
                </c:ext>
                <c:ext xmlns:c15="http://schemas.microsoft.com/office/drawing/2012/chart" uri="{CE6537A1-D6FC-4f65-9D91-7224C49458BB}"/>
              </c:extLst>
            </c:dLbl>
            <c:dLbl>
              <c:idx val="4"/>
              <c:layout>
                <c:manualLayout>
                  <c:x val="9.0219397649477784E-2"/>
                  <c:y val="-8.4985001874765653E-2"/>
                </c:manualLayout>
              </c:layout>
              <c:tx>
                <c:rich>
                  <a:bodyPr/>
                  <a:lstStyle/>
                  <a:p>
                    <a:r>
                      <a:rPr lang="en-US"/>
                      <a:t>Otro tipo de sentencia
</a:t>
                    </a:r>
                    <a:r>
                      <a:rPr lang="en-US" sz="1197" b="1"/>
                      <a:t>17%</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633E-4C72-9B5B-817BED38AD5D}"/>
                </c:ext>
                <c:ext xmlns:c15="http://schemas.microsoft.com/office/drawing/2012/chart" uri="{CE6537A1-D6FC-4f65-9D91-7224C49458BB}"/>
              </c:extLst>
            </c:dLbl>
            <c:spPr>
              <a:noFill/>
              <a:ln w="25346">
                <a:noFill/>
              </a:ln>
            </c:spPr>
            <c:txPr>
              <a:bodyPr/>
              <a:lstStyle/>
              <a:p>
                <a:pPr>
                  <a:defRPr sz="998" b="0">
                    <a:latin typeface="Times New Roman" pitchFamily="18" charset="0"/>
                    <a:cs typeface="Times New Roman" pitchFamily="18" charset="0"/>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En proceso disciplinario</c:v>
                </c:pt>
                <c:pt idx="1">
                  <c:v>De sentencia de suspención</c:v>
                </c:pt>
                <c:pt idx="2">
                  <c:v>De auto</c:v>
                </c:pt>
                <c:pt idx="3">
                  <c:v>De auto-sentencia</c:v>
                </c:pt>
                <c:pt idx="4">
                  <c:v>Otro tipo de sentencia</c:v>
                </c:pt>
              </c:strCache>
            </c:strRef>
          </c:cat>
          <c:val>
            <c:numRef>
              <c:f>Sheet1!$B$2:$F$2</c:f>
              <c:numCache>
                <c:formatCode>General</c:formatCode>
                <c:ptCount val="5"/>
                <c:pt idx="0">
                  <c:v>72</c:v>
                </c:pt>
                <c:pt idx="1">
                  <c:v>29</c:v>
                </c:pt>
                <c:pt idx="2">
                  <c:v>4</c:v>
                </c:pt>
                <c:pt idx="3">
                  <c:v>4</c:v>
                </c:pt>
                <c:pt idx="4">
                  <c:v>22</c:v>
                </c:pt>
              </c:numCache>
            </c:numRef>
          </c:val>
          <c:extLst xmlns:c16r2="http://schemas.microsoft.com/office/drawing/2015/06/chart">
            <c:ext xmlns:c16="http://schemas.microsoft.com/office/drawing/2014/chart" uri="{C3380CC4-5D6E-409C-BE32-E72D297353CC}">
              <c16:uniqueId val="{00000005-633E-4C72-9B5B-817BED38AD5D}"/>
            </c:ext>
          </c:extLst>
        </c:ser>
        <c:dLbls>
          <c:showLegendKey val="0"/>
          <c:showVal val="0"/>
          <c:showCatName val="1"/>
          <c:showSerName val="0"/>
          <c:showPercent val="1"/>
          <c:showBubbleSize val="0"/>
          <c:showLeaderLines val="1"/>
        </c:dLbls>
      </c:pie3DChart>
      <c:spPr>
        <a:noFill/>
        <a:ln w="25346">
          <a:noFill/>
        </a:ln>
      </c:spPr>
    </c:plotArea>
    <c:plotVisOnly val="1"/>
    <c:dispBlanksAs val="zero"/>
    <c:showDLblsOverMax val="0"/>
  </c:chart>
  <c:spPr>
    <a:gradFill rotWithShape="0">
      <a:gsLst>
        <a:gs pos="0">
          <a:srgbClr val="00CCFF">
            <a:gamma/>
            <a:tint val="15686"/>
            <a:invGamma/>
          </a:srgbClr>
        </a:gs>
        <a:gs pos="50000">
          <a:srgbClr val="00CCFF"/>
        </a:gs>
        <a:gs pos="100000">
          <a:srgbClr val="00CCFF">
            <a:gamma/>
            <a:tint val="15686"/>
            <a:invGamma/>
          </a:srgbClr>
        </a:gs>
      </a:gsLst>
      <a:lin ang="5400000" scaled="1"/>
    </a:gradFill>
    <a:ln w="3163">
      <a:solidFill>
        <a:srgbClr val="000000"/>
      </a:solidFill>
      <a:prstDash val="solid"/>
    </a:ln>
    <a:effectLst>
      <a:outerShdw dist="35921" dir="2700000" algn="br">
        <a:srgbClr val="000000"/>
      </a:outerShdw>
    </a:effectLst>
  </c:spPr>
  <c:txPr>
    <a:bodyPr/>
    <a:lstStyle/>
    <a:p>
      <a:pPr>
        <a:defRPr sz="1422" b="1" i="0" u="none" strike="noStrike" baseline="0">
          <a:solidFill>
            <a:srgbClr val="000000"/>
          </a:solidFill>
          <a:latin typeface="Arial"/>
          <a:ea typeface="Arial"/>
          <a:cs typeface="Arial"/>
        </a:defRPr>
      </a:pPr>
      <a:endParaRPr lang="es-CR"/>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1071" b="1" i="0" u="none" strike="noStrike" baseline="0">
                <a:solidFill>
                  <a:srgbClr val="000000"/>
                </a:solidFill>
                <a:latin typeface="Times New Roman"/>
                <a:ea typeface="Times New Roman"/>
                <a:cs typeface="Times New Roman"/>
              </a:defRPr>
            </a:pPr>
            <a:r>
              <a:rPr lang="es-CR"/>
              <a:t>Gráfico N°</a:t>
            </a:r>
            <a:r>
              <a:rPr lang="es-CR">
                <a:solidFill>
                  <a:srgbClr val="FF0000"/>
                </a:solidFill>
              </a:rPr>
              <a:t> </a:t>
            </a:r>
            <a:r>
              <a:rPr lang="es-CR">
                <a:solidFill>
                  <a:sysClr val="windowText" lastClr="000000"/>
                </a:solidFill>
              </a:rPr>
              <a:t>9 </a:t>
            </a:r>
            <a:r>
              <a:rPr lang="es-CR"/>
              <a:t>
Tendencia histórica anual de la Tasa de congestión calculada para el Juzgado Notarial desde 2010</a:t>
            </a:r>
          </a:p>
        </c:rich>
      </c:tx>
      <c:layout>
        <c:manualLayout>
          <c:xMode val="edge"/>
          <c:yMode val="edge"/>
          <c:x val="0.10445467393498899"/>
          <c:y val="1.9704433497536974E-2"/>
        </c:manualLayout>
      </c:layout>
      <c:overlay val="0"/>
      <c:spPr>
        <a:noFill/>
        <a:ln w="25317">
          <a:noFill/>
        </a:ln>
      </c:spPr>
    </c:title>
    <c:autoTitleDeleted val="0"/>
    <c:plotArea>
      <c:layout>
        <c:manualLayout>
          <c:layoutTarget val="inner"/>
          <c:xMode val="edge"/>
          <c:yMode val="edge"/>
          <c:x val="0.11132437619961608"/>
          <c:y val="0.25766871165644212"/>
          <c:w val="0.81765834932821502"/>
          <c:h val="0.52760736196319014"/>
        </c:manualLayout>
      </c:layout>
      <c:lineChart>
        <c:grouping val="stacked"/>
        <c:varyColors val="0"/>
        <c:ser>
          <c:idx val="0"/>
          <c:order val="0"/>
          <c:tx>
            <c:strRef>
              <c:f>Sheet1!$A$2</c:f>
              <c:strCache>
                <c:ptCount val="1"/>
              </c:strCache>
            </c:strRef>
          </c:tx>
          <c:spPr>
            <a:ln w="25317">
              <a:solidFill>
                <a:srgbClr val="000000"/>
              </a:solidFill>
              <a:prstDash val="solid"/>
            </a:ln>
          </c:spPr>
          <c:marker>
            <c:symbol val="diamond"/>
            <c:size val="4"/>
            <c:spPr>
              <a:solidFill>
                <a:srgbClr val="000000"/>
              </a:solidFill>
              <a:ln>
                <a:solidFill>
                  <a:srgbClr val="000000"/>
                </a:solidFill>
                <a:prstDash val="solid"/>
              </a:ln>
            </c:spPr>
          </c:marker>
          <c:dLbls>
            <c:dLbl>
              <c:idx val="0"/>
              <c:layout>
                <c:manualLayout>
                  <c:x val="-6.9872877518273813E-2"/>
                  <c:y val="1.158066448590468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DF9-4F5F-AE9F-13FBAE80CEAB}"/>
                </c:ext>
                <c:ext xmlns:c15="http://schemas.microsoft.com/office/drawing/2012/chart" uri="{CE6537A1-D6FC-4f65-9D91-7224C49458BB}"/>
              </c:extLst>
            </c:dLbl>
            <c:dLbl>
              <c:idx val="1"/>
              <c:layout>
                <c:manualLayout>
                  <c:x val="-7.2945123321399713E-2"/>
                  <c:y val="-2.795131212046775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DF9-4F5F-AE9F-13FBAE80CEAB}"/>
                </c:ext>
                <c:ext xmlns:c15="http://schemas.microsoft.com/office/drawing/2012/chart" uri="{CE6537A1-D6FC-4f65-9D91-7224C49458BB}"/>
              </c:extLst>
            </c:dLbl>
            <c:dLbl>
              <c:idx val="2"/>
              <c:layout>
                <c:manualLayout>
                  <c:x val="-3.9151009677521414E-2"/>
                  <c:y val="-4.887896556033928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DF9-4F5F-AE9F-13FBAE80CEAB}"/>
                </c:ext>
                <c:ext xmlns:c15="http://schemas.microsoft.com/office/drawing/2012/chart" uri="{CE6537A1-D6FC-4f65-9D91-7224C49458BB}"/>
              </c:extLst>
            </c:dLbl>
            <c:dLbl>
              <c:idx val="3"/>
              <c:layout>
                <c:manualLayout>
                  <c:x val="-2.9934271357355192E-2"/>
                  <c:y val="-4.45030685819442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DF9-4F5F-AE9F-13FBAE80CEAB}"/>
                </c:ext>
                <c:ext xmlns:c15="http://schemas.microsoft.com/office/drawing/2012/chart" uri="{CE6537A1-D6FC-4f65-9D91-7224C49458BB}"/>
              </c:extLst>
            </c:dLbl>
            <c:dLbl>
              <c:idx val="4"/>
              <c:layout>
                <c:manualLayout>
                  <c:x val="-2.2845509546438091E-3"/>
                  <c:y val="-2.733123876756783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DF9-4F5F-AE9F-13FBAE80CEAB}"/>
                </c:ext>
                <c:ext xmlns:c15="http://schemas.microsoft.com/office/drawing/2012/chart" uri="{CE6537A1-D6FC-4f65-9D91-7224C49458BB}"/>
              </c:extLst>
            </c:dLbl>
            <c:dLbl>
              <c:idx val="5"/>
              <c:spPr>
                <a:noFill/>
                <a:ln w="25317">
                  <a:noFill/>
                </a:ln>
              </c:spPr>
              <c:txPr>
                <a:bodyPr/>
                <a:lstStyle/>
                <a:p>
                  <a:pPr>
                    <a:defRPr sz="973" b="0" i="0" u="none" strike="noStrike" baseline="0">
                      <a:solidFill>
                        <a:srgbClr val="000000"/>
                      </a:solidFill>
                      <a:latin typeface="Times New Roman"/>
                      <a:ea typeface="Times New Roman"/>
                      <a:cs typeface="Times New Roman"/>
                    </a:defRPr>
                  </a:pPr>
                  <a:endParaRPr lang="es-CR"/>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DF9-4F5F-AE9F-13FBAE80CEAB}"/>
                </c:ext>
                <c:ext xmlns:c15="http://schemas.microsoft.com/office/drawing/2012/chart" uri="{CE6537A1-D6FC-4f65-9D91-7224C49458BB}"/>
              </c:extLst>
            </c:dLbl>
            <c:spPr>
              <a:noFill/>
              <a:ln w="25317">
                <a:noFill/>
              </a:ln>
            </c:spPr>
            <c:txPr>
              <a:bodyPr/>
              <a:lstStyle/>
              <a:p>
                <a:pPr>
                  <a:defRPr sz="1098" b="0" i="0" u="none" strike="noStrike" baseline="0">
                    <a:solidFill>
                      <a:srgbClr val="000000"/>
                    </a:solidFill>
                    <a:latin typeface="Times New Roman"/>
                    <a:ea typeface="Times New Roman"/>
                    <a:cs typeface="Times New Roman"/>
                  </a:defRPr>
                </a:pPr>
                <a:endParaRPr lang="es-C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Sheet1!$B$1:$O$1</c:f>
              <c:numCache>
                <c:formatCode>General</c:formatCode>
                <c:ptCount val="5"/>
                <c:pt idx="0">
                  <c:v>2011</c:v>
                </c:pt>
                <c:pt idx="1">
                  <c:v>2012</c:v>
                </c:pt>
                <c:pt idx="2">
                  <c:v>2013</c:v>
                </c:pt>
                <c:pt idx="3">
                  <c:v>2014</c:v>
                </c:pt>
                <c:pt idx="4">
                  <c:v>2015</c:v>
                </c:pt>
              </c:numCache>
            </c:numRef>
          </c:cat>
          <c:val>
            <c:numRef>
              <c:f>Sheet1!$B$2:$O$2</c:f>
              <c:numCache>
                <c:formatCode>General</c:formatCode>
                <c:ptCount val="5"/>
                <c:pt idx="0">
                  <c:v>333</c:v>
                </c:pt>
                <c:pt idx="1">
                  <c:v>423</c:v>
                </c:pt>
                <c:pt idx="2">
                  <c:v>437</c:v>
                </c:pt>
                <c:pt idx="3">
                  <c:v>399</c:v>
                </c:pt>
                <c:pt idx="4">
                  <c:v>430</c:v>
                </c:pt>
              </c:numCache>
            </c:numRef>
          </c:val>
          <c:smooth val="1"/>
          <c:extLst xmlns:c16r2="http://schemas.microsoft.com/office/drawing/2015/06/chart">
            <c:ext xmlns:c16="http://schemas.microsoft.com/office/drawing/2014/chart" uri="{C3380CC4-5D6E-409C-BE32-E72D297353CC}">
              <c16:uniqueId val="{00000006-BDF9-4F5F-AE9F-13FBAE80CEAB}"/>
            </c:ext>
          </c:extLst>
        </c:ser>
        <c:dLbls>
          <c:showLegendKey val="0"/>
          <c:showVal val="1"/>
          <c:showCatName val="0"/>
          <c:showSerName val="0"/>
          <c:showPercent val="0"/>
          <c:showBubbleSize val="0"/>
        </c:dLbls>
        <c:marker val="1"/>
        <c:smooth val="0"/>
        <c:axId val="268886400"/>
        <c:axId val="268886792"/>
      </c:lineChart>
      <c:catAx>
        <c:axId val="268886400"/>
        <c:scaling>
          <c:orientation val="minMax"/>
        </c:scaling>
        <c:delete val="0"/>
        <c:axPos val="b"/>
        <c:title>
          <c:tx>
            <c:rich>
              <a:bodyPr/>
              <a:lstStyle/>
              <a:p>
                <a:pPr>
                  <a:defRPr sz="1068"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47465435089844538"/>
              <c:y val="0.85467980295566592"/>
            </c:manualLayout>
          </c:layout>
          <c:overlay val="0"/>
          <c:spPr>
            <a:noFill/>
            <a:ln w="25317">
              <a:noFill/>
            </a:ln>
          </c:spPr>
        </c:title>
        <c:numFmt formatCode="General" sourceLinked="1"/>
        <c:majorTickMark val="out"/>
        <c:minorTickMark val="none"/>
        <c:tickLblPos val="nextTo"/>
        <c:spPr>
          <a:ln w="3164">
            <a:solidFill>
              <a:srgbClr val="000000"/>
            </a:solidFill>
            <a:prstDash val="solid"/>
          </a:ln>
        </c:spPr>
        <c:txPr>
          <a:bodyPr rot="0" vert="horz"/>
          <a:lstStyle/>
          <a:p>
            <a:pPr>
              <a:defRPr sz="973" b="1" i="0" u="none" strike="noStrike" baseline="0">
                <a:solidFill>
                  <a:srgbClr val="000000"/>
                </a:solidFill>
                <a:latin typeface="Times New Roman"/>
                <a:ea typeface="Times New Roman"/>
                <a:cs typeface="Times New Roman"/>
              </a:defRPr>
            </a:pPr>
            <a:endParaRPr lang="es-CR"/>
          </a:p>
        </c:txPr>
        <c:crossAx val="268886792"/>
        <c:crossesAt val="1"/>
        <c:auto val="1"/>
        <c:lblAlgn val="ctr"/>
        <c:lblOffset val="100"/>
        <c:tickLblSkip val="1"/>
        <c:tickMarkSkip val="1"/>
        <c:noMultiLvlLbl val="0"/>
      </c:catAx>
      <c:valAx>
        <c:axId val="268886792"/>
        <c:scaling>
          <c:orientation val="minMax"/>
          <c:max val="600"/>
          <c:min val="0"/>
        </c:scaling>
        <c:delete val="0"/>
        <c:axPos val="l"/>
        <c:majorGridlines>
          <c:spPr>
            <a:ln w="12659">
              <a:solidFill>
                <a:srgbClr val="000000"/>
              </a:solidFill>
              <a:prstDash val="sysDash"/>
            </a:ln>
          </c:spPr>
        </c:majorGridlines>
        <c:title>
          <c:tx>
            <c:rich>
              <a:bodyPr/>
              <a:lstStyle/>
              <a:p>
                <a:pPr>
                  <a:defRPr sz="1068" b="1" i="0" u="none" strike="noStrike" baseline="0">
                    <a:solidFill>
                      <a:srgbClr val="000000"/>
                    </a:solidFill>
                    <a:latin typeface="Times New Roman"/>
                    <a:ea typeface="Times New Roman"/>
                    <a:cs typeface="Times New Roman"/>
                  </a:defRPr>
                </a:pPr>
                <a:r>
                  <a:rPr lang="es-CR"/>
                  <a:t>Razón</a:t>
                </a:r>
              </a:p>
            </c:rich>
          </c:tx>
          <c:layout>
            <c:manualLayout>
              <c:xMode val="edge"/>
              <c:yMode val="edge"/>
              <c:x val="1.5360387643852242E-3"/>
              <c:y val="0.47783251231527141"/>
            </c:manualLayout>
          </c:layout>
          <c:overlay val="0"/>
          <c:spPr>
            <a:noFill/>
            <a:ln w="25317">
              <a:noFill/>
            </a:ln>
          </c:spPr>
        </c:title>
        <c:numFmt formatCode="General" sourceLinked="1"/>
        <c:majorTickMark val="out"/>
        <c:minorTickMark val="none"/>
        <c:tickLblPos val="nextTo"/>
        <c:spPr>
          <a:ln w="3164">
            <a:solidFill>
              <a:srgbClr val="000000"/>
            </a:solidFill>
            <a:prstDash val="solid"/>
          </a:ln>
        </c:spPr>
        <c:txPr>
          <a:bodyPr rot="0" vert="horz"/>
          <a:lstStyle/>
          <a:p>
            <a:pPr>
              <a:defRPr sz="973" b="1" i="0" u="none" strike="noStrike" baseline="0">
                <a:solidFill>
                  <a:srgbClr val="000000"/>
                </a:solidFill>
                <a:latin typeface="Times New Roman"/>
                <a:ea typeface="Times New Roman"/>
                <a:cs typeface="Times New Roman"/>
              </a:defRPr>
            </a:pPr>
            <a:endParaRPr lang="es-CR"/>
          </a:p>
        </c:txPr>
        <c:crossAx val="268886400"/>
        <c:crosses val="autoZero"/>
        <c:crossBetween val="between"/>
        <c:majorUnit val="600"/>
        <c:minorUnit val="30"/>
      </c:valAx>
      <c:spPr>
        <a:gradFill rotWithShape="0">
          <a:gsLst>
            <a:gs pos="0">
              <a:srgbClr val="FFFFCC"/>
            </a:gs>
            <a:gs pos="50000">
              <a:srgbClr val="C0C0C0"/>
            </a:gs>
            <a:gs pos="100000">
              <a:srgbClr val="FFFFCC"/>
            </a:gs>
          </a:gsLst>
          <a:lin ang="5400000" scaled="1"/>
        </a:gradFill>
        <a:ln w="12659">
          <a:solidFill>
            <a:srgbClr val="808080"/>
          </a:solidFill>
          <a:prstDash val="solid"/>
        </a:ln>
      </c:spPr>
    </c:plotArea>
    <c:plotVisOnly val="1"/>
    <c:dispBlanksAs val="zero"/>
    <c:showDLblsOverMax val="0"/>
  </c:chart>
  <c:spPr>
    <a:pattFill prst="pct50">
      <a:fgClr>
        <a:srgbClr val="00CCFF"/>
      </a:fgClr>
      <a:bgClr>
        <a:srgbClr val="C0C0C0"/>
      </a:bgClr>
    </a:pattFill>
    <a:ln w="3164">
      <a:solidFill>
        <a:srgbClr val="000000"/>
      </a:solidFill>
      <a:prstDash val="solid"/>
    </a:ln>
  </c:spPr>
  <c:txPr>
    <a:bodyPr/>
    <a:lstStyle/>
    <a:p>
      <a:pPr>
        <a:defRPr sz="1422" b="1" i="0" u="none" strike="noStrike" baseline="0">
          <a:solidFill>
            <a:srgbClr val="000000"/>
          </a:solidFill>
          <a:latin typeface="Arial"/>
          <a:ea typeface="Arial"/>
          <a:cs typeface="Arial"/>
        </a:defRPr>
      </a:pPr>
      <a:endParaRPr lang="es-C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0.92925</cdr:y>
    </cdr:from>
    <cdr:to>
      <cdr:x>0.80367</cdr:x>
      <cdr:y>0.9995</cdr:y>
    </cdr:to>
    <cdr:sp macro="" textlink="">
      <cdr:nvSpPr>
        <cdr:cNvPr id="1025" name="Text Box 1"/>
        <cdr:cNvSpPr txBox="1">
          <a:spLocks xmlns:a="http://schemas.openxmlformats.org/drawingml/2006/main" noChangeArrowheads="1"/>
        </cdr:cNvSpPr>
      </cdr:nvSpPr>
      <cdr:spPr bwMode="auto">
        <a:xfrm xmlns:a="http://schemas.openxmlformats.org/drawingml/2006/main">
          <a:off x="0" y="2970627"/>
          <a:ext cx="3992880" cy="23578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s-CR" sz="1050" b="0" i="0" u="none" strike="noStrike" baseline="0">
              <a:solidFill>
                <a:srgbClr val="000000"/>
              </a:solidFill>
              <a:latin typeface="Times New Roman"/>
              <a:cs typeface="Times New Roman"/>
            </a:rPr>
            <a:t>Elaborado por: Sección de Estadística, Dirección de Planificación.</a:t>
          </a:r>
        </a:p>
        <a:p xmlns:a="http://schemas.openxmlformats.org/drawingml/2006/main">
          <a:pPr algn="l" rtl="0">
            <a:defRPr sz="1000"/>
          </a:pPr>
          <a:endParaRPr lang="es-CR" sz="1050" b="0" i="0" u="none" strike="noStrike" baseline="0">
            <a:solidFill>
              <a:srgbClr val="000000"/>
            </a:solidFill>
            <a:latin typeface="Times New Roman"/>
            <a:cs typeface="Times New Roman"/>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0.17575</cdr:x>
      <cdr:y>0.3825</cdr:y>
    </cdr:from>
    <cdr:to>
      <cdr:x>0.8865</cdr:x>
      <cdr:y>0.4795</cdr:y>
    </cdr:to>
    <cdr:sp macro="" textlink="">
      <cdr:nvSpPr>
        <cdr:cNvPr id="1025" name="Rectangle 1"/>
        <cdr:cNvSpPr>
          <a:spLocks xmlns:a="http://schemas.openxmlformats.org/drawingml/2006/main" noChangeArrowheads="1"/>
        </cdr:cNvSpPr>
      </cdr:nvSpPr>
      <cdr:spPr bwMode="auto">
        <a:xfrm xmlns:a="http://schemas.openxmlformats.org/drawingml/2006/main" rot="207176">
          <a:off x="831237" y="1315502"/>
          <a:ext cx="3474208" cy="277611"/>
        </a:xfrm>
        <a:prstGeom xmlns:a="http://schemas.openxmlformats.org/drawingml/2006/main" prst="rect">
          <a:avLst/>
        </a:prstGeom>
        <a:solidFill xmlns:a="http://schemas.openxmlformats.org/drawingml/2006/main">
          <a:srgbClr val="99CCFF">
            <a:alpha val="25000"/>
          </a:srgbClr>
        </a:solidFill>
        <a:ln xmlns:a="http://schemas.openxmlformats.org/drawingml/2006/main" w="3175">
          <a:solidFill>
            <a:srgbClr val="0000FF"/>
          </a:solidFill>
          <a:miter lim="800000"/>
          <a:headEnd/>
          <a:tailEnd/>
        </a:ln>
      </cdr:spPr>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cdr:x>
      <cdr:y>0.9335</cdr:y>
    </cdr:from>
    <cdr:to>
      <cdr:x>0.93427</cdr:x>
      <cdr:y>1</cdr:y>
    </cdr:to>
    <cdr:sp macro="" textlink="">
      <cdr:nvSpPr>
        <cdr:cNvPr id="1026" name="Text Box 2"/>
        <cdr:cNvSpPr txBox="1">
          <a:spLocks xmlns:a="http://schemas.openxmlformats.org/drawingml/2006/main" noChangeArrowheads="1"/>
        </cdr:cNvSpPr>
      </cdr:nvSpPr>
      <cdr:spPr bwMode="auto">
        <a:xfrm xmlns:a="http://schemas.openxmlformats.org/drawingml/2006/main">
          <a:off x="0" y="2959120"/>
          <a:ext cx="4549140" cy="2108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s-CR" sz="1000" b="1" i="0" u="none" strike="noStrike" baseline="0">
              <a:solidFill>
                <a:srgbClr val="000000"/>
              </a:solidFill>
              <a:latin typeface="Arial"/>
              <a:cs typeface="Arial"/>
            </a:rPr>
            <a:t>Elaborado por: Sección de Estadística, Dirección de Planificación.</a:t>
          </a:r>
        </a:p>
        <a:p xmlns:a="http://schemas.openxmlformats.org/drawingml/2006/main">
          <a:pPr algn="l" rtl="0">
            <a:defRPr sz="1000"/>
          </a:pPr>
          <a:endParaRPr lang="es-CR" sz="1000" b="1" i="0" u="none" strike="noStrike" baseline="0">
            <a:solidFill>
              <a:srgbClr val="000000"/>
            </a:solidFill>
            <a:latin typeface="Arial"/>
            <a:cs typeface="Arial"/>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0.94025</cdr:y>
    </cdr:from>
    <cdr:to>
      <cdr:x>0.87345</cdr:x>
      <cdr:y>1</cdr:y>
    </cdr:to>
    <cdr:sp macro="" textlink="">
      <cdr:nvSpPr>
        <cdr:cNvPr id="1025" name="Rectangle 1"/>
        <cdr:cNvSpPr>
          <a:spLocks xmlns:a="http://schemas.openxmlformats.org/drawingml/2006/main" noGrp="1" noChangeArrowheads="1"/>
        </cdr:cNvSpPr>
      </cdr:nvSpPr>
      <cdr:spPr bwMode="auto">
        <a:xfrm xmlns:a="http://schemas.openxmlformats.org/drawingml/2006/main">
          <a:off x="0" y="3332474"/>
          <a:ext cx="4358640" cy="21082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s-CR" sz="1025" b="1" i="0" u="none" strike="noStrike" baseline="0">
              <a:solidFill>
                <a:srgbClr val="000000"/>
              </a:solidFill>
              <a:latin typeface="Times New Roman"/>
              <a:cs typeface="Times New Roman"/>
            </a:rPr>
            <a:t>Elaborado por: Sección de Estadística, Dirección de Planificación.</a:t>
          </a:r>
        </a:p>
        <a:p xmlns:a="http://schemas.openxmlformats.org/drawingml/2006/main">
          <a:pPr algn="l" rtl="0">
            <a:defRPr sz="1000"/>
          </a:pPr>
          <a:endParaRPr lang="es-CR" sz="1025" b="1" i="0" u="none" strike="noStrike" baseline="0">
            <a:solidFill>
              <a:srgbClr val="000000"/>
            </a:solidFill>
            <a:latin typeface="Times New Roman"/>
            <a:cs typeface="Times New Roman"/>
          </a:endParaRPr>
        </a:p>
      </cdr:txBody>
    </cdr:sp>
  </cdr:relSizeAnchor>
  <cdr:relSizeAnchor xmlns:cdr="http://schemas.openxmlformats.org/drawingml/2006/chartDrawing">
    <cdr:from>
      <cdr:x>0.3015</cdr:x>
      <cdr:y>0.412</cdr:y>
    </cdr:from>
    <cdr:to>
      <cdr:x>0.915</cdr:x>
      <cdr:y>0.4875</cdr:y>
    </cdr:to>
    <cdr:sp macro="" textlink="">
      <cdr:nvSpPr>
        <cdr:cNvPr id="1026" name="Rectangle 2"/>
        <cdr:cNvSpPr>
          <a:spLocks xmlns:a="http://schemas.openxmlformats.org/drawingml/2006/main" noChangeArrowheads="1"/>
        </cdr:cNvSpPr>
      </cdr:nvSpPr>
      <cdr:spPr bwMode="auto">
        <a:xfrm xmlns:a="http://schemas.openxmlformats.org/drawingml/2006/main">
          <a:off x="1505011" y="1571751"/>
          <a:ext cx="3047398" cy="248728"/>
        </a:xfrm>
        <a:prstGeom xmlns:a="http://schemas.openxmlformats.org/drawingml/2006/main" prst="rect">
          <a:avLst/>
        </a:prstGeom>
        <a:solidFill xmlns:a="http://schemas.openxmlformats.org/drawingml/2006/main">
          <a:srgbClr val="99CCFF">
            <a:alpha val="20000"/>
          </a:srgbClr>
        </a:solidFill>
        <a:ln xmlns:a="http://schemas.openxmlformats.org/drawingml/2006/main" w="9525">
          <a:solidFill>
            <a:srgbClr val="000000"/>
          </a:solidFill>
          <a:miter lim="800000"/>
          <a:headEnd/>
          <a:tailEnd/>
        </a:ln>
      </cdr:spPr>
      <cdr:txBody>
        <a:bodyPr xmlns:a="http://schemas.openxmlformats.org/drawingml/2006/main"/>
        <a:lstStyle xmlns:a="http://schemas.openxmlformats.org/drawingml/2006/main"/>
        <a:p xmlns:a="http://schemas.openxmlformats.org/drawingml/2006/main">
          <a:endParaRPr lang="es-CR"/>
        </a:p>
      </cdr:txBody>
    </cdr:sp>
  </cdr:relSizeAnchor>
</c:userShapes>
</file>

<file path=word/drawings/drawing12.xml><?xml version="1.0" encoding="utf-8"?>
<c:userShapes xmlns:c="http://schemas.openxmlformats.org/drawingml/2006/chart">
  <cdr:relSizeAnchor xmlns:cdr="http://schemas.openxmlformats.org/drawingml/2006/chartDrawing">
    <cdr:from>
      <cdr:x>0</cdr:x>
      <cdr:y>0.92825</cdr:y>
    </cdr:from>
    <cdr:to>
      <cdr:x>0.89339</cdr:x>
      <cdr:y>0.99975</cdr:y>
    </cdr:to>
    <cdr:sp macro="" textlink="">
      <cdr:nvSpPr>
        <cdr:cNvPr id="1025" name="Rectangle 1"/>
        <cdr:cNvSpPr>
          <a:spLocks xmlns:a="http://schemas.openxmlformats.org/drawingml/2006/main" noGrp="1" noChangeArrowheads="1"/>
        </cdr:cNvSpPr>
      </cdr:nvSpPr>
      <cdr:spPr bwMode="auto">
        <a:xfrm xmlns:a="http://schemas.openxmlformats.org/drawingml/2006/main">
          <a:off x="0" y="2791206"/>
          <a:ext cx="4541520" cy="22556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s-CR" sz="950" b="1" i="0" u="none" strike="noStrike" baseline="0">
              <a:solidFill>
                <a:srgbClr val="000000"/>
              </a:solidFill>
              <a:latin typeface="Arial"/>
              <a:cs typeface="Arial"/>
            </a:rPr>
            <a:t>Elaborado por: Sección de Estadística, Dirección de Planificación.</a:t>
          </a:r>
        </a:p>
        <a:p xmlns:a="http://schemas.openxmlformats.org/drawingml/2006/main">
          <a:pPr algn="l" rtl="0">
            <a:defRPr sz="1000"/>
          </a:pPr>
          <a:endParaRPr lang="es-CR" sz="950" b="1" i="0" u="none" strike="noStrike" baseline="0">
            <a:solidFill>
              <a:srgbClr val="000000"/>
            </a:solidFill>
            <a:latin typeface="Arial"/>
            <a:cs typeface="Aria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0.95605</cdr:y>
    </cdr:from>
    <cdr:to>
      <cdr:x>0.83856</cdr:x>
      <cdr:y>1</cdr:y>
    </cdr:to>
    <cdr:sp macro="" textlink="">
      <cdr:nvSpPr>
        <cdr:cNvPr id="1025" name="Text Box 1"/>
        <cdr:cNvSpPr txBox="1">
          <a:spLocks xmlns:a="http://schemas.openxmlformats.org/drawingml/2006/main" noChangeArrowheads="1"/>
        </cdr:cNvSpPr>
      </cdr:nvSpPr>
      <cdr:spPr bwMode="auto">
        <a:xfrm xmlns:a="http://schemas.openxmlformats.org/drawingml/2006/main">
          <a:off x="0" y="2880360"/>
          <a:ext cx="4091940" cy="13716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0000" tIns="10800" rIns="90000" bIns="10800" anchor="t" upright="1"/>
        <a:lstStyle xmlns:a="http://schemas.openxmlformats.org/drawingml/2006/main"/>
        <a:p xmlns:a="http://schemas.openxmlformats.org/drawingml/2006/main">
          <a:pPr algn="l" rtl="0">
            <a:defRPr sz="1000"/>
          </a:pPr>
          <a:r>
            <a:rPr lang="es-CR" sz="1000" b="0" i="0" u="none" strike="noStrike" baseline="0">
              <a:solidFill>
                <a:srgbClr val="000000"/>
              </a:solidFill>
              <a:latin typeface="Times New Roman"/>
              <a:cs typeface="Times New Roman"/>
            </a:rPr>
            <a:t>Elaborado por: Sección de Estadística, Dirección de Planificación.</a:t>
          </a:r>
        </a:p>
        <a:p xmlns:a="http://schemas.openxmlformats.org/drawingml/2006/main">
          <a:pPr algn="l" rtl="0">
            <a:defRPr sz="1000"/>
          </a:pPr>
          <a:endParaRPr lang="es-CR" sz="500" b="0" i="0" u="none" strike="noStrike" baseline="0">
            <a:solidFill>
              <a:srgbClr val="000000"/>
            </a:solidFill>
            <a:latin typeface="Times New Roman"/>
            <a:cs typeface="Times New Roman"/>
          </a:endParaRPr>
        </a:p>
      </cdr:txBody>
    </cdr:sp>
  </cdr:relSizeAnchor>
  <cdr:relSizeAnchor xmlns:cdr="http://schemas.openxmlformats.org/drawingml/2006/chartDrawing">
    <cdr:from>
      <cdr:x>0.53961</cdr:x>
      <cdr:y>0.30764</cdr:y>
    </cdr:from>
    <cdr:to>
      <cdr:x>0.80081</cdr:x>
      <cdr:y>0.37072</cdr:y>
    </cdr:to>
    <cdr:sp macro="" textlink="">
      <cdr:nvSpPr>
        <cdr:cNvPr id="1026" name="Text Box 2"/>
        <cdr:cNvSpPr txBox="1">
          <a:spLocks xmlns:a="http://schemas.openxmlformats.org/drawingml/2006/main" noChangeArrowheads="1"/>
        </cdr:cNvSpPr>
      </cdr:nvSpPr>
      <cdr:spPr bwMode="auto">
        <a:xfrm xmlns:a="http://schemas.openxmlformats.org/drawingml/2006/main">
          <a:off x="2630351" y="1006765"/>
          <a:ext cx="1288430" cy="17979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27432" tIns="32004" rIns="0" bIns="0" anchor="t" upright="1">
          <a:spAutoFit/>
        </a:bodyPr>
        <a:lstStyle xmlns:a="http://schemas.openxmlformats.org/drawingml/2006/main"/>
        <a:p xmlns:a="http://schemas.openxmlformats.org/drawingml/2006/main">
          <a:pPr algn="l" rtl="0">
            <a:defRPr sz="1000"/>
          </a:pPr>
          <a:r>
            <a:rPr lang="es-CR" sz="1000" b="0" i="0" u="none" strike="noStrike" baseline="0">
              <a:solidFill>
                <a:srgbClr val="000000"/>
              </a:solidFill>
              <a:latin typeface="Times New Roman" pitchFamily="18" charset="0"/>
              <a:cs typeface="Times New Roman" pitchFamily="18" charset="0"/>
            </a:rPr>
            <a:t>Porcentaje de resolución</a:t>
          </a:r>
        </a:p>
      </cdr:txBody>
    </cdr:sp>
  </cdr:relSizeAnchor>
  <cdr:relSizeAnchor xmlns:cdr="http://schemas.openxmlformats.org/drawingml/2006/chartDrawing">
    <cdr:from>
      <cdr:x>0.19542</cdr:x>
      <cdr:y>0.52208</cdr:y>
    </cdr:from>
    <cdr:to>
      <cdr:x>0.45417</cdr:x>
      <cdr:y>0.58488</cdr:y>
    </cdr:to>
    <cdr:sp macro="" textlink="">
      <cdr:nvSpPr>
        <cdr:cNvPr id="1027" name="Text Box 3"/>
        <cdr:cNvSpPr txBox="1">
          <a:spLocks xmlns:a="http://schemas.openxmlformats.org/drawingml/2006/main" noChangeArrowheads="1"/>
        </cdr:cNvSpPr>
      </cdr:nvSpPr>
      <cdr:spPr bwMode="auto">
        <a:xfrm xmlns:a="http://schemas.openxmlformats.org/drawingml/2006/main">
          <a:off x="961559" y="1610843"/>
          <a:ext cx="1274067" cy="1751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27432" tIns="27432" rIns="0" bIns="0" anchor="t" upright="1">
          <a:spAutoFit/>
        </a:bodyPr>
        <a:lstStyle xmlns:a="http://schemas.openxmlformats.org/drawingml/2006/main"/>
        <a:p xmlns:a="http://schemas.openxmlformats.org/drawingml/2006/main">
          <a:pPr algn="l" rtl="0">
            <a:defRPr sz="1000"/>
          </a:pPr>
          <a:r>
            <a:rPr lang="es-CR" sz="1000" b="0" i="0" u="none" strike="noStrike" baseline="0">
              <a:solidFill>
                <a:srgbClr val="000000"/>
              </a:solidFill>
              <a:latin typeface="Times New Roman"/>
              <a:cs typeface="Times New Roman"/>
            </a:rPr>
            <a:t>Porcentaje de pendencia</a:t>
          </a:r>
        </a:p>
      </cdr:txBody>
    </cdr:sp>
  </cdr:relSizeAnchor>
  <cdr:relSizeAnchor xmlns:cdr="http://schemas.openxmlformats.org/drawingml/2006/chartDrawing">
    <cdr:from>
      <cdr:x>0.36015</cdr:x>
      <cdr:y>0.57612</cdr:y>
    </cdr:from>
    <cdr:to>
      <cdr:x>0.43275</cdr:x>
      <cdr:y>0.62725</cdr:y>
    </cdr:to>
    <cdr:sp macro="" textlink="">
      <cdr:nvSpPr>
        <cdr:cNvPr id="1028" name="Line 4"/>
        <cdr:cNvSpPr>
          <a:spLocks xmlns:a="http://schemas.openxmlformats.org/drawingml/2006/main" noChangeShapeType="1"/>
        </cdr:cNvSpPr>
      </cdr:nvSpPr>
      <cdr:spPr bwMode="auto">
        <a:xfrm xmlns:a="http://schemas.openxmlformats.org/drawingml/2006/main">
          <a:off x="1801041" y="1828800"/>
          <a:ext cx="364281" cy="150381"/>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0.67911</cdr:x>
      <cdr:y>0.36381</cdr:y>
    </cdr:from>
    <cdr:to>
      <cdr:x>0.70661</cdr:x>
      <cdr:y>0.48556</cdr:y>
    </cdr:to>
    <cdr:sp macro="" textlink="">
      <cdr:nvSpPr>
        <cdr:cNvPr id="1029" name="Line 5"/>
        <cdr:cNvSpPr>
          <a:spLocks xmlns:a="http://schemas.openxmlformats.org/drawingml/2006/main" noChangeShapeType="1"/>
        </cdr:cNvSpPr>
      </cdr:nvSpPr>
      <cdr:spPr bwMode="auto">
        <a:xfrm xmlns:a="http://schemas.openxmlformats.org/drawingml/2006/main" flipH="1">
          <a:off x="3389332" y="1206137"/>
          <a:ext cx="137046" cy="357721"/>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s-CR"/>
        </a:p>
      </cdr:txBody>
    </cdr:sp>
  </cdr:relSizeAnchor>
</c:userShapes>
</file>

<file path=word/drawings/drawing3.xml><?xml version="1.0" encoding="utf-8"?>
<c:userShapes xmlns:c="http://schemas.openxmlformats.org/drawingml/2006/chart">
  <cdr:relSizeAnchor xmlns:cdr="http://schemas.openxmlformats.org/drawingml/2006/chartDrawing">
    <cdr:from>
      <cdr:x>0.16675</cdr:x>
      <cdr:y>0.43475</cdr:y>
    </cdr:from>
    <cdr:to>
      <cdr:x>0.91275</cdr:x>
      <cdr:y>0.49475</cdr:y>
    </cdr:to>
    <cdr:sp macro="" textlink="">
      <cdr:nvSpPr>
        <cdr:cNvPr id="1025" name="Rectangle 1"/>
        <cdr:cNvSpPr>
          <a:spLocks xmlns:a="http://schemas.openxmlformats.org/drawingml/2006/main" noChangeArrowheads="1"/>
        </cdr:cNvSpPr>
      </cdr:nvSpPr>
      <cdr:spPr bwMode="auto">
        <a:xfrm xmlns:a="http://schemas.openxmlformats.org/drawingml/2006/main" rot="663409">
          <a:off x="848437" y="1616762"/>
          <a:ext cx="3692759" cy="194504"/>
        </a:xfrm>
        <a:prstGeom xmlns:a="http://schemas.openxmlformats.org/drawingml/2006/main" prst="rect">
          <a:avLst/>
        </a:prstGeom>
        <a:solidFill xmlns:a="http://schemas.openxmlformats.org/drawingml/2006/main">
          <a:srgbClr val="3366FF">
            <a:alpha val="14999"/>
          </a:srgbClr>
        </a:solidFill>
        <a:ln xmlns:a="http://schemas.openxmlformats.org/drawingml/2006/main" w="9525">
          <a:solidFill>
            <a:srgbClr val="0000FF"/>
          </a:solidFill>
          <a:miter lim="800000"/>
          <a:headEnd/>
          <a:tailEnd/>
        </a:ln>
      </cdr:spPr>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cdr:x>
      <cdr:y>0.9375</cdr:y>
    </cdr:from>
    <cdr:to>
      <cdr:x>0.86367</cdr:x>
      <cdr:y>1</cdr:y>
    </cdr:to>
    <cdr:sp macro="" textlink="">
      <cdr:nvSpPr>
        <cdr:cNvPr id="1026" name="Text Box 2"/>
        <cdr:cNvSpPr txBox="1">
          <a:spLocks xmlns:a="http://schemas.openxmlformats.org/drawingml/2006/main" noChangeArrowheads="1"/>
        </cdr:cNvSpPr>
      </cdr:nvSpPr>
      <cdr:spPr bwMode="auto">
        <a:xfrm xmlns:a="http://schemas.openxmlformats.org/drawingml/2006/main">
          <a:off x="0" y="3294252"/>
          <a:ext cx="4290060" cy="22618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s-CR" sz="1100" b="0" i="0" u="none" strike="noStrike" baseline="0">
              <a:solidFill>
                <a:srgbClr val="000000"/>
              </a:solidFill>
              <a:latin typeface="Times New Roman"/>
              <a:cs typeface="Times New Roman"/>
            </a:rPr>
            <a:t>Elaborado por: Sección de Estadística, Dirección de Planificación.</a:t>
          </a:r>
        </a:p>
        <a:p xmlns:a="http://schemas.openxmlformats.org/drawingml/2006/main">
          <a:pPr algn="l" rtl="0">
            <a:defRPr sz="1000"/>
          </a:pPr>
          <a:endParaRPr lang="es-CR" sz="1100" b="0" i="0" u="none" strike="noStrike" baseline="0">
            <a:solidFill>
              <a:srgbClr val="000000"/>
            </a:solidFill>
            <a:latin typeface="Times New Roman"/>
            <a:cs typeface="Times New Roman"/>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0.9433</cdr:y>
    </cdr:from>
    <cdr:to>
      <cdr:x>0.82011</cdr:x>
      <cdr:y>1</cdr:y>
    </cdr:to>
    <cdr:sp macro="" textlink="">
      <cdr:nvSpPr>
        <cdr:cNvPr id="1026" name="Text Box 2"/>
        <cdr:cNvSpPr txBox="1">
          <a:spLocks xmlns:a="http://schemas.openxmlformats.org/drawingml/2006/main" noChangeArrowheads="1"/>
        </cdr:cNvSpPr>
      </cdr:nvSpPr>
      <cdr:spPr bwMode="auto">
        <a:xfrm xmlns:a="http://schemas.openxmlformats.org/drawingml/2006/main">
          <a:off x="0" y="3337560"/>
          <a:ext cx="4091940" cy="1828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s-CR" sz="1000" b="0" i="0" u="none" strike="noStrike" baseline="0">
              <a:solidFill>
                <a:srgbClr val="000000"/>
              </a:solidFill>
              <a:latin typeface="Times New Roman"/>
              <a:cs typeface="Times New Roman"/>
            </a:rPr>
            <a:t>Elaborado por: Sección de Estadística, Dirección de Planificación.</a:t>
          </a:r>
        </a:p>
        <a:p xmlns:a="http://schemas.openxmlformats.org/drawingml/2006/main">
          <a:pPr algn="l" rtl="0">
            <a:defRPr sz="1000"/>
          </a:pPr>
          <a:endParaRPr lang="es-CR" sz="500" b="0" i="0" u="none" strike="noStrike" baseline="0">
            <a:solidFill>
              <a:srgbClr val="000000"/>
            </a:solidFill>
            <a:latin typeface="Times New Roman"/>
            <a:cs typeface="Times New Roman"/>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0.261</cdr:x>
      <cdr:y>0.52</cdr:y>
    </cdr:from>
    <cdr:to>
      <cdr:x>0.79575</cdr:x>
      <cdr:y>0.55475</cdr:y>
    </cdr:to>
    <cdr:sp macro="" textlink="">
      <cdr:nvSpPr>
        <cdr:cNvPr id="1025" name="Rectangle 1"/>
        <cdr:cNvSpPr>
          <a:spLocks xmlns:a="http://schemas.openxmlformats.org/drawingml/2006/main" noChangeArrowheads="1"/>
        </cdr:cNvSpPr>
      </cdr:nvSpPr>
      <cdr:spPr bwMode="auto">
        <a:xfrm xmlns:a="http://schemas.openxmlformats.org/drawingml/2006/main">
          <a:off x="1274834" y="1553611"/>
          <a:ext cx="2611943" cy="93833"/>
        </a:xfrm>
        <a:prstGeom xmlns:a="http://schemas.openxmlformats.org/drawingml/2006/main" prst="rect">
          <a:avLst/>
        </a:prstGeom>
        <a:solidFill xmlns:a="http://schemas.openxmlformats.org/drawingml/2006/main">
          <a:srgbClr val="3366FF">
            <a:alpha val="20000"/>
          </a:srgbClr>
        </a:solidFill>
        <a:ln xmlns:a="http://schemas.openxmlformats.org/drawingml/2006/main" w="6350">
          <a:solidFill>
            <a:srgbClr val="000000"/>
          </a:solidFill>
          <a:miter lim="800000"/>
          <a:headEnd/>
          <a:tailEnd/>
        </a:ln>
      </cdr:spPr>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cdr:x>
      <cdr:y>0.917</cdr:y>
    </cdr:from>
    <cdr:to>
      <cdr:x>0.94688</cdr:x>
      <cdr:y>0.9995</cdr:y>
    </cdr:to>
    <cdr:sp macro="" textlink="">
      <cdr:nvSpPr>
        <cdr:cNvPr id="1026" name="Rectangle 2"/>
        <cdr:cNvSpPr>
          <a:spLocks xmlns:a="http://schemas.openxmlformats.org/drawingml/2006/main" noGrp="1" noChangeArrowheads="1"/>
        </cdr:cNvSpPr>
      </cdr:nvSpPr>
      <cdr:spPr bwMode="auto">
        <a:xfrm xmlns:a="http://schemas.openxmlformats.org/drawingml/2006/main">
          <a:off x="0" y="2634478"/>
          <a:ext cx="4617720" cy="22920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s-CR" sz="1100" b="0" i="0" u="none" strike="noStrike" baseline="0">
              <a:solidFill>
                <a:srgbClr val="000000"/>
              </a:solidFill>
              <a:latin typeface="Times New Roman"/>
              <a:cs typeface="Times New Roman"/>
            </a:rPr>
            <a:t>Elaborado por: Sección de Estadística, Dirección de Planificación.</a:t>
          </a:r>
        </a:p>
        <a:p xmlns:a="http://schemas.openxmlformats.org/drawingml/2006/main">
          <a:pPr algn="l" rtl="0">
            <a:defRPr sz="1000"/>
          </a:pPr>
          <a:endParaRPr lang="es-CR" sz="1100" b="0" i="0" u="none" strike="noStrike" baseline="0">
            <a:solidFill>
              <a:srgbClr val="000000"/>
            </a:solidFill>
            <a:latin typeface="Times New Roman"/>
            <a:cs typeface="Times New Roman"/>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0.912</cdr:y>
    </cdr:from>
    <cdr:to>
      <cdr:x>0.95959</cdr:x>
      <cdr:y>0.99925</cdr:y>
    </cdr:to>
    <cdr:sp macro="" textlink="">
      <cdr:nvSpPr>
        <cdr:cNvPr id="1025" name="Rectangle 1"/>
        <cdr:cNvSpPr>
          <a:spLocks xmlns:a="http://schemas.openxmlformats.org/drawingml/2006/main" noGrp="1" noChangeArrowheads="1"/>
        </cdr:cNvSpPr>
      </cdr:nvSpPr>
      <cdr:spPr bwMode="auto">
        <a:xfrm xmlns:a="http://schemas.openxmlformats.org/drawingml/2006/main">
          <a:off x="0" y="2861691"/>
          <a:ext cx="4823460" cy="23048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s-CR" sz="1200" b="0" i="0" u="none" strike="noStrike" baseline="0">
              <a:solidFill>
                <a:srgbClr val="000000"/>
              </a:solidFill>
              <a:latin typeface="Times New Roman"/>
              <a:cs typeface="Times New Roman"/>
            </a:rPr>
            <a:t>Elaborado por: Sección de Estadística, Dirección de Planificación.</a:t>
          </a:r>
        </a:p>
        <a:p xmlns:a="http://schemas.openxmlformats.org/drawingml/2006/main">
          <a:pPr algn="l" rtl="0">
            <a:defRPr sz="1000"/>
          </a:pPr>
          <a:endParaRPr lang="es-CR" sz="1200" b="0" i="0" u="none" strike="noStrike" baseline="0">
            <a:solidFill>
              <a:srgbClr val="000000"/>
            </a:solidFill>
            <a:latin typeface="Times New Roman"/>
            <a:cs typeface="Times New Roman"/>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0.92325</cdr:y>
    </cdr:from>
    <cdr:to>
      <cdr:x>0.81464</cdr:x>
      <cdr:y>0.98987</cdr:y>
    </cdr:to>
    <cdr:sp macro="" textlink="">
      <cdr:nvSpPr>
        <cdr:cNvPr id="1026" name="Rectangle 2"/>
        <cdr:cNvSpPr>
          <a:spLocks xmlns:a="http://schemas.openxmlformats.org/drawingml/2006/main" noGrp="1" noChangeArrowheads="1"/>
        </cdr:cNvSpPr>
      </cdr:nvSpPr>
      <cdr:spPr bwMode="auto">
        <a:xfrm xmlns:a="http://schemas.openxmlformats.org/drawingml/2006/main">
          <a:off x="0" y="3116581"/>
          <a:ext cx="3966637" cy="22489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s-CR" sz="1000" b="0" i="0" u="none" strike="noStrike" baseline="0">
              <a:solidFill>
                <a:srgbClr val="000000"/>
              </a:solidFill>
              <a:latin typeface="Times New Roman"/>
              <a:cs typeface="Times New Roman"/>
            </a:rPr>
            <a:t>Elaborado por: Sección de Estadística, Dirección de Planificación</a:t>
          </a:r>
          <a:r>
            <a:rPr lang="es-CR" sz="500" b="0" i="0" u="none" strike="noStrike" baseline="0">
              <a:solidFill>
                <a:srgbClr val="000000"/>
              </a:solidFill>
              <a:latin typeface="Times New Roman"/>
              <a:cs typeface="Times New Roman"/>
            </a:rPr>
            <a:t>.</a:t>
          </a:r>
        </a:p>
        <a:p xmlns:a="http://schemas.openxmlformats.org/drawingml/2006/main">
          <a:pPr algn="l" rtl="0">
            <a:defRPr sz="1000"/>
          </a:pPr>
          <a:endParaRPr lang="es-CR" sz="500" b="0" i="0" u="none" strike="noStrike" baseline="0">
            <a:solidFill>
              <a:srgbClr val="000000"/>
            </a:solidFill>
            <a:latin typeface="Times New Roman"/>
            <a:cs typeface="Times New Roman"/>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0.92317</cdr:y>
    </cdr:from>
    <cdr:to>
      <cdr:x>0.7788</cdr:x>
      <cdr:y>0.99924</cdr:y>
    </cdr:to>
    <cdr:sp macro="" textlink="">
      <cdr:nvSpPr>
        <cdr:cNvPr id="1025" name="Rectangle 1"/>
        <cdr:cNvSpPr>
          <a:spLocks xmlns:a="http://schemas.openxmlformats.org/drawingml/2006/main" noGrp="1" noChangeArrowheads="1"/>
        </cdr:cNvSpPr>
      </cdr:nvSpPr>
      <cdr:spPr bwMode="auto">
        <a:xfrm xmlns:a="http://schemas.openxmlformats.org/drawingml/2006/main">
          <a:off x="0" y="2903220"/>
          <a:ext cx="3924300" cy="188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s-CR" sz="1000" b="0" i="0" u="none" strike="noStrike" baseline="0">
              <a:solidFill>
                <a:srgbClr val="000000"/>
              </a:solidFill>
              <a:latin typeface="Times New Roman"/>
              <a:cs typeface="Times New Roman"/>
            </a:rPr>
            <a:t>Elaborado por: Sección de Estadística, Dirección de Planificación.</a:t>
          </a:r>
        </a:p>
        <a:p xmlns:a="http://schemas.openxmlformats.org/drawingml/2006/main">
          <a:pPr algn="l" rtl="0">
            <a:defRPr sz="1000"/>
          </a:pPr>
          <a:endParaRPr lang="es-CR" sz="500" b="0" i="0" u="none" strike="noStrike" baseline="0">
            <a:solidFill>
              <a:srgbClr val="000000"/>
            </a:solidFill>
            <a:latin typeface="Times New Roman"/>
            <a:cs typeface="Times New Roman"/>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0.1555</cdr:x>
      <cdr:y>0.5195</cdr:y>
    </cdr:from>
    <cdr:to>
      <cdr:x>0.41783</cdr:x>
      <cdr:y>0.58259</cdr:y>
    </cdr:to>
    <cdr:sp macro="" textlink="">
      <cdr:nvSpPr>
        <cdr:cNvPr id="1025" name="Text Box 1"/>
        <cdr:cNvSpPr txBox="1">
          <a:spLocks xmlns:a="http://schemas.openxmlformats.org/drawingml/2006/main" noChangeArrowheads="1"/>
        </cdr:cNvSpPr>
      </cdr:nvSpPr>
      <cdr:spPr bwMode="auto">
        <a:xfrm xmlns:a="http://schemas.openxmlformats.org/drawingml/2006/main">
          <a:off x="762069" y="1652847"/>
          <a:ext cx="1233799" cy="1715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0">
            <a:defRPr sz="1000"/>
          </a:pPr>
          <a:r>
            <a:rPr lang="es-CR" sz="975" b="0" i="0" u="none" strike="noStrike" baseline="0">
              <a:solidFill>
                <a:srgbClr val="000000"/>
              </a:solidFill>
              <a:latin typeface="Times New Roman"/>
              <a:cs typeface="Times New Roman"/>
            </a:rPr>
            <a:t>Porcentaje de pendencia</a:t>
          </a:r>
        </a:p>
      </cdr:txBody>
    </cdr:sp>
  </cdr:relSizeAnchor>
  <cdr:relSizeAnchor xmlns:cdr="http://schemas.openxmlformats.org/drawingml/2006/chartDrawing">
    <cdr:from>
      <cdr:x>0.60948</cdr:x>
      <cdr:y>0.59225</cdr:y>
    </cdr:from>
    <cdr:to>
      <cdr:x>0.99225</cdr:x>
      <cdr:y>0.66788</cdr:y>
    </cdr:to>
    <cdr:sp macro="" textlink="">
      <cdr:nvSpPr>
        <cdr:cNvPr id="1026" name="Text Box 2"/>
        <cdr:cNvSpPr txBox="1">
          <a:spLocks xmlns:a="http://schemas.openxmlformats.org/drawingml/2006/main" noChangeArrowheads="1"/>
        </cdr:cNvSpPr>
      </cdr:nvSpPr>
      <cdr:spPr bwMode="auto">
        <a:xfrm xmlns:a="http://schemas.openxmlformats.org/drawingml/2006/main">
          <a:off x="2927348" y="1836161"/>
          <a:ext cx="1858009" cy="20935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27432" tIns="32004" rIns="0" bIns="0" anchor="t" upright="1">
          <a:spAutoFit/>
        </a:bodyPr>
        <a:lstStyle xmlns:a="http://schemas.openxmlformats.org/drawingml/2006/main"/>
        <a:p xmlns:a="http://schemas.openxmlformats.org/drawingml/2006/main">
          <a:pPr algn="l" rtl="0">
            <a:defRPr sz="1000"/>
          </a:pPr>
          <a:r>
            <a:rPr lang="es-CR" sz="1200" b="1" i="0" u="none" strike="noStrike" baseline="0">
              <a:solidFill>
                <a:srgbClr val="000000"/>
              </a:solidFill>
              <a:latin typeface="Arial"/>
              <a:cs typeface="Arial"/>
            </a:rPr>
            <a:t>Porcentaje de resolución</a:t>
          </a:r>
        </a:p>
      </cdr:txBody>
    </cdr:sp>
  </cdr:relSizeAnchor>
  <cdr:relSizeAnchor xmlns:cdr="http://schemas.openxmlformats.org/drawingml/2006/chartDrawing">
    <cdr:from>
      <cdr:x>0.393</cdr:x>
      <cdr:y>0.451</cdr:y>
    </cdr:from>
    <cdr:to>
      <cdr:x>0.459</cdr:x>
      <cdr:y>0.53575</cdr:y>
    </cdr:to>
    <cdr:sp macro="" textlink="">
      <cdr:nvSpPr>
        <cdr:cNvPr id="1027" name="Line 3"/>
        <cdr:cNvSpPr>
          <a:spLocks xmlns:a="http://schemas.openxmlformats.org/drawingml/2006/main" noChangeShapeType="1"/>
        </cdr:cNvSpPr>
      </cdr:nvSpPr>
      <cdr:spPr bwMode="auto">
        <a:xfrm xmlns:a="http://schemas.openxmlformats.org/drawingml/2006/main" flipV="1">
          <a:off x="1895003" y="1473304"/>
          <a:ext cx="313441" cy="221033"/>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0.762</cdr:x>
      <cdr:y>0.63125</cdr:y>
    </cdr:from>
    <cdr:to>
      <cdr:x>0.8345</cdr:x>
      <cdr:y>0.67675</cdr:y>
    </cdr:to>
    <cdr:sp macro="" textlink="">
      <cdr:nvSpPr>
        <cdr:cNvPr id="1028" name="Line 4"/>
        <cdr:cNvSpPr>
          <a:spLocks xmlns:a="http://schemas.openxmlformats.org/drawingml/2006/main" noChangeShapeType="1"/>
        </cdr:cNvSpPr>
      </cdr:nvSpPr>
      <cdr:spPr bwMode="auto">
        <a:xfrm xmlns:a="http://schemas.openxmlformats.org/drawingml/2006/main" flipH="1">
          <a:off x="3650033" y="1941774"/>
          <a:ext cx="349332" cy="118438"/>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cdr:x>
      <cdr:y>0.91725</cdr:y>
    </cdr:from>
    <cdr:to>
      <cdr:x>0.92834</cdr:x>
      <cdr:y>1</cdr:y>
    </cdr:to>
    <cdr:sp macro="" textlink="">
      <cdr:nvSpPr>
        <cdr:cNvPr id="1029" name="Text Box 5"/>
        <cdr:cNvSpPr txBox="1">
          <a:spLocks xmlns:a="http://schemas.openxmlformats.org/drawingml/2006/main" noChangeArrowheads="1"/>
        </cdr:cNvSpPr>
      </cdr:nvSpPr>
      <cdr:spPr bwMode="auto">
        <a:xfrm xmlns:a="http://schemas.openxmlformats.org/drawingml/2006/main">
          <a:off x="0" y="2756505"/>
          <a:ext cx="4442460" cy="2610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s-CR" sz="1075" b="1" i="0" u="none" strike="noStrike" baseline="0">
              <a:solidFill>
                <a:srgbClr val="000000"/>
              </a:solidFill>
              <a:latin typeface="Times New Roman"/>
              <a:cs typeface="Times New Roman"/>
            </a:rPr>
            <a:t>Elaborado por: </a:t>
          </a:r>
          <a:r>
            <a:rPr lang="es-CR" sz="1000" b="1" i="0" u="none" strike="noStrike" baseline="0">
              <a:solidFill>
                <a:srgbClr val="000000"/>
              </a:solidFill>
              <a:latin typeface="Arial"/>
              <a:cs typeface="Arial"/>
            </a:rPr>
            <a:t>Sección de Estadística, Dirección de Planificación.</a:t>
          </a:r>
          <a:endParaRPr lang="es-CR" sz="1075" b="1" i="0" u="none" strike="noStrike" baseline="0">
            <a:solidFill>
              <a:srgbClr val="000000"/>
            </a:solidFill>
            <a:latin typeface="Times New Roman"/>
            <a:cs typeface="Times New Roman"/>
          </a:endParaRPr>
        </a:p>
        <a:p xmlns:a="http://schemas.openxmlformats.org/drawingml/2006/main">
          <a:pPr algn="l" rtl="0">
            <a:defRPr sz="1000"/>
          </a:pPr>
          <a:endParaRPr lang="es-CR" sz="1075" b="1" i="0" u="none" strike="noStrike" baseline="0">
            <a:solidFill>
              <a:srgbClr val="000000"/>
            </a:solidFill>
            <a:latin typeface="Times New Roman"/>
            <a:cs typeface="Times New Roman"/>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B7EEA-914F-4B8E-8DC3-82CFD4BE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3733</Words>
  <Characters>20532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-PLA-2012</vt:lpstr>
    </vt:vector>
  </TitlesOfParts>
  <Company/>
  <LinksUpToDate>false</LinksUpToDate>
  <CharactersWithSpaces>24217</CharactersWithSpaces>
  <SharedDoc>false</SharedDoc>
  <HLinks>
    <vt:vector size="6" baseType="variant">
      <vt:variant>
        <vt:i4>6094966</vt:i4>
      </vt:variant>
      <vt:variant>
        <vt:i4>0</vt:i4>
      </vt:variant>
      <vt:variant>
        <vt:i4>0</vt:i4>
      </vt:variant>
      <vt:variant>
        <vt:i4>5</vt:i4>
      </vt:variant>
      <vt:variant>
        <vt:lpwstr>mailto:planificacion@poder-judicial.go.cr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creator>xbarrientos</dc:creator>
  <cp:lastModifiedBy>Elías Muñoz Jiménez</cp:lastModifiedBy>
  <cp:revision>4</cp:revision>
  <dcterms:created xsi:type="dcterms:W3CDTF">2016-12-05T14:34:00Z</dcterms:created>
  <dcterms:modified xsi:type="dcterms:W3CDTF">2016-12-05T21:01:00Z</dcterms:modified>
</cp:coreProperties>
</file>