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9A9F5" w14:textId="77777777" w:rsidR="00E933B3" w:rsidRPr="00C72532" w:rsidRDefault="00E933B3" w:rsidP="00E933B3">
      <w:pPr>
        <w:jc w:val="right"/>
        <w:rPr>
          <w:rFonts w:ascii="Book Antiqua" w:hAnsi="Book Antiqua" w:cs="Book Antiqua"/>
          <w:lang w:val="pt-BR"/>
        </w:rPr>
      </w:pPr>
      <w:r w:rsidRPr="00C72532">
        <w:rPr>
          <w:rFonts w:ascii="Book Antiqua" w:hAnsi="Book Antiqua" w:cs="Book Antiqua"/>
          <w:lang w:val="pt-BR"/>
        </w:rPr>
        <w:t>458-PLA-2017</w:t>
      </w:r>
    </w:p>
    <w:p w14:paraId="0339CD63" w14:textId="77777777" w:rsidR="00E933B3" w:rsidRDefault="00E933B3" w:rsidP="00E933B3">
      <w:pPr>
        <w:jc w:val="right"/>
        <w:rPr>
          <w:rFonts w:ascii="Book Antiqua" w:hAnsi="Book Antiqua" w:cs="Book Antiqua"/>
          <w:color w:val="000000"/>
        </w:rPr>
      </w:pPr>
      <w:r w:rsidRPr="00C72532">
        <w:rPr>
          <w:rFonts w:ascii="Book Antiqua" w:hAnsi="Book Antiqua" w:cs="Book Antiqua"/>
          <w:lang w:val="es-CR"/>
        </w:rPr>
        <w:t xml:space="preserve">Ref. SICE: </w:t>
      </w:r>
      <w:r w:rsidRPr="00C72532">
        <w:rPr>
          <w:rFonts w:ascii="Book Antiqua" w:hAnsi="Book Antiqua" w:cs="Book Antiqua"/>
          <w:color w:val="000000"/>
        </w:rPr>
        <w:t>1542-16</w:t>
      </w:r>
    </w:p>
    <w:p w14:paraId="5B88F6FA" w14:textId="77777777" w:rsidR="00E933B3" w:rsidRPr="00C72532" w:rsidRDefault="00E933B3" w:rsidP="00E933B3">
      <w:pPr>
        <w:jc w:val="right"/>
        <w:rPr>
          <w:rFonts w:ascii="Book Antiqua" w:hAnsi="Book Antiqua" w:cs="Book Antiqua"/>
          <w:lang w:val="pt-BR"/>
        </w:rPr>
      </w:pPr>
    </w:p>
    <w:p w14:paraId="3077AE83" w14:textId="77777777" w:rsidR="00E933B3" w:rsidRPr="00C72532" w:rsidRDefault="00E933B3" w:rsidP="00E933B3">
      <w:pPr>
        <w:rPr>
          <w:rFonts w:ascii="Book Antiqua" w:hAnsi="Book Antiqua" w:cs="Book Antiqua"/>
          <w:lang w:val="pt-BR"/>
        </w:rPr>
      </w:pPr>
      <w:r w:rsidRPr="00C72532">
        <w:rPr>
          <w:rFonts w:ascii="Book Antiqua" w:hAnsi="Book Antiqua" w:cs="Book Antiqua"/>
          <w:lang w:val="pt-BR"/>
        </w:rPr>
        <w:t>22 de febrero de 2017</w:t>
      </w:r>
    </w:p>
    <w:p w14:paraId="7A6EB253" w14:textId="77777777" w:rsidR="00E933B3" w:rsidRPr="00C72532" w:rsidRDefault="00E933B3" w:rsidP="00E933B3">
      <w:pPr>
        <w:rPr>
          <w:rFonts w:ascii="Book Antiqua" w:hAnsi="Book Antiqua" w:cs="Book Antiqua"/>
          <w:lang w:val="pt-BR"/>
        </w:rPr>
      </w:pPr>
    </w:p>
    <w:p w14:paraId="03BC1916" w14:textId="77777777" w:rsidR="00E933B3" w:rsidRPr="00C72532" w:rsidRDefault="00E933B3" w:rsidP="00E933B3">
      <w:pPr>
        <w:rPr>
          <w:rFonts w:ascii="Book Antiqua" w:hAnsi="Book Antiqua" w:cs="Book Antiqua"/>
          <w:lang w:val="pt-BR"/>
        </w:rPr>
      </w:pPr>
    </w:p>
    <w:p w14:paraId="621B0914" w14:textId="77777777" w:rsidR="00E933B3" w:rsidRPr="00C72532" w:rsidRDefault="00E933B3" w:rsidP="00E933B3">
      <w:pPr>
        <w:rPr>
          <w:rFonts w:ascii="Book Antiqua" w:hAnsi="Book Antiqua" w:cs="Book Antiqua"/>
          <w:lang w:val="pt-BR"/>
        </w:rPr>
      </w:pPr>
    </w:p>
    <w:p w14:paraId="423824EC" w14:textId="77777777" w:rsidR="00E933B3" w:rsidRPr="00C72532" w:rsidRDefault="00E933B3" w:rsidP="00E933B3">
      <w:pPr>
        <w:rPr>
          <w:rFonts w:ascii="Book Antiqua" w:hAnsi="Book Antiqua" w:cs="Book Antiqua"/>
          <w:lang w:val="pt-BR"/>
        </w:rPr>
      </w:pPr>
      <w:r w:rsidRPr="00C72532">
        <w:rPr>
          <w:rFonts w:ascii="Book Antiqua" w:hAnsi="Book Antiqua" w:cs="Book Antiqua"/>
          <w:lang w:val="pt-BR"/>
        </w:rPr>
        <w:t>Licenciada</w:t>
      </w:r>
    </w:p>
    <w:p w14:paraId="7EED57B5" w14:textId="77777777" w:rsidR="00E933B3" w:rsidRPr="00C72532" w:rsidRDefault="00E933B3" w:rsidP="00E933B3">
      <w:pPr>
        <w:rPr>
          <w:rFonts w:ascii="Book Antiqua" w:hAnsi="Book Antiqua" w:cs="Book Antiqua"/>
          <w:lang w:val="pt-BR"/>
        </w:rPr>
      </w:pPr>
      <w:smartTag w:uri="urn:schemas-microsoft-com:office:smarttags" w:element="PersonName">
        <w:r w:rsidRPr="00C72532">
          <w:rPr>
            <w:rFonts w:ascii="Book Antiqua" w:hAnsi="Book Antiqua" w:cs="Book Antiqua"/>
            <w:lang w:val="pt-BR"/>
          </w:rPr>
          <w:t>Silvia Navarro Romanini</w:t>
        </w:r>
      </w:smartTag>
      <w:r w:rsidRPr="00C72532">
        <w:rPr>
          <w:rFonts w:ascii="Book Antiqua" w:hAnsi="Book Antiqua" w:cs="Book Antiqua"/>
          <w:lang w:val="pt-BR"/>
        </w:rPr>
        <w:t xml:space="preserve"> </w:t>
      </w:r>
    </w:p>
    <w:p w14:paraId="724AC31F" w14:textId="77777777" w:rsidR="00E933B3" w:rsidRDefault="00E933B3" w:rsidP="00E933B3">
      <w:pPr>
        <w:rPr>
          <w:rFonts w:ascii="Book Antiqua" w:hAnsi="Book Antiqua" w:cs="Book Antiqua"/>
          <w:lang w:val="es-CR"/>
        </w:rPr>
      </w:pPr>
      <w:r w:rsidRPr="00C72532">
        <w:rPr>
          <w:rFonts w:ascii="Book Antiqua" w:hAnsi="Book Antiqua" w:cs="Book Antiqua"/>
          <w:lang w:val="es-CR"/>
        </w:rPr>
        <w:t>Secretaría General de la Corte</w:t>
      </w:r>
    </w:p>
    <w:p w14:paraId="392C6C94" w14:textId="77777777" w:rsidR="00E933B3" w:rsidRDefault="00E933B3" w:rsidP="00E933B3">
      <w:pPr>
        <w:rPr>
          <w:rFonts w:ascii="Book Antiqua" w:hAnsi="Book Antiqua" w:cs="Book Antiqua"/>
          <w:lang w:val="es-CR"/>
        </w:rPr>
      </w:pPr>
    </w:p>
    <w:p w14:paraId="784E4E64" w14:textId="77777777" w:rsidR="00E933B3" w:rsidRPr="00C72532" w:rsidRDefault="00E933B3" w:rsidP="00E933B3">
      <w:pPr>
        <w:rPr>
          <w:rFonts w:ascii="Book Antiqua" w:hAnsi="Book Antiqua" w:cs="Book Antiqua"/>
          <w:lang w:val="es-CR"/>
        </w:rPr>
      </w:pPr>
    </w:p>
    <w:p w14:paraId="6F22505B" w14:textId="77777777" w:rsidR="00E933B3" w:rsidRPr="00C72532" w:rsidRDefault="00E933B3" w:rsidP="00E933B3">
      <w:pPr>
        <w:rPr>
          <w:rFonts w:ascii="Book Antiqua" w:hAnsi="Book Antiqua" w:cs="Book Antiqua"/>
          <w:lang w:val="es-CR"/>
        </w:rPr>
      </w:pPr>
      <w:r w:rsidRPr="00C72532">
        <w:rPr>
          <w:rFonts w:ascii="Book Antiqua" w:hAnsi="Book Antiqua" w:cs="Book Antiqua"/>
          <w:lang w:val="es-CR"/>
        </w:rPr>
        <w:t>Estimada señora:</w:t>
      </w:r>
    </w:p>
    <w:p w14:paraId="1271A0FB" w14:textId="77777777" w:rsidR="00E933B3" w:rsidRPr="00C72532" w:rsidRDefault="00E933B3" w:rsidP="00E933B3">
      <w:pPr>
        <w:jc w:val="both"/>
        <w:rPr>
          <w:rFonts w:ascii="Book Antiqua" w:hAnsi="Book Antiqua" w:cs="Book Antiqua"/>
        </w:rPr>
      </w:pPr>
    </w:p>
    <w:p w14:paraId="2C3982A5" w14:textId="77777777" w:rsidR="00E933B3" w:rsidRPr="00C72532" w:rsidRDefault="00E933B3" w:rsidP="00E933B3">
      <w:pPr>
        <w:ind w:firstLine="720"/>
        <w:jc w:val="both"/>
        <w:rPr>
          <w:rFonts w:ascii="Book Antiqua" w:hAnsi="Book Antiqua" w:cs="Times New Roman"/>
        </w:rPr>
      </w:pPr>
      <w:r w:rsidRPr="00C72532">
        <w:rPr>
          <w:rFonts w:ascii="Book Antiqua" w:hAnsi="Book Antiqua" w:cs="Book Antiqua"/>
          <w:lang w:val="es-CR"/>
        </w:rPr>
        <w:t>Le remito el informe</w:t>
      </w:r>
      <w:r w:rsidRPr="00C72532">
        <w:rPr>
          <w:rFonts w:ascii="Book Antiqua" w:hAnsi="Book Antiqua" w:cs="Book Antiqua"/>
        </w:rPr>
        <w:t xml:space="preserve"> 322</w:t>
      </w:r>
      <w:r w:rsidRPr="00C72532">
        <w:rPr>
          <w:rFonts w:ascii="Book Antiqua" w:hAnsi="Book Antiqua" w:cs="Book Antiqua"/>
          <w:lang w:val="es-CR"/>
        </w:rPr>
        <w:t xml:space="preserve">-EST-2016-B de hoy, suscrito por la Licda. Ana Ericka Rodríguez Araya, Jefa a.i. de </w:t>
      </w:r>
      <w:smartTag w:uri="urn:schemas-microsoft-com:office:smarttags" w:element="PersonName">
        <w:smartTagPr>
          <w:attr w:name="ProductID" w:val="ᇥᇥ哽淓耀̘梬;&#10;螜Ҵ돸Ҷ哸淓耀ͨ梬;&#10;풼ᇥ쀐Ҷ哃淓耀ͷ哎淓耀ͼ哉淓耀΁哔淓耀Ά哟淓耀΋哚淓耀ΐ咥淓a耀Ε咠淓耀Κ咫淓耀Ο咶淓耀Τ咱淓컌耀θ咼淓耀ν咇淓 耀ϛ咂淓o耀ή咍淓耀ς咈淓耀咓淓耀χ咞淓t耀ϖ咙淓蠀ᇧĿ¯&#10;ᙈ袸;卤淓谀搈痎1某痝몠痋l卯淓耀Ϡ卪淓堭耀ɐ卵淓耀ϥ印淓o耀Ϫ卻淓耀γ卆淓耀Įᇥᶡᒸĵ䴱뽬柉餚逃十淓耀4ᇬḾ밫䝬㞂촪茚⊛卌淓耀Ƕ㜮嚣캜ᇒຟ怀욗mbre崜蔷쁮뒀ᇩ님6㫪ၩ〫鴰䌯尺琀㄀܀䉇ᆄ唀敳獲怀ࠀЀꌺܔ䉇⪄㠀&#10;Ā㘀唀猀攀爀猀䀀猀栀攀氀氀㌀㈀⸀搀氀氀Ⰰⴀ㈀㄀㠀㄀㌀᐀尀㄀猀摇ၽ堀䅂剒繉1䐀ࠀЀ憾݁獯摇⩽㜀ሀ砀戀愀爀爀椀攀渀琀漀猀᠀刀㄀愀݁ቯ䄠灰慄慴㰀ࠀЀ憾݁慯݁⩯ᜀ䄀瀀瀀䐀愀琀愀ᘀ䰀㄀＀兆Ⴍ䰠捯污㠀ࠀЀ憾݁ｯ兆⪭ⴀ䰀漀挀愀氀᐀堀㄀Ⰰ᱆ၭ䴠䍉佒繓1䀀ࠀЀ憾݁Ɐ᱆⩭⼀䴀椀挀爀漀猀漀昀琀᠀刀㄀鈀푇ၺ圠湩潤獷㰀ࠀЀ憾݁鉯푇⩺　ሀ圀椀渀搀漀眀猀ᘀ退넀鈀蕇ᙺ吠䵅佐繒1帀ࠀЀ憾݁鉯蕇⩺㄀᐀吀攀洀瀀漀爀愀爀礀 䤀渀琀攀爀渀攀琀 䘀椀氀攀猀᠀ᨀ̀ƾ튞셻콶鴑Ð즠䤃ᠳ刀㄀最뱈Ⴄ传䭌ぁ㌷㰀ࠀЀ憾虁杰뱈⪤⼀؀伀䰀䬀䄀　㜀㌀ᘀ樀㈀䮬最ш₤ㄠ㔵倭繌⸱佄C一ࠀЀ撾坈杮뭈⪤紀ǰ圀㄀㔀㔀ⴀ倀䰀䄀ⴀ㈀　㄀㘀⸀搀漀挀ᰀᄀӰᇦ&#10;ഀ쐚蛸ᇪ≸,۸ᇦݠᇦ߈ᇦ࠰ᇦ࢘ᇦऀᇦ२ᇦ৐ᇦਸᇦઠᇦଈᇦ୰ᇦ௘ᇦీᇦನᇦഐᇦ൸ᇦ෠ᇦ่ᇦະᇦ༘ᇦྀᇦ徝༾쓯ࠅ⒐8⌈ᇩ타簌耀91ʼ`` ￼ ᜀʪࠂ܃ԅ̂ ࠀ&#10;￼&#10;￵&amp;￺￼ &#10;&#10; ØøĨĸTimes New RomanTimes New Roman NegritaNegritaMonotype:Times New Roman Bold:Version 5.07 (Microsoft)簌豈耀p借俠⃐㫪ၩ〫鴰䌯尺琀㄀܀䉇ᆄ唀敳獲怀ࠀЀꌺܔ䉇⪄㠀&#10;Ā㘀唀猀攀爀猀䀀猀栀攀氀氀㌀㈀⸀搀氀氀Ⰰⴀ㈀㄀㠀㄀㌀᐀尀㄀猀摇ၽ堀䅂剒繉1䐀ࠀЀ憾݁獯摇⩽㜀ሀ砀戀愀爀爀椀攀渀琀漀猀᠀刀㄀愀݁ቯ䄠灰慄慴㰀ࠀЀ憾݁慯݁⩯ᜀ䄀瀀瀀䐀愀琀愀ᘀ刀㄀㜀ൃႅ删慯業杮㰀ࠀЀ憾݁㝯ൃ⪅ꠀ刀漀愀洀椀渀最ᘀꉀ琮ꈨ琮簌ꍀ耀§琮Āꏕ淓T耀j琮ၚ餸ၛꊨ琮鼸琮ꉀ琮ꈨ琮ꌌ琮ꍀ琮ꌬ琮Ā ꏈ淓6耀Ƽ琮ၚ鴰ၛꊨ琮鼸琮璻淑ꈨ耀¶琮ꍀ琮ꌬ琮ǒ&#10;ꎻ淓耀w琮ၚꢀၟꊨ琮鼸琮ꉀ琮ꈨ琮ꌌ琮ꍀ琮ꌬ琮Āꎮ淓 耀琮ၚꥰၟꊨ琮鼸琮ꉀ琮ꈨ琮ꌌ琮ꍀ琮ꌬ琮簌耀ÞĀꎡ淓 耀琮ၚ뀀ၟꊨ琮鼸琮ꉀ琮ꈨ琮ꌌ琮ꍀ琮ꌬ琮瓮淑耀ãꎔ淓/耀«琮ၚꏘၛꊨ琮鼸琮ꉀ琮ꈨ琮ꌌ琮ꍀ琮ꌬ琮Āꎇ淓P耀¸琮ၚ꓈ၛꊨ琮鼸琮ꉀ琮ꈨ琮ꌌ琮ꍀ琮ꌬ琮Đꍺ淓耀Ć琮ၚꛈၛꊨ琮鼸琮ꉀ琮ꈨ琮ꌌ琮ꍀ琮ꌬ琮Ā簌耀ĕ淓.耀Å琮ၚ䰠ၜ琑淑鼸耀Đ琮ꈨ琮ꌌ琮ꍀ琮ꌬ琮Āꍠ淓-耀ß琮ၚ䴐ၜꊨ琮鼸琮ꉀ琮ꈨ琮ꌌ琮ꍀ琮ꌬ琮Āꍓ淓d耀ì琮ၚ一ၜꊨ琮鼸琮ꉀ琮ꈨ琮ꌌ琮ꍀ琮ꌬ琮Āꍆ淓 耀琮ၚ꫰ၛꊨ琮鼸琮ꉀ琮ꈨ琮ꌌ琮ꍀ琮ꌬ琮瑄淑耀Ľꌹ淓1耀ù琮簌耀Ōၚ갈ၛꊨ琮鼸琮ꉀ琮ꈨ琮ꌌ琮ꍀ琮ꌬ琮Āꌬ淓樀耀ē琮ၚ놘ၛꊨ琮鼸琮ꉀ琮ꈨ琮ꌌ琮ꍀ琮ꌬ琮Āꌟ淓᠀耀Ġ琮ၚ㘈ၞꊨ琮鼸琮ꉀ琮ꈨ琮ꌌ琮ꍀ琮ꌬ琮Āꌒ淓᠀耀ĭ琮瑷淑㛸耀Ū琮鼸琮ꉀ琮ꈨ琮ꌌ琮ꍀ琮ꌬ琮Āꌅ淓耀ĺ琮ၚ㠰ၞꊨ琮鼸琮簌ꈨ耀ƃ琮ꍀ琮ꌬ琮Āꃸ淓r耀Ň琮ၚ㨈ၞꊨ琮鼸琮ꉀ琮ꈨ琮ꌌ琮ꍀ琮ꌬ琮Āꃫ淓耀Ŕ琮ၚ㫸ၞꊨ琮鼸琮ꉀ琮ꈨ琮ꌌ琮ꍀ琮ꌬ琮瞚淑耀ƗĀꃞ淓c耀š琮ၚ㯨ၞꊨ琮鼸琮ꉀ琮ꈨ琮ꌌ琮ꍀ琮ꌬ琮Āꃑ淓耀Ů琮ၚ䁨ၞꊨ琮鼸琮ꉀ琮ꈨ琮ꌌ琮ꍀ琮ꌬ琮簌耀ƺĀꃄ淓 耀Ż琮ၢѰၢꊨ琮鼸琮ꉀ琮ꈨ琮ꌌ琮ꍀ琮ꌬ琮Āꂷ淓耀ƈ琮矍淑耀ǄၢԸၢꊨ琮鼸琮ꉀ琮ꈨ琮ꌌ琮ꍀ琮ꌬ琮Āꂪ淓E耀ƕ琮ၢ؀ၢꊨ琮鼸琮ꉀ琮ꈨ琮ꌌ琮ꍀ琮ꌬ琮Āꂝ淓耀㲸琮ၢۈၢꊨ琮鼸琮ꉀ琮ꈨ琮ꌌ琮ꍀ琮ꌬ琮簌耀ꂐ淓耀ǉ琮ၚၝꊨ琮鼸琮ꉀ琮ꈨ琮ꌌ琮ꍀ琮ꌬ琮矰淑耀Ā&#10;ꂃ淓耀ǖ琮ၚﺐၚꊨ琮鼸琮ꉀ琮ꈨ琮ꌌ琮ꍀ琮ꌬ琮Ɛꁶ淓耀ǣ琮ၚ￈ၚꊨ琮鼸琮ꉀ琮ꈨ琮ꌌ琮ꍀ琮ꌬ琮Đꁩ淓耀ǰ琮ၚĀၛꊨ琮鼸琮ꉀ琮ꈨ琮ꌌ琮ꍀ琮ꌬ琮Đꁜ淓耀琮ၚȸၛꊨ琮鼸琮ꉀ琮ꈨ琮ꌌ琮ꍀ琮ꌬ琮Đ岝ా왮ࠅ躐ᇥ⌈ᇩ타瞒淑耀&quot;梴虜梴ꌈ梬材Ϝ瞚淑耀梴虜梴ꌈ梬材Ϝ矢淑蠀Parse Prefer Folder Browsing矪淑谀抈痍ကᐊꕸᇧ矲淑耀&#10;ᇥ픈ᇥ矺淑耀2梴虜梴ꌈ梬材Ϝ矂淑耀ᇥꙨᇧ矊淑耀B梴虜梴ꌈ梬材Ϝ矒淑耀*ᇥᇥ矚淑耀òla Sala Constitucional瘢淑耀Z梴虜梴ꌈ梬材Ϝ瘪淑耀:ᇥᇥ瘲淑耀r梴虜梴ꌈ梬材Ϝ瘺淑耀z梴虜梴ꌈ梬材Ϝ瘂淑耀Rᇥᇥ瘊淑耀bᇥᇥ瘒淑耀梴虜梴ꌈ梬材Ϝ瘚淑耀jᇥᇥ癢淑蠀Parse Prefer Folder Browsing癪淑耀梴虜梴ꌈ梬材Ϝ癲淑耀ª梴虜梴ꌈ梬材Ϝ発淑耀ᇥហ9療淑耀º梴虜梴ꌈ梬材Ϝ癊淑耀¢ᇥᇥ癒淑耀Ê梴虜梴ꌈ梬材Ϝ癚淑耀²ᇥᇥ皢淑耀Ú梴虜梴ꌈ梬曘Ϝ皪淑耀Âᇥ驀ᇥ皲淑耀ê梴虜梴ꌈ梬材Ϝ皺淑耀Òᇥᇥ皂淑耀â梴虜梴ꌈ梬材Ϝ崝贾앮ࠅ땠ᇧ⌈ᇩ&#10;簎耀瘮腘瘮腈瘮脴瘮褸ᇧ簎耀瘮腘瘮腈瘮脴瘮褸ᇧ簎耀&#10;瘮腘瘮腈瘮脴瘮褸ᇧ簎耀瘮腘瘮腈瘮脴瘮褸ᇧ簎耀瘮腘瘮腈瘮脴瘮褸ᇧ簎耀&quot;瘮腘瘮腈瘮脴瘮褸ᇧ簎耀*瘮腘瘮腈瘮脴瘮褸ᇧ簎耀2瘮腘瘮腈瘮脴瘮褸ᇧ簎耀:瘮腘瘮腈瘮脴瘮褸ᇧ簎耀B瘮腘瘮腈瘮脴瘮褸ᇧ郊簎耀J瘮腘瘮腈瘮脴瘮褸ᇧ郂簎耀R瘮腘瘮腈瘮脴瘮褸ᇧ郚簎耀Z瘮腘瘮腈瘮脴瘮褸ᇧ郒簎耀b瘮腘瘮腈瘮脴瘮褸ᇧ郪簎耀腰瘮腘瘮腈瘮脴瘮褸ᇧⴊ淓耀v瘱نᙈ➘ϥ妝ा쓮ࠆ᠘:놠ᇦ&#10;타龚簎Ȃ耀Ǔ借俠⃐㫪ၩ〫鴰䌯尺琀㄀܀䉇ᆄ唀敳獲怀ࠀЀꌺܔ䉇⪄㠀&#10;Ā㘀唀猀攀爀猀䀀猀栀攀氀氀㌀㈀⸀搀氀氀Ⰰⴀ㈀㄀㠀㄀㌀᐀尀㄀猀摇ၽ堀䅂剒繉1䐀ࠀЀ憾݁獯摇⩽㜀ሀ砀戀愀爀爀椀攀渀琀漀猀᠀刀㄀愀݁ቯ䄠灰慄慴㰀ࠀЀ憾݁慯݁⩯ᜀ䄀瀀瀀䐀愀琀愀ᘀ䰀㄀＀兆Ⴍ䰠捯污㠀ࠀЀ憾݁ｯ兆⪭ⴀ䰀漀挀愀氀᐀堀㄀Ⰰ᱆ၭ䴠䍉佒繓1䀀ࠀЀ憾݁Ɐ᱆⩭⼀䴀椀挀爀漀猀漀昀琀᠀刀㄀鈀푇ၺ圠湩潤獷㰀ࠀЀ憾݁鉯푇⩺　ሀ圀椀渀搀漀眀猀ᘀ넀鈀蕇ᙺ吠䵅佐繒1帀ࠀЀ憾݁鉯蕇⩺㄀᐀吀攀洀瀀漀爀愀爀礀 䤀渀琀攀爀渀攀琀 䘀椀氀攀猀᠀ᨀ̀ƾ튞셻콶鴑Ð즠䤃ᠳ耀j琮鼽簎耀Ŷ借俠⃐㫪ၩ〫鴰䌯尺琀㄀܀䉇ᆄ唀敳獲怀ࠀЀꌺܔ䉇⪄㠀&#10;Ā㘀唀猀攀爀猀䀀猀栀攀氀氀㌀㈀⸀搀氀氀Ⰰⴀ㈀㄀㠀㄀㌀᐀尀㄀猀摇ၽ堀䅂剒繉1䐀ࠀЀ憾݁獯摇⩽㜀ሀ砀戀愀爀爀椀攀渀琀漀猀᠀刀㄀愀݁ቯ䄠灰慄慴㰀ࠀЀ憾݁慯݁⩯ᜀ䄀瀀瀀䐀愀琀愀ᘀ䰀㄀＀兆Ⴍ䰠捯污㠀ࠀЀ憾݁ｯ兆⪭ⴀ䰀漀挀愀氀᐀堀㄀Ⰰ᱆ၭ䴠䍉佒繓1䀀ࠀЀ憾݁Ɐ᱆⩭⼀䴀椀挀爀漀猀漀昀琀᠀刀㄀鈀푇ၺ圠湩潤獷㰀ࠀЀ憾݁鉯푇⩺　ሀ圀椀渀搀漀眀猀ᘀ退넀鈀蕇ᙺ吠䵅佐繒1帀ࠀЀ憾݁鉯蕇⩺㄀᐀吀攀洀瀀漀爀愀爀礀 䤀渀琀攀爀渀攀琀 䘀椀氀攀猀᠀ᨀ̀ƾ튞셻콶鴑Ð즠䤃ᠳၚၛ齀簎鼸耀_䌯尺䰀㄀က唀敳獲㠀ࠀЀ¾⨀唀猀攀爀猀᐀帀㄀က砀慢牲敩瑮獯䐀ࠀЀ¾⨀砀戀愀爀爀椀攀渀琀漀猀ᨀ刀㄀က䄀灰慄慴㰀ࠀЀ¾⨀䄀瀀瀀䐀愀琀愀ᘀ刀㄀က刀慯業杮㰀ࠀЀ¾⨀刀漀愀洀椀渀最ᘀ堀㄀က䴀捩潲潳瑦䀀ࠀЀ¾⨀䴀椀挀爀漀猀漀昀琀᠀倀㄀က伀晦捩e㨀ࠀЀ¾⨀伀昀昀椀挀攀ᘀ倀㄀က刀捥湥t㨀ࠀЀ¾⨀刀攀挀攀渀琀ᘀ瘀㈀䌀乏啓呌⁁⁁䕊䕆䰮䭎吀ࠀЀ¾⨀䌀伀一匀唀䰀吀䄀 䄀 䨀䔀䘀䔀⸀䰀一䬀∀琀ꉀ琮ꈨ琮黣簎ꍀ耀借俠⃐㫪ၩ〫鴰䌯尺琀㄀܀䉇ᆄ唀敳獲怀ࠀЀꌺܔ䉇⪄㠀&#10;Ā㘀唀猀攀爀猀䀀猀栀攀氀氀㌀㈀⸀搀氀氀Ⰰⴀ㈀㄀㠀㄀㌀᐀尀㄀猀摇ၽ堀䅂剒繉1䐀ࠀЀ憾݁獯摇⩽㜀ሀ砀戀愀爀爀椀攀渀琀漀猀᠀刀㄀愀݁ቯ䄠灰慄慴㰀ࠀЀ憾݁慯݁⩯ᜀ䄀瀀瀀䐀愀琀愀ᘀ䰀㄀＀兆Ⴍ䰠捯污㠀ࠀЀ憾݁ｯ兆⪭ⴀ䰀漀挀愀氀᐀堀㄀Ⰰ᱆ၭ䴠䍉佒繓1䀀ࠀЀ憾݁Ɐ᱆⩭⼀䴀椀挀爀漀猀漀昀琀᠀刀㄀鈀푇ၺ圠湩潤獷㰀ࠀЀ憾݁鉯푇⩺　ሀ圀椀渀搀漀眀猀ᘀ退넀鈀蕇ᙺ吠䵅佐繒1帀ࠀЀ憾݁鉯蕇⩺㄀᐀吀攀洀瀀漀爀愀爀礀 䤀渀琀攀爀渀攀琀 䘀椀氀攀猀᠀ᨀ̀ƾ튞셻콶鴑Ð즠䤃ᠳ琀ꌬ琮鸆簎耀ę借俠⃐㫪ၩ〫鴰䌯尺琀㄀܀䉇ᆄ唀敳獲怀ࠀЀꌺܔ䉇⪄㠀&#10;Ā㘀唀猀攀爀猀䀀猀栀攀氀氀㌀㈀⸀搀氀氀Ⰰⴀ㈀㄀㠀㄀㌀᐀尀㄀猀摇ၽ堀䅂剒繉1䐀ࠀЀ憾݁獯摇⩽㜀ሀ砀戀愀爀爀椀攀渀琀漀猀᠀刀㄀愀݁ቯ䄠灰慄慴㰀ࠀЀ憾݁慯݁⩯ᜀ䄀瀀瀀䐀愀琀愀ᘀ䰀㄀＀兆Ⴍ䰠捯污㠀ࠀЀ憾݁ｯ兆⪭ⴀ䰀漀挀愀氀᐀堀㄀Ⰰ᱆ၭ䴠䍉佒繓1䀀ࠀЀ憾݁Ɐ᱆⩭⼀䴀椀挀爀漀猀漀昀琀᠀刀㄀鈀푇ၺ圠湩潤獷㰀ࠀЀ憾݁鉯푇⩺　ሀ圀椀渀搀漀眀猀ᘀ退넀鈀蕇ᙺ吠䵅佐繒1帀ࠀЀ憾݁鉯蕇⩺㄀᐀吀攀洀瀀漀爀愀爀礀 䤀渀琀攀爀渀攀琀 䘀椀氀攀猀᠀ᨀ̀ƾ튞셻콶鴑Ð즠䤃ᠳ鶩簎耀Ȱ∎淓Ȃ耀ǣ琮ၚၛꊨ琮鼸琮ꉀ琮ꈨ琮ꌌ琮ꍀ琮ꌬ琮Ā∑淓Ȃ耀ǰ琮ၚၛꊨ琮鼸琮ꉀ琮ꈨ琮ꌌ琮ꍀ琮ꌬ琮Ā∤淓Ȃ耀ǽ琮ၚၛꊨ琮鼸琮ꉀ琮ꈨ琮ꌌ琮ꍀ琮ꌬ琮Ā∷淓Ȃ耀Ȋ琮ၚၛꊨ琮鼸琮ꉀ琮ꈨ琮ꌌ琮ꍀ琮ꌬ琮Đ∺淓Ȃ耀ȗ琮ၚၛꊨ琮鼸琮ꉀ琮ꈨ琮ꌌ琮ꍀ琮ꌬ琮Ā≍淓Ȃ耀Ȥ琮ၚၛꊨ琮鼸琮ꉀ琮ꈨ琮ꌌ琮ꍀ琮ꌬ琮Ā≐淓Ȃ耀ȱ琮ၚၛꊨ琮鼸琮ꉀ琮ꈨ琮ꌌ琮ꍀ琮ꌬ琮Đ鷌簎耀ʍ淓Ȃ耀ɋ琮ၚ燎ၚꊨ琮鼸琮ꉀ琮ꈨ琮ꌌ琮ꍀ琮ꌬ琮Ā≶淓Ȃ耀Ͷ琮ၚၚꊨ琮鼸琮ꉀ琮ꈨ琮ꌌ琮ꍀ琮ꌬ琮Ā≹淓Ȃ耀ɥ琮ၚ헨ၛꊨ琮鼸琮ꉀ琮ꈨ琮ꌌ琮ꍀ琮ꌬ琮Ā⊌淓Ȃ耀琮ၚ༐ၜꊨ琮鼸琮ꉀ琮ꈨ琮ꌌ琮ꍀ琮ꌬ琮Ā⊟淓Ȃ耀ʌ琮ၚ츨ၛꊨ琮鼸琮ꉀ琮ꈨ琮ꌌ琮ꍀ琮ꌬ琮Ā⊢淓耀ɿ琮ၚၚꊨ琮鼸琮ꉀ琮ꈨ琮ꌌ琮ꍀ琮ꌬ琮΀⊵淓耀ͩ琮ၚၚꊨ琮鼸琮ꉀ琮ꈨ琮ꌌ琮ꍀ琮ꌬ琮Ā⊸淓耀鵯簎耀˪ၚၚꊨ琮鼸琮ꉀ琮ꈨ琮ꌌ琮ꍀ琮ꌬ琮Ā⋋淓耀ʳ琮ၚ쨐ၛꊨ琮鼸琮ꉀ琮ꈨ琮ꌌ琮ꍀ琮ꌬ琮Ā⋞淓耀)琮ၚۨၜꊨ琮鼸琮ꉀ琮ꈨ琮ꌌ琮ꍀ琮ꌬ琮Ā⋡淓耀ˀ琮ၚ옰ၛꊨ琮鼸琮ꉀ琮ꈨ琮ꌌ琮ꍀ琮ꌬ琮Ā⋴淓耀ˍ琮ၚ씠ၛꊨ琮鼸琮ꉀ琮ꈨ琮ꌌ琮ꍀ琮ꌬ琮Ā⌇淓耀˧琮ၚ쐐ၛꊨ琮鼸琮ꉀ琮ꈨ琮ꌌ琮ꍀ琮ꌬ琮Ā⌊淓耀ʦ琮ၚଈၜꊨ琮鼸琮ꉀ琮ꈨ琮ꌌ琮ꍀ琮ꌬ琮Ā⌝淓耀˴琮鲲簎쌠耀͇琮鼸琮ꉀ琮ꈨ琮ꌌ琮ꍀ琮ꌬ琮Ā⌠淓耀́琮ၚ숰ၛꊨ琮鼸琮ꉀ琮ꈨ琮ꌌ琮ꍀ琮ꌬ琮Đ⌳淓耀̎琮ၚ섘ၛꊨ琮鼸琮ꉀ琮ꈨ琮ꌌ琮ꍀ琮ꌬ琮Ā⍆淓耀̛琮ၚ쀀ၛꊨ琮鼸琮ꉀ琮ꈨ琮ꌌ琮ꍀ琮ꌬ琮Ā⍉淓耀̨琮ၚ뻰ၛꊨ琮鼸琮ꉀ琮ꈨ琮ꌌ琮ꍀ琮ꌬ琮Ā⍜淓耀̵琮ၚ븀ၛꊨ琮鼸琮ꉀ琮ꈨ琮ꌌ琮ꍀ琮ꌬ琮Ā⍯淓耀͂琮ၚ볰ၛꊨ琮鼸琮ꉀ琮ꈨ琮ꌌ琮ꍀ琮ꌬ琮Ā⍲淓耀͏琮ၚ믠ၛꊨ琮鼸琮鳕簎ꈨ耀琮ꍀ琮ꌬ琮Ā⎅淓耀͜琮ၚ뫈ၛꊨ琮鼸琮ꉀ琮ꈨ琮ꌌ琮ꍀ琮ꌬ琮Ā⎈淓耀΃琮ၚ릸ၛꊨ琮鼸琮ꉀ琮ꈨ琮ꌌ琮ꍀ琮ꌬ琮Ā⎛淓耀琮ၚၚꊨ琮鼸琮ꉀ琮ꈨ琮ꌌ琮ꍀ琮ꌬ琮ƀ ⎮淓耀ɲ琮ၚၝꊨ琮鼸琮ꉀ琮ꈨ琮ꌌ琮ꍀ琮ꌬ琮Ā⎱淓耀Ⱦ琮ၚၚꊨ琮鼸琮ꉀ琮ꈨ琮ꌌ琮ꍀ琮ꌬ琮Ā⏄淓耀Ϊ瘮㩈瘮攠瘮穈瘮ꋐᇥ揀Ӄ㦙ጲ⏗淓a耀Ҥ⏚淓耀ϫ瘰㎰瘭8ִ&#10;⏭淓耀ɘ琮ၚဨၜꊨ琮鼸琮ꉀ琮ꈨ琮ꌌ琮ꍀ琮ꌬ琮Ā⏰淓耀η琮ၚᅠၜꊨ琮鼸琮ꉀ琮ꈨ琮ꌌ琮ꍀ琮ꌬ琮Ā␃淓ˡ耀τ琮ၚቸၜꊨ琮鼸琮ꉀ琮ꈨ琮ꌌ琮ꍀ琮ꌬ琮Ā␖淓耀ϑ琮ၚ፨ၜꊨ琮鼸琮ꉀ琮ꈨ琮ꌌ琮ꍀ琮ꌬ琮Ā␙淓耀Ϟ琮ၚᑘၜꊨ琮鼸琮ꉀ琮ꈨ琮ꌌ琮ꍀ琮ꌬ琮Ā徜ض쁮ࠆߐྫߐྤ䶝ᴾ왯ࠆ軐ᇥðᇩ타ད淑耀ă ¡౪��¥ٔچ�����������´µ¶·¸¹º»¼½¾¿ÀÁÂÃÄÅÆÇÈÉÊËÌÍÎÏÐÑÒÓÔÕÖ×ØÙÚÛÜÝÞßàáâãäåæçèéêëìíîïðñòóôõö÷øùúûüýþÿĀRoot Entryą?⅀ꂿ碱Ǒ§ᣀData&#10;髗WordDocument&gt;㈿ObjectPool&#10;ℐ黶碱Ǒℐ黶碱Ǒ_1511079699ࠡÀ䘀ℐ黶碱Ǒᾠ鼜碱ǑOle&#10;ĂEPRINT³䄌CompObjĂn&#10;&#10;&quot;#$&amp;'(),0124567:&gt;?@BCDEHKLMOPQRUXYZ[\]_`ab๐淑耀Ȅ藠俹ၨ醫✫&#10;ˣDivisión廦Ḁ뼧䊋Ჰ杹쵪瀨dˡId. de documento׈䃟튀쓖吱dˡฐ淑g耀ʄas藠俹ၨ醫✫&#10;ˢDiapositivas픂헍⺜ရ鞓Ⱛ껹ˢTiempo de edición藠俹ၨ醫✫&#10;ˢContar palabras藠俹ၨ醫✫ˢFecha de vencimiento犵㾄䶲熀㿅櫧컧dˣFecha de finalizaciónꨅ읟雽䧧뒜悟舐叕dˣRecuento de archivos檦⡣锽ᇒ횵쀀퀘ˢNoş淑r耀̅de archivo嫠䇏䠆螽읙ⓙ릎dʁVersión del archivo絓೯賓ᇑ΢ῸˡColor de la marca铞柟ಧ䵯銷㨅伾켃dˡEstado del marcador塌랈䩚₻婿쥄ˡEspacio disponibleǟ淑耀υ䬵鬗䃿ᇒ红쀀썏焈ʢProfundidad en bits ҏ摄䲋ᇑ炋넶̚ˢResolución horizontal¡ҏ摄䲋ᇑ炋넶̚ˢAncho¢ҏ摄䲋ᇑ炋넶̚ˢResolución vertical£ҏ摄䲋ᇑ炋넶̚ˢAlto^淑耀І¤ҏ摄䲋ᇑ炋넶̚ˢImportancia¥塌랈䩚₻婿쥄ˡEs un dato adjunto¦䉜熡侨⾒蹧ꚤࠄdˢSe eliminó§忈峚㏮俳钐箮蛘䶌dˢEstado de cifrado¨郥撋䠦ꪲ꾬๹ጵ&#10;ˡTiene un marcador©䝥嶨䉸낆禢ﭧϝdˢEstá completadoª惒꛳嗹䣞হ๢ਉ籤dˢIncompleto淑耀Ԇ«译㑬⹪䱅ꒉ띡躎཰dˢEstado de lectura¬塌랈䩚₻婿쥄&#10;ˡCompartido͝淑­耀ԇ⯾䆻俟ʙdʢCreadores®伊킠䘪䢤⾻ط跨綽dˡFecha¯璴䊇䄃몯뇱촽콵dˣNombre de carpeta°뜥䟯ယ怂麌곫ʁRuta de acceso a la carpeta±塌랈䩚₻婿쥄ʁCarpeta²ロC䞉Ꮠ玤≦dʁParticipantes³ꨖ퓐饈䆤薪翙擹鍩dˡRuta de acceso´塌랈䩚₻婿쥄ʁPor ubicaciónµٸ⍢쳔䟀掙ꢕ噀ꍸdʁTipo¶뜥䟯ယ怂麌곫ʁNoɝ淑r耀ɜ淑e耀؈ontacto·젬ᶉ䩦➔뫞놼dˡTipo de entrada¸뇼閾㉭䙄隳㻍໙dˡIdioma¹픂헍⺜ရ鞓Ⱛ껹ˡFecha de visitaº➇岿䣏䈈ູ廮䉝鐂ˣDescripción»➇岿䣏䈈ູ廮䉝鐂ˡEstado de vínculo¼돼릴⭑䩂䄲꽆●ˡVincular destino½돼릴⭑䩂䄲꽆●ʡDirección URL¾➇岿䣏䈈ູ廮䉝鐂ˡMedio creado¿損⹋候䛘膈䅕알ꃊdˣFecha de lanzamiento՛淑耀܉À착楱䊐犴鿵⼮dˡCodificado porÁҒ摄䲋ᇑ炋넶̚$ˡProductoresԜ淑耀ވҒ摄䲋ᇑ炋넶̚ˡEditorÃҒ摄䲋ᇑ炋넶̚ˡSubtítuloÄ㜮嚣캜ᇒຟ怀욗&amp;ˡDirección URL del usuarioÅҒ摄䲋ᇑ炋넶̚&quot;ˡEditoresÆҒ摄䲋ᇑ炋넶̚ˡDatos adjuntosÇ塌랈䩚₻婿쥄ˡDirecciones CCOÈ塌랈䩚₻婿쥄ˡCCOÉњ淑랈耀ࠊ婿쥄ˡDirecciones CCÊ塌랈䩚₻婿쥄ˡCCË塌랈䩚₻婿쥄ˡId. de conversaciónÌ肽꼞䊉뚅ﰽ䤛鈹dˡFecha de recepciónÍ塌랈䩚₻婿쥄ˣFecha de envíoӛ淑耀ࣉÎ塌랈䩚₻婿쥄ˣDirecciones de remitentesÏ塌랈䩚₻婿쥄&#10;ˡDeÐ塌랈䩚₻婿쥄ˡTiene datos adjuntosÑ콴鰟⶗䆺꺴⻋愶ˢDirección del remitenteÒ죧௡ᦁ䙶ᒮ퟽֏dˡNombre delݙ淑e耀ऋtenteÓᳺඤ툤䨘⾮慙㩋dˡAlmacénÔ塌랈䩚₻婿쥄ˡDirección del destinatarioÕ塌랈䩚₻婿쥄ˡTítulo de tareas pendientesÖ証볌賯䋥Მ郆㥹잋dˡPara×塌랈䩚₻婿쥄ˡKilometrajeØ䍰ﷸ̚䫝醞眍ᱟզdˡIntérprete del álbumÙ㜮嚣캜ᇒຟ怀욗&#10;ˡId. ޚ淑 耀ਊbumÚ㜮嚣캜ᇒຟ怀욗dˡPulsaciones por minutoÛ㜮嚣캜ᇒຟ怀욗#ˢCompositores٘淑耀਌ÜҒ摄䲋ᇑ炋넶̚ˡClave inicialÝ㜮嚣캜ᇒຟ怀욗&quot;ˡParte de una compilaciónÞ헋쑉麤䠉鶯퇖dˢEstilo de músicaß㜮嚣캜ᇒຟ怀욗'ˡParte del conjuntoà㜮嚣캜ᇒຟ怀욗%ˡPeriodoáҒ摄䲋ᇑ炋넶̚ˡColorâ쫺䝶볤䲱㺢带ᇫdˡClasific. parentalãҒ摄䲋ᇑ炋넶̚ˡMotivo de clasificación parentalä上႘鱗䌡꾕᥃dˡEspacio usadoᥙ淑å耀ୋ鬗䃿ᇒᤧ淑썏耀଍ˢVersión EXIFæ琺퍟䟲蚢䆄쬲✔dˡEventoçᶡᒸĵ䴱뽬柉餚䝈ˡCompensación de exposiciónèᶡᒸĵ䴱뽬柉餚鈄ˢProgramación de exposiciónéᶡᒸĵ䴱뽬柉餚蠢ˡTiempo de exposiciónêᶡᒸĵ䴱뽬柉餚芚ˢPunto Fëᶡᒸĵ䴱뽬柉餚芝ˢModo de flashìᶡᒸĵ䴱뽬柉餚鈉ˡDistancia focalíᶡᒸĵ䴱뽬柉餚鈊ˢLongitud focal de 35 mm"/>
        </w:smartTagPr>
        <w:r w:rsidRPr="00C72532">
          <w:rPr>
            <w:rFonts w:ascii="Book Antiqua" w:hAnsi="Book Antiqua" w:cs="Book Antiqua"/>
            <w:lang w:val="es-CR"/>
          </w:rPr>
          <w:t>la Sección</w:t>
        </w:r>
      </w:smartTag>
      <w:r w:rsidRPr="00C72532">
        <w:rPr>
          <w:rFonts w:ascii="Book Antiqua" w:hAnsi="Book Antiqua" w:cs="Book Antiqua"/>
          <w:lang w:val="es-CR"/>
        </w:rPr>
        <w:t xml:space="preserve"> de Estadística, relacionado con </w:t>
      </w:r>
      <w:r w:rsidRPr="00C72532">
        <w:rPr>
          <w:rFonts w:ascii="Book Antiqua" w:hAnsi="Book Antiqua" w:cs="Times New Roman"/>
        </w:rPr>
        <w:t xml:space="preserve">los movimientos de trabajo en el Departamento de Laboratorios de Ciencias Forenses del Organismo de Investigación Judicial durante el 2015. </w:t>
      </w:r>
    </w:p>
    <w:p w14:paraId="3555B607" w14:textId="77777777" w:rsidR="00E933B3" w:rsidRPr="00C72532" w:rsidRDefault="00E933B3" w:rsidP="00E933B3">
      <w:pPr>
        <w:ind w:firstLine="720"/>
        <w:jc w:val="both"/>
        <w:rPr>
          <w:rFonts w:ascii="Book Antiqua" w:hAnsi="Book Antiqua" w:cs="Book Antiqua"/>
        </w:rPr>
      </w:pPr>
    </w:p>
    <w:p w14:paraId="34350C53" w14:textId="77777777" w:rsidR="00E933B3" w:rsidRPr="002D04B7" w:rsidRDefault="00E933B3" w:rsidP="00E933B3">
      <w:pPr>
        <w:pStyle w:val="BodyText2"/>
        <w:ind w:firstLine="720"/>
        <w:rPr>
          <w:color w:val="FF0000"/>
          <w:lang w:val="es-CR"/>
        </w:rPr>
      </w:pPr>
      <w:r w:rsidRPr="00C72532">
        <w:rPr>
          <w:lang w:val="es-CR"/>
        </w:rPr>
        <w:t xml:space="preserve">Con el fin de que se manifestaran al respecto, mediante oficio 1972-PLA-2016 del 27 de octubre del 2016, el preliminar de este documento fue puesto en conocimiento del Máster Walter Espinoza </w:t>
      </w:r>
      <w:proofErr w:type="spellStart"/>
      <w:r w:rsidRPr="00C72532">
        <w:rPr>
          <w:lang w:val="es-CR"/>
        </w:rPr>
        <w:t>Espinoza</w:t>
      </w:r>
      <w:proofErr w:type="spellEnd"/>
      <w:r w:rsidRPr="00C72532">
        <w:rPr>
          <w:lang w:val="es-CR"/>
        </w:rPr>
        <w:t>, Director General del Organismo de Investigación Judicial y del Máster Mauricio Chacón Hernández, Jefe del Departamento de Ciencias Forenses.   Como respuesta se recibió por parte del Sr. Arnold Mora Alvarado de la Unidad de Gestión y Producción del Departamento de Ciencias Forenses,</w:t>
      </w:r>
      <w:r>
        <w:rPr>
          <w:lang w:val="es-CR"/>
        </w:rPr>
        <w:t xml:space="preserve"> </w:t>
      </w:r>
      <w:r w:rsidRPr="00C72532">
        <w:rPr>
          <w:lang w:val="es-CR"/>
        </w:rPr>
        <w:t xml:space="preserve">un correo denominado </w:t>
      </w:r>
      <w:r>
        <w:rPr>
          <w:lang w:val="es-CR"/>
        </w:rPr>
        <w:t>“</w:t>
      </w:r>
      <w:r w:rsidRPr="00C72532">
        <w:rPr>
          <w:lang w:val="es-CR"/>
        </w:rPr>
        <w:t>Oficio 392-DCF-2016</w:t>
      </w:r>
      <w:r>
        <w:rPr>
          <w:lang w:val="es-CR"/>
        </w:rPr>
        <w:t>”</w:t>
      </w:r>
      <w:r w:rsidRPr="00C72532">
        <w:rPr>
          <w:lang w:val="es-CR"/>
        </w:rPr>
        <w:t xml:space="preserve">, donde reitera </w:t>
      </w:r>
      <w:r>
        <w:rPr>
          <w:lang w:val="es-CR"/>
        </w:rPr>
        <w:t>el</w:t>
      </w:r>
      <w:r w:rsidRPr="00C72532">
        <w:rPr>
          <w:lang w:val="es-CR"/>
        </w:rPr>
        <w:t xml:space="preserve"> contenido del oficio 283-DCF-2015</w:t>
      </w:r>
      <w:r>
        <w:rPr>
          <w:lang w:val="es-CR"/>
        </w:rPr>
        <w:t xml:space="preserve">. </w:t>
      </w:r>
      <w:r w:rsidRPr="00953723">
        <w:rPr>
          <w:color w:val="000000"/>
          <w:lang w:val="es-CR"/>
        </w:rPr>
        <w:t>Las observaciones</w:t>
      </w:r>
      <w:r w:rsidRPr="00953723">
        <w:rPr>
          <w:b/>
          <w:lang w:val="es-CR"/>
        </w:rPr>
        <w:t xml:space="preserve"> </w:t>
      </w:r>
      <w:r w:rsidRPr="005A2D21">
        <w:rPr>
          <w:lang w:val="es-CR"/>
        </w:rPr>
        <w:t>se consideraron en lo pertinente, en el informe que se presenta</w:t>
      </w:r>
      <w:r>
        <w:rPr>
          <w:lang w:val="es-CR"/>
        </w:rPr>
        <w:t>.</w:t>
      </w:r>
    </w:p>
    <w:p w14:paraId="7226A790" w14:textId="77777777" w:rsidR="00E933B3" w:rsidRPr="00C72532" w:rsidRDefault="00E933B3" w:rsidP="00E933B3">
      <w:pPr>
        <w:pStyle w:val="BodyText2"/>
        <w:ind w:firstLine="720"/>
        <w:rPr>
          <w:lang w:val="es-CR"/>
        </w:rPr>
      </w:pPr>
    </w:p>
    <w:p w14:paraId="4FF7303B" w14:textId="77777777" w:rsidR="00E933B3" w:rsidRPr="00C72532" w:rsidRDefault="00E933B3" w:rsidP="00E933B3">
      <w:pPr>
        <w:jc w:val="both"/>
        <w:rPr>
          <w:rFonts w:ascii="Book Antiqua" w:hAnsi="Book Antiqua" w:cs="Book Antiqua"/>
          <w:lang w:val="es-CR"/>
        </w:rPr>
      </w:pPr>
      <w:r w:rsidRPr="00C72532">
        <w:rPr>
          <w:rFonts w:ascii="Book Antiqua" w:hAnsi="Book Antiqua" w:cs="Book Antiqua"/>
          <w:lang w:val="es-CR"/>
        </w:rPr>
        <w:t>Atentamente,</w:t>
      </w:r>
    </w:p>
    <w:p w14:paraId="59021715" w14:textId="77777777" w:rsidR="00E933B3" w:rsidRPr="00C72532" w:rsidRDefault="00E933B3" w:rsidP="00E933B3">
      <w:pPr>
        <w:jc w:val="both"/>
        <w:rPr>
          <w:rFonts w:ascii="Book Antiqua" w:hAnsi="Book Antiqua" w:cs="Book Antiqua"/>
          <w:lang w:val="es-CR"/>
        </w:rPr>
      </w:pPr>
    </w:p>
    <w:p w14:paraId="403C5DB1" w14:textId="77777777" w:rsidR="00E933B3" w:rsidRDefault="00E933B3" w:rsidP="00E933B3">
      <w:pPr>
        <w:rPr>
          <w:rFonts w:ascii="Book Antiqua" w:hAnsi="Book Antiqua" w:cs="Book Antiqua"/>
          <w:lang w:val="es-CR"/>
        </w:rPr>
      </w:pPr>
    </w:p>
    <w:p w14:paraId="66E319B4" w14:textId="77777777" w:rsidR="00E933B3" w:rsidRPr="00C72532" w:rsidRDefault="00E933B3" w:rsidP="00E933B3">
      <w:pPr>
        <w:rPr>
          <w:rFonts w:ascii="Book Antiqua" w:hAnsi="Book Antiqua" w:cs="Book Antiqua"/>
          <w:lang w:val="es-CR"/>
        </w:rPr>
      </w:pPr>
    </w:p>
    <w:p w14:paraId="315DF664" w14:textId="77777777" w:rsidR="00E933B3" w:rsidRPr="00C72532" w:rsidRDefault="00E933B3" w:rsidP="00E933B3">
      <w:pPr>
        <w:rPr>
          <w:rFonts w:ascii="Book Antiqua" w:hAnsi="Book Antiqua" w:cs="Book Antiqua"/>
          <w:lang w:val="es-CR"/>
        </w:rPr>
      </w:pPr>
      <w:r w:rsidRPr="00C72532">
        <w:rPr>
          <w:rFonts w:ascii="Book Antiqua" w:hAnsi="Book Antiqua" w:cs="Book Antiqua"/>
          <w:lang w:val="es-CR"/>
        </w:rPr>
        <w:t>Elías Muñoz Jiménez</w:t>
      </w:r>
    </w:p>
    <w:p w14:paraId="7CC238A9" w14:textId="77777777" w:rsidR="00E933B3" w:rsidRPr="00C72532" w:rsidRDefault="00E933B3" w:rsidP="00E933B3">
      <w:pPr>
        <w:rPr>
          <w:rFonts w:ascii="Book Antiqua" w:hAnsi="Book Antiqua" w:cs="Book Antiqua"/>
          <w:lang w:val="es-CR"/>
        </w:rPr>
      </w:pPr>
      <w:r w:rsidRPr="00C72532">
        <w:rPr>
          <w:rFonts w:ascii="Book Antiqua" w:hAnsi="Book Antiqua" w:cs="Book Antiqua"/>
          <w:lang w:val="es-CR"/>
        </w:rPr>
        <w:t>Subdirector a.i. de Planificación</w:t>
      </w:r>
    </w:p>
    <w:p w14:paraId="42049F89" w14:textId="77777777" w:rsidR="00E933B3" w:rsidRPr="00C72532" w:rsidRDefault="00E933B3" w:rsidP="00E933B3">
      <w:pPr>
        <w:rPr>
          <w:rFonts w:ascii="Book Antiqua" w:hAnsi="Book Antiqua" w:cs="Book Antiqua"/>
          <w:lang w:val="es-CR"/>
        </w:rPr>
      </w:pPr>
    </w:p>
    <w:p w14:paraId="4669133A" w14:textId="77777777" w:rsidR="00E933B3" w:rsidRPr="00C72532" w:rsidRDefault="00E933B3" w:rsidP="00E933B3">
      <w:pPr>
        <w:rPr>
          <w:rFonts w:ascii="Book Antiqua" w:hAnsi="Book Antiqua" w:cs="Book Antiqua"/>
          <w:b/>
          <w:bCs/>
          <w:i/>
          <w:iCs/>
          <w:lang w:val="es-CR"/>
        </w:rPr>
      </w:pPr>
      <w:r w:rsidRPr="00C72532">
        <w:rPr>
          <w:rFonts w:ascii="Book Antiqua" w:hAnsi="Book Antiqua" w:cs="Book Antiqua"/>
          <w:b/>
          <w:bCs/>
          <w:i/>
          <w:iCs/>
          <w:lang w:val="es-CR"/>
        </w:rPr>
        <w:t>Se adjunta respuesta recibida</w:t>
      </w:r>
    </w:p>
    <w:p w14:paraId="48136459" w14:textId="77777777" w:rsidR="00E933B3" w:rsidRDefault="00E933B3" w:rsidP="00E933B3">
      <w:pPr>
        <w:pStyle w:val="Header"/>
        <w:tabs>
          <w:tab w:val="clear" w:pos="4252"/>
          <w:tab w:val="clear" w:pos="8504"/>
        </w:tabs>
        <w:rPr>
          <w:rFonts w:ascii="Book Antiqua" w:hAnsi="Book Antiqua" w:cs="Book Antiqua"/>
          <w:i/>
          <w:iCs/>
          <w:lang w:val="es-CR"/>
        </w:rPr>
      </w:pPr>
    </w:p>
    <w:p w14:paraId="2AFD80BA" w14:textId="77777777" w:rsidR="00E933B3" w:rsidRDefault="00E933B3" w:rsidP="00E933B3">
      <w:pPr>
        <w:pStyle w:val="Header"/>
        <w:tabs>
          <w:tab w:val="clear" w:pos="4252"/>
          <w:tab w:val="clear" w:pos="8504"/>
        </w:tabs>
        <w:rPr>
          <w:rFonts w:ascii="Book Antiqua" w:hAnsi="Book Antiqua" w:cs="Book Antiqua"/>
          <w:i/>
          <w:iCs/>
          <w:lang w:val="es-CR"/>
        </w:rPr>
      </w:pPr>
    </w:p>
    <w:p w14:paraId="5A40239B" w14:textId="77777777" w:rsidR="00E933B3" w:rsidRPr="00C72532" w:rsidRDefault="00E933B3" w:rsidP="00E933B3">
      <w:pPr>
        <w:pStyle w:val="Header"/>
        <w:tabs>
          <w:tab w:val="clear" w:pos="4252"/>
          <w:tab w:val="clear" w:pos="8504"/>
        </w:tabs>
        <w:rPr>
          <w:rFonts w:ascii="Book Antiqua" w:hAnsi="Book Antiqua" w:cs="Book Antiqua"/>
          <w:i/>
          <w:iCs/>
          <w:lang w:val="es-CR"/>
        </w:rPr>
      </w:pPr>
    </w:p>
    <w:p w14:paraId="69A2C873" w14:textId="77777777" w:rsidR="00E933B3" w:rsidRPr="00C72532" w:rsidRDefault="00E933B3" w:rsidP="00E933B3">
      <w:pPr>
        <w:pStyle w:val="Header"/>
        <w:tabs>
          <w:tab w:val="clear" w:pos="4252"/>
          <w:tab w:val="clear" w:pos="8504"/>
        </w:tabs>
        <w:rPr>
          <w:rFonts w:ascii="Book Antiqua" w:hAnsi="Book Antiqua" w:cs="Book Antiqua"/>
          <w:lang w:val="es-CR"/>
        </w:rPr>
      </w:pPr>
      <w:r w:rsidRPr="00C72532">
        <w:rPr>
          <w:rFonts w:ascii="Book Antiqua" w:hAnsi="Book Antiqua" w:cs="Book Antiqua"/>
          <w:lang w:val="es-CR"/>
        </w:rPr>
        <w:lastRenderedPageBreak/>
        <w:t>Copias:</w:t>
      </w:r>
    </w:p>
    <w:p w14:paraId="24F0C722" w14:textId="77777777" w:rsidR="00E933B3" w:rsidRPr="00C72532" w:rsidRDefault="00E933B3" w:rsidP="00E933B3">
      <w:pPr>
        <w:ind w:left="360" w:firstLine="360"/>
        <w:rPr>
          <w:rFonts w:ascii="Book Antiqua" w:hAnsi="Book Antiqua" w:cs="Book Antiqua"/>
          <w:sz w:val="20"/>
          <w:szCs w:val="20"/>
        </w:rPr>
      </w:pPr>
    </w:p>
    <w:p w14:paraId="441437A5" w14:textId="77777777" w:rsidR="00E933B3" w:rsidRPr="00C72532" w:rsidRDefault="00E933B3" w:rsidP="00E933B3">
      <w:pPr>
        <w:numPr>
          <w:ilvl w:val="0"/>
          <w:numId w:val="1"/>
        </w:numPr>
        <w:autoSpaceDE/>
        <w:autoSpaceDN/>
        <w:adjustRightInd/>
        <w:rPr>
          <w:rFonts w:ascii="Book Antiqua" w:hAnsi="Book Antiqua" w:cs="Book Antiqua"/>
          <w:snapToGrid w:val="0"/>
          <w:sz w:val="20"/>
          <w:szCs w:val="20"/>
        </w:rPr>
      </w:pPr>
      <w:r w:rsidRPr="00C72532">
        <w:rPr>
          <w:rFonts w:ascii="Book Antiqua" w:hAnsi="Book Antiqua" w:cs="Book Antiqua"/>
          <w:snapToGrid w:val="0"/>
          <w:sz w:val="20"/>
          <w:szCs w:val="20"/>
        </w:rPr>
        <w:t xml:space="preserve">Dirección General del Organismo de Investigación Judicial </w:t>
      </w:r>
    </w:p>
    <w:p w14:paraId="56A79C0B" w14:textId="77777777" w:rsidR="00E933B3" w:rsidRPr="00C72532" w:rsidRDefault="00E933B3" w:rsidP="00E933B3">
      <w:pPr>
        <w:numPr>
          <w:ilvl w:val="0"/>
          <w:numId w:val="1"/>
        </w:numPr>
        <w:autoSpaceDE/>
        <w:autoSpaceDN/>
        <w:adjustRightInd/>
        <w:rPr>
          <w:rFonts w:ascii="Book Antiqua" w:hAnsi="Book Antiqua" w:cs="Book Antiqua"/>
          <w:snapToGrid w:val="0"/>
          <w:sz w:val="20"/>
          <w:szCs w:val="20"/>
        </w:rPr>
      </w:pPr>
      <w:r w:rsidRPr="00C72532">
        <w:rPr>
          <w:rFonts w:ascii="Book Antiqua" w:hAnsi="Book Antiqua" w:cs="Book Antiqua"/>
          <w:snapToGrid w:val="0"/>
          <w:sz w:val="20"/>
          <w:szCs w:val="20"/>
        </w:rPr>
        <w:t xml:space="preserve">Departamento de </w:t>
      </w:r>
      <w:r w:rsidR="0019023C">
        <w:rPr>
          <w:rFonts w:ascii="Book Antiqua" w:hAnsi="Book Antiqua" w:cs="Book Antiqua"/>
          <w:snapToGrid w:val="0"/>
          <w:sz w:val="20"/>
          <w:szCs w:val="20"/>
        </w:rPr>
        <w:t xml:space="preserve">Laboratorio de </w:t>
      </w:r>
      <w:r w:rsidRPr="00C72532">
        <w:rPr>
          <w:rFonts w:ascii="Book Antiqua" w:hAnsi="Book Antiqua" w:cs="Book Antiqua"/>
          <w:snapToGrid w:val="0"/>
          <w:sz w:val="20"/>
          <w:szCs w:val="20"/>
        </w:rPr>
        <w:t>Ciencias Forenses</w:t>
      </w:r>
    </w:p>
    <w:p w14:paraId="771A296F" w14:textId="77777777" w:rsidR="00E933B3" w:rsidRPr="00C72532" w:rsidRDefault="00E933B3" w:rsidP="00E933B3">
      <w:pPr>
        <w:numPr>
          <w:ilvl w:val="0"/>
          <w:numId w:val="1"/>
        </w:numPr>
        <w:autoSpaceDE/>
        <w:autoSpaceDN/>
        <w:adjustRightInd/>
        <w:rPr>
          <w:rFonts w:ascii="Book Antiqua" w:hAnsi="Book Antiqua" w:cs="Book Antiqua"/>
          <w:snapToGrid w:val="0"/>
          <w:sz w:val="20"/>
          <w:szCs w:val="20"/>
        </w:rPr>
      </w:pPr>
      <w:r w:rsidRPr="00C72532">
        <w:rPr>
          <w:rFonts w:ascii="Book Antiqua" w:hAnsi="Book Antiqua" w:cs="Book Antiqua"/>
          <w:snapToGrid w:val="0"/>
          <w:sz w:val="20"/>
          <w:szCs w:val="20"/>
        </w:rPr>
        <w:t>Archivo</w:t>
      </w:r>
    </w:p>
    <w:p w14:paraId="41B4868D" w14:textId="77777777" w:rsidR="00E933B3" w:rsidRDefault="00E933B3" w:rsidP="00E933B3">
      <w:pPr>
        <w:rPr>
          <w:rFonts w:ascii="Book Antiqua" w:hAnsi="Book Antiqua" w:cs="Book Antiqua"/>
          <w:snapToGrid w:val="0"/>
          <w:sz w:val="20"/>
          <w:szCs w:val="20"/>
        </w:rPr>
      </w:pPr>
    </w:p>
    <w:p w14:paraId="459AB98C" w14:textId="77777777" w:rsidR="00E933B3" w:rsidRPr="00A71910" w:rsidRDefault="00E933B3" w:rsidP="00E933B3">
      <w:pPr>
        <w:rPr>
          <w:rFonts w:ascii="Book Antiqua" w:hAnsi="Book Antiqua" w:cs="Book Antiqua"/>
          <w:snapToGrid w:val="0"/>
          <w:sz w:val="20"/>
          <w:szCs w:val="20"/>
          <w:lang w:val="en-US"/>
        </w:rPr>
      </w:pPr>
      <w:r>
        <w:rPr>
          <w:rFonts w:ascii="Book Antiqua" w:hAnsi="Book Antiqua" w:cs="Book Antiqua"/>
          <w:snapToGrid w:val="0"/>
          <w:sz w:val="20"/>
          <w:szCs w:val="20"/>
        </w:rPr>
        <w:t xml:space="preserve"> </w:t>
      </w:r>
      <w:r w:rsidRPr="00A71910">
        <w:rPr>
          <w:rFonts w:ascii="Book Antiqua" w:hAnsi="Book Antiqua" w:cs="Book Antiqua"/>
          <w:snapToGrid w:val="0"/>
          <w:sz w:val="20"/>
          <w:szCs w:val="20"/>
          <w:lang w:val="en-US"/>
        </w:rPr>
        <w:t>EMJ/</w:t>
      </w:r>
      <w:proofErr w:type="spellStart"/>
      <w:r w:rsidRPr="00A71910">
        <w:rPr>
          <w:rFonts w:ascii="Book Antiqua" w:hAnsi="Book Antiqua" w:cs="Book Antiqua"/>
          <w:snapToGrid w:val="0"/>
          <w:sz w:val="20"/>
          <w:szCs w:val="20"/>
          <w:lang w:val="en-US"/>
        </w:rPr>
        <w:t>xba</w:t>
      </w:r>
      <w:proofErr w:type="spellEnd"/>
    </w:p>
    <w:p w14:paraId="5BCD0008" w14:textId="77777777" w:rsidR="00E933B3" w:rsidRPr="00A71910" w:rsidRDefault="00E933B3" w:rsidP="00E933B3">
      <w:pPr>
        <w:rPr>
          <w:rFonts w:ascii="Book Antiqua" w:hAnsi="Book Antiqua" w:cs="Book Antiqua"/>
          <w:color w:val="000000"/>
          <w:sz w:val="20"/>
          <w:szCs w:val="20"/>
          <w:lang w:val="en-US"/>
        </w:rPr>
      </w:pPr>
      <w:r w:rsidRPr="00A71910">
        <w:rPr>
          <w:rFonts w:ascii="Book Antiqua" w:hAnsi="Book Antiqua" w:cs="Book Antiqua"/>
          <w:snapToGrid w:val="0"/>
          <w:sz w:val="20"/>
          <w:szCs w:val="20"/>
          <w:lang w:val="en-US"/>
        </w:rPr>
        <w:t xml:space="preserve">REF. </w:t>
      </w:r>
      <w:r w:rsidRPr="00A71910">
        <w:rPr>
          <w:rFonts w:ascii="Book Antiqua" w:hAnsi="Book Antiqua" w:cs="Book Antiqua"/>
          <w:color w:val="000000"/>
          <w:sz w:val="20"/>
          <w:szCs w:val="20"/>
          <w:lang w:val="en-US"/>
        </w:rPr>
        <w:t>1542-16</w:t>
      </w:r>
    </w:p>
    <w:p w14:paraId="62871A61" w14:textId="77777777" w:rsidR="00E933B3" w:rsidRPr="00A71910" w:rsidRDefault="00E933B3" w:rsidP="00E933B3">
      <w:pPr>
        <w:rPr>
          <w:rFonts w:ascii="Book Antiqua" w:hAnsi="Book Antiqua" w:cs="Book Antiqua"/>
          <w:snapToGrid w:val="0"/>
          <w:sz w:val="20"/>
          <w:szCs w:val="20"/>
          <w:lang w:val="en-US"/>
        </w:rPr>
        <w:sectPr w:rsidR="00E933B3" w:rsidRPr="00A71910" w:rsidSect="00773A60">
          <w:headerReference w:type="default" r:id="rId7"/>
          <w:footerReference w:type="default" r:id="rId8"/>
          <w:pgSz w:w="12242" w:h="15842" w:code="1"/>
          <w:pgMar w:top="1321" w:right="1134" w:bottom="1134" w:left="1134" w:header="709" w:footer="709" w:gutter="0"/>
          <w:pgNumType w:start="1"/>
          <w:cols w:space="708"/>
          <w:docGrid w:linePitch="360"/>
        </w:sectPr>
      </w:pPr>
    </w:p>
    <w:p w14:paraId="740BF585" w14:textId="77777777" w:rsidR="00E933B3" w:rsidRPr="00A71910" w:rsidRDefault="00E933B3" w:rsidP="00E933B3">
      <w:pPr>
        <w:jc w:val="right"/>
        <w:rPr>
          <w:rFonts w:ascii="Times New Roman" w:hAnsi="Times New Roman" w:cs="Times New Roman"/>
          <w:lang w:val="en-US"/>
        </w:rPr>
      </w:pPr>
      <w:r w:rsidRPr="00A71910">
        <w:rPr>
          <w:rFonts w:ascii="Times New Roman" w:hAnsi="Times New Roman" w:cs="Times New Roman"/>
          <w:color w:val="000000"/>
          <w:lang w:val="en-US"/>
        </w:rPr>
        <w:lastRenderedPageBreak/>
        <w:t>322</w:t>
      </w:r>
      <w:r w:rsidRPr="00A71910">
        <w:rPr>
          <w:rFonts w:ascii="Times New Roman" w:hAnsi="Times New Roman" w:cs="Times New Roman"/>
          <w:lang w:val="en-US"/>
        </w:rPr>
        <w:t>-EST-2016-B</w:t>
      </w:r>
    </w:p>
    <w:p w14:paraId="09D6D9F1" w14:textId="77777777" w:rsidR="00E933B3" w:rsidRPr="00A71910" w:rsidRDefault="00E933B3" w:rsidP="00E933B3">
      <w:pPr>
        <w:jc w:val="both"/>
        <w:rPr>
          <w:rFonts w:ascii="Times New Roman" w:hAnsi="Times New Roman" w:cs="Times New Roman"/>
          <w:lang w:val="en-US"/>
        </w:rPr>
      </w:pPr>
    </w:p>
    <w:p w14:paraId="1273B850" w14:textId="77777777" w:rsidR="00E933B3" w:rsidRPr="00CD7D51" w:rsidRDefault="00E933B3" w:rsidP="00E933B3">
      <w:pPr>
        <w:jc w:val="both"/>
        <w:rPr>
          <w:rFonts w:ascii="Times New Roman" w:hAnsi="Times New Roman" w:cs="Times New Roman"/>
        </w:rPr>
      </w:pPr>
      <w:r w:rsidRPr="00CD7D51">
        <w:rPr>
          <w:rFonts w:ascii="Times New Roman" w:hAnsi="Times New Roman" w:cs="Times New Roman"/>
        </w:rPr>
        <w:t>2</w:t>
      </w:r>
      <w:r>
        <w:rPr>
          <w:rFonts w:ascii="Times New Roman" w:hAnsi="Times New Roman" w:cs="Times New Roman"/>
        </w:rPr>
        <w:t>2</w:t>
      </w:r>
      <w:r w:rsidRPr="00CD7D51">
        <w:rPr>
          <w:rFonts w:ascii="Times New Roman" w:hAnsi="Times New Roman" w:cs="Times New Roman"/>
        </w:rPr>
        <w:t xml:space="preserve"> de febrero de 2017    </w:t>
      </w:r>
    </w:p>
    <w:p w14:paraId="7C728CA8" w14:textId="77777777" w:rsidR="00E933B3" w:rsidRPr="00CD7D51" w:rsidRDefault="00E933B3" w:rsidP="00E933B3">
      <w:pPr>
        <w:jc w:val="both"/>
        <w:rPr>
          <w:rFonts w:ascii="Times New Roman" w:hAnsi="Times New Roman" w:cs="Times New Roman"/>
        </w:rPr>
      </w:pPr>
    </w:p>
    <w:p w14:paraId="518B00B1" w14:textId="77777777" w:rsidR="00E933B3" w:rsidRPr="00CD7D51" w:rsidRDefault="00E933B3" w:rsidP="00E933B3">
      <w:pPr>
        <w:jc w:val="both"/>
        <w:rPr>
          <w:rFonts w:ascii="Times New Roman" w:hAnsi="Times New Roman" w:cs="Times New Roman"/>
        </w:rPr>
      </w:pPr>
    </w:p>
    <w:p w14:paraId="5CA66349" w14:textId="77777777" w:rsidR="00E933B3" w:rsidRPr="00CD7D51" w:rsidRDefault="00E933B3" w:rsidP="00E933B3">
      <w:pPr>
        <w:jc w:val="both"/>
        <w:rPr>
          <w:rFonts w:ascii="Times New Roman" w:hAnsi="Times New Roman" w:cs="Times New Roman"/>
        </w:rPr>
      </w:pPr>
    </w:p>
    <w:p w14:paraId="763BD151" w14:textId="77777777" w:rsidR="00E933B3" w:rsidRPr="00CD7D51" w:rsidRDefault="00E933B3" w:rsidP="00E933B3">
      <w:pPr>
        <w:jc w:val="both"/>
        <w:rPr>
          <w:rFonts w:ascii="Times New Roman" w:hAnsi="Times New Roman" w:cs="Times New Roman"/>
          <w:bCs/>
        </w:rPr>
      </w:pPr>
      <w:r w:rsidRPr="00CD7D51">
        <w:rPr>
          <w:rFonts w:ascii="Times New Roman" w:hAnsi="Times New Roman" w:cs="Times New Roman"/>
          <w:bCs/>
        </w:rPr>
        <w:t xml:space="preserve">Máster   </w:t>
      </w:r>
    </w:p>
    <w:p w14:paraId="6FD9FC8B" w14:textId="77777777" w:rsidR="00E933B3" w:rsidRPr="00CD7D51" w:rsidRDefault="00E933B3" w:rsidP="00E933B3">
      <w:pPr>
        <w:jc w:val="both"/>
        <w:rPr>
          <w:rFonts w:ascii="Times New Roman" w:hAnsi="Times New Roman" w:cs="Times New Roman"/>
          <w:bCs/>
        </w:rPr>
      </w:pPr>
      <w:r w:rsidRPr="00CD7D51">
        <w:rPr>
          <w:rFonts w:ascii="Times New Roman" w:hAnsi="Times New Roman" w:cs="Times New Roman"/>
          <w:bCs/>
        </w:rPr>
        <w:t>Elías Muñoz Jiménez</w:t>
      </w:r>
    </w:p>
    <w:p w14:paraId="18BA64E6" w14:textId="77777777" w:rsidR="00E933B3" w:rsidRPr="00CD7D51" w:rsidRDefault="00E933B3" w:rsidP="00E933B3">
      <w:pPr>
        <w:jc w:val="both"/>
        <w:rPr>
          <w:rFonts w:ascii="Times New Roman" w:hAnsi="Times New Roman" w:cs="Times New Roman"/>
        </w:rPr>
      </w:pPr>
      <w:r w:rsidRPr="00CD7D51">
        <w:rPr>
          <w:rFonts w:ascii="Times New Roman" w:hAnsi="Times New Roman" w:cs="Times New Roman"/>
          <w:bCs/>
        </w:rPr>
        <w:t xml:space="preserve">Subdirector </w:t>
      </w:r>
      <w:proofErr w:type="spellStart"/>
      <w:r w:rsidRPr="00CD7D51">
        <w:rPr>
          <w:rFonts w:ascii="Times New Roman" w:hAnsi="Times New Roman" w:cs="Times New Roman"/>
          <w:bCs/>
        </w:rPr>
        <w:t>a.í</w:t>
      </w:r>
      <w:proofErr w:type="spellEnd"/>
      <w:r w:rsidRPr="00CD7D51">
        <w:rPr>
          <w:rFonts w:ascii="Times New Roman" w:hAnsi="Times New Roman" w:cs="Times New Roman"/>
          <w:bCs/>
        </w:rPr>
        <w:t xml:space="preserve">. </w:t>
      </w:r>
      <w:r w:rsidRPr="00CD7D51">
        <w:rPr>
          <w:rFonts w:ascii="Times New Roman" w:hAnsi="Times New Roman" w:cs="Times New Roman"/>
        </w:rPr>
        <w:t>de Planificación</w:t>
      </w:r>
    </w:p>
    <w:p w14:paraId="41BD7D88" w14:textId="77777777" w:rsidR="00E933B3" w:rsidRPr="00CD7D51" w:rsidRDefault="00E933B3" w:rsidP="00E933B3">
      <w:pPr>
        <w:jc w:val="both"/>
        <w:rPr>
          <w:rFonts w:ascii="Times New Roman" w:hAnsi="Times New Roman" w:cs="Times New Roman"/>
        </w:rPr>
      </w:pPr>
    </w:p>
    <w:p w14:paraId="1D85AA2B" w14:textId="77777777" w:rsidR="00E933B3" w:rsidRPr="00CD7D51" w:rsidRDefault="00E933B3" w:rsidP="00E933B3">
      <w:pPr>
        <w:jc w:val="both"/>
        <w:rPr>
          <w:rFonts w:ascii="Times New Roman" w:hAnsi="Times New Roman" w:cs="Times New Roman"/>
        </w:rPr>
      </w:pPr>
    </w:p>
    <w:p w14:paraId="2BDDEC58" w14:textId="77777777" w:rsidR="00E933B3" w:rsidRPr="00CD7D51" w:rsidRDefault="00E933B3" w:rsidP="00E933B3">
      <w:pPr>
        <w:jc w:val="both"/>
        <w:rPr>
          <w:rFonts w:ascii="Times New Roman" w:hAnsi="Times New Roman" w:cs="Times New Roman"/>
        </w:rPr>
      </w:pPr>
      <w:r w:rsidRPr="00CD7D51">
        <w:rPr>
          <w:rFonts w:ascii="Times New Roman" w:hAnsi="Times New Roman" w:cs="Times New Roman"/>
        </w:rPr>
        <w:t xml:space="preserve">Estimado señor: </w:t>
      </w:r>
    </w:p>
    <w:p w14:paraId="7BC0B2B3" w14:textId="77777777" w:rsidR="00E933B3" w:rsidRPr="00CD7D51" w:rsidRDefault="00E933B3" w:rsidP="00E933B3">
      <w:pPr>
        <w:jc w:val="both"/>
        <w:rPr>
          <w:rFonts w:ascii="Times New Roman" w:hAnsi="Times New Roman" w:cs="Times New Roman"/>
        </w:rPr>
      </w:pPr>
    </w:p>
    <w:p w14:paraId="2A9468DA" w14:textId="77777777" w:rsidR="00E933B3" w:rsidRPr="00CD7D51" w:rsidRDefault="00E933B3" w:rsidP="00E933B3">
      <w:pPr>
        <w:jc w:val="both"/>
        <w:rPr>
          <w:rFonts w:ascii="Times New Roman" w:hAnsi="Times New Roman" w:cs="Times New Roman"/>
        </w:rPr>
      </w:pPr>
      <w:r w:rsidRPr="00CD7D51">
        <w:rPr>
          <w:rFonts w:ascii="Times New Roman" w:hAnsi="Times New Roman" w:cs="Times New Roman"/>
        </w:rPr>
        <w:t xml:space="preserve">Por este medio le presento un cuadro estadístico y el informe, relacionados con los movimientos de trabajo en el Departamento de Laboratorios de Ciencias Forenses del Organismo de Investigación Judicial durante el 2015. </w:t>
      </w:r>
    </w:p>
    <w:p w14:paraId="1A87355C" w14:textId="77777777" w:rsidR="00E933B3" w:rsidRPr="00CD7D51" w:rsidRDefault="00E933B3" w:rsidP="00E933B3">
      <w:pPr>
        <w:jc w:val="both"/>
        <w:rPr>
          <w:rFonts w:ascii="Times New Roman" w:hAnsi="Times New Roman" w:cs="Times New Roman"/>
        </w:rPr>
      </w:pPr>
    </w:p>
    <w:p w14:paraId="5016CCCF" w14:textId="77777777" w:rsidR="00E933B3" w:rsidRPr="00CD7D51" w:rsidRDefault="00E933B3" w:rsidP="00E933B3">
      <w:pPr>
        <w:jc w:val="both"/>
        <w:rPr>
          <w:rFonts w:ascii="Times New Roman" w:hAnsi="Times New Roman" w:cs="Times New Roman"/>
        </w:rPr>
      </w:pPr>
      <w:r w:rsidRPr="00CD7D51">
        <w:rPr>
          <w:rFonts w:ascii="Times New Roman" w:hAnsi="Times New Roman" w:cs="Times New Roman"/>
        </w:rPr>
        <w:t xml:space="preserve">De este diagnóstico sobresale el hecho de que la presente exploración consiste en el primer informe anual, referente a la gestión de esta importante oficina, que se encuentra localizada en la Ciudad Judicial del Circuito Judicial de Heredia. </w:t>
      </w:r>
    </w:p>
    <w:p w14:paraId="15BBF87E" w14:textId="77777777" w:rsidR="00E933B3" w:rsidRPr="00CD7D51" w:rsidRDefault="00E933B3" w:rsidP="00E933B3">
      <w:pPr>
        <w:jc w:val="both"/>
        <w:rPr>
          <w:rFonts w:ascii="Times New Roman" w:hAnsi="Times New Roman" w:cs="Times New Roman"/>
        </w:rPr>
      </w:pPr>
    </w:p>
    <w:p w14:paraId="6738C4B3" w14:textId="77777777" w:rsidR="00E933B3" w:rsidRPr="00CD7D51" w:rsidRDefault="00E933B3" w:rsidP="00E933B3">
      <w:pPr>
        <w:jc w:val="both"/>
        <w:rPr>
          <w:rFonts w:ascii="Times New Roman" w:hAnsi="Times New Roman" w:cs="Times New Roman"/>
        </w:rPr>
      </w:pPr>
      <w:r w:rsidRPr="00CD7D51">
        <w:rPr>
          <w:rFonts w:ascii="Times New Roman" w:hAnsi="Times New Roman" w:cs="Times New Roman"/>
        </w:rPr>
        <w:t>Asimismo, se debe indicar que el origen de este seguimiento estadístico obedece al cumplimiento de las recomendaciones formuladas por la Auditoría Judicial, mediante estudio N° 1310-94-AUO-2011, titulado: “</w:t>
      </w:r>
      <w:r w:rsidRPr="00CD7D51">
        <w:rPr>
          <w:rFonts w:ascii="Times New Roman" w:hAnsi="Times New Roman" w:cs="Times New Roman"/>
          <w:b/>
        </w:rPr>
        <w:t>Estudio Operativo en el Departamento de Laboratorios de Ciencias Forenses</w:t>
      </w:r>
      <w:r w:rsidRPr="00CD7D51">
        <w:rPr>
          <w:rFonts w:ascii="Times New Roman" w:hAnsi="Times New Roman" w:cs="Times New Roman"/>
        </w:rPr>
        <w:t>”, en el sentido de solicitar un informe técnico a la Dirección de Planificación, para efectos de definir la estrategia en el tema del control estadístico, con el propósito de establecer las responsabilidades, los mecanismos de validación de la información generada, la rectoría en tema estadístico y demás lineamientos, que deben asumir las diversas oficinas del país.</w:t>
      </w:r>
    </w:p>
    <w:p w14:paraId="07DEF972" w14:textId="77777777" w:rsidR="00E933B3" w:rsidRPr="00CD7D51" w:rsidRDefault="00E933B3" w:rsidP="00E933B3">
      <w:pPr>
        <w:jc w:val="both"/>
        <w:rPr>
          <w:rFonts w:ascii="Times New Roman" w:hAnsi="Times New Roman" w:cs="Times New Roman"/>
        </w:rPr>
      </w:pPr>
    </w:p>
    <w:p w14:paraId="10144BE8" w14:textId="77777777" w:rsidR="00E933B3" w:rsidRPr="00CD7D51" w:rsidRDefault="00E933B3" w:rsidP="00E933B3">
      <w:pPr>
        <w:jc w:val="both"/>
        <w:rPr>
          <w:rFonts w:ascii="Times New Roman" w:hAnsi="Times New Roman" w:cs="Times New Roman"/>
        </w:rPr>
      </w:pPr>
      <w:r w:rsidRPr="00CD7D51">
        <w:rPr>
          <w:rFonts w:ascii="Times New Roman" w:hAnsi="Times New Roman" w:cs="Times New Roman"/>
        </w:rPr>
        <w:t xml:space="preserve">Por último, se debe indicar que la versión preliminar de este informe se sometió a conocimiento del Máster </w:t>
      </w:r>
      <w:proofErr w:type="spellStart"/>
      <w:r w:rsidRPr="00CD7D51">
        <w:rPr>
          <w:rFonts w:ascii="Times New Roman" w:hAnsi="Times New Roman" w:cs="Times New Roman"/>
        </w:rPr>
        <w:t>Wálter</w:t>
      </w:r>
      <w:proofErr w:type="spellEnd"/>
      <w:r w:rsidRPr="00CD7D51">
        <w:rPr>
          <w:rFonts w:ascii="Times New Roman" w:hAnsi="Times New Roman" w:cs="Times New Roman"/>
        </w:rPr>
        <w:t xml:space="preserve"> Espinoza </w:t>
      </w:r>
      <w:proofErr w:type="spellStart"/>
      <w:r w:rsidRPr="00CD7D51">
        <w:rPr>
          <w:rFonts w:ascii="Times New Roman" w:hAnsi="Times New Roman" w:cs="Times New Roman"/>
        </w:rPr>
        <w:t>Espinoza</w:t>
      </w:r>
      <w:proofErr w:type="spellEnd"/>
      <w:r w:rsidRPr="00CD7D51">
        <w:rPr>
          <w:rFonts w:ascii="Times New Roman" w:hAnsi="Times New Roman" w:cs="Times New Roman"/>
        </w:rPr>
        <w:t xml:space="preserve">, Director General del Organismo de Investigación Judicial y del Máster Mauricio Chacón Hernández, Jefe del Departamento de Laboratorio de Ciencias Forenses, mediante oficios 1972-PLA-2016 y 322-EST-2016, para efectos de recibir las observaciones pertinentes, las cuales se emitieron mediante oficio DCF-392-2016, que reiteraba los contenidos del oficio 283-DCF-2015, los cuales se consideran y se desarrollan en la presente entrega. </w:t>
      </w:r>
    </w:p>
    <w:p w14:paraId="75B0AD50" w14:textId="77777777" w:rsidR="00E933B3" w:rsidRPr="00CD7D51" w:rsidRDefault="00E933B3" w:rsidP="00E933B3">
      <w:pPr>
        <w:jc w:val="both"/>
        <w:rPr>
          <w:rFonts w:ascii="Times New Roman" w:hAnsi="Times New Roman" w:cs="Times New Roman"/>
        </w:rPr>
      </w:pPr>
    </w:p>
    <w:p w14:paraId="15F5D272" w14:textId="77777777" w:rsidR="00E933B3" w:rsidRPr="00CD7D51" w:rsidRDefault="00E933B3" w:rsidP="00E933B3">
      <w:pPr>
        <w:jc w:val="both"/>
        <w:rPr>
          <w:rFonts w:ascii="Times New Roman" w:hAnsi="Times New Roman" w:cs="Times New Roman"/>
        </w:rPr>
      </w:pPr>
      <w:r w:rsidRPr="00CD7D51">
        <w:rPr>
          <w:rFonts w:ascii="Times New Roman" w:hAnsi="Times New Roman" w:cs="Times New Roman"/>
        </w:rPr>
        <w:t xml:space="preserve">Adicionalmente, el día 18 de enero último, se celebró una reunión en las instalaciones de ese Departamento, con la presencia del Máster Chacón Hernández, así como del Ingeniero Arnoldo Mora Alvarado, Profesional de la Unidad de Gestión de Producción del Departamento y del Máster Manuel Gilberto Sotomayor Solano, Profesional 2 en Estadística de la Sección a mi cargo, en donde se profundizó sobre los alcances de las observaciones expuestas, además del conjunto de indicadores estadísticos propuestos por el Departamento analizado. </w:t>
      </w:r>
    </w:p>
    <w:p w14:paraId="129726F9" w14:textId="77777777" w:rsidR="00E933B3" w:rsidRPr="00CD7D51" w:rsidRDefault="00E933B3" w:rsidP="00E933B3">
      <w:pPr>
        <w:jc w:val="both"/>
        <w:rPr>
          <w:rFonts w:ascii="Times New Roman" w:hAnsi="Times New Roman" w:cs="Times New Roman"/>
        </w:rPr>
      </w:pPr>
    </w:p>
    <w:p w14:paraId="4BBEE3D7" w14:textId="77777777" w:rsidR="00E933B3" w:rsidRPr="00CD7D51" w:rsidRDefault="00E933B3" w:rsidP="00E933B3">
      <w:pPr>
        <w:jc w:val="both"/>
        <w:rPr>
          <w:rFonts w:ascii="Times New Roman" w:hAnsi="Times New Roman" w:cs="Times New Roman"/>
        </w:rPr>
      </w:pPr>
      <w:r w:rsidRPr="00CD7D51">
        <w:rPr>
          <w:rFonts w:ascii="Times New Roman" w:hAnsi="Times New Roman" w:cs="Times New Roman"/>
        </w:rPr>
        <w:t xml:space="preserve">Cordialmente,  </w:t>
      </w:r>
    </w:p>
    <w:p w14:paraId="75379096" w14:textId="77777777" w:rsidR="00E933B3" w:rsidRDefault="00E933B3" w:rsidP="00E933B3">
      <w:pPr>
        <w:jc w:val="both"/>
        <w:rPr>
          <w:rFonts w:ascii="Times New Roman" w:hAnsi="Times New Roman" w:cs="Times New Roman"/>
        </w:rPr>
      </w:pPr>
    </w:p>
    <w:p w14:paraId="6FB2B064" w14:textId="77777777" w:rsidR="00E933B3" w:rsidRDefault="00E933B3" w:rsidP="00E933B3">
      <w:pPr>
        <w:jc w:val="both"/>
        <w:rPr>
          <w:rFonts w:ascii="Times New Roman" w:hAnsi="Times New Roman" w:cs="Times New Roman"/>
        </w:rPr>
      </w:pPr>
    </w:p>
    <w:p w14:paraId="3525EDBB" w14:textId="77777777" w:rsidR="00E933B3" w:rsidRPr="00CD7D51" w:rsidRDefault="00E933B3" w:rsidP="00E933B3">
      <w:pPr>
        <w:jc w:val="both"/>
        <w:rPr>
          <w:rFonts w:ascii="Times New Roman" w:hAnsi="Times New Roman" w:cs="Times New Roman"/>
        </w:rPr>
      </w:pPr>
    </w:p>
    <w:p w14:paraId="0B1DED16" w14:textId="77777777" w:rsidR="00E933B3" w:rsidRPr="00C72532" w:rsidRDefault="00E933B3" w:rsidP="00E933B3">
      <w:pPr>
        <w:jc w:val="both"/>
        <w:rPr>
          <w:rFonts w:ascii="Times New Roman" w:hAnsi="Times New Roman" w:cs="Times New Roman"/>
          <w:bCs/>
        </w:rPr>
      </w:pPr>
      <w:r w:rsidRPr="00C72532">
        <w:rPr>
          <w:rFonts w:ascii="Times New Roman" w:hAnsi="Times New Roman" w:cs="Times New Roman"/>
          <w:bCs/>
        </w:rPr>
        <w:t>Licda. Ana Ericka Rodríguez Araya</w:t>
      </w:r>
    </w:p>
    <w:p w14:paraId="161D29C7" w14:textId="77777777" w:rsidR="00E933B3" w:rsidRPr="00C72532" w:rsidRDefault="00E933B3" w:rsidP="00E933B3">
      <w:pPr>
        <w:jc w:val="both"/>
        <w:rPr>
          <w:rFonts w:ascii="Times New Roman" w:hAnsi="Times New Roman" w:cs="Times New Roman"/>
        </w:rPr>
      </w:pPr>
      <w:r w:rsidRPr="00C72532">
        <w:rPr>
          <w:rFonts w:ascii="Times New Roman" w:hAnsi="Times New Roman" w:cs="Times New Roman"/>
          <w:bCs/>
        </w:rPr>
        <w:t xml:space="preserve">Jefa </w:t>
      </w:r>
      <w:proofErr w:type="spellStart"/>
      <w:r w:rsidRPr="00C72532">
        <w:rPr>
          <w:rFonts w:ascii="Times New Roman" w:hAnsi="Times New Roman" w:cs="Times New Roman"/>
          <w:bCs/>
        </w:rPr>
        <w:t>a.í</w:t>
      </w:r>
      <w:proofErr w:type="spellEnd"/>
      <w:r w:rsidRPr="00C72532">
        <w:rPr>
          <w:rFonts w:ascii="Times New Roman" w:hAnsi="Times New Roman" w:cs="Times New Roman"/>
          <w:bCs/>
        </w:rPr>
        <w:t>., Sección de Estadística</w:t>
      </w:r>
      <w:r w:rsidRPr="00C72532">
        <w:rPr>
          <w:rFonts w:ascii="Times New Roman" w:hAnsi="Times New Roman" w:cs="Times New Roman"/>
        </w:rPr>
        <w:t xml:space="preserve"> </w:t>
      </w:r>
    </w:p>
    <w:p w14:paraId="77D88763" w14:textId="77777777" w:rsidR="00E933B3" w:rsidRPr="00C72532" w:rsidRDefault="00E933B3" w:rsidP="00E933B3">
      <w:pPr>
        <w:rPr>
          <w:rFonts w:ascii="Times New Roman" w:hAnsi="Times New Roman" w:cs="Times New Roman"/>
          <w:color w:val="000000"/>
        </w:rPr>
      </w:pPr>
    </w:p>
    <w:p w14:paraId="48CEE7D6" w14:textId="77777777" w:rsidR="00E933B3" w:rsidRPr="00C72532" w:rsidRDefault="00E933B3" w:rsidP="00E933B3">
      <w:pPr>
        <w:rPr>
          <w:rFonts w:ascii="Times New Roman" w:hAnsi="Times New Roman" w:cs="Times New Roman"/>
          <w:color w:val="000000"/>
        </w:rPr>
      </w:pPr>
    </w:p>
    <w:p w14:paraId="44A0D4C8" w14:textId="77777777" w:rsidR="00E933B3" w:rsidRPr="00C72532" w:rsidRDefault="00E933B3" w:rsidP="00E933B3">
      <w:pPr>
        <w:rPr>
          <w:rFonts w:ascii="Times New Roman" w:hAnsi="Times New Roman" w:cs="Times New Roman"/>
          <w:color w:val="000000"/>
        </w:rPr>
      </w:pPr>
      <w:r w:rsidRPr="00C72532">
        <w:rPr>
          <w:rFonts w:ascii="Times New Roman" w:hAnsi="Times New Roman" w:cs="Times New Roman"/>
          <w:color w:val="000000"/>
        </w:rPr>
        <w:t>c. Archivo</w:t>
      </w:r>
    </w:p>
    <w:p w14:paraId="690FE6E7" w14:textId="77777777" w:rsidR="00E933B3" w:rsidRPr="00C72532" w:rsidRDefault="00E933B3" w:rsidP="00E933B3">
      <w:pPr>
        <w:rPr>
          <w:rFonts w:ascii="Times New Roman" w:hAnsi="Times New Roman" w:cs="Times New Roman"/>
          <w:color w:val="000000"/>
        </w:rPr>
      </w:pPr>
    </w:p>
    <w:p w14:paraId="221A1B7D" w14:textId="77777777" w:rsidR="00E933B3" w:rsidRPr="00C72532" w:rsidRDefault="00E933B3" w:rsidP="00E933B3">
      <w:pPr>
        <w:rPr>
          <w:rFonts w:ascii="Times New Roman" w:hAnsi="Times New Roman" w:cs="Times New Roman"/>
          <w:color w:val="000000"/>
        </w:rPr>
      </w:pPr>
      <w:proofErr w:type="spellStart"/>
      <w:r>
        <w:rPr>
          <w:rFonts w:ascii="Times New Roman" w:hAnsi="Times New Roman" w:cs="Times New Roman"/>
          <w:color w:val="000000"/>
        </w:rPr>
        <w:t>Aera</w:t>
      </w:r>
      <w:proofErr w:type="spellEnd"/>
      <w:r w:rsidRPr="00C72532">
        <w:rPr>
          <w:rFonts w:ascii="Times New Roman" w:hAnsi="Times New Roman" w:cs="Times New Roman"/>
          <w:color w:val="000000"/>
        </w:rPr>
        <w:t>/</w:t>
      </w:r>
      <w:proofErr w:type="spellStart"/>
      <w:r w:rsidRPr="00C72532">
        <w:rPr>
          <w:rFonts w:ascii="Times New Roman" w:hAnsi="Times New Roman" w:cs="Times New Roman"/>
          <w:color w:val="000000"/>
        </w:rPr>
        <w:t>xba</w:t>
      </w:r>
      <w:proofErr w:type="spellEnd"/>
    </w:p>
    <w:p w14:paraId="5E9D4FA4" w14:textId="77777777" w:rsidR="00E933B3" w:rsidRPr="00C72532" w:rsidRDefault="00E933B3" w:rsidP="00E933B3">
      <w:pPr>
        <w:rPr>
          <w:rFonts w:ascii="Times New Roman" w:hAnsi="Times New Roman" w:cs="Times New Roman"/>
          <w:color w:val="000000"/>
        </w:rPr>
      </w:pPr>
      <w:r w:rsidRPr="00C72532">
        <w:rPr>
          <w:rFonts w:ascii="Times New Roman" w:hAnsi="Times New Roman" w:cs="Times New Roman"/>
          <w:color w:val="000000"/>
        </w:rPr>
        <w:t>Ref. 1542-16</w:t>
      </w:r>
    </w:p>
    <w:p w14:paraId="5405407C" w14:textId="77777777" w:rsidR="00E933B3" w:rsidRPr="00C72532" w:rsidRDefault="00E933B3" w:rsidP="00E933B3">
      <w:pPr>
        <w:spacing w:line="360" w:lineRule="auto"/>
        <w:rPr>
          <w:rFonts w:ascii="Times New Roman" w:hAnsi="Times New Roman" w:cs="Times New Roman"/>
          <w:color w:val="000000"/>
        </w:rPr>
        <w:sectPr w:rsidR="00E933B3" w:rsidRPr="00C72532" w:rsidSect="00773A60">
          <w:pgSz w:w="12242" w:h="15842" w:code="1"/>
          <w:pgMar w:top="1321" w:right="1134" w:bottom="1134" w:left="1134" w:header="709" w:footer="709" w:gutter="0"/>
          <w:pgNumType w:start="1"/>
          <w:cols w:space="708"/>
          <w:docGrid w:linePitch="360"/>
        </w:sectPr>
      </w:pPr>
    </w:p>
    <w:p w14:paraId="6887C330" w14:textId="77777777" w:rsidR="00E933B3" w:rsidRDefault="00E933B3" w:rsidP="00E933B3">
      <w:pPr>
        <w:spacing w:line="360" w:lineRule="auto"/>
        <w:jc w:val="center"/>
        <w:rPr>
          <w:rFonts w:ascii="Times New Roman" w:hAnsi="Times New Roman" w:cs="Times New Roman"/>
          <w:b/>
          <w:sz w:val="28"/>
          <w:szCs w:val="28"/>
        </w:rPr>
      </w:pPr>
    </w:p>
    <w:p w14:paraId="3B580917" w14:textId="77777777" w:rsidR="00E933B3" w:rsidRPr="00CD7D51" w:rsidRDefault="00E933B3" w:rsidP="00E933B3">
      <w:pPr>
        <w:spacing w:line="360" w:lineRule="auto"/>
        <w:jc w:val="center"/>
        <w:rPr>
          <w:rFonts w:ascii="Times New Roman" w:hAnsi="Times New Roman" w:cs="Times New Roman"/>
          <w:b/>
          <w:sz w:val="28"/>
          <w:szCs w:val="28"/>
        </w:rPr>
      </w:pPr>
      <w:r w:rsidRPr="00CD7D51">
        <w:rPr>
          <w:rFonts w:ascii="Times New Roman" w:hAnsi="Times New Roman" w:cs="Times New Roman"/>
          <w:b/>
          <w:sz w:val="28"/>
          <w:szCs w:val="28"/>
        </w:rPr>
        <w:t>Departamento de Laboratorios de Ciencias Forenses</w:t>
      </w:r>
    </w:p>
    <w:p w14:paraId="3B618C7A" w14:textId="77777777" w:rsidR="00E933B3" w:rsidRPr="00CD7D51" w:rsidRDefault="00E933B3" w:rsidP="00E933B3">
      <w:pPr>
        <w:spacing w:line="360" w:lineRule="auto"/>
        <w:jc w:val="center"/>
        <w:rPr>
          <w:rFonts w:ascii="Times New Roman" w:hAnsi="Times New Roman" w:cs="Times New Roman"/>
          <w:b/>
          <w:sz w:val="28"/>
          <w:szCs w:val="28"/>
        </w:rPr>
      </w:pPr>
      <w:r w:rsidRPr="00CD7D51">
        <w:rPr>
          <w:rFonts w:ascii="Times New Roman" w:hAnsi="Times New Roman" w:cs="Times New Roman"/>
          <w:b/>
          <w:sz w:val="28"/>
          <w:szCs w:val="28"/>
        </w:rPr>
        <w:t>del Organismo de Investigación Judicial</w:t>
      </w:r>
    </w:p>
    <w:p w14:paraId="2856E4FC" w14:textId="77777777" w:rsidR="00E933B3" w:rsidRPr="00CD7D51" w:rsidRDefault="00E933B3" w:rsidP="00E933B3">
      <w:pPr>
        <w:spacing w:line="360" w:lineRule="auto"/>
        <w:jc w:val="both"/>
        <w:rPr>
          <w:rFonts w:ascii="Times New Roman" w:hAnsi="Times New Roman" w:cs="Times New Roman"/>
        </w:rPr>
      </w:pPr>
    </w:p>
    <w:p w14:paraId="289B6806"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En este apartado se describen los principales movimientos de trabajo, en el Departamento de Laboratorios de Ciencias Forenses del Organismo de Investigación Judicial, durante el 2015.  </w:t>
      </w:r>
    </w:p>
    <w:p w14:paraId="6CF264CD" w14:textId="77777777" w:rsidR="00E933B3" w:rsidRPr="00CD7D51" w:rsidRDefault="00E933B3" w:rsidP="00E933B3">
      <w:pPr>
        <w:spacing w:line="360" w:lineRule="auto"/>
        <w:jc w:val="both"/>
        <w:rPr>
          <w:rFonts w:ascii="Times New Roman" w:hAnsi="Times New Roman" w:cs="Times New Roman"/>
        </w:rPr>
      </w:pPr>
    </w:p>
    <w:p w14:paraId="2A11F646" w14:textId="77777777" w:rsidR="00E933B3" w:rsidRPr="00CD7D51" w:rsidRDefault="00E933B3" w:rsidP="00E933B3">
      <w:pPr>
        <w:pStyle w:val="ListParagraph"/>
        <w:numPr>
          <w:ilvl w:val="0"/>
          <w:numId w:val="2"/>
        </w:numPr>
        <w:spacing w:line="360" w:lineRule="auto"/>
        <w:ind w:left="284" w:hanging="284"/>
        <w:contextualSpacing/>
        <w:jc w:val="both"/>
        <w:rPr>
          <w:rFonts w:ascii="Times New Roman" w:hAnsi="Times New Roman" w:cs="Times New Roman"/>
          <w:b/>
          <w:sz w:val="26"/>
          <w:szCs w:val="26"/>
        </w:rPr>
      </w:pPr>
      <w:r w:rsidRPr="00CD7D51">
        <w:rPr>
          <w:rFonts w:ascii="Times New Roman" w:hAnsi="Times New Roman" w:cs="Times New Roman"/>
          <w:b/>
          <w:sz w:val="26"/>
          <w:szCs w:val="26"/>
        </w:rPr>
        <w:t xml:space="preserve">Introducción.  </w:t>
      </w:r>
    </w:p>
    <w:p w14:paraId="0E21A131" w14:textId="77777777" w:rsidR="00E933B3" w:rsidRPr="00CD7D51" w:rsidRDefault="00E933B3" w:rsidP="00E933B3">
      <w:pPr>
        <w:spacing w:line="360" w:lineRule="auto"/>
        <w:jc w:val="both"/>
        <w:rPr>
          <w:rFonts w:ascii="Times New Roman" w:hAnsi="Times New Roman" w:cs="Times New Roman"/>
        </w:rPr>
      </w:pPr>
    </w:p>
    <w:p w14:paraId="3B318C66"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La presente exploración consiste en el primer informe anual, referente a la gestión de la oficina, adscrita al Organismo de Investigación Judicial (OIJ), que se encuentra localizada en la Ciudad Judicial del Circuito Judicial de Heredia. </w:t>
      </w:r>
    </w:p>
    <w:p w14:paraId="76E3F659" w14:textId="77777777" w:rsidR="00E933B3" w:rsidRPr="00CD7D51" w:rsidRDefault="00E933B3" w:rsidP="00E933B3">
      <w:pPr>
        <w:spacing w:line="360" w:lineRule="auto"/>
        <w:jc w:val="both"/>
        <w:rPr>
          <w:rFonts w:ascii="Times New Roman" w:hAnsi="Times New Roman" w:cs="Times New Roman"/>
        </w:rPr>
      </w:pPr>
    </w:p>
    <w:p w14:paraId="226EB79C"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La génesis de este seguimiento estadístico surgió con motivo de la recomendación “4.4”, formulada por la Auditoría Judicial, mediante estudio N° 1310-94-AUO-2011, del 10 de noviembre de 2011, titulado: “</w:t>
      </w:r>
      <w:r w:rsidRPr="00CD7D51">
        <w:rPr>
          <w:rFonts w:ascii="Times New Roman" w:hAnsi="Times New Roman" w:cs="Times New Roman"/>
          <w:b/>
        </w:rPr>
        <w:t>Estudio Operativo en el Departamento de Laboratorios de Ciencias Forenses</w:t>
      </w:r>
      <w:r w:rsidRPr="00CD7D51">
        <w:rPr>
          <w:rFonts w:ascii="Times New Roman" w:hAnsi="Times New Roman" w:cs="Times New Roman"/>
        </w:rPr>
        <w:t xml:space="preserve">”, en el sentido de solicitar un informe técnico a la Dirección de Planificación, para efectos de definir la estrategia en el tema del control estadístico, con el propósito de establecer las responsabilidades, los mecanismos de validación de la información generada, la rectoría en tema estadístico y demás lineamientos, que deben asumir las diversas oficinas del país.  </w:t>
      </w:r>
    </w:p>
    <w:p w14:paraId="0C869824" w14:textId="77777777" w:rsidR="00E933B3" w:rsidRPr="00CD7D51" w:rsidRDefault="00E933B3" w:rsidP="00E933B3">
      <w:pPr>
        <w:spacing w:line="360" w:lineRule="auto"/>
        <w:jc w:val="both"/>
        <w:rPr>
          <w:rFonts w:ascii="Times New Roman" w:hAnsi="Times New Roman" w:cs="Times New Roman"/>
        </w:rPr>
      </w:pPr>
    </w:p>
    <w:p w14:paraId="228766F6"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Por otro lado, hasta el año 2014 no existía la posibilidad de que el personal de la Sección de Estadística verificara la información registrada en los formularios estadísticos diseñados, para todas las secciones especializadas del Departamento, debido a que no se remitían los correspondientes listados de registros. </w:t>
      </w:r>
    </w:p>
    <w:p w14:paraId="3F85A297" w14:textId="77777777" w:rsidR="00E933B3" w:rsidRPr="00CD7D51" w:rsidRDefault="00E933B3" w:rsidP="00E933B3">
      <w:pPr>
        <w:spacing w:line="360" w:lineRule="auto"/>
        <w:jc w:val="both"/>
        <w:rPr>
          <w:rFonts w:ascii="Times New Roman" w:hAnsi="Times New Roman" w:cs="Times New Roman"/>
        </w:rPr>
      </w:pPr>
    </w:p>
    <w:p w14:paraId="04BB4FAE"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Estas debilidades fueron desapareciendo conforme los sistemas informáticos institucionales evolucionaron con la implementación de nuevas aplicaciones y fue hasta el cuarto trimestre de ese año </w:t>
      </w:r>
      <w:r w:rsidRPr="00CD7D51">
        <w:rPr>
          <w:rFonts w:ascii="Times New Roman" w:hAnsi="Times New Roman" w:cs="Times New Roman"/>
        </w:rPr>
        <w:lastRenderedPageBreak/>
        <w:t xml:space="preserve">que se logró contar con la información detallada, en los mencionados listados de cada una de las Secciones, haciendo posible el cotejo de lo anotado en los resúmenes trimestrales y mensuales, a través de los respectivos formularios estadísticos. </w:t>
      </w:r>
    </w:p>
    <w:p w14:paraId="20EC6B01" w14:textId="77777777" w:rsidR="00E933B3" w:rsidRPr="00CD7D51" w:rsidRDefault="00E933B3" w:rsidP="00E933B3">
      <w:pPr>
        <w:spacing w:line="360" w:lineRule="auto"/>
        <w:jc w:val="both"/>
        <w:rPr>
          <w:rFonts w:ascii="Times New Roman" w:hAnsi="Times New Roman" w:cs="Times New Roman"/>
        </w:rPr>
      </w:pPr>
    </w:p>
    <w:p w14:paraId="28D1BFF5" w14:textId="77777777" w:rsidR="00E933B3" w:rsidRPr="00CD7D51" w:rsidRDefault="00E933B3" w:rsidP="00E933B3">
      <w:pPr>
        <w:pStyle w:val="ListParagraph"/>
        <w:numPr>
          <w:ilvl w:val="0"/>
          <w:numId w:val="2"/>
        </w:numPr>
        <w:spacing w:line="360" w:lineRule="auto"/>
        <w:ind w:left="426" w:hanging="426"/>
        <w:contextualSpacing/>
        <w:jc w:val="both"/>
        <w:rPr>
          <w:rFonts w:ascii="Times New Roman" w:hAnsi="Times New Roman" w:cs="Times New Roman"/>
          <w:b/>
          <w:sz w:val="26"/>
          <w:szCs w:val="26"/>
        </w:rPr>
      </w:pPr>
      <w:r w:rsidRPr="00CD7D51">
        <w:rPr>
          <w:rFonts w:ascii="Times New Roman" w:hAnsi="Times New Roman" w:cs="Times New Roman"/>
          <w:b/>
          <w:sz w:val="26"/>
          <w:szCs w:val="26"/>
        </w:rPr>
        <w:t xml:space="preserve">Movimientos generales de trabajo.  </w:t>
      </w:r>
    </w:p>
    <w:p w14:paraId="11BDF57F" w14:textId="77777777" w:rsidR="00E933B3" w:rsidRPr="00CD7D51" w:rsidRDefault="00E933B3" w:rsidP="00E933B3">
      <w:pPr>
        <w:spacing w:line="360" w:lineRule="auto"/>
        <w:jc w:val="both"/>
        <w:rPr>
          <w:rFonts w:ascii="Times New Roman" w:hAnsi="Times New Roman" w:cs="Times New Roman"/>
        </w:rPr>
      </w:pPr>
    </w:p>
    <w:p w14:paraId="3F7FB44C"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En virtud de los escenarios expuestos, para el 2015 se logró construir el primer cuadro estadístico anual, referente a los movimientos de trabajo por Sección, en el Departamento de Laboratorios de Ciencias Forenses (archivo anexo Excel).    </w:t>
      </w:r>
    </w:p>
    <w:p w14:paraId="21349310" w14:textId="77777777" w:rsidR="00E933B3" w:rsidRPr="00CD7D51" w:rsidRDefault="00E933B3" w:rsidP="00E933B3">
      <w:pPr>
        <w:spacing w:line="360" w:lineRule="auto"/>
        <w:jc w:val="both"/>
        <w:rPr>
          <w:rFonts w:ascii="Times New Roman" w:hAnsi="Times New Roman" w:cs="Times New Roman"/>
        </w:rPr>
      </w:pPr>
    </w:p>
    <w:p w14:paraId="78FAA347"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A partir de lo anterior, se estableció como unidad estadística elemental la orden de trabajo asignada a cada Sección, sobre la cual recae la observación y la compilación de los datos.   </w:t>
      </w:r>
    </w:p>
    <w:p w14:paraId="4256CC29" w14:textId="77777777" w:rsidR="00E933B3" w:rsidRPr="00CD7D51" w:rsidRDefault="00E933B3" w:rsidP="00E933B3">
      <w:pPr>
        <w:spacing w:line="360" w:lineRule="auto"/>
        <w:jc w:val="both"/>
        <w:rPr>
          <w:rFonts w:ascii="Times New Roman" w:hAnsi="Times New Roman" w:cs="Times New Roman"/>
        </w:rPr>
      </w:pPr>
    </w:p>
    <w:p w14:paraId="16E313FE"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De esta manera, se pretende determinar -en términos generales- el comportamiento de los casos que componen la carga de trabajo de cada Sección, bajo el entendido de que las cifras no son comparables entre sí, debido a que los peritajes realizados en las secciones se caracterizan por sus particularidades, que responden a diferencias de orden técnico y científico. </w:t>
      </w:r>
    </w:p>
    <w:p w14:paraId="2082BB9C" w14:textId="77777777" w:rsidR="00E933B3" w:rsidRPr="00CD7D51" w:rsidRDefault="00E933B3" w:rsidP="00E933B3">
      <w:pPr>
        <w:spacing w:line="360" w:lineRule="auto"/>
        <w:jc w:val="both"/>
        <w:rPr>
          <w:rFonts w:ascii="Times New Roman" w:hAnsi="Times New Roman" w:cs="Times New Roman"/>
        </w:rPr>
      </w:pPr>
    </w:p>
    <w:p w14:paraId="52641C53"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Por consiguiente, el desplegado de los datos en los formularios propuestos no pretende lograr equivalencia alguna entre los asuntos atendidos en cada Sección, debido al interés de individualizar los patrones estadísticos, de las cargas de trabajo especializadas. </w:t>
      </w:r>
    </w:p>
    <w:p w14:paraId="659F6F05" w14:textId="77777777" w:rsidR="00E933B3" w:rsidRPr="00CD7D51" w:rsidRDefault="00E933B3" w:rsidP="00E933B3">
      <w:pPr>
        <w:spacing w:line="360" w:lineRule="auto"/>
        <w:jc w:val="both"/>
        <w:rPr>
          <w:rFonts w:ascii="Times New Roman" w:hAnsi="Times New Roman" w:cs="Times New Roman"/>
        </w:rPr>
      </w:pPr>
    </w:p>
    <w:p w14:paraId="30730EF9"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Con base en estos criterios, en la siguiente tabla se sintetizan los movimientos generales de trabajo, en las ocho secciones del Departamento de Ciencias Forenses, durante el 2015. </w:t>
      </w:r>
    </w:p>
    <w:p w14:paraId="49123F79" w14:textId="77777777" w:rsidR="00E933B3" w:rsidRPr="00CD7D51" w:rsidRDefault="00E933B3" w:rsidP="00E933B3">
      <w:pPr>
        <w:spacing w:line="360" w:lineRule="auto"/>
        <w:jc w:val="both"/>
        <w:rPr>
          <w:rFonts w:ascii="Times New Roman" w:hAnsi="Times New Roman" w:cs="Times New Roman"/>
        </w:rPr>
      </w:pPr>
    </w:p>
    <w:p w14:paraId="5C19D6B4" w14:textId="77777777" w:rsidR="00E933B3" w:rsidRPr="00CD7D51" w:rsidRDefault="00E933B3" w:rsidP="00E933B3">
      <w:pPr>
        <w:spacing w:line="360" w:lineRule="auto"/>
        <w:jc w:val="both"/>
        <w:rPr>
          <w:rFonts w:ascii="Times New Roman" w:hAnsi="Times New Roman" w:cs="Times New Roman"/>
        </w:rPr>
      </w:pPr>
    </w:p>
    <w:p w14:paraId="664E97BF" w14:textId="77777777" w:rsidR="00E933B3" w:rsidRPr="00CD7D51" w:rsidRDefault="00E933B3" w:rsidP="00E933B3">
      <w:pPr>
        <w:spacing w:line="360" w:lineRule="auto"/>
        <w:jc w:val="both"/>
        <w:rPr>
          <w:rFonts w:ascii="Times New Roman" w:hAnsi="Times New Roman" w:cs="Times New Roman"/>
        </w:rPr>
      </w:pPr>
    </w:p>
    <w:p w14:paraId="70206ADA" w14:textId="77777777" w:rsidR="00E933B3" w:rsidRPr="00CD7D51" w:rsidRDefault="00E933B3" w:rsidP="00E933B3">
      <w:pPr>
        <w:spacing w:line="360" w:lineRule="auto"/>
        <w:jc w:val="both"/>
        <w:rPr>
          <w:rFonts w:ascii="Times New Roman" w:hAnsi="Times New Roman" w:cs="Times New Roman"/>
        </w:rPr>
      </w:pPr>
    </w:p>
    <w:p w14:paraId="26B01FB0" w14:textId="77777777" w:rsidR="00E933B3" w:rsidRPr="00CD7D51" w:rsidRDefault="00E933B3" w:rsidP="00E933B3">
      <w:pPr>
        <w:spacing w:line="360" w:lineRule="auto"/>
        <w:jc w:val="both"/>
        <w:rPr>
          <w:rFonts w:ascii="Times New Roman" w:hAnsi="Times New Roman" w:cs="Times New Roman"/>
        </w:rPr>
      </w:pPr>
    </w:p>
    <w:tbl>
      <w:tblPr>
        <w:tblW w:w="4839" w:type="pct"/>
        <w:tblCellMar>
          <w:left w:w="70" w:type="dxa"/>
          <w:right w:w="70" w:type="dxa"/>
        </w:tblCellMar>
        <w:tblLook w:val="04A0" w:firstRow="1" w:lastRow="0" w:firstColumn="1" w:lastColumn="0" w:noHBand="0" w:noVBand="1"/>
      </w:tblPr>
      <w:tblGrid>
        <w:gridCol w:w="3782"/>
        <w:gridCol w:w="1002"/>
        <w:gridCol w:w="946"/>
        <w:gridCol w:w="1002"/>
        <w:gridCol w:w="985"/>
        <w:gridCol w:w="1000"/>
        <w:gridCol w:w="936"/>
      </w:tblGrid>
      <w:tr w:rsidR="00E933B3" w:rsidRPr="00CD7D51" w14:paraId="129A797D" w14:textId="77777777" w:rsidTr="0065506E">
        <w:trPr>
          <w:tblHeader/>
        </w:trPr>
        <w:tc>
          <w:tcPr>
            <w:tcW w:w="1959" w:type="pct"/>
            <w:vMerge w:val="restart"/>
            <w:tcBorders>
              <w:top w:val="single" w:sz="4" w:space="0" w:color="auto"/>
              <w:left w:val="nil"/>
              <w:bottom w:val="single" w:sz="4" w:space="0" w:color="000000"/>
              <w:right w:val="single" w:sz="4" w:space="0" w:color="auto"/>
            </w:tcBorders>
            <w:shd w:val="clear" w:color="auto" w:fill="auto"/>
            <w:noWrap/>
            <w:vAlign w:val="center"/>
            <w:hideMark/>
          </w:tcPr>
          <w:p w14:paraId="4DBC6B65"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Sección</w:t>
            </w:r>
          </w:p>
        </w:tc>
        <w:tc>
          <w:tcPr>
            <w:tcW w:w="3041" w:type="pct"/>
            <w:gridSpan w:val="6"/>
            <w:tcBorders>
              <w:top w:val="single" w:sz="4" w:space="0" w:color="auto"/>
              <w:left w:val="nil"/>
              <w:bottom w:val="nil"/>
              <w:right w:val="nil"/>
            </w:tcBorders>
            <w:shd w:val="clear" w:color="auto" w:fill="auto"/>
            <w:noWrap/>
            <w:vAlign w:val="center"/>
            <w:hideMark/>
          </w:tcPr>
          <w:p w14:paraId="5070CDF8"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Movimientos generales en el Departamento de Ciencias Forenses</w:t>
            </w:r>
          </w:p>
        </w:tc>
      </w:tr>
      <w:tr w:rsidR="00E933B3" w:rsidRPr="00CD7D51" w14:paraId="7A12FAF0" w14:textId="77777777" w:rsidTr="0065506E">
        <w:trPr>
          <w:tblHeader/>
        </w:trPr>
        <w:tc>
          <w:tcPr>
            <w:tcW w:w="1959" w:type="pct"/>
            <w:vMerge/>
            <w:tcBorders>
              <w:top w:val="single" w:sz="4" w:space="0" w:color="auto"/>
              <w:left w:val="nil"/>
              <w:bottom w:val="single" w:sz="4" w:space="0" w:color="000000"/>
              <w:right w:val="single" w:sz="4" w:space="0" w:color="auto"/>
            </w:tcBorders>
            <w:vAlign w:val="center"/>
            <w:hideMark/>
          </w:tcPr>
          <w:p w14:paraId="4B337472" w14:textId="77777777" w:rsidR="00E933B3" w:rsidRPr="00CD7D51" w:rsidRDefault="00E933B3" w:rsidP="0065506E">
            <w:pPr>
              <w:rPr>
                <w:rFonts w:ascii="Times New Roman" w:hAnsi="Times New Roman" w:cs="Times New Roman"/>
                <w:b/>
                <w:bCs/>
                <w:sz w:val="18"/>
                <w:szCs w:val="18"/>
              </w:rPr>
            </w:pPr>
          </w:p>
        </w:tc>
        <w:tc>
          <w:tcPr>
            <w:tcW w:w="3041" w:type="pct"/>
            <w:gridSpan w:val="6"/>
            <w:tcBorders>
              <w:top w:val="nil"/>
              <w:left w:val="nil"/>
              <w:bottom w:val="single" w:sz="4" w:space="0" w:color="auto"/>
              <w:right w:val="nil"/>
            </w:tcBorders>
            <w:shd w:val="clear" w:color="auto" w:fill="auto"/>
            <w:noWrap/>
            <w:vAlign w:val="center"/>
            <w:hideMark/>
          </w:tcPr>
          <w:p w14:paraId="1007108F"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del Organismo de Investigación Judicial durante el 2015</w:t>
            </w:r>
          </w:p>
        </w:tc>
      </w:tr>
      <w:tr w:rsidR="00E933B3" w:rsidRPr="00CD7D51" w14:paraId="7D4F043B" w14:textId="77777777" w:rsidTr="0065506E">
        <w:trPr>
          <w:tblHeader/>
        </w:trPr>
        <w:tc>
          <w:tcPr>
            <w:tcW w:w="1959" w:type="pct"/>
            <w:vMerge/>
            <w:tcBorders>
              <w:top w:val="single" w:sz="4" w:space="0" w:color="auto"/>
              <w:left w:val="nil"/>
              <w:bottom w:val="single" w:sz="4" w:space="0" w:color="000000"/>
              <w:right w:val="single" w:sz="4" w:space="0" w:color="auto"/>
            </w:tcBorders>
            <w:vAlign w:val="center"/>
            <w:hideMark/>
          </w:tcPr>
          <w:p w14:paraId="4531C3D8" w14:textId="77777777" w:rsidR="00E933B3" w:rsidRPr="00CD7D51" w:rsidRDefault="00E933B3" w:rsidP="0065506E">
            <w:pPr>
              <w:rPr>
                <w:rFonts w:ascii="Times New Roman" w:hAnsi="Times New Roman" w:cs="Times New Roman"/>
                <w:b/>
                <w:bCs/>
                <w:sz w:val="18"/>
                <w:szCs w:val="18"/>
              </w:rPr>
            </w:pPr>
          </w:p>
        </w:tc>
        <w:tc>
          <w:tcPr>
            <w:tcW w:w="1009" w:type="pct"/>
            <w:gridSpan w:val="2"/>
            <w:tcBorders>
              <w:top w:val="single" w:sz="4" w:space="0" w:color="auto"/>
              <w:left w:val="nil"/>
              <w:bottom w:val="nil"/>
              <w:right w:val="single" w:sz="4" w:space="0" w:color="000000"/>
            </w:tcBorders>
            <w:shd w:val="clear" w:color="auto" w:fill="auto"/>
            <w:noWrap/>
            <w:vAlign w:val="center"/>
            <w:hideMark/>
          </w:tcPr>
          <w:p w14:paraId="21331CA6"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Casos Entrados</w:t>
            </w:r>
          </w:p>
        </w:tc>
        <w:tc>
          <w:tcPr>
            <w:tcW w:w="1029" w:type="pct"/>
            <w:gridSpan w:val="2"/>
            <w:tcBorders>
              <w:top w:val="single" w:sz="4" w:space="0" w:color="auto"/>
              <w:left w:val="single" w:sz="4" w:space="0" w:color="auto"/>
              <w:bottom w:val="nil"/>
              <w:right w:val="single" w:sz="4" w:space="0" w:color="000000"/>
            </w:tcBorders>
            <w:shd w:val="clear" w:color="auto" w:fill="auto"/>
            <w:noWrap/>
            <w:vAlign w:val="center"/>
            <w:hideMark/>
          </w:tcPr>
          <w:p w14:paraId="40DEC45A"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Casos Terminados</w:t>
            </w:r>
          </w:p>
        </w:tc>
        <w:tc>
          <w:tcPr>
            <w:tcW w:w="1002" w:type="pct"/>
            <w:gridSpan w:val="2"/>
            <w:tcBorders>
              <w:top w:val="single" w:sz="4" w:space="0" w:color="auto"/>
              <w:left w:val="nil"/>
              <w:bottom w:val="nil"/>
              <w:right w:val="nil"/>
            </w:tcBorders>
            <w:shd w:val="clear" w:color="auto" w:fill="auto"/>
            <w:noWrap/>
            <w:vAlign w:val="center"/>
            <w:hideMark/>
          </w:tcPr>
          <w:p w14:paraId="3D1F8571"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Circulante Final</w:t>
            </w:r>
          </w:p>
        </w:tc>
      </w:tr>
      <w:tr w:rsidR="00E933B3" w:rsidRPr="00CD7D51" w14:paraId="111BC166" w14:textId="77777777" w:rsidTr="0065506E">
        <w:trPr>
          <w:tblHeader/>
        </w:trPr>
        <w:tc>
          <w:tcPr>
            <w:tcW w:w="1959" w:type="pct"/>
            <w:vMerge/>
            <w:tcBorders>
              <w:top w:val="single" w:sz="4" w:space="0" w:color="auto"/>
              <w:left w:val="nil"/>
              <w:bottom w:val="single" w:sz="4" w:space="0" w:color="000000"/>
              <w:right w:val="single" w:sz="4" w:space="0" w:color="auto"/>
            </w:tcBorders>
            <w:vAlign w:val="center"/>
            <w:hideMark/>
          </w:tcPr>
          <w:p w14:paraId="5B6256E0" w14:textId="77777777" w:rsidR="00E933B3" w:rsidRPr="00CD7D51" w:rsidRDefault="00E933B3" w:rsidP="0065506E">
            <w:pPr>
              <w:rPr>
                <w:rFonts w:ascii="Times New Roman" w:hAnsi="Times New Roman" w:cs="Times New Roman"/>
                <w:b/>
                <w:bCs/>
                <w:sz w:val="18"/>
                <w:szCs w:val="18"/>
              </w:rPr>
            </w:pPr>
          </w:p>
        </w:tc>
        <w:tc>
          <w:tcPr>
            <w:tcW w:w="519" w:type="pct"/>
            <w:tcBorders>
              <w:top w:val="single" w:sz="4" w:space="0" w:color="auto"/>
              <w:left w:val="nil"/>
              <w:bottom w:val="single" w:sz="4" w:space="0" w:color="auto"/>
              <w:right w:val="nil"/>
            </w:tcBorders>
            <w:shd w:val="clear" w:color="auto" w:fill="auto"/>
            <w:noWrap/>
            <w:vAlign w:val="center"/>
            <w:hideMark/>
          </w:tcPr>
          <w:p w14:paraId="66ABAA90"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Absolutos</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B3253"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w:t>
            </w:r>
          </w:p>
        </w:tc>
        <w:tc>
          <w:tcPr>
            <w:tcW w:w="519" w:type="pct"/>
            <w:tcBorders>
              <w:top w:val="single" w:sz="4" w:space="0" w:color="auto"/>
              <w:left w:val="nil"/>
              <w:bottom w:val="single" w:sz="4" w:space="0" w:color="auto"/>
              <w:right w:val="nil"/>
            </w:tcBorders>
            <w:shd w:val="clear" w:color="auto" w:fill="auto"/>
            <w:noWrap/>
            <w:vAlign w:val="center"/>
            <w:hideMark/>
          </w:tcPr>
          <w:p w14:paraId="42867617"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Absolutos</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D2553"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653DBA3D"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Absolutos</w:t>
            </w:r>
          </w:p>
        </w:tc>
        <w:tc>
          <w:tcPr>
            <w:tcW w:w="484" w:type="pct"/>
            <w:tcBorders>
              <w:top w:val="single" w:sz="4" w:space="0" w:color="auto"/>
              <w:left w:val="nil"/>
              <w:bottom w:val="single" w:sz="4" w:space="0" w:color="auto"/>
              <w:right w:val="nil"/>
            </w:tcBorders>
            <w:shd w:val="clear" w:color="auto" w:fill="auto"/>
            <w:noWrap/>
            <w:vAlign w:val="center"/>
            <w:hideMark/>
          </w:tcPr>
          <w:p w14:paraId="0C1EB53E"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w:t>
            </w:r>
          </w:p>
        </w:tc>
      </w:tr>
      <w:tr w:rsidR="00E933B3" w:rsidRPr="00CD7D51" w14:paraId="42EF49C1" w14:textId="77777777" w:rsidTr="0065506E">
        <w:tc>
          <w:tcPr>
            <w:tcW w:w="1959" w:type="pct"/>
            <w:tcBorders>
              <w:top w:val="nil"/>
              <w:left w:val="nil"/>
              <w:bottom w:val="nil"/>
              <w:right w:val="nil"/>
            </w:tcBorders>
            <w:shd w:val="clear" w:color="auto" w:fill="auto"/>
            <w:noWrap/>
            <w:vAlign w:val="center"/>
            <w:hideMark/>
          </w:tcPr>
          <w:p w14:paraId="70D73088" w14:textId="77777777" w:rsidR="00E933B3" w:rsidRPr="00CD7D51" w:rsidRDefault="00E933B3" w:rsidP="0065506E">
            <w:pPr>
              <w:rPr>
                <w:rFonts w:ascii="Times New Roman" w:hAnsi="Times New Roman" w:cs="Times New Roman"/>
                <w:sz w:val="18"/>
                <w:szCs w:val="18"/>
              </w:rPr>
            </w:pPr>
          </w:p>
        </w:tc>
        <w:tc>
          <w:tcPr>
            <w:tcW w:w="519" w:type="pct"/>
            <w:tcBorders>
              <w:top w:val="nil"/>
              <w:left w:val="single" w:sz="4" w:space="0" w:color="auto"/>
              <w:bottom w:val="nil"/>
              <w:right w:val="nil"/>
            </w:tcBorders>
            <w:shd w:val="clear" w:color="auto" w:fill="auto"/>
            <w:noWrap/>
            <w:vAlign w:val="center"/>
            <w:hideMark/>
          </w:tcPr>
          <w:p w14:paraId="0A6DC061"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c>
          <w:tcPr>
            <w:tcW w:w="490" w:type="pct"/>
            <w:tcBorders>
              <w:top w:val="nil"/>
              <w:left w:val="single" w:sz="4" w:space="0" w:color="auto"/>
              <w:bottom w:val="nil"/>
              <w:right w:val="single" w:sz="4" w:space="0" w:color="auto"/>
            </w:tcBorders>
            <w:shd w:val="clear" w:color="auto" w:fill="auto"/>
            <w:noWrap/>
            <w:vAlign w:val="center"/>
            <w:hideMark/>
          </w:tcPr>
          <w:p w14:paraId="2F79FD2A"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c>
          <w:tcPr>
            <w:tcW w:w="519" w:type="pct"/>
            <w:tcBorders>
              <w:top w:val="nil"/>
              <w:left w:val="nil"/>
              <w:bottom w:val="nil"/>
              <w:right w:val="nil"/>
            </w:tcBorders>
            <w:shd w:val="clear" w:color="auto" w:fill="auto"/>
            <w:noWrap/>
            <w:vAlign w:val="center"/>
            <w:hideMark/>
          </w:tcPr>
          <w:p w14:paraId="75F20960"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c>
          <w:tcPr>
            <w:tcW w:w="510" w:type="pct"/>
            <w:tcBorders>
              <w:top w:val="nil"/>
              <w:left w:val="single" w:sz="4" w:space="0" w:color="auto"/>
              <w:bottom w:val="nil"/>
              <w:right w:val="single" w:sz="4" w:space="0" w:color="auto"/>
            </w:tcBorders>
            <w:shd w:val="clear" w:color="auto" w:fill="auto"/>
            <w:noWrap/>
            <w:vAlign w:val="center"/>
            <w:hideMark/>
          </w:tcPr>
          <w:p w14:paraId="615E8EE6"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c>
          <w:tcPr>
            <w:tcW w:w="518" w:type="pct"/>
            <w:tcBorders>
              <w:top w:val="nil"/>
              <w:left w:val="nil"/>
              <w:bottom w:val="nil"/>
              <w:right w:val="single" w:sz="4" w:space="0" w:color="auto"/>
            </w:tcBorders>
            <w:shd w:val="clear" w:color="auto" w:fill="auto"/>
            <w:noWrap/>
            <w:vAlign w:val="center"/>
            <w:hideMark/>
          </w:tcPr>
          <w:p w14:paraId="039D0478"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c>
          <w:tcPr>
            <w:tcW w:w="484" w:type="pct"/>
            <w:tcBorders>
              <w:top w:val="nil"/>
              <w:left w:val="nil"/>
              <w:bottom w:val="nil"/>
              <w:right w:val="nil"/>
            </w:tcBorders>
            <w:shd w:val="clear" w:color="auto" w:fill="auto"/>
            <w:noWrap/>
            <w:vAlign w:val="center"/>
            <w:hideMark/>
          </w:tcPr>
          <w:p w14:paraId="39C12D2F"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r>
      <w:tr w:rsidR="00E933B3" w:rsidRPr="00CD7D51" w14:paraId="10D43B8E" w14:textId="77777777" w:rsidTr="0065506E">
        <w:tc>
          <w:tcPr>
            <w:tcW w:w="1959" w:type="pct"/>
            <w:tcBorders>
              <w:top w:val="nil"/>
              <w:left w:val="nil"/>
              <w:bottom w:val="nil"/>
              <w:right w:val="nil"/>
            </w:tcBorders>
            <w:shd w:val="clear" w:color="auto" w:fill="auto"/>
            <w:noWrap/>
            <w:vAlign w:val="center"/>
            <w:hideMark/>
          </w:tcPr>
          <w:p w14:paraId="70ED373E" w14:textId="77777777" w:rsidR="00E933B3" w:rsidRPr="00CD7D51" w:rsidRDefault="00E933B3" w:rsidP="0065506E">
            <w:pPr>
              <w:rPr>
                <w:rFonts w:ascii="Times New Roman" w:hAnsi="Times New Roman" w:cs="Times New Roman"/>
                <w:b/>
                <w:bCs/>
                <w:sz w:val="18"/>
                <w:szCs w:val="18"/>
              </w:rPr>
            </w:pPr>
            <w:r w:rsidRPr="00CD7D51">
              <w:rPr>
                <w:rFonts w:ascii="Times New Roman" w:hAnsi="Times New Roman" w:cs="Times New Roman"/>
                <w:b/>
                <w:bCs/>
                <w:sz w:val="18"/>
                <w:szCs w:val="18"/>
              </w:rPr>
              <w:t>Total</w:t>
            </w:r>
          </w:p>
        </w:tc>
        <w:tc>
          <w:tcPr>
            <w:tcW w:w="519" w:type="pct"/>
            <w:tcBorders>
              <w:top w:val="nil"/>
              <w:left w:val="single" w:sz="4" w:space="0" w:color="auto"/>
              <w:bottom w:val="nil"/>
              <w:right w:val="nil"/>
            </w:tcBorders>
            <w:shd w:val="clear" w:color="auto" w:fill="auto"/>
            <w:noWrap/>
            <w:vAlign w:val="center"/>
            <w:hideMark/>
          </w:tcPr>
          <w:p w14:paraId="576D4653"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43.562</w:t>
            </w:r>
          </w:p>
        </w:tc>
        <w:tc>
          <w:tcPr>
            <w:tcW w:w="490" w:type="pct"/>
            <w:tcBorders>
              <w:top w:val="nil"/>
              <w:left w:val="single" w:sz="4" w:space="0" w:color="auto"/>
              <w:bottom w:val="nil"/>
              <w:right w:val="single" w:sz="4" w:space="0" w:color="auto"/>
            </w:tcBorders>
            <w:shd w:val="clear" w:color="auto" w:fill="auto"/>
            <w:noWrap/>
            <w:vAlign w:val="center"/>
            <w:hideMark/>
          </w:tcPr>
          <w:p w14:paraId="162FC149"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100,0</w:t>
            </w:r>
          </w:p>
        </w:tc>
        <w:tc>
          <w:tcPr>
            <w:tcW w:w="519" w:type="pct"/>
            <w:tcBorders>
              <w:top w:val="nil"/>
              <w:left w:val="nil"/>
              <w:bottom w:val="nil"/>
              <w:right w:val="nil"/>
            </w:tcBorders>
            <w:shd w:val="clear" w:color="auto" w:fill="auto"/>
            <w:noWrap/>
            <w:vAlign w:val="center"/>
            <w:hideMark/>
          </w:tcPr>
          <w:p w14:paraId="4116CCE9"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43.147</w:t>
            </w:r>
          </w:p>
        </w:tc>
        <w:tc>
          <w:tcPr>
            <w:tcW w:w="510" w:type="pct"/>
            <w:tcBorders>
              <w:top w:val="nil"/>
              <w:left w:val="single" w:sz="4" w:space="0" w:color="auto"/>
              <w:bottom w:val="nil"/>
              <w:right w:val="single" w:sz="4" w:space="0" w:color="auto"/>
            </w:tcBorders>
            <w:shd w:val="clear" w:color="auto" w:fill="auto"/>
            <w:noWrap/>
            <w:vAlign w:val="center"/>
            <w:hideMark/>
          </w:tcPr>
          <w:p w14:paraId="22BFD3BF"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100,0</w:t>
            </w:r>
          </w:p>
        </w:tc>
        <w:tc>
          <w:tcPr>
            <w:tcW w:w="518" w:type="pct"/>
            <w:tcBorders>
              <w:top w:val="nil"/>
              <w:left w:val="nil"/>
              <w:bottom w:val="nil"/>
              <w:right w:val="single" w:sz="4" w:space="0" w:color="auto"/>
            </w:tcBorders>
            <w:shd w:val="clear" w:color="auto" w:fill="auto"/>
            <w:noWrap/>
            <w:vAlign w:val="center"/>
            <w:hideMark/>
          </w:tcPr>
          <w:p w14:paraId="342B1CB5"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5.498</w:t>
            </w:r>
          </w:p>
        </w:tc>
        <w:tc>
          <w:tcPr>
            <w:tcW w:w="484" w:type="pct"/>
            <w:tcBorders>
              <w:top w:val="nil"/>
              <w:left w:val="nil"/>
              <w:bottom w:val="nil"/>
              <w:right w:val="nil"/>
            </w:tcBorders>
            <w:shd w:val="clear" w:color="auto" w:fill="auto"/>
            <w:noWrap/>
            <w:vAlign w:val="center"/>
            <w:hideMark/>
          </w:tcPr>
          <w:p w14:paraId="74F908D1" w14:textId="77777777" w:rsidR="00E933B3" w:rsidRPr="00CD7D51" w:rsidRDefault="00E933B3" w:rsidP="0065506E">
            <w:pPr>
              <w:jc w:val="center"/>
              <w:rPr>
                <w:rFonts w:ascii="Times New Roman" w:hAnsi="Times New Roman" w:cs="Times New Roman"/>
                <w:b/>
                <w:bCs/>
                <w:sz w:val="18"/>
                <w:szCs w:val="18"/>
              </w:rPr>
            </w:pPr>
            <w:r w:rsidRPr="00CD7D51">
              <w:rPr>
                <w:rFonts w:ascii="Times New Roman" w:hAnsi="Times New Roman" w:cs="Times New Roman"/>
                <w:b/>
                <w:bCs/>
                <w:sz w:val="18"/>
                <w:szCs w:val="18"/>
              </w:rPr>
              <w:t>100,0</w:t>
            </w:r>
          </w:p>
        </w:tc>
      </w:tr>
      <w:tr w:rsidR="00E933B3" w:rsidRPr="00CD7D51" w14:paraId="34AD6A8E" w14:textId="77777777" w:rsidTr="0065506E">
        <w:tc>
          <w:tcPr>
            <w:tcW w:w="1959" w:type="pct"/>
            <w:tcBorders>
              <w:top w:val="nil"/>
              <w:left w:val="nil"/>
              <w:bottom w:val="nil"/>
              <w:right w:val="nil"/>
            </w:tcBorders>
            <w:shd w:val="clear" w:color="auto" w:fill="auto"/>
            <w:noWrap/>
            <w:vAlign w:val="center"/>
            <w:hideMark/>
          </w:tcPr>
          <w:p w14:paraId="38FD735B" w14:textId="77777777" w:rsidR="00E933B3" w:rsidRPr="00CD7D51" w:rsidRDefault="00E933B3" w:rsidP="0065506E">
            <w:pPr>
              <w:rPr>
                <w:rFonts w:ascii="Times New Roman" w:hAnsi="Times New Roman" w:cs="Times New Roman"/>
                <w:sz w:val="18"/>
                <w:szCs w:val="18"/>
              </w:rPr>
            </w:pPr>
          </w:p>
        </w:tc>
        <w:tc>
          <w:tcPr>
            <w:tcW w:w="519" w:type="pct"/>
            <w:tcBorders>
              <w:top w:val="nil"/>
              <w:left w:val="single" w:sz="4" w:space="0" w:color="auto"/>
              <w:bottom w:val="nil"/>
              <w:right w:val="nil"/>
            </w:tcBorders>
            <w:shd w:val="clear" w:color="auto" w:fill="auto"/>
            <w:noWrap/>
            <w:vAlign w:val="center"/>
            <w:hideMark/>
          </w:tcPr>
          <w:p w14:paraId="6E3F2972"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c>
          <w:tcPr>
            <w:tcW w:w="490" w:type="pct"/>
            <w:tcBorders>
              <w:top w:val="nil"/>
              <w:left w:val="single" w:sz="4" w:space="0" w:color="auto"/>
              <w:bottom w:val="nil"/>
              <w:right w:val="single" w:sz="4" w:space="0" w:color="auto"/>
            </w:tcBorders>
            <w:shd w:val="clear" w:color="auto" w:fill="auto"/>
            <w:noWrap/>
            <w:vAlign w:val="center"/>
            <w:hideMark/>
          </w:tcPr>
          <w:p w14:paraId="0825EDE2"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c>
          <w:tcPr>
            <w:tcW w:w="519" w:type="pct"/>
            <w:tcBorders>
              <w:top w:val="nil"/>
              <w:left w:val="nil"/>
              <w:bottom w:val="nil"/>
              <w:right w:val="nil"/>
            </w:tcBorders>
            <w:shd w:val="clear" w:color="auto" w:fill="auto"/>
            <w:noWrap/>
            <w:vAlign w:val="center"/>
            <w:hideMark/>
          </w:tcPr>
          <w:p w14:paraId="3223A722"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c>
          <w:tcPr>
            <w:tcW w:w="510" w:type="pct"/>
            <w:tcBorders>
              <w:top w:val="nil"/>
              <w:left w:val="single" w:sz="4" w:space="0" w:color="auto"/>
              <w:bottom w:val="nil"/>
              <w:right w:val="single" w:sz="4" w:space="0" w:color="auto"/>
            </w:tcBorders>
            <w:shd w:val="clear" w:color="auto" w:fill="auto"/>
            <w:noWrap/>
            <w:vAlign w:val="center"/>
            <w:hideMark/>
          </w:tcPr>
          <w:p w14:paraId="1CCF8764"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c>
          <w:tcPr>
            <w:tcW w:w="518" w:type="pct"/>
            <w:tcBorders>
              <w:top w:val="nil"/>
              <w:left w:val="nil"/>
              <w:bottom w:val="nil"/>
              <w:right w:val="single" w:sz="4" w:space="0" w:color="auto"/>
            </w:tcBorders>
            <w:shd w:val="clear" w:color="auto" w:fill="auto"/>
            <w:noWrap/>
            <w:vAlign w:val="center"/>
            <w:hideMark/>
          </w:tcPr>
          <w:p w14:paraId="6089B81B"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c>
          <w:tcPr>
            <w:tcW w:w="484" w:type="pct"/>
            <w:tcBorders>
              <w:top w:val="nil"/>
              <w:left w:val="nil"/>
              <w:bottom w:val="nil"/>
              <w:right w:val="nil"/>
            </w:tcBorders>
            <w:shd w:val="clear" w:color="auto" w:fill="auto"/>
            <w:noWrap/>
            <w:vAlign w:val="center"/>
            <w:hideMark/>
          </w:tcPr>
          <w:p w14:paraId="1E68C72A" w14:textId="77777777" w:rsidR="00E933B3" w:rsidRPr="00CD7D51" w:rsidRDefault="00E933B3" w:rsidP="0065506E">
            <w:pPr>
              <w:rPr>
                <w:rFonts w:ascii="Times New Roman" w:hAnsi="Times New Roman" w:cs="Times New Roman"/>
                <w:sz w:val="18"/>
                <w:szCs w:val="18"/>
              </w:rPr>
            </w:pPr>
          </w:p>
        </w:tc>
      </w:tr>
      <w:tr w:rsidR="00E933B3" w:rsidRPr="00CD7D51" w14:paraId="2CDD5996" w14:textId="77777777" w:rsidTr="0065506E">
        <w:tc>
          <w:tcPr>
            <w:tcW w:w="1959" w:type="pct"/>
            <w:tcBorders>
              <w:top w:val="nil"/>
              <w:left w:val="nil"/>
              <w:bottom w:val="nil"/>
              <w:right w:val="nil"/>
            </w:tcBorders>
            <w:shd w:val="clear" w:color="auto" w:fill="auto"/>
            <w:noWrap/>
            <w:vAlign w:val="center"/>
            <w:hideMark/>
          </w:tcPr>
          <w:p w14:paraId="7BDD8A52"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Análisis de Escritura y Documentos Dudosos</w:t>
            </w:r>
          </w:p>
        </w:tc>
        <w:tc>
          <w:tcPr>
            <w:tcW w:w="519" w:type="pct"/>
            <w:tcBorders>
              <w:top w:val="nil"/>
              <w:left w:val="single" w:sz="4" w:space="0" w:color="auto"/>
              <w:bottom w:val="nil"/>
              <w:right w:val="nil"/>
            </w:tcBorders>
            <w:shd w:val="clear" w:color="auto" w:fill="auto"/>
            <w:noWrap/>
            <w:vAlign w:val="center"/>
            <w:hideMark/>
          </w:tcPr>
          <w:p w14:paraId="7D106997"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1.471</w:t>
            </w:r>
          </w:p>
        </w:tc>
        <w:tc>
          <w:tcPr>
            <w:tcW w:w="490" w:type="pct"/>
            <w:tcBorders>
              <w:top w:val="nil"/>
              <w:left w:val="single" w:sz="4" w:space="0" w:color="auto"/>
              <w:bottom w:val="nil"/>
              <w:right w:val="single" w:sz="4" w:space="0" w:color="auto"/>
            </w:tcBorders>
            <w:shd w:val="clear" w:color="auto" w:fill="auto"/>
            <w:noWrap/>
            <w:vAlign w:val="center"/>
            <w:hideMark/>
          </w:tcPr>
          <w:p w14:paraId="79AFC528"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3,4</w:t>
            </w:r>
          </w:p>
        </w:tc>
        <w:tc>
          <w:tcPr>
            <w:tcW w:w="519" w:type="pct"/>
            <w:tcBorders>
              <w:top w:val="nil"/>
              <w:left w:val="nil"/>
              <w:bottom w:val="nil"/>
              <w:right w:val="nil"/>
            </w:tcBorders>
            <w:shd w:val="clear" w:color="auto" w:fill="auto"/>
            <w:noWrap/>
            <w:vAlign w:val="center"/>
            <w:hideMark/>
          </w:tcPr>
          <w:p w14:paraId="672B80BF"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1.626</w:t>
            </w:r>
          </w:p>
        </w:tc>
        <w:tc>
          <w:tcPr>
            <w:tcW w:w="510" w:type="pct"/>
            <w:tcBorders>
              <w:top w:val="nil"/>
              <w:left w:val="single" w:sz="4" w:space="0" w:color="auto"/>
              <w:bottom w:val="nil"/>
              <w:right w:val="single" w:sz="4" w:space="0" w:color="auto"/>
            </w:tcBorders>
            <w:shd w:val="clear" w:color="auto" w:fill="auto"/>
            <w:noWrap/>
            <w:vAlign w:val="center"/>
            <w:hideMark/>
          </w:tcPr>
          <w:p w14:paraId="0AF70AEA"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3,8</w:t>
            </w:r>
          </w:p>
        </w:tc>
        <w:tc>
          <w:tcPr>
            <w:tcW w:w="518" w:type="pct"/>
            <w:tcBorders>
              <w:top w:val="nil"/>
              <w:left w:val="nil"/>
              <w:bottom w:val="nil"/>
              <w:right w:val="single" w:sz="4" w:space="0" w:color="auto"/>
            </w:tcBorders>
            <w:shd w:val="clear" w:color="auto" w:fill="auto"/>
            <w:noWrap/>
            <w:vAlign w:val="center"/>
            <w:hideMark/>
          </w:tcPr>
          <w:p w14:paraId="426A5939"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241</w:t>
            </w:r>
          </w:p>
        </w:tc>
        <w:tc>
          <w:tcPr>
            <w:tcW w:w="484" w:type="pct"/>
            <w:tcBorders>
              <w:top w:val="nil"/>
              <w:left w:val="nil"/>
              <w:bottom w:val="nil"/>
              <w:right w:val="nil"/>
            </w:tcBorders>
            <w:shd w:val="clear" w:color="auto" w:fill="auto"/>
            <w:noWrap/>
            <w:vAlign w:val="center"/>
            <w:hideMark/>
          </w:tcPr>
          <w:p w14:paraId="04EDAB9D"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4,4</w:t>
            </w:r>
          </w:p>
        </w:tc>
      </w:tr>
      <w:tr w:rsidR="00E933B3" w:rsidRPr="00CD7D51" w14:paraId="7CAE7D9B" w14:textId="77777777" w:rsidTr="0065506E">
        <w:tc>
          <w:tcPr>
            <w:tcW w:w="1959" w:type="pct"/>
            <w:tcBorders>
              <w:top w:val="nil"/>
              <w:left w:val="nil"/>
              <w:bottom w:val="nil"/>
              <w:right w:val="nil"/>
            </w:tcBorders>
            <w:shd w:val="clear" w:color="auto" w:fill="auto"/>
            <w:noWrap/>
            <w:vAlign w:val="center"/>
            <w:hideMark/>
          </w:tcPr>
          <w:p w14:paraId="42C2A822"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Biología Forense</w:t>
            </w:r>
          </w:p>
        </w:tc>
        <w:tc>
          <w:tcPr>
            <w:tcW w:w="519" w:type="pct"/>
            <w:tcBorders>
              <w:top w:val="nil"/>
              <w:left w:val="single" w:sz="4" w:space="0" w:color="auto"/>
              <w:bottom w:val="nil"/>
              <w:right w:val="nil"/>
            </w:tcBorders>
            <w:shd w:val="clear" w:color="auto" w:fill="auto"/>
            <w:noWrap/>
            <w:vAlign w:val="center"/>
            <w:hideMark/>
          </w:tcPr>
          <w:p w14:paraId="40B8F59F"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4.984</w:t>
            </w:r>
          </w:p>
        </w:tc>
        <w:tc>
          <w:tcPr>
            <w:tcW w:w="490" w:type="pct"/>
            <w:tcBorders>
              <w:top w:val="nil"/>
              <w:left w:val="single" w:sz="4" w:space="0" w:color="auto"/>
              <w:bottom w:val="nil"/>
              <w:right w:val="single" w:sz="4" w:space="0" w:color="auto"/>
            </w:tcBorders>
            <w:shd w:val="clear" w:color="auto" w:fill="auto"/>
            <w:noWrap/>
            <w:vAlign w:val="center"/>
            <w:hideMark/>
          </w:tcPr>
          <w:p w14:paraId="12B3A35D"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11,4</w:t>
            </w:r>
          </w:p>
        </w:tc>
        <w:tc>
          <w:tcPr>
            <w:tcW w:w="519" w:type="pct"/>
            <w:tcBorders>
              <w:top w:val="nil"/>
              <w:left w:val="nil"/>
              <w:bottom w:val="nil"/>
              <w:right w:val="nil"/>
            </w:tcBorders>
            <w:shd w:val="clear" w:color="auto" w:fill="auto"/>
            <w:noWrap/>
            <w:vAlign w:val="center"/>
            <w:hideMark/>
          </w:tcPr>
          <w:p w14:paraId="108EEF05"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4.750</w:t>
            </w:r>
          </w:p>
        </w:tc>
        <w:tc>
          <w:tcPr>
            <w:tcW w:w="510" w:type="pct"/>
            <w:tcBorders>
              <w:top w:val="nil"/>
              <w:left w:val="single" w:sz="4" w:space="0" w:color="auto"/>
              <w:bottom w:val="nil"/>
              <w:right w:val="single" w:sz="4" w:space="0" w:color="auto"/>
            </w:tcBorders>
            <w:shd w:val="clear" w:color="auto" w:fill="auto"/>
            <w:noWrap/>
            <w:vAlign w:val="center"/>
            <w:hideMark/>
          </w:tcPr>
          <w:p w14:paraId="56744A30"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11,0</w:t>
            </w:r>
          </w:p>
        </w:tc>
        <w:tc>
          <w:tcPr>
            <w:tcW w:w="518" w:type="pct"/>
            <w:tcBorders>
              <w:top w:val="nil"/>
              <w:left w:val="nil"/>
              <w:bottom w:val="nil"/>
              <w:right w:val="single" w:sz="4" w:space="0" w:color="auto"/>
            </w:tcBorders>
            <w:shd w:val="clear" w:color="auto" w:fill="auto"/>
            <w:noWrap/>
            <w:vAlign w:val="center"/>
            <w:hideMark/>
          </w:tcPr>
          <w:p w14:paraId="464EF631"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886</w:t>
            </w:r>
          </w:p>
        </w:tc>
        <w:tc>
          <w:tcPr>
            <w:tcW w:w="484" w:type="pct"/>
            <w:tcBorders>
              <w:top w:val="nil"/>
              <w:left w:val="nil"/>
              <w:bottom w:val="nil"/>
              <w:right w:val="nil"/>
            </w:tcBorders>
            <w:shd w:val="clear" w:color="auto" w:fill="auto"/>
            <w:noWrap/>
            <w:vAlign w:val="center"/>
            <w:hideMark/>
          </w:tcPr>
          <w:p w14:paraId="5E479F13"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16,1</w:t>
            </w:r>
          </w:p>
        </w:tc>
      </w:tr>
      <w:tr w:rsidR="00E933B3" w:rsidRPr="00CD7D51" w14:paraId="755821D7" w14:textId="77777777" w:rsidTr="0065506E">
        <w:tc>
          <w:tcPr>
            <w:tcW w:w="1959" w:type="pct"/>
            <w:tcBorders>
              <w:top w:val="nil"/>
              <w:left w:val="nil"/>
              <w:bottom w:val="nil"/>
              <w:right w:val="nil"/>
            </w:tcBorders>
            <w:shd w:val="clear" w:color="auto" w:fill="auto"/>
            <w:noWrap/>
            <w:vAlign w:val="center"/>
            <w:hideMark/>
          </w:tcPr>
          <w:p w14:paraId="4D159E1E"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Bioquímica</w:t>
            </w:r>
          </w:p>
        </w:tc>
        <w:tc>
          <w:tcPr>
            <w:tcW w:w="519" w:type="pct"/>
            <w:tcBorders>
              <w:top w:val="nil"/>
              <w:left w:val="single" w:sz="4" w:space="0" w:color="auto"/>
              <w:bottom w:val="nil"/>
              <w:right w:val="nil"/>
            </w:tcBorders>
            <w:shd w:val="clear" w:color="auto" w:fill="auto"/>
            <w:noWrap/>
            <w:vAlign w:val="center"/>
            <w:hideMark/>
          </w:tcPr>
          <w:p w14:paraId="515FB3A6"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12.717</w:t>
            </w:r>
          </w:p>
        </w:tc>
        <w:tc>
          <w:tcPr>
            <w:tcW w:w="490" w:type="pct"/>
            <w:tcBorders>
              <w:top w:val="nil"/>
              <w:left w:val="single" w:sz="4" w:space="0" w:color="auto"/>
              <w:bottom w:val="nil"/>
              <w:right w:val="single" w:sz="4" w:space="0" w:color="auto"/>
            </w:tcBorders>
            <w:shd w:val="clear" w:color="auto" w:fill="auto"/>
            <w:noWrap/>
            <w:vAlign w:val="center"/>
            <w:hideMark/>
          </w:tcPr>
          <w:p w14:paraId="5F7BBD78"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29,2</w:t>
            </w:r>
          </w:p>
        </w:tc>
        <w:tc>
          <w:tcPr>
            <w:tcW w:w="519" w:type="pct"/>
            <w:tcBorders>
              <w:top w:val="nil"/>
              <w:left w:val="nil"/>
              <w:bottom w:val="nil"/>
              <w:right w:val="nil"/>
            </w:tcBorders>
            <w:shd w:val="clear" w:color="auto" w:fill="auto"/>
            <w:noWrap/>
            <w:vAlign w:val="center"/>
            <w:hideMark/>
          </w:tcPr>
          <w:p w14:paraId="2920A074"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12.640</w:t>
            </w:r>
          </w:p>
        </w:tc>
        <w:tc>
          <w:tcPr>
            <w:tcW w:w="510" w:type="pct"/>
            <w:tcBorders>
              <w:top w:val="nil"/>
              <w:left w:val="single" w:sz="4" w:space="0" w:color="auto"/>
              <w:bottom w:val="nil"/>
              <w:right w:val="single" w:sz="4" w:space="0" w:color="auto"/>
            </w:tcBorders>
            <w:shd w:val="clear" w:color="auto" w:fill="auto"/>
            <w:noWrap/>
            <w:vAlign w:val="center"/>
            <w:hideMark/>
          </w:tcPr>
          <w:p w14:paraId="63B83F48"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29,3</w:t>
            </w:r>
          </w:p>
        </w:tc>
        <w:tc>
          <w:tcPr>
            <w:tcW w:w="518" w:type="pct"/>
            <w:tcBorders>
              <w:top w:val="nil"/>
              <w:left w:val="nil"/>
              <w:bottom w:val="nil"/>
              <w:right w:val="single" w:sz="4" w:space="0" w:color="auto"/>
            </w:tcBorders>
            <w:shd w:val="clear" w:color="auto" w:fill="auto"/>
            <w:noWrap/>
            <w:vAlign w:val="center"/>
            <w:hideMark/>
          </w:tcPr>
          <w:p w14:paraId="2E608F63"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1.550</w:t>
            </w:r>
          </w:p>
        </w:tc>
        <w:tc>
          <w:tcPr>
            <w:tcW w:w="484" w:type="pct"/>
            <w:tcBorders>
              <w:top w:val="nil"/>
              <w:left w:val="nil"/>
              <w:bottom w:val="nil"/>
              <w:right w:val="nil"/>
            </w:tcBorders>
            <w:shd w:val="clear" w:color="auto" w:fill="auto"/>
            <w:noWrap/>
            <w:vAlign w:val="center"/>
            <w:hideMark/>
          </w:tcPr>
          <w:p w14:paraId="4969A7D3"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28,2</w:t>
            </w:r>
          </w:p>
        </w:tc>
      </w:tr>
      <w:tr w:rsidR="00E933B3" w:rsidRPr="00CD7D51" w14:paraId="11D99624" w14:textId="77777777" w:rsidTr="0065506E">
        <w:tc>
          <w:tcPr>
            <w:tcW w:w="1959" w:type="pct"/>
            <w:tcBorders>
              <w:top w:val="nil"/>
              <w:left w:val="nil"/>
              <w:bottom w:val="nil"/>
              <w:right w:val="nil"/>
            </w:tcBorders>
            <w:shd w:val="clear" w:color="auto" w:fill="auto"/>
            <w:noWrap/>
            <w:vAlign w:val="center"/>
            <w:hideMark/>
          </w:tcPr>
          <w:p w14:paraId="51172D4A"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Imagen y Sonido Forense</w:t>
            </w:r>
          </w:p>
        </w:tc>
        <w:tc>
          <w:tcPr>
            <w:tcW w:w="519" w:type="pct"/>
            <w:tcBorders>
              <w:top w:val="nil"/>
              <w:left w:val="single" w:sz="4" w:space="0" w:color="auto"/>
              <w:bottom w:val="nil"/>
              <w:right w:val="nil"/>
            </w:tcBorders>
            <w:shd w:val="clear" w:color="auto" w:fill="auto"/>
            <w:noWrap/>
            <w:vAlign w:val="center"/>
            <w:hideMark/>
          </w:tcPr>
          <w:p w14:paraId="01315737"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3.453</w:t>
            </w:r>
          </w:p>
        </w:tc>
        <w:tc>
          <w:tcPr>
            <w:tcW w:w="490" w:type="pct"/>
            <w:tcBorders>
              <w:top w:val="nil"/>
              <w:left w:val="single" w:sz="4" w:space="0" w:color="auto"/>
              <w:bottom w:val="nil"/>
              <w:right w:val="single" w:sz="4" w:space="0" w:color="auto"/>
            </w:tcBorders>
            <w:shd w:val="clear" w:color="auto" w:fill="auto"/>
            <w:noWrap/>
            <w:vAlign w:val="center"/>
            <w:hideMark/>
          </w:tcPr>
          <w:p w14:paraId="5CEB7899"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7,9</w:t>
            </w:r>
          </w:p>
        </w:tc>
        <w:tc>
          <w:tcPr>
            <w:tcW w:w="519" w:type="pct"/>
            <w:tcBorders>
              <w:top w:val="nil"/>
              <w:left w:val="nil"/>
              <w:bottom w:val="nil"/>
              <w:right w:val="nil"/>
            </w:tcBorders>
            <w:shd w:val="clear" w:color="auto" w:fill="auto"/>
            <w:noWrap/>
            <w:vAlign w:val="center"/>
            <w:hideMark/>
          </w:tcPr>
          <w:p w14:paraId="507E7873"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3.464</w:t>
            </w:r>
          </w:p>
        </w:tc>
        <w:tc>
          <w:tcPr>
            <w:tcW w:w="510" w:type="pct"/>
            <w:tcBorders>
              <w:top w:val="nil"/>
              <w:left w:val="single" w:sz="4" w:space="0" w:color="auto"/>
              <w:bottom w:val="nil"/>
              <w:right w:val="single" w:sz="4" w:space="0" w:color="auto"/>
            </w:tcBorders>
            <w:shd w:val="clear" w:color="auto" w:fill="auto"/>
            <w:noWrap/>
            <w:vAlign w:val="center"/>
            <w:hideMark/>
          </w:tcPr>
          <w:p w14:paraId="1EDFA42E"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8,0</w:t>
            </w:r>
          </w:p>
        </w:tc>
        <w:tc>
          <w:tcPr>
            <w:tcW w:w="518" w:type="pct"/>
            <w:tcBorders>
              <w:top w:val="nil"/>
              <w:left w:val="nil"/>
              <w:bottom w:val="nil"/>
              <w:right w:val="single" w:sz="4" w:space="0" w:color="auto"/>
            </w:tcBorders>
            <w:shd w:val="clear" w:color="auto" w:fill="auto"/>
            <w:noWrap/>
            <w:vAlign w:val="center"/>
            <w:hideMark/>
          </w:tcPr>
          <w:p w14:paraId="04AA285F"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38</w:t>
            </w:r>
          </w:p>
        </w:tc>
        <w:tc>
          <w:tcPr>
            <w:tcW w:w="484" w:type="pct"/>
            <w:tcBorders>
              <w:top w:val="nil"/>
              <w:left w:val="nil"/>
              <w:bottom w:val="nil"/>
              <w:right w:val="nil"/>
            </w:tcBorders>
            <w:shd w:val="clear" w:color="auto" w:fill="auto"/>
            <w:noWrap/>
            <w:vAlign w:val="center"/>
            <w:hideMark/>
          </w:tcPr>
          <w:p w14:paraId="0EDB65B5"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0,7</w:t>
            </w:r>
          </w:p>
        </w:tc>
      </w:tr>
      <w:tr w:rsidR="00E933B3" w:rsidRPr="00CD7D51" w14:paraId="123EDF9F" w14:textId="77777777" w:rsidTr="0065506E">
        <w:tc>
          <w:tcPr>
            <w:tcW w:w="1959" w:type="pct"/>
            <w:tcBorders>
              <w:top w:val="nil"/>
              <w:left w:val="nil"/>
              <w:bottom w:val="nil"/>
              <w:right w:val="nil"/>
            </w:tcBorders>
            <w:shd w:val="clear" w:color="auto" w:fill="auto"/>
            <w:noWrap/>
            <w:vAlign w:val="center"/>
            <w:hideMark/>
          </w:tcPr>
          <w:p w14:paraId="63619E32"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Pericias Físicas</w:t>
            </w:r>
          </w:p>
        </w:tc>
        <w:tc>
          <w:tcPr>
            <w:tcW w:w="519" w:type="pct"/>
            <w:tcBorders>
              <w:top w:val="nil"/>
              <w:left w:val="single" w:sz="4" w:space="0" w:color="auto"/>
              <w:bottom w:val="nil"/>
              <w:right w:val="nil"/>
            </w:tcBorders>
            <w:shd w:val="clear" w:color="auto" w:fill="auto"/>
            <w:noWrap/>
            <w:vAlign w:val="center"/>
            <w:hideMark/>
          </w:tcPr>
          <w:p w14:paraId="32FECA11"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6.244</w:t>
            </w:r>
          </w:p>
        </w:tc>
        <w:tc>
          <w:tcPr>
            <w:tcW w:w="490" w:type="pct"/>
            <w:tcBorders>
              <w:top w:val="nil"/>
              <w:left w:val="single" w:sz="4" w:space="0" w:color="auto"/>
              <w:bottom w:val="nil"/>
              <w:right w:val="single" w:sz="4" w:space="0" w:color="auto"/>
            </w:tcBorders>
            <w:shd w:val="clear" w:color="auto" w:fill="auto"/>
            <w:noWrap/>
            <w:vAlign w:val="center"/>
            <w:hideMark/>
          </w:tcPr>
          <w:p w14:paraId="739AC936"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14,3</w:t>
            </w:r>
          </w:p>
        </w:tc>
        <w:tc>
          <w:tcPr>
            <w:tcW w:w="519" w:type="pct"/>
            <w:tcBorders>
              <w:top w:val="nil"/>
              <w:left w:val="nil"/>
              <w:bottom w:val="nil"/>
              <w:right w:val="nil"/>
            </w:tcBorders>
            <w:shd w:val="clear" w:color="auto" w:fill="auto"/>
            <w:noWrap/>
            <w:vAlign w:val="center"/>
            <w:hideMark/>
          </w:tcPr>
          <w:p w14:paraId="1426110F"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6.120</w:t>
            </w:r>
          </w:p>
        </w:tc>
        <w:tc>
          <w:tcPr>
            <w:tcW w:w="510" w:type="pct"/>
            <w:tcBorders>
              <w:top w:val="nil"/>
              <w:left w:val="single" w:sz="4" w:space="0" w:color="auto"/>
              <w:bottom w:val="nil"/>
              <w:right w:val="single" w:sz="4" w:space="0" w:color="auto"/>
            </w:tcBorders>
            <w:shd w:val="clear" w:color="auto" w:fill="auto"/>
            <w:noWrap/>
            <w:vAlign w:val="center"/>
            <w:hideMark/>
          </w:tcPr>
          <w:p w14:paraId="13692A6B"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14,2</w:t>
            </w:r>
          </w:p>
        </w:tc>
        <w:tc>
          <w:tcPr>
            <w:tcW w:w="518" w:type="pct"/>
            <w:tcBorders>
              <w:top w:val="nil"/>
              <w:left w:val="nil"/>
              <w:bottom w:val="nil"/>
              <w:right w:val="single" w:sz="4" w:space="0" w:color="auto"/>
            </w:tcBorders>
            <w:shd w:val="clear" w:color="auto" w:fill="auto"/>
            <w:noWrap/>
            <w:vAlign w:val="center"/>
            <w:hideMark/>
          </w:tcPr>
          <w:p w14:paraId="448D06AA"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791</w:t>
            </w:r>
          </w:p>
        </w:tc>
        <w:tc>
          <w:tcPr>
            <w:tcW w:w="484" w:type="pct"/>
            <w:tcBorders>
              <w:top w:val="nil"/>
              <w:left w:val="nil"/>
              <w:bottom w:val="nil"/>
              <w:right w:val="nil"/>
            </w:tcBorders>
            <w:shd w:val="clear" w:color="auto" w:fill="auto"/>
            <w:noWrap/>
            <w:vAlign w:val="center"/>
            <w:hideMark/>
          </w:tcPr>
          <w:p w14:paraId="71457FA5"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14,4</w:t>
            </w:r>
          </w:p>
        </w:tc>
      </w:tr>
      <w:tr w:rsidR="00E933B3" w:rsidRPr="00CD7D51" w14:paraId="6BA07EEA" w14:textId="77777777" w:rsidTr="0065506E">
        <w:tc>
          <w:tcPr>
            <w:tcW w:w="1959" w:type="pct"/>
            <w:tcBorders>
              <w:top w:val="nil"/>
              <w:left w:val="nil"/>
              <w:bottom w:val="nil"/>
              <w:right w:val="nil"/>
            </w:tcBorders>
            <w:shd w:val="clear" w:color="auto" w:fill="auto"/>
            <w:noWrap/>
            <w:vAlign w:val="center"/>
            <w:hideMark/>
          </w:tcPr>
          <w:p w14:paraId="111581D9"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xml:space="preserve">Química Analítica </w:t>
            </w:r>
          </w:p>
        </w:tc>
        <w:tc>
          <w:tcPr>
            <w:tcW w:w="519" w:type="pct"/>
            <w:tcBorders>
              <w:top w:val="nil"/>
              <w:left w:val="single" w:sz="4" w:space="0" w:color="auto"/>
              <w:bottom w:val="nil"/>
              <w:right w:val="nil"/>
            </w:tcBorders>
            <w:shd w:val="clear" w:color="auto" w:fill="auto"/>
            <w:noWrap/>
            <w:vAlign w:val="center"/>
            <w:hideMark/>
          </w:tcPr>
          <w:p w14:paraId="01232652"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7.231</w:t>
            </w:r>
          </w:p>
        </w:tc>
        <w:tc>
          <w:tcPr>
            <w:tcW w:w="490" w:type="pct"/>
            <w:tcBorders>
              <w:top w:val="nil"/>
              <w:left w:val="single" w:sz="4" w:space="0" w:color="auto"/>
              <w:bottom w:val="nil"/>
              <w:right w:val="single" w:sz="4" w:space="0" w:color="auto"/>
            </w:tcBorders>
            <w:shd w:val="clear" w:color="auto" w:fill="auto"/>
            <w:noWrap/>
            <w:vAlign w:val="center"/>
            <w:hideMark/>
          </w:tcPr>
          <w:p w14:paraId="3C81CC04"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16,6</w:t>
            </w:r>
          </w:p>
        </w:tc>
        <w:tc>
          <w:tcPr>
            <w:tcW w:w="519" w:type="pct"/>
            <w:tcBorders>
              <w:top w:val="nil"/>
              <w:left w:val="nil"/>
              <w:bottom w:val="nil"/>
              <w:right w:val="nil"/>
            </w:tcBorders>
            <w:shd w:val="clear" w:color="auto" w:fill="auto"/>
            <w:noWrap/>
            <w:vAlign w:val="center"/>
            <w:hideMark/>
          </w:tcPr>
          <w:p w14:paraId="5A7C8015"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6.901</w:t>
            </w:r>
          </w:p>
        </w:tc>
        <w:tc>
          <w:tcPr>
            <w:tcW w:w="510" w:type="pct"/>
            <w:tcBorders>
              <w:top w:val="nil"/>
              <w:left w:val="single" w:sz="4" w:space="0" w:color="auto"/>
              <w:bottom w:val="nil"/>
              <w:right w:val="single" w:sz="4" w:space="0" w:color="auto"/>
            </w:tcBorders>
            <w:shd w:val="clear" w:color="auto" w:fill="auto"/>
            <w:noWrap/>
            <w:vAlign w:val="center"/>
            <w:hideMark/>
          </w:tcPr>
          <w:p w14:paraId="754A87A2"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16,0</w:t>
            </w:r>
          </w:p>
        </w:tc>
        <w:tc>
          <w:tcPr>
            <w:tcW w:w="518" w:type="pct"/>
            <w:tcBorders>
              <w:top w:val="nil"/>
              <w:left w:val="nil"/>
              <w:bottom w:val="nil"/>
              <w:right w:val="single" w:sz="4" w:space="0" w:color="auto"/>
            </w:tcBorders>
            <w:shd w:val="clear" w:color="auto" w:fill="auto"/>
            <w:noWrap/>
            <w:vAlign w:val="center"/>
            <w:hideMark/>
          </w:tcPr>
          <w:p w14:paraId="4742422B"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934</w:t>
            </w:r>
          </w:p>
        </w:tc>
        <w:tc>
          <w:tcPr>
            <w:tcW w:w="484" w:type="pct"/>
            <w:tcBorders>
              <w:top w:val="nil"/>
              <w:left w:val="nil"/>
              <w:bottom w:val="nil"/>
              <w:right w:val="nil"/>
            </w:tcBorders>
            <w:shd w:val="clear" w:color="auto" w:fill="auto"/>
            <w:noWrap/>
            <w:vAlign w:val="center"/>
            <w:hideMark/>
          </w:tcPr>
          <w:p w14:paraId="53F15040"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17,0</w:t>
            </w:r>
          </w:p>
        </w:tc>
      </w:tr>
      <w:tr w:rsidR="00E933B3" w:rsidRPr="00CD7D51" w14:paraId="70C1641B" w14:textId="77777777" w:rsidTr="0065506E">
        <w:tc>
          <w:tcPr>
            <w:tcW w:w="1959" w:type="pct"/>
            <w:tcBorders>
              <w:top w:val="nil"/>
              <w:left w:val="nil"/>
              <w:bottom w:val="nil"/>
              <w:right w:val="nil"/>
            </w:tcBorders>
            <w:shd w:val="clear" w:color="auto" w:fill="auto"/>
            <w:noWrap/>
            <w:vAlign w:val="center"/>
            <w:hideMark/>
          </w:tcPr>
          <w:p w14:paraId="0731C4C8"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Toxicología</w:t>
            </w:r>
          </w:p>
        </w:tc>
        <w:tc>
          <w:tcPr>
            <w:tcW w:w="519" w:type="pct"/>
            <w:tcBorders>
              <w:top w:val="nil"/>
              <w:left w:val="single" w:sz="4" w:space="0" w:color="auto"/>
              <w:bottom w:val="nil"/>
              <w:right w:val="nil"/>
            </w:tcBorders>
            <w:shd w:val="clear" w:color="auto" w:fill="auto"/>
            <w:noWrap/>
            <w:vAlign w:val="center"/>
            <w:hideMark/>
          </w:tcPr>
          <w:p w14:paraId="1B56E42E"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5.528</w:t>
            </w:r>
          </w:p>
        </w:tc>
        <w:tc>
          <w:tcPr>
            <w:tcW w:w="490" w:type="pct"/>
            <w:tcBorders>
              <w:top w:val="nil"/>
              <w:left w:val="single" w:sz="4" w:space="0" w:color="auto"/>
              <w:bottom w:val="nil"/>
              <w:right w:val="single" w:sz="4" w:space="0" w:color="auto"/>
            </w:tcBorders>
            <w:shd w:val="clear" w:color="auto" w:fill="auto"/>
            <w:noWrap/>
            <w:vAlign w:val="center"/>
            <w:hideMark/>
          </w:tcPr>
          <w:p w14:paraId="6F7C830A"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12,7</w:t>
            </w:r>
          </w:p>
        </w:tc>
        <w:tc>
          <w:tcPr>
            <w:tcW w:w="519" w:type="pct"/>
            <w:tcBorders>
              <w:top w:val="nil"/>
              <w:left w:val="nil"/>
              <w:bottom w:val="nil"/>
              <w:right w:val="nil"/>
            </w:tcBorders>
            <w:shd w:val="clear" w:color="auto" w:fill="auto"/>
            <w:noWrap/>
            <w:vAlign w:val="center"/>
            <w:hideMark/>
          </w:tcPr>
          <w:p w14:paraId="16BBF7AB"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5.723</w:t>
            </w:r>
          </w:p>
        </w:tc>
        <w:tc>
          <w:tcPr>
            <w:tcW w:w="510" w:type="pct"/>
            <w:tcBorders>
              <w:top w:val="nil"/>
              <w:left w:val="single" w:sz="4" w:space="0" w:color="auto"/>
              <w:bottom w:val="nil"/>
              <w:right w:val="single" w:sz="4" w:space="0" w:color="auto"/>
            </w:tcBorders>
            <w:shd w:val="clear" w:color="auto" w:fill="auto"/>
            <w:noWrap/>
            <w:vAlign w:val="center"/>
            <w:hideMark/>
          </w:tcPr>
          <w:p w14:paraId="4419174A"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13,3</w:t>
            </w:r>
          </w:p>
        </w:tc>
        <w:tc>
          <w:tcPr>
            <w:tcW w:w="518" w:type="pct"/>
            <w:tcBorders>
              <w:top w:val="nil"/>
              <w:left w:val="nil"/>
              <w:bottom w:val="nil"/>
              <w:right w:val="single" w:sz="4" w:space="0" w:color="auto"/>
            </w:tcBorders>
            <w:shd w:val="clear" w:color="auto" w:fill="auto"/>
            <w:noWrap/>
            <w:vAlign w:val="center"/>
            <w:hideMark/>
          </w:tcPr>
          <w:p w14:paraId="119F4641"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752</w:t>
            </w:r>
          </w:p>
        </w:tc>
        <w:tc>
          <w:tcPr>
            <w:tcW w:w="484" w:type="pct"/>
            <w:tcBorders>
              <w:top w:val="nil"/>
              <w:left w:val="nil"/>
              <w:bottom w:val="nil"/>
              <w:right w:val="nil"/>
            </w:tcBorders>
            <w:shd w:val="clear" w:color="auto" w:fill="auto"/>
            <w:noWrap/>
            <w:vAlign w:val="center"/>
            <w:hideMark/>
          </w:tcPr>
          <w:p w14:paraId="2656F352"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13,7</w:t>
            </w:r>
          </w:p>
        </w:tc>
      </w:tr>
      <w:tr w:rsidR="00E933B3" w:rsidRPr="00CD7D51" w14:paraId="516EA3A0" w14:textId="77777777" w:rsidTr="0065506E">
        <w:tc>
          <w:tcPr>
            <w:tcW w:w="1959" w:type="pct"/>
            <w:tcBorders>
              <w:top w:val="nil"/>
              <w:left w:val="nil"/>
              <w:bottom w:val="nil"/>
              <w:right w:val="nil"/>
            </w:tcBorders>
            <w:shd w:val="clear" w:color="auto" w:fill="auto"/>
            <w:noWrap/>
            <w:vAlign w:val="center"/>
            <w:hideMark/>
          </w:tcPr>
          <w:p w14:paraId="462A5F69"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Ingeniería Forense</w:t>
            </w:r>
          </w:p>
        </w:tc>
        <w:tc>
          <w:tcPr>
            <w:tcW w:w="519" w:type="pct"/>
            <w:tcBorders>
              <w:top w:val="nil"/>
              <w:left w:val="single" w:sz="4" w:space="0" w:color="auto"/>
              <w:bottom w:val="nil"/>
              <w:right w:val="nil"/>
            </w:tcBorders>
            <w:shd w:val="clear" w:color="auto" w:fill="auto"/>
            <w:noWrap/>
            <w:vAlign w:val="center"/>
            <w:hideMark/>
          </w:tcPr>
          <w:p w14:paraId="629B25DF"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1.934</w:t>
            </w:r>
          </w:p>
        </w:tc>
        <w:tc>
          <w:tcPr>
            <w:tcW w:w="490" w:type="pct"/>
            <w:tcBorders>
              <w:top w:val="nil"/>
              <w:left w:val="single" w:sz="4" w:space="0" w:color="auto"/>
              <w:bottom w:val="nil"/>
              <w:right w:val="single" w:sz="4" w:space="0" w:color="auto"/>
            </w:tcBorders>
            <w:shd w:val="clear" w:color="auto" w:fill="auto"/>
            <w:noWrap/>
            <w:vAlign w:val="center"/>
            <w:hideMark/>
          </w:tcPr>
          <w:p w14:paraId="7508B6F9"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4,4</w:t>
            </w:r>
          </w:p>
        </w:tc>
        <w:tc>
          <w:tcPr>
            <w:tcW w:w="519" w:type="pct"/>
            <w:tcBorders>
              <w:top w:val="nil"/>
              <w:left w:val="nil"/>
              <w:bottom w:val="nil"/>
              <w:right w:val="nil"/>
            </w:tcBorders>
            <w:shd w:val="clear" w:color="auto" w:fill="auto"/>
            <w:noWrap/>
            <w:vAlign w:val="center"/>
            <w:hideMark/>
          </w:tcPr>
          <w:p w14:paraId="6A605BED"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1.923</w:t>
            </w:r>
          </w:p>
        </w:tc>
        <w:tc>
          <w:tcPr>
            <w:tcW w:w="510" w:type="pct"/>
            <w:tcBorders>
              <w:top w:val="nil"/>
              <w:left w:val="single" w:sz="4" w:space="0" w:color="auto"/>
              <w:bottom w:val="nil"/>
              <w:right w:val="single" w:sz="4" w:space="0" w:color="auto"/>
            </w:tcBorders>
            <w:shd w:val="clear" w:color="auto" w:fill="auto"/>
            <w:noWrap/>
            <w:vAlign w:val="center"/>
            <w:hideMark/>
          </w:tcPr>
          <w:p w14:paraId="0DB37B7A"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4,5</w:t>
            </w:r>
          </w:p>
        </w:tc>
        <w:tc>
          <w:tcPr>
            <w:tcW w:w="518" w:type="pct"/>
            <w:tcBorders>
              <w:top w:val="nil"/>
              <w:left w:val="nil"/>
              <w:bottom w:val="nil"/>
              <w:right w:val="single" w:sz="4" w:space="0" w:color="auto"/>
            </w:tcBorders>
            <w:shd w:val="clear" w:color="auto" w:fill="auto"/>
            <w:noWrap/>
            <w:vAlign w:val="center"/>
            <w:hideMark/>
          </w:tcPr>
          <w:p w14:paraId="3994ABC5"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306</w:t>
            </w:r>
          </w:p>
        </w:tc>
        <w:tc>
          <w:tcPr>
            <w:tcW w:w="484" w:type="pct"/>
            <w:tcBorders>
              <w:top w:val="nil"/>
              <w:left w:val="nil"/>
              <w:bottom w:val="nil"/>
              <w:right w:val="nil"/>
            </w:tcBorders>
            <w:shd w:val="clear" w:color="auto" w:fill="auto"/>
            <w:noWrap/>
            <w:vAlign w:val="center"/>
            <w:hideMark/>
          </w:tcPr>
          <w:p w14:paraId="178E841A" w14:textId="77777777" w:rsidR="00E933B3" w:rsidRPr="00CD7D51" w:rsidRDefault="00E933B3" w:rsidP="0065506E">
            <w:pPr>
              <w:jc w:val="center"/>
              <w:rPr>
                <w:rFonts w:ascii="Times New Roman" w:hAnsi="Times New Roman" w:cs="Times New Roman"/>
                <w:sz w:val="18"/>
                <w:szCs w:val="18"/>
              </w:rPr>
            </w:pPr>
            <w:r w:rsidRPr="00CD7D51">
              <w:rPr>
                <w:rFonts w:ascii="Times New Roman" w:hAnsi="Times New Roman" w:cs="Times New Roman"/>
                <w:sz w:val="18"/>
                <w:szCs w:val="18"/>
              </w:rPr>
              <w:t>5,6</w:t>
            </w:r>
          </w:p>
        </w:tc>
      </w:tr>
      <w:tr w:rsidR="00E933B3" w:rsidRPr="00CD7D51" w14:paraId="53788196" w14:textId="77777777" w:rsidTr="0065506E">
        <w:tc>
          <w:tcPr>
            <w:tcW w:w="1959" w:type="pct"/>
            <w:tcBorders>
              <w:top w:val="nil"/>
              <w:left w:val="nil"/>
              <w:bottom w:val="single" w:sz="4" w:space="0" w:color="auto"/>
              <w:right w:val="single" w:sz="4" w:space="0" w:color="auto"/>
            </w:tcBorders>
            <w:shd w:val="clear" w:color="auto" w:fill="auto"/>
            <w:noWrap/>
            <w:vAlign w:val="center"/>
            <w:hideMark/>
          </w:tcPr>
          <w:p w14:paraId="1C880439"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c>
          <w:tcPr>
            <w:tcW w:w="519" w:type="pct"/>
            <w:tcBorders>
              <w:top w:val="nil"/>
              <w:left w:val="nil"/>
              <w:bottom w:val="single" w:sz="4" w:space="0" w:color="auto"/>
              <w:right w:val="nil"/>
            </w:tcBorders>
            <w:shd w:val="clear" w:color="auto" w:fill="auto"/>
            <w:noWrap/>
            <w:vAlign w:val="center"/>
            <w:hideMark/>
          </w:tcPr>
          <w:p w14:paraId="2916C30B"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694549A5"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c>
          <w:tcPr>
            <w:tcW w:w="519" w:type="pct"/>
            <w:tcBorders>
              <w:top w:val="nil"/>
              <w:left w:val="nil"/>
              <w:bottom w:val="single" w:sz="4" w:space="0" w:color="auto"/>
              <w:right w:val="nil"/>
            </w:tcBorders>
            <w:shd w:val="clear" w:color="auto" w:fill="auto"/>
            <w:noWrap/>
            <w:vAlign w:val="center"/>
            <w:hideMark/>
          </w:tcPr>
          <w:p w14:paraId="2227382D"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55A2EC24"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14:paraId="6649FA17"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c>
          <w:tcPr>
            <w:tcW w:w="484" w:type="pct"/>
            <w:tcBorders>
              <w:top w:val="nil"/>
              <w:left w:val="nil"/>
              <w:bottom w:val="single" w:sz="4" w:space="0" w:color="auto"/>
              <w:right w:val="nil"/>
            </w:tcBorders>
            <w:shd w:val="clear" w:color="auto" w:fill="auto"/>
            <w:noWrap/>
            <w:vAlign w:val="center"/>
            <w:hideMark/>
          </w:tcPr>
          <w:p w14:paraId="3F0C3C77" w14:textId="77777777" w:rsidR="00E933B3" w:rsidRPr="00CD7D51" w:rsidRDefault="00E933B3" w:rsidP="0065506E">
            <w:pPr>
              <w:rPr>
                <w:rFonts w:ascii="Times New Roman" w:hAnsi="Times New Roman" w:cs="Times New Roman"/>
                <w:sz w:val="18"/>
                <w:szCs w:val="18"/>
              </w:rPr>
            </w:pPr>
            <w:r w:rsidRPr="00CD7D51">
              <w:rPr>
                <w:rFonts w:ascii="Times New Roman" w:hAnsi="Times New Roman" w:cs="Times New Roman"/>
                <w:sz w:val="18"/>
                <w:szCs w:val="18"/>
              </w:rPr>
              <w:t> </w:t>
            </w:r>
          </w:p>
        </w:tc>
      </w:tr>
    </w:tbl>
    <w:p w14:paraId="511047F5" w14:textId="77777777" w:rsidR="00E933B3" w:rsidRPr="00CD7D51" w:rsidRDefault="00E933B3" w:rsidP="00E933B3">
      <w:pPr>
        <w:jc w:val="both"/>
        <w:rPr>
          <w:rFonts w:ascii="Times New Roman" w:hAnsi="Times New Roman" w:cs="Times New Roman"/>
        </w:rPr>
      </w:pPr>
      <w:r w:rsidRPr="00CD7D51">
        <w:rPr>
          <w:rFonts w:ascii="Times New Roman" w:hAnsi="Times New Roman" w:cs="Times New Roman"/>
        </w:rPr>
        <w:t xml:space="preserve">  </w:t>
      </w:r>
    </w:p>
    <w:p w14:paraId="78A5747E"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De estas cifras se colige que las secciones de Bioquímica, Química Analítica, Pericias Físicas, Toxicología y Biología Forense se caracterizan por recibir las mayores cantidades de asuntos en el 2015 con 12.717, 7.231, 6.244, 5.528 y 4.984 casos respectivamente (29,2%, 16,6%, 14,3%, 12,7% y 11,4%), para el 84,3% del total en forma conjunta. </w:t>
      </w:r>
    </w:p>
    <w:p w14:paraId="7E72F497" w14:textId="77777777" w:rsidR="00E933B3" w:rsidRPr="00CD7D51" w:rsidRDefault="00E933B3" w:rsidP="00E933B3">
      <w:pPr>
        <w:spacing w:line="360" w:lineRule="auto"/>
        <w:jc w:val="both"/>
        <w:rPr>
          <w:rFonts w:ascii="Times New Roman" w:hAnsi="Times New Roman" w:cs="Times New Roman"/>
        </w:rPr>
      </w:pPr>
    </w:p>
    <w:p w14:paraId="1B1E3793"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Como resulta lógico, en estas secciones también se lograron terminar las proporciones más significativas de pericias con 12.640, 6.901, 6.120, 5.723 y 4.750 casos en el mismo orden (29,3%, 16,0%, 14,2%, 13,3% y 11,0%), lo cual representa al 83,7% de la atención. </w:t>
      </w:r>
    </w:p>
    <w:p w14:paraId="7146B979" w14:textId="77777777" w:rsidR="00E933B3" w:rsidRPr="00CD7D51" w:rsidRDefault="00E933B3" w:rsidP="00E933B3">
      <w:pPr>
        <w:spacing w:line="360" w:lineRule="auto"/>
        <w:jc w:val="both"/>
        <w:rPr>
          <w:rFonts w:ascii="Times New Roman" w:hAnsi="Times New Roman" w:cs="Times New Roman"/>
        </w:rPr>
      </w:pPr>
    </w:p>
    <w:p w14:paraId="41464434"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Por su parte, el circulante al finalizar el año sí muestra alguna variación en el orden estas cinco oficinas, considerando que las secciones de Bioquímica, Química Analítica, Biología Forense, Pericias Físicas y Toxicología reflejaron las existencias más altas para esta variable, con 1.550, 934, 886, 791 y 752 casos en ese asocie (28,2%, 17,0%, 16,1%, 14,4% y 13,7%), abarcando así al 89,4% del trabajo pendiente a ese corte. </w:t>
      </w:r>
    </w:p>
    <w:p w14:paraId="3FB35270" w14:textId="77777777" w:rsidR="00E933B3" w:rsidRPr="00CD7D51" w:rsidRDefault="00E933B3" w:rsidP="00E933B3">
      <w:pPr>
        <w:spacing w:line="360" w:lineRule="auto"/>
        <w:jc w:val="both"/>
        <w:rPr>
          <w:rFonts w:ascii="Times New Roman" w:hAnsi="Times New Roman" w:cs="Times New Roman"/>
        </w:rPr>
      </w:pPr>
    </w:p>
    <w:p w14:paraId="5D6E5A78"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Estos comportamientos se visibilizan con más facilidad al examinar la siguiente gráfica, en donde se presentan las frecuencias absolutas de los casos entrados, de los terminados y del circulante, para las ocho secciones del Departamento de Laboratorios de Ciencias Forenses. </w:t>
      </w:r>
    </w:p>
    <w:p w14:paraId="6D9187E1" w14:textId="77777777" w:rsidR="00E933B3" w:rsidRPr="00CD7D51" w:rsidRDefault="00E933B3" w:rsidP="00E933B3">
      <w:pPr>
        <w:spacing w:line="360" w:lineRule="auto"/>
        <w:jc w:val="both"/>
        <w:rPr>
          <w:rFonts w:ascii="Times New Roman" w:hAnsi="Times New Roman" w:cs="Times New Roman"/>
        </w:rPr>
      </w:pPr>
    </w:p>
    <w:p w14:paraId="0316BE39" w14:textId="77777777" w:rsidR="00E933B3" w:rsidRPr="00CD7D51" w:rsidRDefault="00E933B3" w:rsidP="00E933B3">
      <w:pPr>
        <w:jc w:val="center"/>
        <w:rPr>
          <w:rFonts w:ascii="Times New Roman" w:hAnsi="Times New Roman" w:cs="Times New Roman"/>
        </w:rPr>
      </w:pPr>
      <w:r>
        <w:rPr>
          <w:rFonts w:ascii="Times New Roman" w:hAnsi="Times New Roman" w:cs="Times New Roman"/>
          <w:noProof/>
          <w:lang w:val="es-CR" w:eastAsia="es-CR"/>
        </w:rPr>
        <w:drawing>
          <wp:inline distT="0" distB="0" distL="0" distR="0" wp14:anchorId="139AF493" wp14:editId="3AA569F8">
            <wp:extent cx="5033010" cy="3347720"/>
            <wp:effectExtent l="0" t="0" r="0" b="0"/>
            <wp:docPr id="1"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8C515F" w14:textId="77777777" w:rsidR="00E933B3" w:rsidRPr="00CD7D51" w:rsidRDefault="00E933B3" w:rsidP="00E933B3">
      <w:pPr>
        <w:jc w:val="both"/>
        <w:rPr>
          <w:rFonts w:ascii="Times New Roman" w:hAnsi="Times New Roman" w:cs="Times New Roman"/>
        </w:rPr>
      </w:pPr>
    </w:p>
    <w:p w14:paraId="141A79FD" w14:textId="77777777" w:rsidR="00E933B3" w:rsidRPr="00CD7D51" w:rsidRDefault="00E933B3" w:rsidP="00E933B3">
      <w:pPr>
        <w:spacing w:line="360" w:lineRule="auto"/>
        <w:jc w:val="both"/>
        <w:rPr>
          <w:rFonts w:ascii="Times New Roman" w:hAnsi="Times New Roman" w:cs="Times New Roman"/>
        </w:rPr>
      </w:pPr>
    </w:p>
    <w:p w14:paraId="56C6AC89"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Otro aspecto importante en su abordaje se refiere a las razones por las cuales se finiquitó la atención de los 43.147 asuntos en la actualidad, sobresaliendo en este sentido el registro de 25.588 dictámenes criminalísticos (59,3%), de 9.117 pericias sin desarrollarse el análisis (21,1%), de 5.815 informes criminalísticos (13,5%) y de 1.794 consumidos finalizados (4,2%), justificando estos cuatro procedimientos al 98,1% de lo diligenciado, según se detalla en la próxima tabla.    </w:t>
      </w:r>
    </w:p>
    <w:p w14:paraId="1ED5E481" w14:textId="77777777" w:rsidR="00E933B3" w:rsidRPr="00CD7D51" w:rsidRDefault="00E933B3" w:rsidP="00E933B3">
      <w:pPr>
        <w:jc w:val="both"/>
        <w:rPr>
          <w:rFonts w:ascii="Times New Roman" w:hAnsi="Times New Roman" w:cs="Times New Roman"/>
        </w:rPr>
      </w:pPr>
    </w:p>
    <w:tbl>
      <w:tblPr>
        <w:tblW w:w="4994" w:type="dxa"/>
        <w:jc w:val="center"/>
        <w:tblCellMar>
          <w:left w:w="70" w:type="dxa"/>
          <w:right w:w="70" w:type="dxa"/>
        </w:tblCellMar>
        <w:tblLook w:val="04A0" w:firstRow="1" w:lastRow="0" w:firstColumn="1" w:lastColumn="0" w:noHBand="0" w:noVBand="1"/>
      </w:tblPr>
      <w:tblGrid>
        <w:gridCol w:w="2564"/>
        <w:gridCol w:w="1221"/>
        <w:gridCol w:w="1209"/>
      </w:tblGrid>
      <w:tr w:rsidR="00E933B3" w:rsidRPr="00CD7D51" w14:paraId="2C7D424E" w14:textId="77777777" w:rsidTr="0065506E">
        <w:trPr>
          <w:tblHeader/>
          <w:jc w:val="center"/>
        </w:trPr>
        <w:tc>
          <w:tcPr>
            <w:tcW w:w="2564" w:type="dxa"/>
            <w:tcBorders>
              <w:top w:val="single" w:sz="4" w:space="0" w:color="auto"/>
              <w:left w:val="nil"/>
              <w:bottom w:val="nil"/>
              <w:right w:val="nil"/>
            </w:tcBorders>
            <w:shd w:val="clear" w:color="auto" w:fill="auto"/>
            <w:noWrap/>
            <w:vAlign w:val="center"/>
            <w:hideMark/>
          </w:tcPr>
          <w:p w14:paraId="0EABEF73" w14:textId="77777777" w:rsidR="00E933B3" w:rsidRPr="00CD7D51" w:rsidRDefault="00E933B3" w:rsidP="0065506E">
            <w:pPr>
              <w:rPr>
                <w:rFonts w:ascii="Times New Roman" w:hAnsi="Times New Roman" w:cs="Times New Roman"/>
              </w:rPr>
            </w:pPr>
            <w:r w:rsidRPr="00CD7D51">
              <w:rPr>
                <w:rFonts w:ascii="Times New Roman" w:hAnsi="Times New Roman" w:cs="Times New Roman"/>
              </w:rPr>
              <w:t> </w:t>
            </w:r>
          </w:p>
        </w:tc>
        <w:tc>
          <w:tcPr>
            <w:tcW w:w="2430" w:type="dxa"/>
            <w:gridSpan w:val="2"/>
            <w:tcBorders>
              <w:top w:val="single" w:sz="4" w:space="0" w:color="auto"/>
              <w:left w:val="single" w:sz="4" w:space="0" w:color="auto"/>
              <w:bottom w:val="nil"/>
              <w:right w:val="nil"/>
            </w:tcBorders>
            <w:shd w:val="clear" w:color="auto" w:fill="auto"/>
            <w:noWrap/>
            <w:vAlign w:val="center"/>
            <w:hideMark/>
          </w:tcPr>
          <w:p w14:paraId="750DC64C" w14:textId="77777777" w:rsidR="00E933B3" w:rsidRPr="00CD7D51" w:rsidRDefault="00E933B3" w:rsidP="0065506E">
            <w:pPr>
              <w:jc w:val="center"/>
              <w:rPr>
                <w:rFonts w:ascii="Times New Roman" w:hAnsi="Times New Roman" w:cs="Times New Roman"/>
                <w:b/>
                <w:bCs/>
              </w:rPr>
            </w:pPr>
            <w:r w:rsidRPr="00CD7D51">
              <w:rPr>
                <w:rFonts w:ascii="Times New Roman" w:hAnsi="Times New Roman" w:cs="Times New Roman"/>
                <w:b/>
                <w:bCs/>
              </w:rPr>
              <w:t>Casos Terminados 2015</w:t>
            </w:r>
          </w:p>
        </w:tc>
      </w:tr>
      <w:tr w:rsidR="00E933B3" w:rsidRPr="00CD7D51" w14:paraId="2480A421" w14:textId="77777777" w:rsidTr="0065506E">
        <w:trPr>
          <w:tblHeader/>
          <w:jc w:val="center"/>
        </w:trPr>
        <w:tc>
          <w:tcPr>
            <w:tcW w:w="2564" w:type="dxa"/>
            <w:tcBorders>
              <w:top w:val="nil"/>
              <w:left w:val="nil"/>
              <w:bottom w:val="single" w:sz="4" w:space="0" w:color="auto"/>
              <w:right w:val="nil"/>
            </w:tcBorders>
            <w:shd w:val="clear" w:color="auto" w:fill="auto"/>
            <w:noWrap/>
            <w:vAlign w:val="center"/>
            <w:hideMark/>
          </w:tcPr>
          <w:p w14:paraId="5C656501" w14:textId="77777777" w:rsidR="00E933B3" w:rsidRPr="00CD7D51" w:rsidRDefault="00E933B3" w:rsidP="0065506E">
            <w:pPr>
              <w:jc w:val="center"/>
              <w:rPr>
                <w:rFonts w:ascii="Times New Roman" w:hAnsi="Times New Roman" w:cs="Times New Roman"/>
                <w:b/>
                <w:bCs/>
              </w:rPr>
            </w:pPr>
            <w:r w:rsidRPr="00CD7D51">
              <w:rPr>
                <w:rFonts w:ascii="Times New Roman" w:hAnsi="Times New Roman" w:cs="Times New Roman"/>
                <w:b/>
                <w:bCs/>
              </w:rPr>
              <w:t>Motivo de Término</w:t>
            </w:r>
          </w:p>
        </w:tc>
        <w:tc>
          <w:tcPr>
            <w:tcW w:w="1221" w:type="dxa"/>
            <w:tcBorders>
              <w:top w:val="single" w:sz="4" w:space="0" w:color="auto"/>
              <w:left w:val="single" w:sz="4" w:space="0" w:color="auto"/>
              <w:bottom w:val="single" w:sz="4" w:space="0" w:color="auto"/>
              <w:right w:val="nil"/>
            </w:tcBorders>
            <w:shd w:val="clear" w:color="auto" w:fill="auto"/>
            <w:noWrap/>
            <w:vAlign w:val="center"/>
            <w:hideMark/>
          </w:tcPr>
          <w:p w14:paraId="38E0B9D2" w14:textId="77777777" w:rsidR="00E933B3" w:rsidRPr="00CD7D51" w:rsidRDefault="00E933B3" w:rsidP="0065506E">
            <w:pPr>
              <w:jc w:val="center"/>
              <w:rPr>
                <w:rFonts w:ascii="Times New Roman" w:hAnsi="Times New Roman" w:cs="Times New Roman"/>
                <w:b/>
                <w:bCs/>
              </w:rPr>
            </w:pPr>
            <w:r w:rsidRPr="00CD7D51">
              <w:rPr>
                <w:rFonts w:ascii="Times New Roman" w:hAnsi="Times New Roman" w:cs="Times New Roman"/>
                <w:b/>
                <w:bCs/>
              </w:rPr>
              <w:t>Absolutos</w:t>
            </w:r>
          </w:p>
        </w:tc>
        <w:tc>
          <w:tcPr>
            <w:tcW w:w="1209" w:type="dxa"/>
            <w:tcBorders>
              <w:top w:val="single" w:sz="4" w:space="0" w:color="auto"/>
              <w:left w:val="single" w:sz="4" w:space="0" w:color="auto"/>
              <w:bottom w:val="single" w:sz="4" w:space="0" w:color="auto"/>
              <w:right w:val="nil"/>
            </w:tcBorders>
            <w:shd w:val="clear" w:color="auto" w:fill="auto"/>
            <w:noWrap/>
            <w:vAlign w:val="center"/>
            <w:hideMark/>
          </w:tcPr>
          <w:p w14:paraId="20457AB1" w14:textId="77777777" w:rsidR="00E933B3" w:rsidRPr="00CD7D51" w:rsidRDefault="00E933B3" w:rsidP="0065506E">
            <w:pPr>
              <w:jc w:val="center"/>
              <w:rPr>
                <w:rFonts w:ascii="Times New Roman" w:hAnsi="Times New Roman" w:cs="Times New Roman"/>
                <w:b/>
                <w:bCs/>
              </w:rPr>
            </w:pPr>
            <w:r w:rsidRPr="00CD7D51">
              <w:rPr>
                <w:rFonts w:ascii="Times New Roman" w:hAnsi="Times New Roman" w:cs="Times New Roman"/>
                <w:b/>
                <w:bCs/>
              </w:rPr>
              <w:t>%</w:t>
            </w:r>
          </w:p>
        </w:tc>
      </w:tr>
      <w:tr w:rsidR="00E933B3" w:rsidRPr="00CD7D51" w14:paraId="141AA7D5" w14:textId="77777777" w:rsidTr="0065506E">
        <w:trPr>
          <w:jc w:val="center"/>
        </w:trPr>
        <w:tc>
          <w:tcPr>
            <w:tcW w:w="2564" w:type="dxa"/>
            <w:tcBorders>
              <w:top w:val="nil"/>
              <w:left w:val="nil"/>
              <w:bottom w:val="nil"/>
              <w:right w:val="nil"/>
            </w:tcBorders>
            <w:shd w:val="clear" w:color="auto" w:fill="auto"/>
            <w:noWrap/>
            <w:vAlign w:val="center"/>
            <w:hideMark/>
          </w:tcPr>
          <w:p w14:paraId="762558EE" w14:textId="77777777" w:rsidR="00E933B3" w:rsidRPr="00CD7D51" w:rsidRDefault="00E933B3" w:rsidP="0065506E">
            <w:pPr>
              <w:rPr>
                <w:rFonts w:ascii="Times New Roman" w:hAnsi="Times New Roman" w:cs="Times New Roman"/>
              </w:rPr>
            </w:pPr>
          </w:p>
        </w:tc>
        <w:tc>
          <w:tcPr>
            <w:tcW w:w="1221" w:type="dxa"/>
            <w:tcBorders>
              <w:top w:val="nil"/>
              <w:left w:val="single" w:sz="4" w:space="0" w:color="auto"/>
              <w:bottom w:val="nil"/>
              <w:right w:val="nil"/>
            </w:tcBorders>
            <w:shd w:val="clear" w:color="auto" w:fill="auto"/>
            <w:noWrap/>
            <w:vAlign w:val="center"/>
            <w:hideMark/>
          </w:tcPr>
          <w:p w14:paraId="11D1A597" w14:textId="77777777" w:rsidR="00E933B3" w:rsidRPr="00CD7D51" w:rsidRDefault="00E933B3" w:rsidP="0065506E">
            <w:pPr>
              <w:rPr>
                <w:rFonts w:ascii="Times New Roman" w:hAnsi="Times New Roman" w:cs="Times New Roman"/>
              </w:rPr>
            </w:pPr>
            <w:r w:rsidRPr="00CD7D51">
              <w:rPr>
                <w:rFonts w:ascii="Times New Roman" w:hAnsi="Times New Roman" w:cs="Times New Roman"/>
              </w:rPr>
              <w:t> </w:t>
            </w:r>
          </w:p>
        </w:tc>
        <w:tc>
          <w:tcPr>
            <w:tcW w:w="1209" w:type="dxa"/>
            <w:tcBorders>
              <w:top w:val="nil"/>
              <w:left w:val="single" w:sz="4" w:space="0" w:color="auto"/>
              <w:bottom w:val="nil"/>
              <w:right w:val="nil"/>
            </w:tcBorders>
            <w:shd w:val="clear" w:color="auto" w:fill="auto"/>
            <w:noWrap/>
            <w:vAlign w:val="center"/>
            <w:hideMark/>
          </w:tcPr>
          <w:p w14:paraId="32CA4089" w14:textId="77777777" w:rsidR="00E933B3" w:rsidRPr="00CD7D51" w:rsidRDefault="00E933B3" w:rsidP="0065506E">
            <w:pPr>
              <w:rPr>
                <w:rFonts w:ascii="Times New Roman" w:hAnsi="Times New Roman" w:cs="Times New Roman"/>
              </w:rPr>
            </w:pPr>
            <w:r w:rsidRPr="00CD7D51">
              <w:rPr>
                <w:rFonts w:ascii="Times New Roman" w:hAnsi="Times New Roman" w:cs="Times New Roman"/>
              </w:rPr>
              <w:t> </w:t>
            </w:r>
          </w:p>
        </w:tc>
      </w:tr>
      <w:tr w:rsidR="00E933B3" w:rsidRPr="00CD7D51" w14:paraId="08BDD6B0" w14:textId="77777777" w:rsidTr="0065506E">
        <w:trPr>
          <w:jc w:val="center"/>
        </w:trPr>
        <w:tc>
          <w:tcPr>
            <w:tcW w:w="2564" w:type="dxa"/>
            <w:tcBorders>
              <w:top w:val="nil"/>
              <w:left w:val="nil"/>
              <w:bottom w:val="nil"/>
              <w:right w:val="nil"/>
            </w:tcBorders>
            <w:shd w:val="clear" w:color="auto" w:fill="auto"/>
            <w:noWrap/>
            <w:vAlign w:val="center"/>
            <w:hideMark/>
          </w:tcPr>
          <w:p w14:paraId="5DA5449C" w14:textId="77777777" w:rsidR="00E933B3" w:rsidRPr="00CD7D51" w:rsidRDefault="00E933B3" w:rsidP="0065506E">
            <w:pPr>
              <w:rPr>
                <w:rFonts w:ascii="Times New Roman" w:hAnsi="Times New Roman" w:cs="Times New Roman"/>
                <w:b/>
                <w:bCs/>
              </w:rPr>
            </w:pPr>
            <w:r w:rsidRPr="00CD7D51">
              <w:rPr>
                <w:rFonts w:ascii="Times New Roman" w:hAnsi="Times New Roman" w:cs="Times New Roman"/>
                <w:b/>
                <w:bCs/>
              </w:rPr>
              <w:t>Total</w:t>
            </w:r>
          </w:p>
        </w:tc>
        <w:tc>
          <w:tcPr>
            <w:tcW w:w="1221" w:type="dxa"/>
            <w:tcBorders>
              <w:top w:val="nil"/>
              <w:left w:val="single" w:sz="4" w:space="0" w:color="auto"/>
              <w:bottom w:val="nil"/>
              <w:right w:val="nil"/>
            </w:tcBorders>
            <w:shd w:val="clear" w:color="auto" w:fill="auto"/>
            <w:noWrap/>
            <w:vAlign w:val="center"/>
            <w:hideMark/>
          </w:tcPr>
          <w:p w14:paraId="2845F149" w14:textId="77777777" w:rsidR="00E933B3" w:rsidRPr="00CD7D51" w:rsidRDefault="00E933B3" w:rsidP="0065506E">
            <w:pPr>
              <w:jc w:val="center"/>
              <w:rPr>
                <w:rFonts w:ascii="Times New Roman" w:hAnsi="Times New Roman" w:cs="Times New Roman"/>
                <w:b/>
                <w:bCs/>
              </w:rPr>
            </w:pPr>
            <w:r w:rsidRPr="00CD7D51">
              <w:rPr>
                <w:rFonts w:ascii="Times New Roman" w:hAnsi="Times New Roman" w:cs="Times New Roman"/>
                <w:b/>
                <w:bCs/>
              </w:rPr>
              <w:t>43.147</w:t>
            </w:r>
          </w:p>
        </w:tc>
        <w:tc>
          <w:tcPr>
            <w:tcW w:w="1209" w:type="dxa"/>
            <w:tcBorders>
              <w:top w:val="nil"/>
              <w:left w:val="single" w:sz="4" w:space="0" w:color="auto"/>
              <w:bottom w:val="nil"/>
              <w:right w:val="nil"/>
            </w:tcBorders>
            <w:shd w:val="clear" w:color="auto" w:fill="auto"/>
            <w:noWrap/>
            <w:vAlign w:val="center"/>
            <w:hideMark/>
          </w:tcPr>
          <w:p w14:paraId="1E46447B" w14:textId="77777777" w:rsidR="00E933B3" w:rsidRPr="00CD7D51" w:rsidRDefault="00E933B3" w:rsidP="0065506E">
            <w:pPr>
              <w:jc w:val="center"/>
              <w:rPr>
                <w:rFonts w:ascii="Times New Roman" w:hAnsi="Times New Roman" w:cs="Times New Roman"/>
                <w:b/>
                <w:bCs/>
              </w:rPr>
            </w:pPr>
            <w:r w:rsidRPr="00CD7D51">
              <w:rPr>
                <w:rFonts w:ascii="Times New Roman" w:hAnsi="Times New Roman" w:cs="Times New Roman"/>
                <w:b/>
                <w:bCs/>
              </w:rPr>
              <w:t>100,0</w:t>
            </w:r>
          </w:p>
        </w:tc>
      </w:tr>
      <w:tr w:rsidR="00E933B3" w:rsidRPr="00CD7D51" w14:paraId="048088D5" w14:textId="77777777" w:rsidTr="0065506E">
        <w:trPr>
          <w:jc w:val="center"/>
        </w:trPr>
        <w:tc>
          <w:tcPr>
            <w:tcW w:w="2564" w:type="dxa"/>
            <w:tcBorders>
              <w:top w:val="nil"/>
              <w:left w:val="nil"/>
              <w:bottom w:val="nil"/>
              <w:right w:val="nil"/>
            </w:tcBorders>
            <w:shd w:val="clear" w:color="auto" w:fill="auto"/>
            <w:noWrap/>
            <w:vAlign w:val="center"/>
            <w:hideMark/>
          </w:tcPr>
          <w:p w14:paraId="75E1D3A8" w14:textId="77777777" w:rsidR="00E933B3" w:rsidRPr="00CD7D51" w:rsidRDefault="00E933B3" w:rsidP="0065506E">
            <w:pPr>
              <w:rPr>
                <w:rFonts w:ascii="Times New Roman" w:hAnsi="Times New Roman" w:cs="Times New Roman"/>
              </w:rPr>
            </w:pPr>
          </w:p>
        </w:tc>
        <w:tc>
          <w:tcPr>
            <w:tcW w:w="1221" w:type="dxa"/>
            <w:tcBorders>
              <w:top w:val="nil"/>
              <w:left w:val="single" w:sz="4" w:space="0" w:color="auto"/>
              <w:bottom w:val="nil"/>
              <w:right w:val="nil"/>
            </w:tcBorders>
            <w:shd w:val="clear" w:color="auto" w:fill="auto"/>
            <w:noWrap/>
            <w:vAlign w:val="center"/>
            <w:hideMark/>
          </w:tcPr>
          <w:p w14:paraId="7381DD4C" w14:textId="77777777" w:rsidR="00E933B3" w:rsidRPr="00CD7D51" w:rsidRDefault="00E933B3" w:rsidP="0065506E">
            <w:pPr>
              <w:rPr>
                <w:rFonts w:ascii="Times New Roman" w:hAnsi="Times New Roman" w:cs="Times New Roman"/>
              </w:rPr>
            </w:pPr>
            <w:r w:rsidRPr="00CD7D51">
              <w:rPr>
                <w:rFonts w:ascii="Times New Roman" w:hAnsi="Times New Roman" w:cs="Times New Roman"/>
              </w:rPr>
              <w:t> </w:t>
            </w:r>
          </w:p>
        </w:tc>
        <w:tc>
          <w:tcPr>
            <w:tcW w:w="1209" w:type="dxa"/>
            <w:tcBorders>
              <w:top w:val="nil"/>
              <w:left w:val="single" w:sz="4" w:space="0" w:color="auto"/>
              <w:bottom w:val="nil"/>
              <w:right w:val="nil"/>
            </w:tcBorders>
            <w:shd w:val="clear" w:color="auto" w:fill="auto"/>
            <w:noWrap/>
            <w:vAlign w:val="center"/>
            <w:hideMark/>
          </w:tcPr>
          <w:p w14:paraId="5813A3D2" w14:textId="77777777" w:rsidR="00E933B3" w:rsidRPr="00CD7D51" w:rsidRDefault="00E933B3" w:rsidP="0065506E">
            <w:pPr>
              <w:rPr>
                <w:rFonts w:ascii="Times New Roman" w:hAnsi="Times New Roman" w:cs="Times New Roman"/>
              </w:rPr>
            </w:pPr>
            <w:r w:rsidRPr="00CD7D51">
              <w:rPr>
                <w:rFonts w:ascii="Times New Roman" w:hAnsi="Times New Roman" w:cs="Times New Roman"/>
              </w:rPr>
              <w:t> </w:t>
            </w:r>
          </w:p>
        </w:tc>
      </w:tr>
      <w:tr w:rsidR="00E933B3" w:rsidRPr="00CD7D51" w14:paraId="368D2C2A" w14:textId="77777777" w:rsidTr="0065506E">
        <w:trPr>
          <w:jc w:val="center"/>
        </w:trPr>
        <w:tc>
          <w:tcPr>
            <w:tcW w:w="2564" w:type="dxa"/>
            <w:tcBorders>
              <w:top w:val="nil"/>
              <w:left w:val="nil"/>
              <w:bottom w:val="nil"/>
              <w:right w:val="nil"/>
            </w:tcBorders>
            <w:shd w:val="clear" w:color="auto" w:fill="auto"/>
            <w:noWrap/>
            <w:vAlign w:val="center"/>
            <w:hideMark/>
          </w:tcPr>
          <w:p w14:paraId="520E092D" w14:textId="77777777" w:rsidR="00E933B3" w:rsidRPr="00CD7D51" w:rsidRDefault="00E933B3" w:rsidP="0065506E">
            <w:pPr>
              <w:rPr>
                <w:rFonts w:ascii="Times New Roman" w:hAnsi="Times New Roman" w:cs="Times New Roman"/>
              </w:rPr>
            </w:pPr>
            <w:r w:rsidRPr="00CD7D51">
              <w:rPr>
                <w:rFonts w:ascii="Times New Roman" w:hAnsi="Times New Roman" w:cs="Times New Roman"/>
              </w:rPr>
              <w:t>Ampliación</w:t>
            </w:r>
          </w:p>
        </w:tc>
        <w:tc>
          <w:tcPr>
            <w:tcW w:w="1221" w:type="dxa"/>
            <w:tcBorders>
              <w:top w:val="nil"/>
              <w:left w:val="single" w:sz="4" w:space="0" w:color="auto"/>
              <w:bottom w:val="nil"/>
              <w:right w:val="nil"/>
            </w:tcBorders>
            <w:shd w:val="clear" w:color="auto" w:fill="auto"/>
            <w:noWrap/>
            <w:vAlign w:val="center"/>
            <w:hideMark/>
          </w:tcPr>
          <w:p w14:paraId="7F82ED38" w14:textId="77777777" w:rsidR="00E933B3" w:rsidRPr="00CD7D51" w:rsidRDefault="00E933B3" w:rsidP="0065506E">
            <w:pPr>
              <w:jc w:val="center"/>
              <w:rPr>
                <w:rFonts w:ascii="Times New Roman" w:hAnsi="Times New Roman" w:cs="Times New Roman"/>
              </w:rPr>
            </w:pPr>
            <w:r w:rsidRPr="00CD7D51">
              <w:rPr>
                <w:rFonts w:ascii="Times New Roman" w:hAnsi="Times New Roman" w:cs="Times New Roman"/>
              </w:rPr>
              <w:t>625</w:t>
            </w:r>
          </w:p>
        </w:tc>
        <w:tc>
          <w:tcPr>
            <w:tcW w:w="1209" w:type="dxa"/>
            <w:tcBorders>
              <w:top w:val="nil"/>
              <w:left w:val="single" w:sz="4" w:space="0" w:color="auto"/>
              <w:bottom w:val="nil"/>
              <w:right w:val="nil"/>
            </w:tcBorders>
            <w:shd w:val="clear" w:color="auto" w:fill="auto"/>
            <w:noWrap/>
            <w:vAlign w:val="center"/>
            <w:hideMark/>
          </w:tcPr>
          <w:p w14:paraId="5CD3706F" w14:textId="77777777" w:rsidR="00E933B3" w:rsidRPr="00CD7D51" w:rsidRDefault="00E933B3" w:rsidP="0065506E">
            <w:pPr>
              <w:jc w:val="center"/>
              <w:rPr>
                <w:rFonts w:ascii="Times New Roman" w:hAnsi="Times New Roman" w:cs="Times New Roman"/>
              </w:rPr>
            </w:pPr>
            <w:r w:rsidRPr="00CD7D51">
              <w:rPr>
                <w:rFonts w:ascii="Times New Roman" w:hAnsi="Times New Roman" w:cs="Times New Roman"/>
              </w:rPr>
              <w:t>1,4</w:t>
            </w:r>
          </w:p>
        </w:tc>
      </w:tr>
      <w:tr w:rsidR="00E933B3" w:rsidRPr="00CD7D51" w14:paraId="009A42FE" w14:textId="77777777" w:rsidTr="0065506E">
        <w:trPr>
          <w:jc w:val="center"/>
        </w:trPr>
        <w:tc>
          <w:tcPr>
            <w:tcW w:w="2564" w:type="dxa"/>
            <w:tcBorders>
              <w:top w:val="nil"/>
              <w:left w:val="nil"/>
              <w:bottom w:val="nil"/>
              <w:right w:val="nil"/>
            </w:tcBorders>
            <w:shd w:val="clear" w:color="auto" w:fill="auto"/>
            <w:noWrap/>
            <w:vAlign w:val="center"/>
            <w:hideMark/>
          </w:tcPr>
          <w:p w14:paraId="60E418EE" w14:textId="77777777" w:rsidR="00E933B3" w:rsidRPr="00CD7D51" w:rsidRDefault="00E933B3" w:rsidP="0065506E">
            <w:pPr>
              <w:rPr>
                <w:rFonts w:ascii="Times New Roman" w:hAnsi="Times New Roman" w:cs="Times New Roman"/>
              </w:rPr>
            </w:pPr>
            <w:r w:rsidRPr="00CD7D51">
              <w:rPr>
                <w:rFonts w:ascii="Times New Roman" w:hAnsi="Times New Roman" w:cs="Times New Roman"/>
              </w:rPr>
              <w:t>Consumido finalizado</w:t>
            </w:r>
          </w:p>
        </w:tc>
        <w:tc>
          <w:tcPr>
            <w:tcW w:w="1221" w:type="dxa"/>
            <w:tcBorders>
              <w:top w:val="nil"/>
              <w:left w:val="single" w:sz="4" w:space="0" w:color="auto"/>
              <w:bottom w:val="nil"/>
              <w:right w:val="nil"/>
            </w:tcBorders>
            <w:shd w:val="clear" w:color="auto" w:fill="auto"/>
            <w:noWrap/>
            <w:vAlign w:val="center"/>
            <w:hideMark/>
          </w:tcPr>
          <w:p w14:paraId="299D3BDA" w14:textId="77777777" w:rsidR="00E933B3" w:rsidRPr="00CD7D51" w:rsidRDefault="00E933B3" w:rsidP="0065506E">
            <w:pPr>
              <w:jc w:val="center"/>
              <w:rPr>
                <w:rFonts w:ascii="Times New Roman" w:hAnsi="Times New Roman" w:cs="Times New Roman"/>
              </w:rPr>
            </w:pPr>
            <w:r w:rsidRPr="00CD7D51">
              <w:rPr>
                <w:rFonts w:ascii="Times New Roman" w:hAnsi="Times New Roman" w:cs="Times New Roman"/>
              </w:rPr>
              <w:t>1.794</w:t>
            </w:r>
          </w:p>
        </w:tc>
        <w:tc>
          <w:tcPr>
            <w:tcW w:w="1209" w:type="dxa"/>
            <w:tcBorders>
              <w:top w:val="nil"/>
              <w:left w:val="single" w:sz="4" w:space="0" w:color="auto"/>
              <w:bottom w:val="nil"/>
              <w:right w:val="nil"/>
            </w:tcBorders>
            <w:shd w:val="clear" w:color="auto" w:fill="auto"/>
            <w:noWrap/>
            <w:vAlign w:val="center"/>
            <w:hideMark/>
          </w:tcPr>
          <w:p w14:paraId="100DE86C" w14:textId="77777777" w:rsidR="00E933B3" w:rsidRPr="00CD7D51" w:rsidRDefault="00E933B3" w:rsidP="0065506E">
            <w:pPr>
              <w:jc w:val="center"/>
              <w:rPr>
                <w:rFonts w:ascii="Times New Roman" w:hAnsi="Times New Roman" w:cs="Times New Roman"/>
              </w:rPr>
            </w:pPr>
            <w:r w:rsidRPr="00CD7D51">
              <w:rPr>
                <w:rFonts w:ascii="Times New Roman" w:hAnsi="Times New Roman" w:cs="Times New Roman"/>
              </w:rPr>
              <w:t>4,2</w:t>
            </w:r>
          </w:p>
        </w:tc>
      </w:tr>
      <w:tr w:rsidR="00E933B3" w:rsidRPr="00CD7D51" w14:paraId="4C68C70D" w14:textId="77777777" w:rsidTr="0065506E">
        <w:trPr>
          <w:jc w:val="center"/>
        </w:trPr>
        <w:tc>
          <w:tcPr>
            <w:tcW w:w="2564" w:type="dxa"/>
            <w:tcBorders>
              <w:top w:val="nil"/>
              <w:left w:val="nil"/>
              <w:bottom w:val="nil"/>
              <w:right w:val="nil"/>
            </w:tcBorders>
            <w:shd w:val="clear" w:color="auto" w:fill="auto"/>
            <w:noWrap/>
            <w:vAlign w:val="center"/>
            <w:hideMark/>
          </w:tcPr>
          <w:p w14:paraId="3908AFE3" w14:textId="77777777" w:rsidR="00E933B3" w:rsidRPr="00CD7D51" w:rsidRDefault="00E933B3" w:rsidP="0065506E">
            <w:pPr>
              <w:rPr>
                <w:rFonts w:ascii="Times New Roman" w:hAnsi="Times New Roman" w:cs="Times New Roman"/>
              </w:rPr>
            </w:pPr>
            <w:r w:rsidRPr="00CD7D51">
              <w:rPr>
                <w:rFonts w:ascii="Times New Roman" w:hAnsi="Times New Roman" w:cs="Times New Roman"/>
              </w:rPr>
              <w:t>Desestimado</w:t>
            </w:r>
          </w:p>
        </w:tc>
        <w:tc>
          <w:tcPr>
            <w:tcW w:w="1221" w:type="dxa"/>
            <w:tcBorders>
              <w:top w:val="nil"/>
              <w:left w:val="single" w:sz="4" w:space="0" w:color="auto"/>
              <w:bottom w:val="nil"/>
              <w:right w:val="nil"/>
            </w:tcBorders>
            <w:shd w:val="clear" w:color="auto" w:fill="auto"/>
            <w:noWrap/>
            <w:vAlign w:val="center"/>
            <w:hideMark/>
          </w:tcPr>
          <w:p w14:paraId="1D50785A" w14:textId="77777777" w:rsidR="00E933B3" w:rsidRPr="00CD7D51" w:rsidRDefault="00E933B3" w:rsidP="0065506E">
            <w:pPr>
              <w:jc w:val="center"/>
              <w:rPr>
                <w:rFonts w:ascii="Times New Roman" w:hAnsi="Times New Roman" w:cs="Times New Roman"/>
              </w:rPr>
            </w:pPr>
            <w:r w:rsidRPr="00CD7D51">
              <w:rPr>
                <w:rFonts w:ascii="Times New Roman" w:hAnsi="Times New Roman" w:cs="Times New Roman"/>
              </w:rPr>
              <w:t>80</w:t>
            </w:r>
          </w:p>
        </w:tc>
        <w:tc>
          <w:tcPr>
            <w:tcW w:w="1209" w:type="dxa"/>
            <w:tcBorders>
              <w:top w:val="nil"/>
              <w:left w:val="single" w:sz="4" w:space="0" w:color="auto"/>
              <w:bottom w:val="nil"/>
              <w:right w:val="nil"/>
            </w:tcBorders>
            <w:shd w:val="clear" w:color="auto" w:fill="auto"/>
            <w:noWrap/>
            <w:vAlign w:val="center"/>
            <w:hideMark/>
          </w:tcPr>
          <w:p w14:paraId="3325CE51" w14:textId="77777777" w:rsidR="00E933B3" w:rsidRPr="00CD7D51" w:rsidRDefault="00E933B3" w:rsidP="0065506E">
            <w:pPr>
              <w:jc w:val="center"/>
              <w:rPr>
                <w:rFonts w:ascii="Times New Roman" w:hAnsi="Times New Roman" w:cs="Times New Roman"/>
              </w:rPr>
            </w:pPr>
            <w:r w:rsidRPr="00CD7D51">
              <w:rPr>
                <w:rFonts w:ascii="Times New Roman" w:hAnsi="Times New Roman" w:cs="Times New Roman"/>
              </w:rPr>
              <w:t>0,2</w:t>
            </w:r>
          </w:p>
        </w:tc>
      </w:tr>
      <w:tr w:rsidR="00E933B3" w:rsidRPr="00CD7D51" w14:paraId="61000424" w14:textId="77777777" w:rsidTr="0065506E">
        <w:trPr>
          <w:jc w:val="center"/>
        </w:trPr>
        <w:tc>
          <w:tcPr>
            <w:tcW w:w="2564" w:type="dxa"/>
            <w:tcBorders>
              <w:top w:val="nil"/>
              <w:left w:val="nil"/>
              <w:bottom w:val="nil"/>
              <w:right w:val="nil"/>
            </w:tcBorders>
            <w:shd w:val="clear" w:color="auto" w:fill="auto"/>
            <w:noWrap/>
            <w:vAlign w:val="center"/>
            <w:hideMark/>
          </w:tcPr>
          <w:p w14:paraId="6AA91E74" w14:textId="77777777" w:rsidR="00E933B3" w:rsidRPr="00CD7D51" w:rsidRDefault="00E933B3" w:rsidP="0065506E">
            <w:pPr>
              <w:rPr>
                <w:rFonts w:ascii="Times New Roman" w:hAnsi="Times New Roman" w:cs="Times New Roman"/>
              </w:rPr>
            </w:pPr>
            <w:r w:rsidRPr="00CD7D51">
              <w:rPr>
                <w:rFonts w:ascii="Times New Roman" w:hAnsi="Times New Roman" w:cs="Times New Roman"/>
              </w:rPr>
              <w:t xml:space="preserve">Dictámenes </w:t>
            </w:r>
            <w:r w:rsidRPr="00CD7D51">
              <w:rPr>
                <w:rFonts w:ascii="Times New Roman" w:hAnsi="Times New Roman" w:cs="Times New Roman"/>
              </w:rPr>
              <w:lastRenderedPageBreak/>
              <w:t>Criminalísticos</w:t>
            </w:r>
          </w:p>
        </w:tc>
        <w:tc>
          <w:tcPr>
            <w:tcW w:w="1221" w:type="dxa"/>
            <w:tcBorders>
              <w:top w:val="nil"/>
              <w:left w:val="single" w:sz="4" w:space="0" w:color="auto"/>
              <w:bottom w:val="nil"/>
              <w:right w:val="nil"/>
            </w:tcBorders>
            <w:shd w:val="clear" w:color="auto" w:fill="auto"/>
            <w:noWrap/>
            <w:vAlign w:val="center"/>
            <w:hideMark/>
          </w:tcPr>
          <w:p w14:paraId="75023515" w14:textId="77777777" w:rsidR="00E933B3" w:rsidRPr="00CD7D51" w:rsidRDefault="00E933B3" w:rsidP="0065506E">
            <w:pPr>
              <w:jc w:val="center"/>
              <w:rPr>
                <w:rFonts w:ascii="Times New Roman" w:hAnsi="Times New Roman" w:cs="Times New Roman"/>
              </w:rPr>
            </w:pPr>
            <w:r w:rsidRPr="00CD7D51">
              <w:rPr>
                <w:rFonts w:ascii="Times New Roman" w:hAnsi="Times New Roman" w:cs="Times New Roman"/>
              </w:rPr>
              <w:lastRenderedPageBreak/>
              <w:t>25.588</w:t>
            </w:r>
          </w:p>
        </w:tc>
        <w:tc>
          <w:tcPr>
            <w:tcW w:w="1209" w:type="dxa"/>
            <w:tcBorders>
              <w:top w:val="nil"/>
              <w:left w:val="single" w:sz="4" w:space="0" w:color="auto"/>
              <w:bottom w:val="nil"/>
              <w:right w:val="nil"/>
            </w:tcBorders>
            <w:shd w:val="clear" w:color="auto" w:fill="auto"/>
            <w:noWrap/>
            <w:vAlign w:val="center"/>
            <w:hideMark/>
          </w:tcPr>
          <w:p w14:paraId="70BB6AE0" w14:textId="77777777" w:rsidR="00E933B3" w:rsidRPr="00CD7D51" w:rsidRDefault="00E933B3" w:rsidP="0065506E">
            <w:pPr>
              <w:jc w:val="center"/>
              <w:rPr>
                <w:rFonts w:ascii="Times New Roman" w:hAnsi="Times New Roman" w:cs="Times New Roman"/>
              </w:rPr>
            </w:pPr>
            <w:r w:rsidRPr="00CD7D51">
              <w:rPr>
                <w:rFonts w:ascii="Times New Roman" w:hAnsi="Times New Roman" w:cs="Times New Roman"/>
              </w:rPr>
              <w:t>59,3</w:t>
            </w:r>
          </w:p>
        </w:tc>
      </w:tr>
      <w:tr w:rsidR="00E933B3" w:rsidRPr="00CD7D51" w14:paraId="23A3D8B8" w14:textId="77777777" w:rsidTr="0065506E">
        <w:trPr>
          <w:jc w:val="center"/>
        </w:trPr>
        <w:tc>
          <w:tcPr>
            <w:tcW w:w="2564" w:type="dxa"/>
            <w:tcBorders>
              <w:top w:val="nil"/>
              <w:left w:val="nil"/>
              <w:bottom w:val="nil"/>
              <w:right w:val="nil"/>
            </w:tcBorders>
            <w:shd w:val="clear" w:color="auto" w:fill="auto"/>
            <w:noWrap/>
            <w:vAlign w:val="center"/>
            <w:hideMark/>
          </w:tcPr>
          <w:p w14:paraId="58ABC127" w14:textId="77777777" w:rsidR="00E933B3" w:rsidRPr="00CD7D51" w:rsidRDefault="00E933B3" w:rsidP="0065506E">
            <w:pPr>
              <w:rPr>
                <w:rFonts w:ascii="Times New Roman" w:hAnsi="Times New Roman" w:cs="Times New Roman"/>
              </w:rPr>
            </w:pPr>
            <w:r w:rsidRPr="00CD7D51">
              <w:rPr>
                <w:rFonts w:ascii="Times New Roman" w:hAnsi="Times New Roman" w:cs="Times New Roman"/>
              </w:rPr>
              <w:t>Finalizado sin análisis</w:t>
            </w:r>
          </w:p>
        </w:tc>
        <w:tc>
          <w:tcPr>
            <w:tcW w:w="1221" w:type="dxa"/>
            <w:tcBorders>
              <w:top w:val="nil"/>
              <w:left w:val="single" w:sz="4" w:space="0" w:color="auto"/>
              <w:bottom w:val="nil"/>
              <w:right w:val="nil"/>
            </w:tcBorders>
            <w:shd w:val="clear" w:color="auto" w:fill="auto"/>
            <w:noWrap/>
            <w:vAlign w:val="center"/>
            <w:hideMark/>
          </w:tcPr>
          <w:p w14:paraId="501DDA78" w14:textId="77777777" w:rsidR="00E933B3" w:rsidRPr="00CD7D51" w:rsidRDefault="00E933B3" w:rsidP="0065506E">
            <w:pPr>
              <w:jc w:val="center"/>
              <w:rPr>
                <w:rFonts w:ascii="Times New Roman" w:hAnsi="Times New Roman" w:cs="Times New Roman"/>
              </w:rPr>
            </w:pPr>
            <w:r w:rsidRPr="00CD7D51">
              <w:rPr>
                <w:rFonts w:ascii="Times New Roman" w:hAnsi="Times New Roman" w:cs="Times New Roman"/>
              </w:rPr>
              <w:t>9.117</w:t>
            </w:r>
          </w:p>
        </w:tc>
        <w:tc>
          <w:tcPr>
            <w:tcW w:w="1209" w:type="dxa"/>
            <w:tcBorders>
              <w:top w:val="nil"/>
              <w:left w:val="single" w:sz="4" w:space="0" w:color="auto"/>
              <w:bottom w:val="nil"/>
              <w:right w:val="nil"/>
            </w:tcBorders>
            <w:shd w:val="clear" w:color="auto" w:fill="auto"/>
            <w:noWrap/>
            <w:vAlign w:val="center"/>
            <w:hideMark/>
          </w:tcPr>
          <w:p w14:paraId="24531D9D" w14:textId="77777777" w:rsidR="00E933B3" w:rsidRPr="00CD7D51" w:rsidRDefault="00E933B3" w:rsidP="0065506E">
            <w:pPr>
              <w:jc w:val="center"/>
              <w:rPr>
                <w:rFonts w:ascii="Times New Roman" w:hAnsi="Times New Roman" w:cs="Times New Roman"/>
              </w:rPr>
            </w:pPr>
            <w:r w:rsidRPr="00CD7D51">
              <w:rPr>
                <w:rFonts w:ascii="Times New Roman" w:hAnsi="Times New Roman" w:cs="Times New Roman"/>
              </w:rPr>
              <w:t>21,1</w:t>
            </w:r>
          </w:p>
        </w:tc>
      </w:tr>
      <w:tr w:rsidR="00E933B3" w:rsidRPr="00CD7D51" w14:paraId="6A5EB712" w14:textId="77777777" w:rsidTr="0065506E">
        <w:trPr>
          <w:jc w:val="center"/>
        </w:trPr>
        <w:tc>
          <w:tcPr>
            <w:tcW w:w="2564" w:type="dxa"/>
            <w:tcBorders>
              <w:top w:val="nil"/>
              <w:left w:val="nil"/>
              <w:bottom w:val="nil"/>
              <w:right w:val="nil"/>
            </w:tcBorders>
            <w:shd w:val="clear" w:color="auto" w:fill="auto"/>
            <w:noWrap/>
            <w:vAlign w:val="center"/>
            <w:hideMark/>
          </w:tcPr>
          <w:p w14:paraId="5FBDC5A9" w14:textId="77777777" w:rsidR="00E933B3" w:rsidRPr="00CD7D51" w:rsidRDefault="00E933B3" w:rsidP="0065506E">
            <w:pPr>
              <w:rPr>
                <w:rFonts w:ascii="Times New Roman" w:hAnsi="Times New Roman" w:cs="Times New Roman"/>
              </w:rPr>
            </w:pPr>
            <w:r w:rsidRPr="00CD7D51">
              <w:rPr>
                <w:rFonts w:ascii="Times New Roman" w:hAnsi="Times New Roman" w:cs="Times New Roman"/>
              </w:rPr>
              <w:t>Informe  Criminalístico</w:t>
            </w:r>
          </w:p>
        </w:tc>
        <w:tc>
          <w:tcPr>
            <w:tcW w:w="1221" w:type="dxa"/>
            <w:tcBorders>
              <w:top w:val="nil"/>
              <w:left w:val="single" w:sz="4" w:space="0" w:color="auto"/>
              <w:bottom w:val="nil"/>
              <w:right w:val="nil"/>
            </w:tcBorders>
            <w:shd w:val="clear" w:color="auto" w:fill="auto"/>
            <w:noWrap/>
            <w:vAlign w:val="center"/>
            <w:hideMark/>
          </w:tcPr>
          <w:p w14:paraId="0E54D4CA" w14:textId="77777777" w:rsidR="00E933B3" w:rsidRPr="00CD7D51" w:rsidRDefault="00E933B3" w:rsidP="0065506E">
            <w:pPr>
              <w:jc w:val="center"/>
              <w:rPr>
                <w:rFonts w:ascii="Times New Roman" w:hAnsi="Times New Roman" w:cs="Times New Roman"/>
              </w:rPr>
            </w:pPr>
            <w:r w:rsidRPr="00CD7D51">
              <w:rPr>
                <w:rFonts w:ascii="Times New Roman" w:hAnsi="Times New Roman" w:cs="Times New Roman"/>
              </w:rPr>
              <w:t>5.815</w:t>
            </w:r>
          </w:p>
        </w:tc>
        <w:tc>
          <w:tcPr>
            <w:tcW w:w="1209" w:type="dxa"/>
            <w:tcBorders>
              <w:top w:val="nil"/>
              <w:left w:val="single" w:sz="4" w:space="0" w:color="auto"/>
              <w:bottom w:val="nil"/>
              <w:right w:val="nil"/>
            </w:tcBorders>
            <w:shd w:val="clear" w:color="auto" w:fill="auto"/>
            <w:noWrap/>
            <w:vAlign w:val="center"/>
            <w:hideMark/>
          </w:tcPr>
          <w:p w14:paraId="67740E8A" w14:textId="77777777" w:rsidR="00E933B3" w:rsidRPr="00CD7D51" w:rsidRDefault="00E933B3" w:rsidP="0065506E">
            <w:pPr>
              <w:jc w:val="center"/>
              <w:rPr>
                <w:rFonts w:ascii="Times New Roman" w:hAnsi="Times New Roman" w:cs="Times New Roman"/>
              </w:rPr>
            </w:pPr>
            <w:r w:rsidRPr="00CD7D51">
              <w:rPr>
                <w:rFonts w:ascii="Times New Roman" w:hAnsi="Times New Roman" w:cs="Times New Roman"/>
              </w:rPr>
              <w:t>13,5</w:t>
            </w:r>
          </w:p>
        </w:tc>
      </w:tr>
      <w:tr w:rsidR="00E933B3" w:rsidRPr="00CD7D51" w14:paraId="493C4A99" w14:textId="77777777" w:rsidTr="0065506E">
        <w:trPr>
          <w:jc w:val="center"/>
        </w:trPr>
        <w:tc>
          <w:tcPr>
            <w:tcW w:w="2564" w:type="dxa"/>
            <w:tcBorders>
              <w:top w:val="nil"/>
              <w:left w:val="nil"/>
              <w:bottom w:val="nil"/>
              <w:right w:val="nil"/>
            </w:tcBorders>
            <w:shd w:val="clear" w:color="auto" w:fill="auto"/>
            <w:noWrap/>
            <w:vAlign w:val="center"/>
            <w:hideMark/>
          </w:tcPr>
          <w:p w14:paraId="4EA21FCE" w14:textId="77777777" w:rsidR="00E933B3" w:rsidRPr="00CD7D51" w:rsidRDefault="00E933B3" w:rsidP="0065506E">
            <w:pPr>
              <w:rPr>
                <w:rFonts w:ascii="Times New Roman" w:hAnsi="Times New Roman" w:cs="Times New Roman"/>
              </w:rPr>
            </w:pPr>
            <w:r w:rsidRPr="00CD7D51">
              <w:rPr>
                <w:rFonts w:ascii="Times New Roman" w:hAnsi="Times New Roman" w:cs="Times New Roman"/>
              </w:rPr>
              <w:t>Servicio Finalizado</w:t>
            </w:r>
          </w:p>
        </w:tc>
        <w:tc>
          <w:tcPr>
            <w:tcW w:w="1221" w:type="dxa"/>
            <w:tcBorders>
              <w:top w:val="nil"/>
              <w:left w:val="single" w:sz="4" w:space="0" w:color="auto"/>
              <w:bottom w:val="nil"/>
              <w:right w:val="nil"/>
            </w:tcBorders>
            <w:shd w:val="clear" w:color="auto" w:fill="auto"/>
            <w:noWrap/>
            <w:vAlign w:val="center"/>
            <w:hideMark/>
          </w:tcPr>
          <w:p w14:paraId="3CAAFBC0" w14:textId="77777777" w:rsidR="00E933B3" w:rsidRPr="00CD7D51" w:rsidRDefault="00E933B3" w:rsidP="0065506E">
            <w:pPr>
              <w:jc w:val="center"/>
              <w:rPr>
                <w:rFonts w:ascii="Times New Roman" w:hAnsi="Times New Roman" w:cs="Times New Roman"/>
              </w:rPr>
            </w:pPr>
            <w:r w:rsidRPr="00CD7D51">
              <w:rPr>
                <w:rFonts w:ascii="Times New Roman" w:hAnsi="Times New Roman" w:cs="Times New Roman"/>
              </w:rPr>
              <w:t>128</w:t>
            </w:r>
          </w:p>
        </w:tc>
        <w:tc>
          <w:tcPr>
            <w:tcW w:w="1209" w:type="dxa"/>
            <w:tcBorders>
              <w:top w:val="nil"/>
              <w:left w:val="single" w:sz="4" w:space="0" w:color="auto"/>
              <w:bottom w:val="nil"/>
              <w:right w:val="nil"/>
            </w:tcBorders>
            <w:shd w:val="clear" w:color="auto" w:fill="auto"/>
            <w:noWrap/>
            <w:vAlign w:val="center"/>
            <w:hideMark/>
          </w:tcPr>
          <w:p w14:paraId="0688CD65" w14:textId="77777777" w:rsidR="00E933B3" w:rsidRPr="00CD7D51" w:rsidRDefault="00E933B3" w:rsidP="0065506E">
            <w:pPr>
              <w:jc w:val="center"/>
              <w:rPr>
                <w:rFonts w:ascii="Times New Roman" w:hAnsi="Times New Roman" w:cs="Times New Roman"/>
              </w:rPr>
            </w:pPr>
            <w:r w:rsidRPr="00CD7D51">
              <w:rPr>
                <w:rFonts w:ascii="Times New Roman" w:hAnsi="Times New Roman" w:cs="Times New Roman"/>
              </w:rPr>
              <w:t>0,3</w:t>
            </w:r>
          </w:p>
        </w:tc>
      </w:tr>
      <w:tr w:rsidR="00E933B3" w:rsidRPr="00CD7D51" w14:paraId="1CF7EC5F" w14:textId="77777777" w:rsidTr="0065506E">
        <w:trPr>
          <w:jc w:val="center"/>
        </w:trPr>
        <w:tc>
          <w:tcPr>
            <w:tcW w:w="2564" w:type="dxa"/>
            <w:tcBorders>
              <w:top w:val="nil"/>
              <w:left w:val="nil"/>
              <w:bottom w:val="single" w:sz="4" w:space="0" w:color="auto"/>
              <w:right w:val="nil"/>
            </w:tcBorders>
            <w:shd w:val="clear" w:color="auto" w:fill="auto"/>
            <w:noWrap/>
            <w:vAlign w:val="center"/>
            <w:hideMark/>
          </w:tcPr>
          <w:p w14:paraId="29069E2F" w14:textId="77777777" w:rsidR="00E933B3" w:rsidRPr="00CD7D51" w:rsidRDefault="00E933B3" w:rsidP="0065506E">
            <w:pPr>
              <w:rPr>
                <w:rFonts w:ascii="Times New Roman" w:hAnsi="Times New Roman" w:cs="Times New Roman"/>
              </w:rPr>
            </w:pPr>
            <w:r w:rsidRPr="00CD7D51">
              <w:rPr>
                <w:rFonts w:ascii="Times New Roman" w:hAnsi="Times New Roman" w:cs="Times New Roman"/>
              </w:rPr>
              <w:t> </w:t>
            </w:r>
          </w:p>
        </w:tc>
        <w:tc>
          <w:tcPr>
            <w:tcW w:w="1221" w:type="dxa"/>
            <w:tcBorders>
              <w:top w:val="nil"/>
              <w:left w:val="single" w:sz="4" w:space="0" w:color="auto"/>
              <w:bottom w:val="single" w:sz="4" w:space="0" w:color="auto"/>
              <w:right w:val="nil"/>
            </w:tcBorders>
            <w:shd w:val="clear" w:color="auto" w:fill="auto"/>
            <w:noWrap/>
            <w:vAlign w:val="center"/>
            <w:hideMark/>
          </w:tcPr>
          <w:p w14:paraId="7DEF394D" w14:textId="77777777" w:rsidR="00E933B3" w:rsidRPr="00CD7D51" w:rsidRDefault="00E933B3" w:rsidP="0065506E">
            <w:pPr>
              <w:jc w:val="center"/>
              <w:rPr>
                <w:rFonts w:ascii="Times New Roman" w:hAnsi="Times New Roman" w:cs="Times New Roman"/>
              </w:rPr>
            </w:pPr>
            <w:r w:rsidRPr="00CD7D51">
              <w:rPr>
                <w:rFonts w:ascii="Times New Roman" w:hAnsi="Times New Roman" w:cs="Times New Roman"/>
              </w:rPr>
              <w:t> </w:t>
            </w:r>
          </w:p>
        </w:tc>
        <w:tc>
          <w:tcPr>
            <w:tcW w:w="1209" w:type="dxa"/>
            <w:tcBorders>
              <w:top w:val="nil"/>
              <w:left w:val="single" w:sz="4" w:space="0" w:color="auto"/>
              <w:bottom w:val="single" w:sz="4" w:space="0" w:color="auto"/>
              <w:right w:val="nil"/>
            </w:tcBorders>
            <w:shd w:val="clear" w:color="auto" w:fill="auto"/>
            <w:noWrap/>
            <w:vAlign w:val="center"/>
            <w:hideMark/>
          </w:tcPr>
          <w:p w14:paraId="5D764312" w14:textId="77777777" w:rsidR="00E933B3" w:rsidRPr="00CD7D51" w:rsidRDefault="00E933B3" w:rsidP="0065506E">
            <w:pPr>
              <w:jc w:val="center"/>
              <w:rPr>
                <w:rFonts w:ascii="Times New Roman" w:hAnsi="Times New Roman" w:cs="Times New Roman"/>
              </w:rPr>
            </w:pPr>
            <w:r w:rsidRPr="00CD7D51">
              <w:rPr>
                <w:rFonts w:ascii="Times New Roman" w:hAnsi="Times New Roman" w:cs="Times New Roman"/>
              </w:rPr>
              <w:t> </w:t>
            </w:r>
          </w:p>
        </w:tc>
      </w:tr>
    </w:tbl>
    <w:p w14:paraId="6E33C263" w14:textId="77777777" w:rsidR="00E933B3" w:rsidRPr="00CD7D51" w:rsidRDefault="00E933B3" w:rsidP="00E933B3">
      <w:pPr>
        <w:jc w:val="both"/>
        <w:rPr>
          <w:rFonts w:ascii="Times New Roman" w:hAnsi="Times New Roman" w:cs="Times New Roman"/>
        </w:rPr>
      </w:pPr>
    </w:p>
    <w:p w14:paraId="52B553EA"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En la siguiente imagen se ilustra la composición porcentual de los casos terminados en el Departamento de Ciencias Forenses, según el motivo de término durante el 2015. </w:t>
      </w:r>
    </w:p>
    <w:p w14:paraId="11610CE8" w14:textId="77777777" w:rsidR="00E933B3" w:rsidRPr="00CD7D51" w:rsidRDefault="00E933B3" w:rsidP="00E933B3">
      <w:pPr>
        <w:jc w:val="both"/>
        <w:rPr>
          <w:rFonts w:ascii="Times New Roman" w:hAnsi="Times New Roman" w:cs="Times New Roman"/>
        </w:rPr>
      </w:pPr>
    </w:p>
    <w:p w14:paraId="5338CC0A" w14:textId="77777777" w:rsidR="00E933B3" w:rsidRPr="00CD7D51" w:rsidRDefault="00E933B3" w:rsidP="00E933B3">
      <w:pPr>
        <w:jc w:val="center"/>
        <w:rPr>
          <w:rFonts w:ascii="Times New Roman" w:hAnsi="Times New Roman" w:cs="Times New Roman"/>
        </w:rPr>
      </w:pPr>
      <w:r>
        <w:rPr>
          <w:rFonts w:ascii="Times New Roman" w:hAnsi="Times New Roman" w:cs="Times New Roman"/>
          <w:noProof/>
          <w:lang w:val="es-CR" w:eastAsia="es-CR"/>
        </w:rPr>
        <w:drawing>
          <wp:inline distT="0" distB="0" distL="0" distR="0" wp14:anchorId="76DF1C44" wp14:editId="684C605A">
            <wp:extent cx="4919345" cy="3332480"/>
            <wp:effectExtent l="0" t="0" r="0" b="0"/>
            <wp:docPr id="2"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F87878" w14:textId="77777777" w:rsidR="00E933B3" w:rsidRPr="00CD7D51" w:rsidRDefault="00E933B3" w:rsidP="00E933B3">
      <w:pPr>
        <w:jc w:val="both"/>
        <w:rPr>
          <w:rFonts w:ascii="Times New Roman" w:hAnsi="Times New Roman" w:cs="Times New Roman"/>
        </w:rPr>
      </w:pPr>
    </w:p>
    <w:p w14:paraId="0B326F76" w14:textId="77777777" w:rsidR="00E933B3" w:rsidRPr="00CD7D51" w:rsidRDefault="00E933B3" w:rsidP="00E933B3">
      <w:pPr>
        <w:jc w:val="both"/>
        <w:rPr>
          <w:rFonts w:ascii="Times New Roman" w:hAnsi="Times New Roman" w:cs="Times New Roman"/>
        </w:rPr>
      </w:pPr>
    </w:p>
    <w:p w14:paraId="28EAA982" w14:textId="77777777" w:rsidR="00E933B3" w:rsidRPr="00CD7D51" w:rsidRDefault="00E933B3" w:rsidP="00E933B3">
      <w:pPr>
        <w:pStyle w:val="ListParagraph"/>
        <w:numPr>
          <w:ilvl w:val="0"/>
          <w:numId w:val="2"/>
        </w:numPr>
        <w:spacing w:line="360" w:lineRule="auto"/>
        <w:ind w:left="567" w:hanging="567"/>
        <w:contextualSpacing/>
        <w:jc w:val="both"/>
        <w:rPr>
          <w:rFonts w:ascii="Times New Roman" w:hAnsi="Times New Roman" w:cs="Times New Roman"/>
          <w:sz w:val="26"/>
          <w:szCs w:val="26"/>
        </w:rPr>
      </w:pPr>
      <w:r w:rsidRPr="00CD7D51">
        <w:rPr>
          <w:rFonts w:ascii="Times New Roman" w:hAnsi="Times New Roman" w:cs="Times New Roman"/>
          <w:b/>
          <w:sz w:val="26"/>
          <w:szCs w:val="26"/>
        </w:rPr>
        <w:t xml:space="preserve">Indicadores estadísticos. </w:t>
      </w:r>
      <w:r w:rsidRPr="00CD7D51">
        <w:rPr>
          <w:rFonts w:ascii="Times New Roman" w:hAnsi="Times New Roman" w:cs="Times New Roman"/>
          <w:sz w:val="26"/>
          <w:szCs w:val="26"/>
        </w:rPr>
        <w:t xml:space="preserve"> </w:t>
      </w:r>
    </w:p>
    <w:p w14:paraId="4D759713" w14:textId="77777777" w:rsidR="00E933B3" w:rsidRPr="00CD7D51" w:rsidRDefault="00E933B3" w:rsidP="00E933B3">
      <w:pPr>
        <w:spacing w:line="360" w:lineRule="auto"/>
        <w:jc w:val="both"/>
        <w:rPr>
          <w:rFonts w:ascii="Times New Roman" w:hAnsi="Times New Roman" w:cs="Times New Roman"/>
        </w:rPr>
      </w:pPr>
    </w:p>
    <w:p w14:paraId="33318C3E"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En el Departamento de Laboratorio de Ciencias Forenses se propuso una serie de indicadores de producción, debidamente revisados, validados y aprobados por la Dirección del Organismo de Investigación Judicial (OIJ), que fueron evaluados en función de su utilidad, así como de su correcta </w:t>
      </w:r>
      <w:r w:rsidRPr="00CD7D51">
        <w:rPr>
          <w:rFonts w:ascii="Times New Roman" w:hAnsi="Times New Roman" w:cs="Times New Roman"/>
        </w:rPr>
        <w:lastRenderedPageBreak/>
        <w:t xml:space="preserve">aplicación y de su funcionalidad, para efectos de medir las principales labores que se desarrollan en el Departamento, en procura de una adecuada toma de decisiones institucionales.  </w:t>
      </w:r>
    </w:p>
    <w:p w14:paraId="0EDE0649" w14:textId="77777777" w:rsidR="00E933B3" w:rsidRPr="00CD7D51" w:rsidRDefault="00E933B3" w:rsidP="00E933B3">
      <w:pPr>
        <w:spacing w:line="360" w:lineRule="auto"/>
        <w:jc w:val="both"/>
        <w:rPr>
          <w:rFonts w:ascii="Times New Roman" w:hAnsi="Times New Roman" w:cs="Times New Roman"/>
        </w:rPr>
      </w:pPr>
    </w:p>
    <w:p w14:paraId="76A3D73D"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A continuación se describe la naturaleza de estos indicadores: </w:t>
      </w:r>
    </w:p>
    <w:p w14:paraId="06852C42" w14:textId="77777777" w:rsidR="00E933B3" w:rsidRPr="00CD7D51" w:rsidRDefault="00E933B3" w:rsidP="00E933B3">
      <w:pPr>
        <w:spacing w:line="360" w:lineRule="auto"/>
        <w:jc w:val="both"/>
        <w:rPr>
          <w:rFonts w:ascii="Times New Roman" w:hAnsi="Times New Roman" w:cs="Times New Roman"/>
        </w:rPr>
      </w:pPr>
    </w:p>
    <w:p w14:paraId="3DFFA56F" w14:textId="77777777" w:rsidR="00E933B3" w:rsidRPr="00CD7D51" w:rsidRDefault="00E933B3" w:rsidP="00E933B3">
      <w:pPr>
        <w:widowControl/>
        <w:numPr>
          <w:ilvl w:val="0"/>
          <w:numId w:val="3"/>
        </w:numPr>
        <w:autoSpaceDE/>
        <w:autoSpaceDN/>
        <w:adjustRightInd/>
        <w:spacing w:line="360" w:lineRule="auto"/>
        <w:ind w:left="284" w:hanging="284"/>
        <w:jc w:val="both"/>
        <w:rPr>
          <w:rFonts w:ascii="Times New Roman" w:hAnsi="Times New Roman" w:cs="Times New Roman"/>
        </w:rPr>
      </w:pPr>
      <w:r w:rsidRPr="00CD7D51">
        <w:rPr>
          <w:rFonts w:ascii="Times New Roman" w:hAnsi="Times New Roman" w:cs="Times New Roman"/>
          <w:b/>
        </w:rPr>
        <w:t>Capacidad de respuesta</w:t>
      </w:r>
      <w:r w:rsidRPr="00CD7D51">
        <w:rPr>
          <w:rFonts w:ascii="Times New Roman" w:hAnsi="Times New Roman" w:cs="Times New Roman"/>
        </w:rPr>
        <w:t xml:space="preserve">: corresponde al tiempo en meses, requerido para concluir todos los casos pendientes si se mantiene el ritmo de salida de casos de los últimos 12 meses. </w:t>
      </w:r>
    </w:p>
    <w:p w14:paraId="137A7BC7" w14:textId="77777777" w:rsidR="00E933B3" w:rsidRPr="00CD7D51" w:rsidRDefault="00E933B3" w:rsidP="00E933B3">
      <w:pPr>
        <w:spacing w:line="360" w:lineRule="auto"/>
        <w:jc w:val="both"/>
        <w:rPr>
          <w:rFonts w:ascii="Times New Roman" w:hAnsi="Times New Roman" w:cs="Times New Roman"/>
        </w:rPr>
      </w:pPr>
    </w:p>
    <w:p w14:paraId="5CEB3CB6" w14:textId="77777777" w:rsidR="00E933B3" w:rsidRPr="00CD7D51" w:rsidRDefault="00E933B3" w:rsidP="00E933B3">
      <w:pPr>
        <w:spacing w:line="360" w:lineRule="auto"/>
        <w:ind w:left="284"/>
        <w:jc w:val="both"/>
        <w:rPr>
          <w:rFonts w:ascii="Times New Roman" w:hAnsi="Times New Roman" w:cs="Times New Roman"/>
        </w:rPr>
      </w:pPr>
      <w:r w:rsidRPr="00CD7D51">
        <w:rPr>
          <w:rFonts w:ascii="Times New Roman" w:hAnsi="Times New Roman" w:cs="Times New Roman"/>
        </w:rPr>
        <w:t xml:space="preserve">Para ello, se calcula en un primer momento el promedio mensual de casos terminados, durante los últimos doce meses, lo cual se constituye en la “Capacidad Mensual de Finiquito” y se refiere al denominador, para el cálculo de una fracción, cuyo numerador es el número de casos pendientes al finalizar un período determinado. </w:t>
      </w:r>
    </w:p>
    <w:p w14:paraId="4784ED88" w14:textId="77777777" w:rsidR="00E933B3" w:rsidRPr="00CD7D51" w:rsidRDefault="00E933B3" w:rsidP="00E933B3">
      <w:pPr>
        <w:spacing w:line="360" w:lineRule="auto"/>
        <w:jc w:val="both"/>
        <w:rPr>
          <w:rFonts w:ascii="Times New Roman" w:hAnsi="Times New Roman" w:cs="Times New Roman"/>
        </w:rPr>
      </w:pPr>
    </w:p>
    <w:p w14:paraId="519944F6" w14:textId="77777777" w:rsidR="00E933B3" w:rsidRPr="00CD7D51" w:rsidRDefault="00E933B3" w:rsidP="00E933B3">
      <w:pPr>
        <w:widowControl/>
        <w:numPr>
          <w:ilvl w:val="0"/>
          <w:numId w:val="3"/>
        </w:numPr>
        <w:autoSpaceDE/>
        <w:autoSpaceDN/>
        <w:adjustRightInd/>
        <w:spacing w:line="360" w:lineRule="auto"/>
        <w:ind w:left="284" w:hanging="284"/>
        <w:jc w:val="both"/>
        <w:rPr>
          <w:rFonts w:ascii="Times New Roman" w:hAnsi="Times New Roman" w:cs="Times New Roman"/>
        </w:rPr>
      </w:pPr>
      <w:r w:rsidRPr="00CD7D51">
        <w:rPr>
          <w:rFonts w:ascii="Times New Roman" w:hAnsi="Times New Roman" w:cs="Times New Roman"/>
          <w:b/>
        </w:rPr>
        <w:t>Productividad por Sección</w:t>
      </w:r>
      <w:r w:rsidRPr="00CD7D51">
        <w:rPr>
          <w:rFonts w:ascii="Times New Roman" w:hAnsi="Times New Roman" w:cs="Times New Roman"/>
        </w:rPr>
        <w:t xml:space="preserve">: es un porcentaje calculado por Sección, obtenido de la división de la sumatoria de horas empleadas en cada tarea dentro del desarrollo de un peritaje, entre el tiempo disponible para efectuar dichas labores en forma global, multiplicada por 100. </w:t>
      </w:r>
    </w:p>
    <w:p w14:paraId="7FF760F0" w14:textId="77777777" w:rsidR="00E933B3" w:rsidRPr="00CD7D51" w:rsidRDefault="00E933B3" w:rsidP="00E933B3">
      <w:pPr>
        <w:spacing w:line="360" w:lineRule="auto"/>
        <w:jc w:val="both"/>
        <w:rPr>
          <w:rFonts w:ascii="Times New Roman" w:hAnsi="Times New Roman" w:cs="Times New Roman"/>
        </w:rPr>
      </w:pPr>
    </w:p>
    <w:p w14:paraId="504ED3A5" w14:textId="77777777" w:rsidR="00E933B3" w:rsidRPr="00CD7D51" w:rsidRDefault="00E933B3" w:rsidP="00E933B3">
      <w:pPr>
        <w:widowControl/>
        <w:numPr>
          <w:ilvl w:val="0"/>
          <w:numId w:val="3"/>
        </w:numPr>
        <w:autoSpaceDE/>
        <w:autoSpaceDN/>
        <w:adjustRightInd/>
        <w:spacing w:line="360" w:lineRule="auto"/>
        <w:ind w:left="284" w:hanging="284"/>
        <w:jc w:val="both"/>
        <w:rPr>
          <w:rFonts w:ascii="Times New Roman" w:hAnsi="Times New Roman" w:cs="Times New Roman"/>
        </w:rPr>
      </w:pPr>
      <w:r w:rsidRPr="00CD7D51">
        <w:rPr>
          <w:rFonts w:ascii="Times New Roman" w:hAnsi="Times New Roman" w:cs="Times New Roman"/>
          <w:b/>
        </w:rPr>
        <w:t>Antigüedad del pendiente</w:t>
      </w:r>
      <w:r w:rsidRPr="00CD7D51">
        <w:rPr>
          <w:rFonts w:ascii="Times New Roman" w:hAnsi="Times New Roman" w:cs="Times New Roman"/>
        </w:rPr>
        <w:t xml:space="preserve">: es el porcentaje que contempla, en forma ponderada, la cantidad de casos pendientes, según su antigüedad. </w:t>
      </w:r>
    </w:p>
    <w:p w14:paraId="7B1A2F8A" w14:textId="77777777" w:rsidR="00E933B3" w:rsidRPr="00CD7D51" w:rsidRDefault="00E933B3" w:rsidP="00E933B3">
      <w:pPr>
        <w:pStyle w:val="ListParagraph"/>
        <w:rPr>
          <w:rFonts w:ascii="Times New Roman" w:hAnsi="Times New Roman" w:cs="Times New Roman"/>
        </w:rPr>
      </w:pPr>
    </w:p>
    <w:p w14:paraId="369EAFBA" w14:textId="77777777" w:rsidR="00E933B3" w:rsidRPr="00CD7D51" w:rsidRDefault="00E933B3" w:rsidP="00E933B3">
      <w:pPr>
        <w:spacing w:line="360" w:lineRule="auto"/>
        <w:ind w:left="284"/>
        <w:jc w:val="both"/>
        <w:rPr>
          <w:rFonts w:ascii="Times New Roman" w:hAnsi="Times New Roman" w:cs="Times New Roman"/>
        </w:rPr>
      </w:pPr>
      <w:r w:rsidRPr="00CD7D51">
        <w:rPr>
          <w:rFonts w:ascii="Times New Roman" w:hAnsi="Times New Roman" w:cs="Times New Roman"/>
        </w:rPr>
        <w:t xml:space="preserve">Para ello, se calcula restando primero al circulante final la cantidad que se encuentra por debajo del rango de trabajo esperado de los casos, que es de cero a los dos meses. Posteriormente, el pendiente que supera este límite de tiempo se pondera mediante un factor y el resultado obtenido se divide entre el volumen total de casos pendientes y se multiplica por 100. </w:t>
      </w:r>
    </w:p>
    <w:p w14:paraId="00C8504F" w14:textId="77777777" w:rsidR="00E933B3" w:rsidRPr="00CD7D51" w:rsidRDefault="00E933B3" w:rsidP="00E933B3">
      <w:pPr>
        <w:spacing w:line="360" w:lineRule="auto"/>
        <w:jc w:val="both"/>
        <w:rPr>
          <w:rFonts w:ascii="Times New Roman" w:hAnsi="Times New Roman" w:cs="Times New Roman"/>
        </w:rPr>
      </w:pPr>
    </w:p>
    <w:p w14:paraId="1FBDA318" w14:textId="77777777" w:rsidR="00E933B3" w:rsidRPr="00CD7D51" w:rsidRDefault="00E933B3" w:rsidP="00E933B3">
      <w:pPr>
        <w:widowControl/>
        <w:numPr>
          <w:ilvl w:val="0"/>
          <w:numId w:val="3"/>
        </w:numPr>
        <w:autoSpaceDE/>
        <w:autoSpaceDN/>
        <w:adjustRightInd/>
        <w:spacing w:line="360" w:lineRule="auto"/>
        <w:ind w:left="284" w:hanging="284"/>
        <w:jc w:val="both"/>
        <w:rPr>
          <w:rFonts w:ascii="Times New Roman" w:hAnsi="Times New Roman" w:cs="Times New Roman"/>
        </w:rPr>
      </w:pPr>
      <w:r w:rsidRPr="00CD7D51">
        <w:rPr>
          <w:rFonts w:ascii="Times New Roman" w:hAnsi="Times New Roman" w:cs="Times New Roman"/>
          <w:b/>
        </w:rPr>
        <w:t>Tiempo Procesamiento de un Caso</w:t>
      </w:r>
      <w:r w:rsidRPr="00CD7D51">
        <w:rPr>
          <w:rFonts w:ascii="Times New Roman" w:hAnsi="Times New Roman" w:cs="Times New Roman"/>
        </w:rPr>
        <w:t xml:space="preserve">: se refiere al tiempo que tarda un caso en ser despachado, desde que ingresa la solicitud, hasta que se envía a la autoridad que corresponda. </w:t>
      </w:r>
    </w:p>
    <w:p w14:paraId="492692A1" w14:textId="77777777" w:rsidR="00E933B3" w:rsidRPr="00CD7D51" w:rsidRDefault="00E933B3" w:rsidP="00E933B3">
      <w:pPr>
        <w:spacing w:line="360" w:lineRule="auto"/>
        <w:jc w:val="both"/>
        <w:rPr>
          <w:rFonts w:ascii="Times New Roman" w:hAnsi="Times New Roman" w:cs="Times New Roman"/>
          <w:b/>
        </w:rPr>
      </w:pPr>
    </w:p>
    <w:p w14:paraId="67D417B2" w14:textId="77777777" w:rsidR="00E933B3" w:rsidRPr="00CD7D51" w:rsidRDefault="00E933B3" w:rsidP="00E933B3">
      <w:pPr>
        <w:spacing w:line="360" w:lineRule="auto"/>
        <w:ind w:left="284"/>
        <w:jc w:val="both"/>
        <w:rPr>
          <w:rFonts w:ascii="Times New Roman" w:hAnsi="Times New Roman" w:cs="Times New Roman"/>
        </w:rPr>
      </w:pPr>
      <w:r w:rsidRPr="00CD7D51">
        <w:rPr>
          <w:rFonts w:ascii="Times New Roman" w:hAnsi="Times New Roman" w:cs="Times New Roman"/>
        </w:rPr>
        <w:lastRenderedPageBreak/>
        <w:t xml:space="preserve">De esta manera, se promedia para cada pericia el resultado de restar a la fecha de finalización (o fecha de despacho) la fecha de ingreso a la Sección. Se encuentra expresado en días, pero puede expresarse en otras unidades de tiempo. Aplica solamente para informes y dictámenes. </w:t>
      </w:r>
    </w:p>
    <w:p w14:paraId="4E9DEAB8" w14:textId="77777777" w:rsidR="00E933B3" w:rsidRPr="00CD7D51" w:rsidRDefault="00E933B3" w:rsidP="00E933B3">
      <w:pPr>
        <w:spacing w:line="360" w:lineRule="auto"/>
        <w:jc w:val="both"/>
        <w:rPr>
          <w:rFonts w:ascii="Times New Roman" w:hAnsi="Times New Roman" w:cs="Times New Roman"/>
        </w:rPr>
      </w:pPr>
    </w:p>
    <w:p w14:paraId="1B4273A1" w14:textId="77777777" w:rsidR="00E933B3" w:rsidRPr="00CD7D51" w:rsidRDefault="00E933B3" w:rsidP="00E933B3">
      <w:pPr>
        <w:spacing w:line="360" w:lineRule="auto"/>
        <w:jc w:val="both"/>
        <w:rPr>
          <w:rFonts w:ascii="Times New Roman" w:hAnsi="Times New Roman" w:cs="Times New Roman"/>
        </w:rPr>
      </w:pPr>
    </w:p>
    <w:p w14:paraId="5F5AB8B5" w14:textId="77777777" w:rsidR="00E933B3" w:rsidRPr="00CD7D51" w:rsidRDefault="00E933B3" w:rsidP="00E933B3">
      <w:pPr>
        <w:spacing w:line="360" w:lineRule="auto"/>
        <w:jc w:val="both"/>
        <w:rPr>
          <w:rFonts w:ascii="Times New Roman" w:hAnsi="Times New Roman" w:cs="Times New Roman"/>
        </w:rPr>
      </w:pPr>
    </w:p>
    <w:p w14:paraId="366CF410" w14:textId="77777777" w:rsidR="00E933B3" w:rsidRPr="00CD7D51" w:rsidRDefault="00E933B3" w:rsidP="00E933B3">
      <w:pPr>
        <w:spacing w:line="360" w:lineRule="auto"/>
        <w:jc w:val="both"/>
        <w:rPr>
          <w:rFonts w:ascii="Times New Roman" w:hAnsi="Times New Roman" w:cs="Times New Roman"/>
        </w:rPr>
      </w:pPr>
    </w:p>
    <w:p w14:paraId="0CDBCA67" w14:textId="77777777" w:rsidR="00E933B3" w:rsidRPr="00CD7D51" w:rsidRDefault="00E933B3" w:rsidP="00E933B3">
      <w:pPr>
        <w:spacing w:line="360" w:lineRule="auto"/>
        <w:jc w:val="both"/>
        <w:rPr>
          <w:rFonts w:ascii="Times New Roman" w:hAnsi="Times New Roman" w:cs="Times New Roman"/>
        </w:rPr>
      </w:pPr>
    </w:p>
    <w:p w14:paraId="66F09AEC" w14:textId="77777777" w:rsidR="00E933B3" w:rsidRPr="00CD7D51" w:rsidRDefault="00E933B3" w:rsidP="00E933B3">
      <w:pPr>
        <w:spacing w:line="360" w:lineRule="auto"/>
        <w:jc w:val="both"/>
        <w:rPr>
          <w:rFonts w:ascii="Times New Roman" w:hAnsi="Times New Roman" w:cs="Times New Roman"/>
        </w:rPr>
      </w:pPr>
    </w:p>
    <w:p w14:paraId="377430D8" w14:textId="77777777" w:rsidR="00E933B3" w:rsidRPr="00CD7D51" w:rsidRDefault="00E933B3" w:rsidP="00E933B3">
      <w:pPr>
        <w:spacing w:line="360" w:lineRule="auto"/>
        <w:jc w:val="both"/>
        <w:rPr>
          <w:rFonts w:ascii="Times New Roman" w:hAnsi="Times New Roman" w:cs="Times New Roman"/>
        </w:rPr>
      </w:pPr>
    </w:p>
    <w:p w14:paraId="7F829187"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 </w:t>
      </w:r>
    </w:p>
    <w:p w14:paraId="4F15D7AF" w14:textId="77777777" w:rsidR="00E933B3" w:rsidRPr="00CD7D51" w:rsidRDefault="00E933B3" w:rsidP="00E933B3">
      <w:pPr>
        <w:spacing w:line="360" w:lineRule="auto"/>
        <w:jc w:val="both"/>
        <w:rPr>
          <w:rFonts w:ascii="Times New Roman" w:hAnsi="Times New Roman" w:cs="Times New Roman"/>
        </w:rPr>
      </w:pPr>
    </w:p>
    <w:p w14:paraId="1400474B" w14:textId="77777777" w:rsidR="00E933B3" w:rsidRPr="00CD7D51" w:rsidRDefault="00E933B3" w:rsidP="00E933B3">
      <w:pPr>
        <w:spacing w:line="360" w:lineRule="auto"/>
        <w:jc w:val="both"/>
        <w:rPr>
          <w:rFonts w:ascii="Times New Roman" w:hAnsi="Times New Roman" w:cs="Times New Roman"/>
        </w:rPr>
      </w:pPr>
    </w:p>
    <w:p w14:paraId="69BBBF3E" w14:textId="77777777" w:rsidR="00E933B3" w:rsidRPr="00CD7D51" w:rsidRDefault="00E933B3" w:rsidP="00E933B3">
      <w:pPr>
        <w:spacing w:line="360" w:lineRule="auto"/>
        <w:jc w:val="both"/>
        <w:rPr>
          <w:rFonts w:ascii="Times New Roman" w:hAnsi="Times New Roman" w:cs="Times New Roman"/>
        </w:rPr>
      </w:pPr>
    </w:p>
    <w:p w14:paraId="62A493CC"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 </w:t>
      </w:r>
    </w:p>
    <w:p w14:paraId="5EC6F6FD" w14:textId="77777777" w:rsidR="00E933B3" w:rsidRPr="00CD7D51" w:rsidRDefault="00E933B3" w:rsidP="00E933B3">
      <w:pPr>
        <w:spacing w:line="360" w:lineRule="auto"/>
        <w:jc w:val="both"/>
        <w:rPr>
          <w:rFonts w:ascii="Times New Roman" w:hAnsi="Times New Roman" w:cs="Times New Roman"/>
        </w:rPr>
      </w:pPr>
    </w:p>
    <w:p w14:paraId="11FE27BF" w14:textId="77777777" w:rsidR="00E933B3" w:rsidRPr="00CD7D51" w:rsidRDefault="00E933B3" w:rsidP="00E933B3">
      <w:pPr>
        <w:spacing w:line="360" w:lineRule="auto"/>
        <w:jc w:val="both"/>
        <w:rPr>
          <w:rFonts w:ascii="Times New Roman" w:hAnsi="Times New Roman" w:cs="Times New Roman"/>
        </w:rPr>
      </w:pPr>
      <w:r w:rsidRPr="00CD7D51">
        <w:rPr>
          <w:rFonts w:ascii="Times New Roman" w:hAnsi="Times New Roman" w:cs="Times New Roman"/>
        </w:rPr>
        <w:t xml:space="preserve">  </w:t>
      </w:r>
    </w:p>
    <w:p w14:paraId="5E478A13" w14:textId="77777777" w:rsidR="00E933B3" w:rsidRPr="00CD7D51" w:rsidRDefault="00E933B3" w:rsidP="00E933B3">
      <w:pPr>
        <w:jc w:val="right"/>
        <w:rPr>
          <w:rFonts w:ascii="Times New Roman" w:hAnsi="Times New Roman" w:cs="Times New Roman"/>
          <w:color w:val="008000"/>
        </w:rPr>
      </w:pPr>
    </w:p>
    <w:p w14:paraId="7988E3E0" w14:textId="77777777" w:rsidR="000A10A2" w:rsidRDefault="000A10A2"/>
    <w:sectPr w:rsidR="000A10A2" w:rsidSect="00773A60">
      <w:pgSz w:w="12242" w:h="15842" w:code="1"/>
      <w:pgMar w:top="13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EBE01" w14:textId="77777777" w:rsidR="002821DA" w:rsidRDefault="002821DA" w:rsidP="00B16DA6">
      <w:r>
        <w:separator/>
      </w:r>
    </w:p>
  </w:endnote>
  <w:endnote w:type="continuationSeparator" w:id="0">
    <w:p w14:paraId="1811DE39" w14:textId="77777777" w:rsidR="002821DA" w:rsidRDefault="002821DA" w:rsidP="00B1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26A4C" w14:textId="77777777" w:rsidR="00A0725E" w:rsidRDefault="00207208">
    <w:pPr>
      <w:pStyle w:val="Footer"/>
      <w:jc w:val="right"/>
    </w:pPr>
    <w:r>
      <w:fldChar w:fldCharType="begin"/>
    </w:r>
    <w:r w:rsidR="00E933B3">
      <w:instrText xml:space="preserve"> PAGE   \* MERGEFORMAT </w:instrText>
    </w:r>
    <w:r>
      <w:fldChar w:fldCharType="separate"/>
    </w:r>
    <w:r w:rsidR="0019023C">
      <w:rPr>
        <w:noProof/>
      </w:rPr>
      <w:t>2</w:t>
    </w:r>
    <w:r>
      <w:fldChar w:fldCharType="end"/>
    </w:r>
  </w:p>
  <w:p w14:paraId="73A4D600" w14:textId="77777777" w:rsidR="00A0725E" w:rsidRDefault="00E933B3" w:rsidP="00773A60">
    <w:pPr>
      <w:pBdr>
        <w:top w:val="single" w:sz="4" w:space="1" w:color="auto"/>
      </w:pBdr>
      <w:ind w:right="360"/>
      <w:jc w:val="center"/>
      <w:rPr>
        <w:rFonts w:ascii="Book Antiqua" w:hAnsi="Book Antiqua"/>
        <w:b/>
        <w:bCs/>
        <w:color w:val="000000"/>
      </w:rPr>
    </w:pPr>
    <w:r w:rsidRPr="0036463A">
      <w:rPr>
        <w:rFonts w:ascii="Book Antiqua" w:hAnsi="Book Antiqua"/>
        <w:b/>
        <w:bCs/>
        <w:color w:val="000000"/>
      </w:rPr>
      <w:t xml:space="preserve">Trabajamos por el desarrollo de la administración de justicia         </w:t>
    </w:r>
  </w:p>
  <w:p w14:paraId="15B2A986" w14:textId="77777777" w:rsidR="00A0725E" w:rsidRPr="0036463A" w:rsidRDefault="00E933B3" w:rsidP="00773A60">
    <w:pPr>
      <w:pBdr>
        <w:top w:val="single" w:sz="4" w:space="1" w:color="auto"/>
      </w:pBdr>
      <w:ind w:right="360"/>
      <w:jc w:val="center"/>
      <w:rPr>
        <w:rFonts w:ascii="Book Antiqua" w:hAnsi="Book Antiqua"/>
        <w:b/>
        <w:bCs/>
        <w:color w:val="000000"/>
      </w:rPr>
    </w:pPr>
    <w:r w:rsidRPr="0036463A">
      <w:rPr>
        <w:rFonts w:ascii="Book Antiqua" w:hAnsi="Book Antiqua"/>
        <w:b/>
        <w:bCs/>
        <w:color w:val="000000"/>
      </w:rPr>
      <w:t>con proyección e innovación</w:t>
    </w:r>
  </w:p>
  <w:p w14:paraId="021E4656" w14:textId="77777777" w:rsidR="00A0725E" w:rsidRDefault="0028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74011" w14:textId="77777777" w:rsidR="002821DA" w:rsidRDefault="002821DA" w:rsidP="00B16DA6">
      <w:r>
        <w:separator/>
      </w:r>
    </w:p>
  </w:footnote>
  <w:footnote w:type="continuationSeparator" w:id="0">
    <w:p w14:paraId="130CBF86" w14:textId="77777777" w:rsidR="002821DA" w:rsidRDefault="002821DA" w:rsidP="00B16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78653" w14:textId="77777777" w:rsidR="00A0725E" w:rsidRDefault="002821DA" w:rsidP="00773A60">
    <w:pPr>
      <w:framePr w:w="640" w:hSpace="141" w:wrap="auto" w:vAnchor="text" w:hAnchor="margin" w:x="8456" w:y="-91"/>
    </w:pPr>
  </w:p>
  <w:p w14:paraId="1DC8DDEB" w14:textId="77777777" w:rsidR="00A0725E" w:rsidRDefault="00E933B3" w:rsidP="00773A60">
    <w:pPr>
      <w:pStyle w:val="Header"/>
      <w:tabs>
        <w:tab w:val="clear" w:pos="4252"/>
        <w:tab w:val="clear" w:pos="8504"/>
        <w:tab w:val="center" w:pos="8804"/>
        <w:tab w:val="right" w:pos="8875"/>
      </w:tabs>
      <w:jc w:val="center"/>
      <w:rPr>
        <w:rFonts w:ascii="Book Antiqua" w:hAnsi="Book Antiqua" w:cs="Book Antiqua"/>
        <w:i/>
        <w:iCs/>
        <w:sz w:val="18"/>
        <w:szCs w:val="18"/>
      </w:rPr>
    </w:pPr>
    <w:r>
      <w:rPr>
        <w:rFonts w:ascii="Book Antiqua" w:hAnsi="Book Antiqua" w:cs="Book Antiqua"/>
        <w:i/>
        <w:iCs/>
        <w:sz w:val="18"/>
        <w:szCs w:val="18"/>
      </w:rPr>
      <w:t xml:space="preserve">Poder Judicial – </w:t>
    </w:r>
    <w:proofErr w:type="gramStart"/>
    <w:r>
      <w:rPr>
        <w:rFonts w:ascii="Book Antiqua" w:hAnsi="Book Antiqua" w:cs="Book Antiqua"/>
        <w:i/>
        <w:iCs/>
        <w:sz w:val="18"/>
        <w:szCs w:val="18"/>
      </w:rPr>
      <w:t>Dirección  de</w:t>
    </w:r>
    <w:proofErr w:type="gramEnd"/>
    <w:r>
      <w:rPr>
        <w:rFonts w:ascii="Book Antiqua" w:hAnsi="Book Antiqua" w:cs="Book Antiqua"/>
        <w:i/>
        <w:iCs/>
        <w:sz w:val="18"/>
        <w:szCs w:val="18"/>
      </w:rPr>
      <w:t xml:space="preserve"> Planificación</w:t>
    </w:r>
    <w:r w:rsidRPr="00B16DA6">
      <w:rPr>
        <w:sz w:val="24"/>
        <w:szCs w:val="24"/>
      </w:rPr>
      <w:object w:dxaOrig="1845" w:dyaOrig="2145" w14:anchorId="602CB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2.25pt">
          <v:imagedata r:id="rId1" o:title=""/>
        </v:shape>
        <o:OLEObject Type="Embed" ProgID="PBrush" ShapeID="_x0000_i1025" DrawAspect="Content" ObjectID="_1650617574" r:id="rId2"/>
      </w:object>
    </w:r>
  </w:p>
  <w:p w14:paraId="3DF649F3" w14:textId="77777777" w:rsidR="00A0725E" w:rsidRDefault="00E933B3" w:rsidP="00773A60">
    <w:pPr>
      <w:pStyle w:val="Header"/>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14:paraId="2C7FD75B" w14:textId="77777777" w:rsidR="00A0725E" w:rsidRPr="005B3B0C" w:rsidRDefault="00E933B3" w:rsidP="00773A60">
    <w:pPr>
      <w:pStyle w:val="Header"/>
      <w:jc w:val="center"/>
      <w:rPr>
        <w:lang w:val="en-US"/>
      </w:rPr>
    </w:pPr>
    <w:proofErr w:type="spellStart"/>
    <w:r w:rsidRPr="006C54C3">
      <w:rPr>
        <w:rFonts w:ascii="Book Antiqua" w:hAnsi="Book Antiqua" w:cs="Book Antiqua"/>
        <w:i/>
        <w:iCs/>
        <w:sz w:val="18"/>
        <w:szCs w:val="18"/>
        <w:lang w:val="en-US"/>
      </w:rPr>
      <w:t>Telf</w:t>
    </w:r>
    <w:proofErr w:type="spellEnd"/>
    <w:r w:rsidRPr="006C54C3">
      <w:rPr>
        <w:rFonts w:ascii="Book Antiqua" w:hAnsi="Book Antiqua" w:cs="Book Antiqua"/>
        <w:i/>
        <w:iCs/>
        <w:sz w:val="18"/>
        <w:szCs w:val="18"/>
        <w:lang w:val="en-US"/>
      </w:rPr>
      <w:t xml:space="preserve">.   </w:t>
    </w:r>
    <w:r w:rsidRPr="005B3B0C">
      <w:rPr>
        <w:rFonts w:ascii="Book Antiqua" w:hAnsi="Book Antiqua" w:cs="Book Antiqua"/>
        <w:i/>
        <w:iCs/>
        <w:sz w:val="18"/>
        <w:szCs w:val="18"/>
        <w:lang w:val="en-US"/>
      </w:rPr>
      <w:t xml:space="preserve">2295-3600 / </w:t>
    </w:r>
    <w:proofErr w:type="gramStart"/>
    <w:r w:rsidRPr="005B3B0C">
      <w:rPr>
        <w:rFonts w:ascii="Book Antiqua" w:hAnsi="Book Antiqua" w:cs="Book Antiqua"/>
        <w:i/>
        <w:iCs/>
        <w:sz w:val="18"/>
        <w:szCs w:val="18"/>
        <w:lang w:val="en-US"/>
      </w:rPr>
      <w:t>3599  Fax</w:t>
    </w:r>
    <w:proofErr w:type="gramEnd"/>
    <w:r w:rsidRPr="005B3B0C">
      <w:rPr>
        <w:rFonts w:ascii="Book Antiqua" w:hAnsi="Book Antiqua" w:cs="Book Antiqua"/>
        <w:i/>
        <w:iCs/>
        <w:sz w:val="18"/>
        <w:szCs w:val="18"/>
        <w:lang w:val="en-US"/>
      </w:rPr>
      <w:t>. 2257-</w:t>
    </w:r>
    <w:r>
      <w:rPr>
        <w:rFonts w:ascii="Book Antiqua" w:hAnsi="Book Antiqua" w:cs="Book Antiqua"/>
        <w:i/>
        <w:iCs/>
        <w:sz w:val="18"/>
        <w:szCs w:val="18"/>
        <w:lang w:val="en-US"/>
      </w:rPr>
      <w:t xml:space="preserve">5633   / </w:t>
    </w:r>
    <w:proofErr w:type="spellStart"/>
    <w:r>
      <w:rPr>
        <w:rFonts w:ascii="Book Antiqua" w:hAnsi="Book Antiqua" w:cs="Book Antiqua"/>
        <w:i/>
        <w:iCs/>
        <w:sz w:val="18"/>
        <w:szCs w:val="18"/>
        <w:lang w:val="en-US"/>
      </w:rPr>
      <w:t>Apdo</w:t>
    </w:r>
    <w:proofErr w:type="spellEnd"/>
    <w:r>
      <w:rPr>
        <w:rFonts w:ascii="Book Antiqua" w:hAnsi="Book Antiqua" w:cs="Book Antiqua"/>
        <w:i/>
        <w:iCs/>
        <w:sz w:val="18"/>
        <w:szCs w:val="18"/>
        <w:lang w:val="en-US"/>
      </w:rPr>
      <w:t>.  95-</w:t>
    </w:r>
    <w:proofErr w:type="gramStart"/>
    <w:r>
      <w:rPr>
        <w:rFonts w:ascii="Book Antiqua" w:hAnsi="Book Antiqua" w:cs="Book Antiqua"/>
        <w:i/>
        <w:iCs/>
        <w:sz w:val="18"/>
        <w:szCs w:val="18"/>
        <w:lang w:val="en-US"/>
      </w:rPr>
      <w:t>1003  /</w:t>
    </w:r>
    <w:proofErr w:type="gramEnd"/>
    <w:r>
      <w:rPr>
        <w:rFonts w:ascii="Book Antiqua" w:hAnsi="Book Antiqua" w:cs="Book Antiqua"/>
        <w:i/>
        <w:iCs/>
        <w:sz w:val="18"/>
        <w:szCs w:val="18"/>
        <w:lang w:val="en-US"/>
      </w:rPr>
      <w:t xml:space="preserve"> </w:t>
    </w:r>
    <w:r w:rsidRPr="005B3B0C">
      <w:rPr>
        <w:rFonts w:ascii="Book Antiqua" w:hAnsi="Book Antiqua" w:cs="Book Antiqua"/>
        <w:i/>
        <w:iCs/>
        <w:sz w:val="18"/>
        <w:szCs w:val="18"/>
        <w:lang w:val="en-US"/>
      </w:rPr>
      <w:t>planificacion@poder-judicial.go.cr</w:t>
    </w:r>
  </w:p>
  <w:p w14:paraId="3F757D00" w14:textId="77777777" w:rsidR="00A0725E" w:rsidRPr="005B3B0C" w:rsidRDefault="002821DA" w:rsidP="00773A60">
    <w:pPr>
      <w:pBdr>
        <w:bottom w:val="single" w:sz="6" w:space="0" w:color="auto"/>
      </w:pBdr>
      <w:spacing w:after="20"/>
      <w:jc w:val="center"/>
      <w:rPr>
        <w:lang w:val="en-US"/>
      </w:rPr>
    </w:pPr>
  </w:p>
  <w:p w14:paraId="194932A8" w14:textId="77777777" w:rsidR="00A0725E" w:rsidRPr="00F71A4D" w:rsidRDefault="002821DA" w:rsidP="00773A6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06265"/>
    <w:multiLevelType w:val="hybridMultilevel"/>
    <w:tmpl w:val="A4AE122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62691F"/>
    <w:multiLevelType w:val="hybridMultilevel"/>
    <w:tmpl w:val="E81615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4B33AE9"/>
    <w:multiLevelType w:val="hybridMultilevel"/>
    <w:tmpl w:val="88CEF012"/>
    <w:lvl w:ilvl="0" w:tplc="951E3B3C">
      <w:start w:val="1"/>
      <w:numFmt w:val="upperRoman"/>
      <w:lvlText w:val="%1."/>
      <w:lvlJc w:val="left"/>
      <w:pPr>
        <w:ind w:left="4548"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B3"/>
    <w:rsid w:val="000A10A2"/>
    <w:rsid w:val="0019023C"/>
    <w:rsid w:val="00207208"/>
    <w:rsid w:val="002821DA"/>
    <w:rsid w:val="006C54C3"/>
    <w:rsid w:val="007A21F3"/>
    <w:rsid w:val="00A85A8D"/>
    <w:rsid w:val="00B16DA6"/>
    <w:rsid w:val="00DB1413"/>
    <w:rsid w:val="00E933B3"/>
    <w:rsid w:val="00FC102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B9683CE"/>
  <w15:docId w15:val="{BB9BA24F-12D7-484B-BAAB-5F25AA6E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3B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E933B3"/>
    <w:pPr>
      <w:tabs>
        <w:tab w:val="center" w:pos="4252"/>
        <w:tab w:val="right" w:pos="8504"/>
      </w:tabs>
    </w:pPr>
    <w:rPr>
      <w:rFonts w:cs="Times New Roman"/>
      <w:sz w:val="20"/>
      <w:szCs w:val="20"/>
      <w:u w:color="000000"/>
    </w:rPr>
  </w:style>
  <w:style w:type="character" w:customStyle="1" w:styleId="HeaderChar">
    <w:name w:val="Header Char"/>
    <w:aliases w:val="encabezado Char"/>
    <w:basedOn w:val="DefaultParagraphFont"/>
    <w:link w:val="Header"/>
    <w:rsid w:val="00E933B3"/>
    <w:rPr>
      <w:rFonts w:ascii="Arial" w:eastAsia="Times New Roman" w:hAnsi="Arial" w:cs="Times New Roman"/>
      <w:sz w:val="20"/>
      <w:szCs w:val="20"/>
      <w:u w:color="000000"/>
      <w:lang w:val="es-ES" w:eastAsia="es-ES"/>
    </w:rPr>
  </w:style>
  <w:style w:type="paragraph" w:styleId="Footer">
    <w:name w:val="footer"/>
    <w:basedOn w:val="Normal"/>
    <w:link w:val="FooterChar"/>
    <w:uiPriority w:val="99"/>
    <w:rsid w:val="00E933B3"/>
    <w:pPr>
      <w:tabs>
        <w:tab w:val="center" w:pos="4252"/>
        <w:tab w:val="right" w:pos="8504"/>
      </w:tabs>
    </w:pPr>
    <w:rPr>
      <w:sz w:val="20"/>
      <w:szCs w:val="20"/>
    </w:rPr>
  </w:style>
  <w:style w:type="character" w:customStyle="1" w:styleId="FooterChar">
    <w:name w:val="Footer Char"/>
    <w:basedOn w:val="DefaultParagraphFont"/>
    <w:link w:val="Footer"/>
    <w:uiPriority w:val="99"/>
    <w:rsid w:val="00E933B3"/>
    <w:rPr>
      <w:rFonts w:ascii="Arial" w:eastAsia="Times New Roman" w:hAnsi="Arial" w:cs="Arial"/>
      <w:sz w:val="20"/>
      <w:szCs w:val="20"/>
      <w:lang w:val="es-ES" w:eastAsia="es-ES"/>
    </w:rPr>
  </w:style>
  <w:style w:type="paragraph" w:styleId="BodyText2">
    <w:name w:val="Body Text 2"/>
    <w:basedOn w:val="Normal"/>
    <w:link w:val="BodyText2Char"/>
    <w:rsid w:val="00E933B3"/>
    <w:pPr>
      <w:jc w:val="both"/>
    </w:pPr>
    <w:rPr>
      <w:rFonts w:ascii="Book Antiqua" w:hAnsi="Book Antiqua" w:cs="Book Antiqua"/>
    </w:rPr>
  </w:style>
  <w:style w:type="character" w:customStyle="1" w:styleId="BodyText2Char">
    <w:name w:val="Body Text 2 Char"/>
    <w:basedOn w:val="DefaultParagraphFont"/>
    <w:link w:val="BodyText2"/>
    <w:rsid w:val="00E933B3"/>
    <w:rPr>
      <w:rFonts w:ascii="Book Antiqua" w:eastAsia="Times New Roman" w:hAnsi="Book Antiqua" w:cs="Book Antiqua"/>
      <w:sz w:val="24"/>
      <w:szCs w:val="24"/>
      <w:lang w:val="es-ES" w:eastAsia="es-ES"/>
    </w:rPr>
  </w:style>
  <w:style w:type="paragraph" w:styleId="ListParagraph">
    <w:name w:val="List Paragraph"/>
    <w:basedOn w:val="Normal"/>
    <w:uiPriority w:val="34"/>
    <w:qFormat/>
    <w:rsid w:val="00E933B3"/>
    <w:pPr>
      <w:widowControl/>
      <w:autoSpaceDE/>
      <w:autoSpaceDN/>
      <w:adjustRightInd/>
      <w:ind w:left="708"/>
    </w:pPr>
  </w:style>
  <w:style w:type="paragraph" w:styleId="BalloonText">
    <w:name w:val="Balloon Text"/>
    <w:basedOn w:val="Normal"/>
    <w:link w:val="BalloonTextChar"/>
    <w:uiPriority w:val="99"/>
    <w:semiHidden/>
    <w:unhideWhenUsed/>
    <w:rsid w:val="00E933B3"/>
    <w:rPr>
      <w:rFonts w:ascii="Tahoma" w:hAnsi="Tahoma" w:cs="Tahoma"/>
      <w:sz w:val="16"/>
      <w:szCs w:val="16"/>
    </w:rPr>
  </w:style>
  <w:style w:type="character" w:customStyle="1" w:styleId="BalloonTextChar">
    <w:name w:val="Balloon Text Char"/>
    <w:basedOn w:val="DefaultParagraphFont"/>
    <w:link w:val="BalloonText"/>
    <w:uiPriority w:val="99"/>
    <w:semiHidden/>
    <w:rsid w:val="00E933B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openxmlformats.org/officeDocument/2006/relationships/image" Target="../media/image2.jpeg"/><Relationship Id="rId1" Type="http://schemas.openxmlformats.org/officeDocument/2006/relationships/themeOverride" Target="../theme/themeOverrid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openxmlformats.org/officeDocument/2006/relationships/image" Target="../media/image2.jpeg"/><Relationship Id="rId1" Type="http://schemas.openxmlformats.org/officeDocument/2006/relationships/themeOverride" Target="../theme/themeOverrid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7"/>
            </a:pPr>
            <a:r>
              <a:rPr lang="es-ES" sz="999"/>
              <a:t>Gráfico N° 1. </a:t>
            </a:r>
          </a:p>
          <a:p>
            <a:pPr>
              <a:defRPr sz="997"/>
            </a:pPr>
            <a:r>
              <a:rPr lang="es-ES" sz="999"/>
              <a:t>Movimiento de trabajo en el Departamento de Laboratorios</a:t>
            </a:r>
            <a:r>
              <a:rPr lang="es-ES" sz="999" baseline="0"/>
              <a:t> de </a:t>
            </a:r>
            <a:r>
              <a:rPr lang="es-ES" sz="999"/>
              <a:t>Ciencias Forenses del Organismo de Investigación Judicial </a:t>
            </a:r>
          </a:p>
          <a:p>
            <a:pPr>
              <a:defRPr sz="997"/>
            </a:pPr>
            <a:r>
              <a:rPr lang="es-ES" sz="999"/>
              <a:t>por Sección durante el 2015</a:t>
            </a:r>
          </a:p>
        </c:rich>
      </c:tx>
      <c:overlay val="1"/>
    </c:title>
    <c:autoTitleDeleted val="0"/>
    <c:plotArea>
      <c:layout>
        <c:manualLayout>
          <c:layoutTarget val="inner"/>
          <c:xMode val="edge"/>
          <c:yMode val="edge"/>
          <c:x val="0.30631438518804249"/>
          <c:y val="0.27064557599930156"/>
          <c:w val="0.63915552266276965"/>
          <c:h val="0.52010422439786952"/>
        </c:manualLayout>
      </c:layout>
      <c:barChart>
        <c:barDir val="bar"/>
        <c:grouping val="clustered"/>
        <c:varyColors val="0"/>
        <c:ser>
          <c:idx val="0"/>
          <c:order val="0"/>
          <c:tx>
            <c:strRef>
              <c:f>coment!$B$4</c:f>
              <c:strCache>
                <c:ptCount val="1"/>
                <c:pt idx="0">
                  <c:v>Circulante Final</c:v>
                </c:pt>
              </c:strCache>
            </c:strRef>
          </c:tx>
          <c:invertIfNegative val="0"/>
          <c:dLbls>
            <c:spPr>
              <a:noFill/>
              <a:ln w="25386">
                <a:noFill/>
              </a:ln>
            </c:spPr>
            <c:txPr>
              <a:bodyPr/>
              <a:lstStyle/>
              <a:p>
                <a:pPr>
                  <a:defRPr sz="6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coment!$A$5:$A$12</c:f>
              <c:strCache>
                <c:ptCount val="8"/>
                <c:pt idx="0">
                  <c:v>Análisis de Escritura y Documentos Dudosos</c:v>
                </c:pt>
                <c:pt idx="1">
                  <c:v>Ingeniería Forense</c:v>
                </c:pt>
                <c:pt idx="2">
                  <c:v>Imagen y Sonido Forense</c:v>
                </c:pt>
                <c:pt idx="3">
                  <c:v>Biología Forense</c:v>
                </c:pt>
                <c:pt idx="4">
                  <c:v>Toxicología</c:v>
                </c:pt>
                <c:pt idx="5">
                  <c:v>Pericias Físicas</c:v>
                </c:pt>
                <c:pt idx="6">
                  <c:v>Química Analítica </c:v>
                </c:pt>
                <c:pt idx="7">
                  <c:v>Bioquímica</c:v>
                </c:pt>
              </c:strCache>
            </c:strRef>
          </c:cat>
          <c:val>
            <c:numRef>
              <c:f>coment!$B$5:$B$12</c:f>
              <c:numCache>
                <c:formatCode>#,##0</c:formatCode>
                <c:ptCount val="8"/>
                <c:pt idx="0">
                  <c:v>241</c:v>
                </c:pt>
                <c:pt idx="1">
                  <c:v>306</c:v>
                </c:pt>
                <c:pt idx="2">
                  <c:v>38</c:v>
                </c:pt>
                <c:pt idx="3">
                  <c:v>886</c:v>
                </c:pt>
                <c:pt idx="4">
                  <c:v>752</c:v>
                </c:pt>
                <c:pt idx="5">
                  <c:v>791</c:v>
                </c:pt>
                <c:pt idx="6">
                  <c:v>934</c:v>
                </c:pt>
                <c:pt idx="7">
                  <c:v>1550</c:v>
                </c:pt>
              </c:numCache>
            </c:numRef>
          </c:val>
          <c:extLst>
            <c:ext xmlns:c16="http://schemas.microsoft.com/office/drawing/2014/chart" uri="{C3380CC4-5D6E-409C-BE32-E72D297353CC}">
              <c16:uniqueId val="{00000000-2A92-4D42-B651-01440A8FCAD0}"/>
            </c:ext>
          </c:extLst>
        </c:ser>
        <c:ser>
          <c:idx val="1"/>
          <c:order val="1"/>
          <c:tx>
            <c:strRef>
              <c:f>coment!$C$4</c:f>
              <c:strCache>
                <c:ptCount val="1"/>
                <c:pt idx="0">
                  <c:v>Casos Terminados</c:v>
                </c:pt>
              </c:strCache>
            </c:strRef>
          </c:tx>
          <c:invertIfNegative val="0"/>
          <c:dLbls>
            <c:spPr>
              <a:noFill/>
              <a:ln w="25386">
                <a:noFill/>
              </a:ln>
            </c:spPr>
            <c:txPr>
              <a:bodyPr/>
              <a:lstStyle/>
              <a:p>
                <a:pPr>
                  <a:defRPr sz="6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coment!$A$5:$A$12</c:f>
              <c:strCache>
                <c:ptCount val="8"/>
                <c:pt idx="0">
                  <c:v>Análisis de Escritura y Documentos Dudosos</c:v>
                </c:pt>
                <c:pt idx="1">
                  <c:v>Ingeniería Forense</c:v>
                </c:pt>
                <c:pt idx="2">
                  <c:v>Imagen y Sonido Forense</c:v>
                </c:pt>
                <c:pt idx="3">
                  <c:v>Biología Forense</c:v>
                </c:pt>
                <c:pt idx="4">
                  <c:v>Toxicología</c:v>
                </c:pt>
                <c:pt idx="5">
                  <c:v>Pericias Físicas</c:v>
                </c:pt>
                <c:pt idx="6">
                  <c:v>Química Analítica </c:v>
                </c:pt>
                <c:pt idx="7">
                  <c:v>Bioquímica</c:v>
                </c:pt>
              </c:strCache>
            </c:strRef>
          </c:cat>
          <c:val>
            <c:numRef>
              <c:f>coment!$C$5:$C$12</c:f>
              <c:numCache>
                <c:formatCode>#,##0</c:formatCode>
                <c:ptCount val="8"/>
                <c:pt idx="0">
                  <c:v>1626</c:v>
                </c:pt>
                <c:pt idx="1">
                  <c:v>1923</c:v>
                </c:pt>
                <c:pt idx="2">
                  <c:v>3464</c:v>
                </c:pt>
                <c:pt idx="3">
                  <c:v>4750</c:v>
                </c:pt>
                <c:pt idx="4">
                  <c:v>5723</c:v>
                </c:pt>
                <c:pt idx="5">
                  <c:v>6120</c:v>
                </c:pt>
                <c:pt idx="6">
                  <c:v>6901</c:v>
                </c:pt>
                <c:pt idx="7">
                  <c:v>12640</c:v>
                </c:pt>
              </c:numCache>
            </c:numRef>
          </c:val>
          <c:extLst>
            <c:ext xmlns:c16="http://schemas.microsoft.com/office/drawing/2014/chart" uri="{C3380CC4-5D6E-409C-BE32-E72D297353CC}">
              <c16:uniqueId val="{00000001-2A92-4D42-B651-01440A8FCAD0}"/>
            </c:ext>
          </c:extLst>
        </c:ser>
        <c:ser>
          <c:idx val="2"/>
          <c:order val="2"/>
          <c:tx>
            <c:strRef>
              <c:f>coment!$D$4</c:f>
              <c:strCache>
                <c:ptCount val="1"/>
                <c:pt idx="0">
                  <c:v>Casos Entrados</c:v>
                </c:pt>
              </c:strCache>
            </c:strRef>
          </c:tx>
          <c:invertIfNegative val="0"/>
          <c:dLbls>
            <c:spPr>
              <a:noFill/>
              <a:ln w="25386">
                <a:noFill/>
              </a:ln>
            </c:spPr>
            <c:txPr>
              <a:bodyPr/>
              <a:lstStyle/>
              <a:p>
                <a:pPr>
                  <a:defRPr sz="6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coment!$A$5:$A$12</c:f>
              <c:strCache>
                <c:ptCount val="8"/>
                <c:pt idx="0">
                  <c:v>Análisis de Escritura y Documentos Dudosos</c:v>
                </c:pt>
                <c:pt idx="1">
                  <c:v>Ingeniería Forense</c:v>
                </c:pt>
                <c:pt idx="2">
                  <c:v>Imagen y Sonido Forense</c:v>
                </c:pt>
                <c:pt idx="3">
                  <c:v>Biología Forense</c:v>
                </c:pt>
                <c:pt idx="4">
                  <c:v>Toxicología</c:v>
                </c:pt>
                <c:pt idx="5">
                  <c:v>Pericias Físicas</c:v>
                </c:pt>
                <c:pt idx="6">
                  <c:v>Química Analítica </c:v>
                </c:pt>
                <c:pt idx="7">
                  <c:v>Bioquímica</c:v>
                </c:pt>
              </c:strCache>
            </c:strRef>
          </c:cat>
          <c:val>
            <c:numRef>
              <c:f>coment!$D$5:$D$12</c:f>
              <c:numCache>
                <c:formatCode>#,##0</c:formatCode>
                <c:ptCount val="8"/>
                <c:pt idx="0">
                  <c:v>1471</c:v>
                </c:pt>
                <c:pt idx="1">
                  <c:v>1934</c:v>
                </c:pt>
                <c:pt idx="2">
                  <c:v>3453</c:v>
                </c:pt>
                <c:pt idx="3">
                  <c:v>4984</c:v>
                </c:pt>
                <c:pt idx="4">
                  <c:v>5528</c:v>
                </c:pt>
                <c:pt idx="5">
                  <c:v>6244</c:v>
                </c:pt>
                <c:pt idx="6">
                  <c:v>7231</c:v>
                </c:pt>
                <c:pt idx="7">
                  <c:v>12717</c:v>
                </c:pt>
              </c:numCache>
            </c:numRef>
          </c:val>
          <c:extLst>
            <c:ext xmlns:c16="http://schemas.microsoft.com/office/drawing/2014/chart" uri="{C3380CC4-5D6E-409C-BE32-E72D297353CC}">
              <c16:uniqueId val="{00000002-2A92-4D42-B651-01440A8FCAD0}"/>
            </c:ext>
          </c:extLst>
        </c:ser>
        <c:dLbls>
          <c:showLegendKey val="0"/>
          <c:showVal val="1"/>
          <c:showCatName val="0"/>
          <c:showSerName val="0"/>
          <c:showPercent val="0"/>
          <c:showBubbleSize val="0"/>
        </c:dLbls>
        <c:gapWidth val="150"/>
        <c:axId val="105902848"/>
        <c:axId val="105905536"/>
      </c:barChart>
      <c:catAx>
        <c:axId val="105902848"/>
        <c:scaling>
          <c:orientation val="minMax"/>
        </c:scaling>
        <c:delete val="0"/>
        <c:axPos val="l"/>
        <c:title>
          <c:tx>
            <c:rich>
              <a:bodyPr/>
              <a:lstStyle/>
              <a:p>
                <a:pPr>
                  <a:defRPr sz="999" b="1" i="0" u="none" strike="noStrike" baseline="0">
                    <a:solidFill>
                      <a:srgbClr val="000000"/>
                    </a:solidFill>
                    <a:latin typeface="Times New Roman"/>
                    <a:ea typeface="Times New Roman"/>
                    <a:cs typeface="Times New Roman"/>
                  </a:defRPr>
                </a:pPr>
                <a:r>
                  <a:rPr lang="en-US"/>
                  <a:t>Sección</a:t>
                </a:r>
              </a:p>
            </c:rich>
          </c:tx>
          <c:layout>
            <c:manualLayout>
              <c:xMode val="edge"/>
              <c:yMode val="edge"/>
              <c:x val="1.9530167424724083E-2"/>
              <c:y val="0.43867870927898783"/>
            </c:manualLayout>
          </c:layout>
          <c:overlay val="0"/>
        </c:title>
        <c:numFmt formatCode="General" sourceLinked="0"/>
        <c:majorTickMark val="out"/>
        <c:minorTickMark val="none"/>
        <c:tickLblPos val="nextTo"/>
        <c:txPr>
          <a:bodyPr/>
          <a:lstStyle/>
          <a:p>
            <a:pPr>
              <a:defRPr sz="800"/>
            </a:pPr>
            <a:endParaRPr lang="en-US"/>
          </a:p>
        </c:txPr>
        <c:crossAx val="105905536"/>
        <c:crosses val="autoZero"/>
        <c:auto val="1"/>
        <c:lblAlgn val="ctr"/>
        <c:lblOffset val="100"/>
        <c:noMultiLvlLbl val="0"/>
      </c:catAx>
      <c:valAx>
        <c:axId val="105905536"/>
        <c:scaling>
          <c:orientation val="minMax"/>
        </c:scaling>
        <c:delete val="0"/>
        <c:axPos val="b"/>
        <c:majorGridlines/>
        <c:title>
          <c:tx>
            <c:rich>
              <a:bodyPr/>
              <a:lstStyle/>
              <a:p>
                <a:pPr>
                  <a:defRPr sz="999" b="1" i="0" u="none" strike="noStrike" baseline="0">
                    <a:solidFill>
                      <a:srgbClr val="000000"/>
                    </a:solidFill>
                    <a:latin typeface="Times New Roman"/>
                    <a:ea typeface="Times New Roman"/>
                    <a:cs typeface="Times New Roman"/>
                  </a:defRPr>
                </a:pPr>
                <a:r>
                  <a:rPr lang="en-US"/>
                  <a:t>Pericias</a:t>
                </a:r>
              </a:p>
            </c:rich>
          </c:tx>
          <c:layout>
            <c:manualLayout>
              <c:xMode val="edge"/>
              <c:yMode val="edge"/>
              <c:x val="0.56211118990560871"/>
              <c:y val="0.86432823838196693"/>
            </c:manualLayout>
          </c:layout>
          <c:overlay val="0"/>
        </c:title>
        <c:numFmt formatCode="#,##0" sourceLinked="1"/>
        <c:majorTickMark val="out"/>
        <c:minorTickMark val="none"/>
        <c:tickLblPos val="nextTo"/>
        <c:txPr>
          <a:bodyPr/>
          <a:lstStyle/>
          <a:p>
            <a:pPr>
              <a:defRPr sz="999"/>
            </a:pPr>
            <a:endParaRPr lang="en-US"/>
          </a:p>
        </c:txPr>
        <c:crossAx val="105902848"/>
        <c:crosses val="autoZero"/>
        <c:crossBetween val="between"/>
      </c:valAx>
      <c:spPr>
        <a:ln>
          <a:solidFill>
            <a:srgbClr val="4F81BD"/>
          </a:solidFill>
        </a:ln>
      </c:spPr>
    </c:plotArea>
    <c:legend>
      <c:legendPos val="t"/>
      <c:layout>
        <c:manualLayout>
          <c:xMode val="edge"/>
          <c:yMode val="edge"/>
          <c:x val="5.7086614173228488E-2"/>
          <c:y val="0.20788914620966498"/>
          <c:w val="0.88782747265287476"/>
          <c:h val="5.0005558128763339E-2"/>
        </c:manualLayout>
      </c:layout>
      <c:overlay val="0"/>
      <c:spPr>
        <a:solidFill>
          <a:schemeClr val="bg1"/>
        </a:solidFill>
        <a:ln>
          <a:solidFill>
            <a:srgbClr val="4F81BD"/>
          </a:solidFill>
        </a:ln>
      </c:spPr>
      <c:txPr>
        <a:bodyPr/>
        <a:lstStyle/>
        <a:p>
          <a:pPr>
            <a:defRPr sz="999"/>
          </a:pPr>
          <a:endParaRPr lang="en-US"/>
        </a:p>
      </c:txPr>
    </c:legend>
    <c:plotVisOnly val="1"/>
    <c:dispBlanksAs val="gap"/>
    <c:showDLblsOverMax val="0"/>
  </c:chart>
  <c:spPr>
    <a:blipFill>
      <a:blip xmlns:r="http://schemas.openxmlformats.org/officeDocument/2006/relationships" r:embed="rId2"/>
      <a:tile tx="0" ty="0" sx="100000" sy="100000" flip="none" algn="tl"/>
    </a:blipFill>
  </c:spPr>
  <c:txPr>
    <a:bodyPr/>
    <a:lstStyle/>
    <a:p>
      <a:pPr>
        <a:defRPr sz="999">
          <a:latin typeface="Times New Roman" pitchFamily="18" charset="0"/>
          <a:cs typeface="Times New Roman" pitchFamily="18"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7"/>
            </a:pPr>
            <a:r>
              <a:rPr lang="es-ES" sz="999"/>
              <a:t>Gráfico N° 2. </a:t>
            </a:r>
          </a:p>
          <a:p>
            <a:pPr>
              <a:defRPr sz="997"/>
            </a:pPr>
            <a:r>
              <a:rPr lang="es-ES" sz="999"/>
              <a:t>Composición porcentual</a:t>
            </a:r>
            <a:r>
              <a:rPr lang="es-ES" sz="999" baseline="0"/>
              <a:t> </a:t>
            </a:r>
            <a:r>
              <a:rPr lang="es-ES" sz="999"/>
              <a:t>de los casos terminados en el Departamento de Laboratorios de Ciencias Forenses del Organismo de </a:t>
            </a:r>
          </a:p>
          <a:p>
            <a:pPr>
              <a:defRPr sz="997"/>
            </a:pPr>
            <a:r>
              <a:rPr lang="es-ES" sz="999"/>
              <a:t>Investigación Judicial según motivo de término durante el 2015 </a:t>
            </a:r>
          </a:p>
        </c:rich>
      </c:tx>
      <c:overlay val="1"/>
    </c:title>
    <c:autoTitleDeleted val="0"/>
    <c:view3D>
      <c:rotX val="30"/>
      <c:rotY val="0"/>
      <c:rAngAx val="0"/>
    </c:view3D>
    <c:floor>
      <c:thickness val="0"/>
    </c:floor>
    <c:sideWall>
      <c:thickness val="0"/>
    </c:sideWall>
    <c:backWall>
      <c:thickness val="0"/>
    </c:backWall>
    <c:plotArea>
      <c:layout>
        <c:manualLayout>
          <c:layoutTarget val="inner"/>
          <c:xMode val="edge"/>
          <c:yMode val="edge"/>
          <c:x val="7.8951287177185761E-2"/>
          <c:y val="0.22818597102843061"/>
          <c:w val="0.53632511933417804"/>
          <c:h val="0.76183897337260365"/>
        </c:manualLayout>
      </c:layout>
      <c:pie3DChart>
        <c:varyColors val="1"/>
        <c:ser>
          <c:idx val="0"/>
          <c:order val="0"/>
          <c:dLbls>
            <c:dLbl>
              <c:idx val="0"/>
              <c:layout>
                <c:manualLayout>
                  <c:x val="-0.16319462266287588"/>
                  <c:y val="-3.3385818030823806E-2"/>
                </c:manualLayout>
              </c:layout>
              <c:numFmt formatCode="0.0%" sourceLinked="0"/>
              <c:spPr>
                <a:noFill/>
                <a:ln w="25382">
                  <a:noFill/>
                </a:ln>
              </c:spPr>
              <c:txPr>
                <a:bodyPr/>
                <a:lstStyle/>
                <a:p>
                  <a:pPr>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FEE-4795-8FE7-362938BEC69D}"/>
                </c:ext>
              </c:extLst>
            </c:dLbl>
            <c:dLbl>
              <c:idx val="1"/>
              <c:layout>
                <c:manualLayout>
                  <c:x val="-6.552149036112967E-2"/>
                  <c:y val="-4.5023387718790303E-2"/>
                </c:manualLayout>
              </c:layout>
              <c:numFmt formatCode="0.0%" sourceLinked="0"/>
              <c:spPr>
                <a:noFill/>
                <a:ln w="25382">
                  <a:noFill/>
                </a:ln>
              </c:spPr>
              <c:txPr>
                <a:bodyPr/>
                <a:lstStyle/>
                <a:p>
                  <a:pPr>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FEE-4795-8FE7-362938BEC69D}"/>
                </c:ext>
              </c:extLst>
            </c:dLbl>
            <c:dLbl>
              <c:idx val="2"/>
              <c:layout>
                <c:manualLayout>
                  <c:x val="2.5620741526663441E-2"/>
                  <c:y val="-4.4192132741078513E-2"/>
                </c:manualLayout>
              </c:layout>
              <c:numFmt formatCode="0.0%" sourceLinked="0"/>
              <c:spPr>
                <a:noFill/>
                <a:ln w="25382">
                  <a:noFill/>
                </a:ln>
              </c:spPr>
              <c:txPr>
                <a:bodyPr/>
                <a:lstStyle/>
                <a:p>
                  <a:pPr>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FEE-4795-8FE7-362938BEC69D}"/>
                </c:ext>
              </c:extLst>
            </c:dLbl>
            <c:dLbl>
              <c:idx val="3"/>
              <c:layout>
                <c:manualLayout>
                  <c:x val="1.4634719315392369E-2"/>
                  <c:y val="-1.2812322785602195E-2"/>
                </c:manualLayout>
              </c:layout>
              <c:numFmt formatCode="0.0%" sourceLinked="0"/>
              <c:spPr>
                <a:noFill/>
                <a:ln w="25382">
                  <a:noFill/>
                </a:ln>
              </c:spPr>
              <c:txPr>
                <a:bodyPr/>
                <a:lstStyle/>
                <a:p>
                  <a:pPr>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FEE-4795-8FE7-362938BEC69D}"/>
                </c:ext>
              </c:extLst>
            </c:dLbl>
            <c:dLbl>
              <c:idx val="4"/>
              <c:layout>
                <c:manualLayout>
                  <c:x val="-0.11829919136789092"/>
                  <c:y val="5.8066629210012273E-2"/>
                </c:manualLayout>
              </c:layout>
              <c:numFmt formatCode="0.0%" sourceLinked="0"/>
              <c:spPr>
                <a:noFill/>
                <a:ln w="25382">
                  <a:noFill/>
                </a:ln>
              </c:spPr>
              <c:txPr>
                <a:bodyPr/>
                <a:lstStyle/>
                <a:p>
                  <a:pPr>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EFEE-4795-8FE7-362938BEC69D}"/>
                </c:ext>
              </c:extLst>
            </c:dLbl>
            <c:dLbl>
              <c:idx val="5"/>
              <c:layout>
                <c:manualLayout>
                  <c:x val="-0.17028697843516141"/>
                  <c:y val="-0.11643041571126889"/>
                </c:manualLayout>
              </c:layout>
              <c:numFmt formatCode="0.0%" sourceLinked="0"/>
              <c:spPr>
                <a:noFill/>
                <a:ln w="25382">
                  <a:noFill/>
                </a:ln>
              </c:spPr>
              <c:txPr>
                <a:bodyPr/>
                <a:lstStyle/>
                <a:p>
                  <a:pPr>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FEE-4795-8FE7-362938BEC69D}"/>
                </c:ext>
              </c:extLst>
            </c:dLbl>
            <c:dLbl>
              <c:idx val="6"/>
              <c:layout>
                <c:manualLayout>
                  <c:x val="0.17825637826567453"/>
                  <c:y val="-0.12452094841087653"/>
                </c:manualLayout>
              </c:layout>
              <c:numFmt formatCode="0.0%" sourceLinked="0"/>
              <c:spPr>
                <a:noFill/>
                <a:ln w="25382">
                  <a:noFill/>
                </a:ln>
              </c:spPr>
              <c:txPr>
                <a:bodyPr/>
                <a:lstStyle/>
                <a:p>
                  <a:pPr>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EFEE-4795-8FE7-362938BEC69D}"/>
                </c:ext>
              </c:extLst>
            </c:dLbl>
            <c:numFmt formatCode="0.0%" sourceLinked="0"/>
            <c:spPr>
              <a:noFill/>
              <a:ln w="25382">
                <a:noFill/>
              </a:ln>
            </c:sp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coment!$A$4:$A$10</c:f>
              <c:strCache>
                <c:ptCount val="7"/>
                <c:pt idx="0">
                  <c:v>Desestimado</c:v>
                </c:pt>
                <c:pt idx="1">
                  <c:v>Servicio Finalizado</c:v>
                </c:pt>
                <c:pt idx="2">
                  <c:v>Ampliación</c:v>
                </c:pt>
                <c:pt idx="3">
                  <c:v>Consumido finalizado</c:v>
                </c:pt>
                <c:pt idx="4">
                  <c:v>Informe  Criminalístico</c:v>
                </c:pt>
                <c:pt idx="5">
                  <c:v>Finalizado sin análisis</c:v>
                </c:pt>
                <c:pt idx="6">
                  <c:v>Dictámenes Criminalísticos</c:v>
                </c:pt>
              </c:strCache>
            </c:strRef>
          </c:cat>
          <c:val>
            <c:numRef>
              <c:f>coment!$B$4:$B$10</c:f>
              <c:numCache>
                <c:formatCode>#,##0</c:formatCode>
                <c:ptCount val="7"/>
                <c:pt idx="0">
                  <c:v>80</c:v>
                </c:pt>
                <c:pt idx="1">
                  <c:v>128</c:v>
                </c:pt>
                <c:pt idx="2">
                  <c:v>625</c:v>
                </c:pt>
                <c:pt idx="3">
                  <c:v>1794</c:v>
                </c:pt>
                <c:pt idx="4">
                  <c:v>5815</c:v>
                </c:pt>
                <c:pt idx="5">
                  <c:v>9117</c:v>
                </c:pt>
                <c:pt idx="6">
                  <c:v>25588</c:v>
                </c:pt>
              </c:numCache>
            </c:numRef>
          </c:val>
          <c:extLst>
            <c:ext xmlns:c16="http://schemas.microsoft.com/office/drawing/2014/chart" uri="{C3380CC4-5D6E-409C-BE32-E72D297353CC}">
              <c16:uniqueId val="{00000007-EFEE-4795-8FE7-362938BEC69D}"/>
            </c:ext>
          </c:extLst>
        </c:ser>
        <c:dLbls>
          <c:showLegendKey val="0"/>
          <c:showVal val="0"/>
          <c:showCatName val="0"/>
          <c:showSerName val="0"/>
          <c:showPercent val="0"/>
          <c:showBubbleSize val="0"/>
          <c:showLeaderLines val="1"/>
        </c:dLbls>
      </c:pie3DChart>
      <c:spPr>
        <a:noFill/>
        <a:ln w="25382">
          <a:noFill/>
        </a:ln>
      </c:spPr>
    </c:plotArea>
    <c:legend>
      <c:legendPos val="r"/>
      <c:layout>
        <c:manualLayout>
          <c:xMode val="edge"/>
          <c:yMode val="edge"/>
          <c:x val="0.66313963338048754"/>
          <c:y val="0.32585332861761113"/>
          <c:w val="0.2889970331609979"/>
          <c:h val="0.37156822595757144"/>
        </c:manualLayout>
      </c:layout>
      <c:overlay val="0"/>
      <c:spPr>
        <a:solidFill>
          <a:sysClr val="window" lastClr="FFFFFF"/>
        </a:solidFill>
        <a:ln>
          <a:solidFill>
            <a:srgbClr val="4F81BD"/>
          </a:solidFill>
        </a:ln>
      </c:spPr>
      <c:txPr>
        <a:bodyPr/>
        <a:lstStyle/>
        <a:p>
          <a:pPr>
            <a:defRPr sz="799"/>
          </a:pPr>
          <a:endParaRPr lang="en-US"/>
        </a:p>
      </c:txPr>
    </c:legend>
    <c:plotVisOnly val="1"/>
    <c:dispBlanksAs val="zero"/>
    <c:showDLblsOverMax val="0"/>
  </c:chart>
  <c:spPr>
    <a:blipFill>
      <a:blip xmlns:r="http://schemas.openxmlformats.org/officeDocument/2006/relationships" r:embed="rId2"/>
      <a:tile tx="0" ty="0" sx="100000" sy="100000" flip="none" algn="tl"/>
    </a:blipFill>
  </c:spPr>
  <c:txPr>
    <a:bodyPr/>
    <a:lstStyle/>
    <a:p>
      <a:pPr>
        <a:defRPr sz="999">
          <a:latin typeface="Times New Roman" pitchFamily="18" charset="0"/>
          <a:cs typeface="Times New Roman" pitchFamily="18" charset="0"/>
        </a:defRPr>
      </a:pPr>
      <a:endParaRPr lang="en-US"/>
    </a:p>
  </c:txPr>
  <c:externalData r:id="rId3">
    <c:autoUpdate val="0"/>
  </c:externalData>
  <c:userShapes r:id="rId4"/>
</c:chartSpace>
</file>

<file path=word/drawings/drawing1.xml><?xml version="1.0" encoding="utf-8"?>
<c:userShapes xmlns:c="http://schemas.openxmlformats.org/drawingml/2006/chart">
  <cdr:relSizeAnchor xmlns:cdr="http://schemas.openxmlformats.org/drawingml/2006/chartDrawing">
    <cdr:from>
      <cdr:x>0.03356</cdr:x>
      <cdr:y>0.91479</cdr:y>
    </cdr:from>
    <cdr:to>
      <cdr:x>0.92785</cdr:x>
      <cdr:y>0.97494</cdr:y>
    </cdr:to>
    <cdr:sp macro="" textlink="">
      <cdr:nvSpPr>
        <cdr:cNvPr id="2" name="1 CuadroTexto"/>
        <cdr:cNvSpPr txBox="1"/>
      </cdr:nvSpPr>
      <cdr:spPr>
        <a:xfrm xmlns:a="http://schemas.openxmlformats.org/drawingml/2006/main">
          <a:off x="190500" y="3476625"/>
          <a:ext cx="5076825"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000" b="1">
              <a:latin typeface="Times New Roman" pitchFamily="18" charset="0"/>
              <a:cs typeface="Times New Roman" pitchFamily="18" charset="0"/>
            </a:rPr>
            <a:t>Elaborado por: Sección de Estadística, Dirección de Planificación.</a:t>
          </a:r>
        </a:p>
      </cdr:txBody>
    </cdr:sp>
  </cdr:relSizeAnchor>
</c:userShapes>
</file>

<file path=word/drawings/drawing2.xml><?xml version="1.0" encoding="utf-8"?>
<c:userShapes xmlns:c="http://schemas.openxmlformats.org/drawingml/2006/chart">
  <cdr:relSizeAnchor xmlns:cdr="http://schemas.openxmlformats.org/drawingml/2006/chartDrawing">
    <cdr:from>
      <cdr:x>0.02906</cdr:x>
      <cdr:y>0.91272</cdr:y>
    </cdr:from>
    <cdr:to>
      <cdr:x>0.9094</cdr:x>
      <cdr:y>0.96758</cdr:y>
    </cdr:to>
    <cdr:sp macro="" textlink="">
      <cdr:nvSpPr>
        <cdr:cNvPr id="2" name="1 CuadroTexto"/>
        <cdr:cNvSpPr txBox="1"/>
      </cdr:nvSpPr>
      <cdr:spPr>
        <a:xfrm xmlns:a="http://schemas.openxmlformats.org/drawingml/2006/main">
          <a:off x="161925" y="3486150"/>
          <a:ext cx="4905375" cy="20954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000" b="1">
              <a:latin typeface="Times New Roman" pitchFamily="18" charset="0"/>
              <a:cs typeface="Times New Roman" pitchFamily="18" charset="0"/>
            </a:rPr>
            <a:t>Elaborado por: Sección de Estadística, Dirección de Planificación. </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11</Pages>
  <Words>1850</Words>
  <Characters>10547</Characters>
  <Application>Microsoft Office Word</Application>
  <DocSecurity>0</DocSecurity>
  <Lines>87</Lines>
  <Paragraphs>24</Paragraphs>
  <ScaleCrop>false</ScaleCrop>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xbarrientos</dc:creator>
  <cp:lastModifiedBy>Jesus Vargas</cp:lastModifiedBy>
  <cp:revision>2</cp:revision>
  <dcterms:created xsi:type="dcterms:W3CDTF">2020-05-10T18:06:00Z</dcterms:created>
  <dcterms:modified xsi:type="dcterms:W3CDTF">2020-05-10T18:06:00Z</dcterms:modified>
</cp:coreProperties>
</file>