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drawings/drawing5.xml" ContentType="application/vnd.openxmlformats-officedocument.drawingml.chartshapes+xml"/>
  <Override PartName="/word/charts/chart8.xml" ContentType="application/vnd.openxmlformats-officedocument.drawingml.chart+xml"/>
  <Override PartName="/word/drawings/drawing6.xml" ContentType="application/vnd.openxmlformats-officedocument.drawingml.chartshapes+xml"/>
  <Override PartName="/word/charts/chart9.xml" ContentType="application/vnd.openxmlformats-officedocument.drawingml.chart+xml"/>
  <Override PartName="/word/drawings/drawing7.xml" ContentType="application/vnd.openxmlformats-officedocument.drawingml.chartshapes+xml"/>
  <Override PartName="/word/charts/chart10.xml" ContentType="application/vnd.openxmlformats-officedocument.drawingml.chart+xml"/>
  <Override PartName="/word/drawings/drawing8.xml" ContentType="application/vnd.openxmlformats-officedocument.drawingml.chartshapes+xml"/>
  <Override PartName="/word/charts/chart11.xml" ContentType="application/vnd.openxmlformats-officedocument.drawingml.chart+xml"/>
  <Override PartName="/word/drawings/drawing9.xml" ContentType="application/vnd.openxmlformats-officedocument.drawingml.chartshapes+xml"/>
  <Override PartName="/word/charts/chart12.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drawings/drawing11.xml" ContentType="application/vnd.openxmlformats-officedocument.drawingml.chartshapes+xml"/>
  <Override PartName="/word/charts/chart14.xml" ContentType="application/vnd.openxmlformats-officedocument.drawingml.chart+xml"/>
  <Override PartName="/word/drawings/drawing12.xml" ContentType="application/vnd.openxmlformats-officedocument.drawingml.chartshapes+xml"/>
  <Override PartName="/word/charts/chart15.xml" ContentType="application/vnd.openxmlformats-officedocument.drawingml.chart+xml"/>
  <Override PartName="/word/drawings/drawing13.xml" ContentType="application/vnd.openxmlformats-officedocument.drawingml.chartshapes+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50.xml" ContentType="application/vnd.openxmlformats-officedocument.drawingml.chart+xml"/>
  <Override PartName="/word/drawings/drawing30.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E7" w:rsidRPr="00F30705" w:rsidRDefault="00224EE7" w:rsidP="00224EE7"/>
    <w:p w:rsidR="00B93820" w:rsidRDefault="00967D38" w:rsidP="00B93820">
      <w:pPr>
        <w:widowControl w:val="0"/>
        <w:jc w:val="right"/>
        <w:rPr>
          <w:rFonts w:ascii="Book Antiqua" w:hAnsi="Book Antiqua" w:cs="Book Antiqua"/>
          <w:snapToGrid w:val="0"/>
          <w:sz w:val="24"/>
          <w:szCs w:val="24"/>
        </w:rPr>
      </w:pPr>
      <w:r w:rsidRPr="00CE7100">
        <w:rPr>
          <w:rFonts w:ascii="Book Antiqua" w:hAnsi="Book Antiqua" w:cs="Book Antiqua"/>
          <w:snapToGrid w:val="0"/>
          <w:sz w:val="24"/>
          <w:szCs w:val="24"/>
        </w:rPr>
        <w:t>2101</w:t>
      </w:r>
      <w:r w:rsidR="00B93820" w:rsidRPr="00CE7100">
        <w:rPr>
          <w:rFonts w:ascii="Book Antiqua" w:hAnsi="Book Antiqua" w:cs="Book Antiqua"/>
          <w:snapToGrid w:val="0"/>
          <w:sz w:val="24"/>
          <w:szCs w:val="24"/>
        </w:rPr>
        <w:t>-PLA-2016</w:t>
      </w:r>
    </w:p>
    <w:p w:rsidR="00B93820" w:rsidRPr="00EB7D9B" w:rsidRDefault="00B93820" w:rsidP="00B93820">
      <w:pPr>
        <w:widowControl w:val="0"/>
        <w:jc w:val="right"/>
        <w:rPr>
          <w:rFonts w:ascii="Book Antiqua" w:hAnsi="Book Antiqua" w:cs="Book Antiqua"/>
          <w:snapToGrid w:val="0"/>
          <w:sz w:val="24"/>
          <w:szCs w:val="24"/>
        </w:rPr>
      </w:pPr>
      <w:r w:rsidRPr="00EB7D9B">
        <w:rPr>
          <w:rFonts w:ascii="Book Antiqua" w:hAnsi="Book Antiqua" w:cs="Book Antiqua"/>
          <w:sz w:val="24"/>
          <w:szCs w:val="24"/>
        </w:rPr>
        <w:t xml:space="preserve">Ref. SICE: </w:t>
      </w:r>
      <w:r w:rsidR="00D85A36">
        <w:rPr>
          <w:rFonts w:ascii="Book Antiqua" w:hAnsi="Book Antiqua" w:cs="Book Antiqua"/>
          <w:sz w:val="24"/>
          <w:szCs w:val="24"/>
        </w:rPr>
        <w:t>1622-2016</w:t>
      </w:r>
    </w:p>
    <w:p w:rsidR="00967D38" w:rsidRPr="00227F17" w:rsidRDefault="00967D38" w:rsidP="00967D38">
      <w:pPr>
        <w:widowControl w:val="0"/>
        <w:rPr>
          <w:rFonts w:ascii="Book Antiqua" w:hAnsi="Book Antiqua" w:cs="Book Antiqua"/>
          <w:snapToGrid w:val="0"/>
          <w:sz w:val="24"/>
          <w:szCs w:val="24"/>
        </w:rPr>
      </w:pPr>
      <w:r>
        <w:rPr>
          <w:rFonts w:ascii="Book Antiqua" w:hAnsi="Book Antiqua" w:cs="Book Antiqua"/>
          <w:snapToGrid w:val="0"/>
          <w:sz w:val="24"/>
          <w:szCs w:val="24"/>
        </w:rPr>
        <w:t xml:space="preserve">10 de noviembre </w:t>
      </w:r>
      <w:r w:rsidRPr="00227F17">
        <w:rPr>
          <w:rFonts w:ascii="Book Antiqua" w:hAnsi="Book Antiqua" w:cs="Book Antiqua"/>
          <w:snapToGrid w:val="0"/>
          <w:sz w:val="24"/>
          <w:szCs w:val="24"/>
        </w:rPr>
        <w:t>de 201</w:t>
      </w:r>
      <w:r>
        <w:rPr>
          <w:rFonts w:ascii="Book Antiqua" w:hAnsi="Book Antiqua" w:cs="Book Antiqua"/>
          <w:snapToGrid w:val="0"/>
          <w:sz w:val="24"/>
          <w:szCs w:val="24"/>
        </w:rPr>
        <w:t>6</w:t>
      </w:r>
    </w:p>
    <w:p w:rsidR="00967D38" w:rsidRPr="00227F17" w:rsidRDefault="00967D38" w:rsidP="00967D38">
      <w:pPr>
        <w:widowControl w:val="0"/>
        <w:rPr>
          <w:rFonts w:ascii="Book Antiqua" w:hAnsi="Book Antiqua" w:cs="Book Antiqua"/>
          <w:snapToGrid w:val="0"/>
          <w:sz w:val="24"/>
          <w:szCs w:val="24"/>
        </w:rPr>
      </w:pPr>
    </w:p>
    <w:p w:rsidR="00967D38" w:rsidRPr="00227F17" w:rsidRDefault="00967D38" w:rsidP="00967D38">
      <w:pPr>
        <w:widowControl w:val="0"/>
        <w:rPr>
          <w:rFonts w:ascii="Book Antiqua" w:hAnsi="Book Antiqua" w:cs="Book Antiqua"/>
          <w:snapToGrid w:val="0"/>
          <w:sz w:val="24"/>
          <w:szCs w:val="24"/>
        </w:rPr>
      </w:pPr>
    </w:p>
    <w:p w:rsidR="00967D38" w:rsidRPr="00600716" w:rsidRDefault="00967D38" w:rsidP="00CE7100">
      <w:pPr>
        <w:rPr>
          <w:rFonts w:ascii="Book Antiqua" w:hAnsi="Book Antiqua" w:cs="Book Antiqua"/>
          <w:lang w:val="pt-BR"/>
        </w:rPr>
      </w:pPr>
    </w:p>
    <w:p w:rsidR="00967D38" w:rsidRPr="00227F17" w:rsidRDefault="00967D38" w:rsidP="00967D38">
      <w:pPr>
        <w:pStyle w:val="Textoindependiente2"/>
        <w:rPr>
          <w:rFonts w:ascii="Book Antiqua" w:hAnsi="Book Antiqua" w:cs="Book Antiqua"/>
          <w:lang w:val="es-CR"/>
        </w:rPr>
      </w:pPr>
      <w:r>
        <w:rPr>
          <w:rFonts w:ascii="Book Antiqua" w:hAnsi="Book Antiqua" w:cs="Book Antiqua"/>
          <w:lang w:val="es-CR"/>
        </w:rPr>
        <w:t>Licenciada</w:t>
      </w:r>
    </w:p>
    <w:p w:rsidR="00967D38" w:rsidRPr="00227F17" w:rsidRDefault="00967D38" w:rsidP="00967D38">
      <w:pPr>
        <w:pStyle w:val="Textoindependiente2"/>
        <w:rPr>
          <w:rFonts w:ascii="Book Antiqua" w:hAnsi="Book Antiqua" w:cs="Book Antiqua"/>
          <w:lang w:val="es-CR"/>
        </w:rPr>
      </w:pPr>
      <w:r>
        <w:rPr>
          <w:rFonts w:ascii="Book Antiqua" w:hAnsi="Book Antiqua" w:cs="Book Antiqua"/>
          <w:lang w:val="es-CR"/>
        </w:rPr>
        <w:t>Silvia Navarro Romanini</w:t>
      </w:r>
    </w:p>
    <w:p w:rsidR="00967D38" w:rsidRPr="00227F17" w:rsidRDefault="00967D38" w:rsidP="00967D38">
      <w:pPr>
        <w:pStyle w:val="Textoindependiente2"/>
        <w:rPr>
          <w:rFonts w:ascii="Book Antiqua" w:hAnsi="Book Antiqua" w:cs="Book Antiqua"/>
          <w:lang w:val="es-CR"/>
        </w:rPr>
      </w:pPr>
      <w:r>
        <w:rPr>
          <w:rFonts w:ascii="Book Antiqua" w:hAnsi="Book Antiqua" w:cs="Book Antiqua"/>
          <w:lang w:val="es-CR"/>
        </w:rPr>
        <w:t xml:space="preserve">Secretaría General de </w:t>
      </w:r>
      <w:smartTag w:uri="urn:schemas-microsoft-com:office:smarttags" w:element="PersonName">
        <w:smartTagPr>
          <w:attr w:name="ProductID" w:val="la Corte"/>
        </w:smartTagPr>
        <w:r>
          <w:rPr>
            <w:rFonts w:ascii="Book Antiqua" w:hAnsi="Book Antiqua" w:cs="Book Antiqua"/>
            <w:lang w:val="es-CR"/>
          </w:rPr>
          <w:t>la Corte</w:t>
        </w:r>
      </w:smartTag>
    </w:p>
    <w:p w:rsidR="00967D38" w:rsidRPr="00E8142E" w:rsidRDefault="00967D38" w:rsidP="00967D38">
      <w:pPr>
        <w:widowControl w:val="0"/>
        <w:rPr>
          <w:rFonts w:ascii="Book Antiqua" w:hAnsi="Book Antiqua" w:cs="Book Antiqua"/>
          <w:sz w:val="24"/>
          <w:szCs w:val="24"/>
          <w:lang w:val="es-ES"/>
        </w:rPr>
      </w:pPr>
    </w:p>
    <w:p w:rsidR="00967D38" w:rsidRDefault="00967D38" w:rsidP="00967D38">
      <w:pPr>
        <w:widowControl w:val="0"/>
        <w:rPr>
          <w:rFonts w:ascii="Book Antiqua" w:hAnsi="Book Antiqua" w:cs="Book Antiqua"/>
          <w:snapToGrid w:val="0"/>
          <w:color w:val="000000"/>
          <w:sz w:val="24"/>
          <w:szCs w:val="24"/>
        </w:rPr>
      </w:pPr>
    </w:p>
    <w:p w:rsidR="00967D38" w:rsidRPr="00B5157C" w:rsidRDefault="00967D38" w:rsidP="00967D38">
      <w:pPr>
        <w:widowControl w:val="0"/>
        <w:rPr>
          <w:rFonts w:ascii="Book Antiqua" w:hAnsi="Book Antiqua" w:cs="Book Antiqua"/>
          <w:snapToGrid w:val="0"/>
          <w:color w:val="000000"/>
          <w:sz w:val="24"/>
          <w:szCs w:val="24"/>
        </w:rPr>
      </w:pPr>
      <w:r w:rsidRPr="00B5157C">
        <w:rPr>
          <w:rFonts w:ascii="Book Antiqua" w:hAnsi="Book Antiqua" w:cs="Book Antiqua"/>
          <w:snapToGrid w:val="0"/>
          <w:color w:val="000000"/>
          <w:sz w:val="24"/>
          <w:szCs w:val="24"/>
        </w:rPr>
        <w:t>Estimad</w:t>
      </w:r>
      <w:r>
        <w:rPr>
          <w:rFonts w:ascii="Book Antiqua" w:hAnsi="Book Antiqua" w:cs="Book Antiqua"/>
          <w:snapToGrid w:val="0"/>
          <w:color w:val="000000"/>
          <w:sz w:val="24"/>
          <w:szCs w:val="24"/>
        </w:rPr>
        <w:t>a</w:t>
      </w:r>
      <w:r w:rsidRPr="00B5157C">
        <w:rPr>
          <w:rFonts w:ascii="Book Antiqua" w:hAnsi="Book Antiqua" w:cs="Book Antiqua"/>
          <w:snapToGrid w:val="0"/>
          <w:color w:val="000000"/>
          <w:sz w:val="24"/>
          <w:szCs w:val="24"/>
        </w:rPr>
        <w:t xml:space="preserve"> señor</w:t>
      </w:r>
      <w:r>
        <w:rPr>
          <w:rFonts w:ascii="Book Antiqua" w:hAnsi="Book Antiqua" w:cs="Book Antiqua"/>
          <w:snapToGrid w:val="0"/>
          <w:color w:val="000000"/>
          <w:sz w:val="24"/>
          <w:szCs w:val="24"/>
        </w:rPr>
        <w:t>a</w:t>
      </w:r>
      <w:r w:rsidRPr="00B5157C">
        <w:rPr>
          <w:rFonts w:ascii="Book Antiqua" w:hAnsi="Book Antiqua" w:cs="Book Antiqua"/>
          <w:snapToGrid w:val="0"/>
          <w:color w:val="000000"/>
          <w:sz w:val="24"/>
          <w:szCs w:val="24"/>
        </w:rPr>
        <w:t>:</w:t>
      </w:r>
    </w:p>
    <w:p w:rsidR="00967D38" w:rsidRPr="00B5157C" w:rsidRDefault="00967D38" w:rsidP="00967D38">
      <w:pPr>
        <w:widowControl w:val="0"/>
        <w:jc w:val="both"/>
        <w:rPr>
          <w:rFonts w:ascii="Book Antiqua" w:hAnsi="Book Antiqua" w:cs="Book Antiqua"/>
          <w:snapToGrid w:val="0"/>
          <w:sz w:val="24"/>
          <w:szCs w:val="24"/>
        </w:rPr>
      </w:pPr>
    </w:p>
    <w:p w:rsidR="00CE7100" w:rsidRPr="00CE7100" w:rsidRDefault="00CE7100" w:rsidP="00CE7100">
      <w:pPr>
        <w:ind w:firstLine="708"/>
        <w:jc w:val="both"/>
        <w:rPr>
          <w:rFonts w:ascii="Book Antiqua" w:hAnsi="Book Antiqua" w:cs="Book Antiqua"/>
          <w:sz w:val="24"/>
          <w:szCs w:val="24"/>
        </w:rPr>
      </w:pPr>
      <w:r>
        <w:t>L</w:t>
      </w:r>
      <w:r w:rsidR="00967D38" w:rsidRPr="00B5157C">
        <w:rPr>
          <w:rFonts w:ascii="Book Antiqua" w:hAnsi="Book Antiqua" w:cs="Book Antiqua"/>
          <w:sz w:val="24"/>
          <w:szCs w:val="24"/>
        </w:rPr>
        <w:t xml:space="preserve">e remito el informe </w:t>
      </w:r>
      <w:r>
        <w:rPr>
          <w:rFonts w:ascii="Book Antiqua" w:hAnsi="Book Antiqua" w:cs="Book Antiqua"/>
          <w:sz w:val="24"/>
          <w:szCs w:val="24"/>
        </w:rPr>
        <w:t>335-EST-2016</w:t>
      </w:r>
      <w:r w:rsidR="00967D38" w:rsidRPr="00B5157C">
        <w:rPr>
          <w:rFonts w:ascii="Book Antiqua" w:hAnsi="Book Antiqua" w:cs="Book Antiqua"/>
          <w:b/>
          <w:bCs/>
          <w:sz w:val="24"/>
          <w:szCs w:val="24"/>
        </w:rPr>
        <w:t xml:space="preserve"> </w:t>
      </w:r>
      <w:r w:rsidR="00967D38" w:rsidRPr="00B5157C">
        <w:rPr>
          <w:rFonts w:ascii="Book Antiqua" w:hAnsi="Book Antiqua" w:cs="Book Antiqua"/>
          <w:sz w:val="24"/>
          <w:szCs w:val="24"/>
        </w:rPr>
        <w:t xml:space="preserve">de hoy,  suscrito por </w:t>
      </w:r>
      <w:r>
        <w:rPr>
          <w:rFonts w:ascii="Book Antiqua" w:hAnsi="Book Antiqua" w:cs="Book Antiqua"/>
          <w:sz w:val="24"/>
          <w:szCs w:val="24"/>
        </w:rPr>
        <w:t>la Licda</w:t>
      </w:r>
      <w:r w:rsidR="00967D38" w:rsidRPr="00B5157C">
        <w:rPr>
          <w:rFonts w:ascii="Book Antiqua" w:hAnsi="Book Antiqua" w:cs="Book Antiqua"/>
          <w:sz w:val="24"/>
          <w:szCs w:val="24"/>
        </w:rPr>
        <w:t>.</w:t>
      </w:r>
      <w:r>
        <w:rPr>
          <w:rFonts w:ascii="Book Antiqua" w:hAnsi="Book Antiqua" w:cs="Book Antiqua"/>
          <w:sz w:val="24"/>
          <w:szCs w:val="24"/>
        </w:rPr>
        <w:t xml:space="preserve"> Ana Ericka Rodríguez Araya</w:t>
      </w:r>
      <w:r w:rsidR="00967D38" w:rsidRPr="00B5157C">
        <w:rPr>
          <w:rFonts w:ascii="Book Antiqua" w:hAnsi="Book Antiqua" w:cs="Book Antiqua"/>
          <w:sz w:val="24"/>
          <w:szCs w:val="24"/>
        </w:rPr>
        <w:t>, Jefe</w:t>
      </w:r>
      <w:r>
        <w:rPr>
          <w:rFonts w:ascii="Book Antiqua" w:hAnsi="Book Antiqua" w:cs="Book Antiqua"/>
          <w:sz w:val="24"/>
          <w:szCs w:val="24"/>
        </w:rPr>
        <w:t xml:space="preserve"> a.i.</w:t>
      </w:r>
      <w:r w:rsidR="00967D38" w:rsidRPr="00B5157C">
        <w:rPr>
          <w:rFonts w:ascii="Book Antiqua" w:hAnsi="Book Antiqua" w:cs="Book Antiqua"/>
          <w:sz w:val="24"/>
          <w:szCs w:val="24"/>
        </w:rPr>
        <w:t xml:space="preserve"> de la Sección de </w:t>
      </w:r>
      <w:r>
        <w:rPr>
          <w:rFonts w:ascii="Book Antiqua" w:hAnsi="Book Antiqua" w:cs="Book Antiqua"/>
          <w:sz w:val="24"/>
          <w:szCs w:val="24"/>
        </w:rPr>
        <w:t>Estadística</w:t>
      </w:r>
      <w:r w:rsidR="00967D38" w:rsidRPr="00B5157C">
        <w:rPr>
          <w:rFonts w:ascii="Book Antiqua" w:hAnsi="Book Antiqua" w:cs="Book Antiqua"/>
          <w:sz w:val="24"/>
          <w:szCs w:val="24"/>
        </w:rPr>
        <w:t xml:space="preserve">, relacionado con </w:t>
      </w:r>
      <w:r>
        <w:rPr>
          <w:rFonts w:ascii="Book Antiqua" w:hAnsi="Book Antiqua" w:cs="Book Antiqua"/>
          <w:sz w:val="24"/>
          <w:szCs w:val="24"/>
        </w:rPr>
        <w:t xml:space="preserve">el movimiento de trabajo </w:t>
      </w:r>
      <w:r w:rsidRPr="00F30705">
        <w:rPr>
          <w:rFonts w:ascii="Book Antiqua" w:hAnsi="Book Antiqua"/>
          <w:sz w:val="24"/>
          <w:szCs w:val="24"/>
          <w:lang w:val="es-ES"/>
        </w:rPr>
        <w:t>efectuado sobre las Personas Sentenciadas en los Tribunales Penales, durante el 2015.</w:t>
      </w:r>
    </w:p>
    <w:p w:rsidR="00967D38" w:rsidRDefault="00967D38" w:rsidP="00967D38">
      <w:pPr>
        <w:jc w:val="both"/>
        <w:rPr>
          <w:lang w:val="es-ES"/>
        </w:rPr>
      </w:pPr>
    </w:p>
    <w:p w:rsidR="00CE7100" w:rsidRPr="00CE7100" w:rsidRDefault="00CE7100" w:rsidP="00967D38">
      <w:pPr>
        <w:jc w:val="both"/>
        <w:rPr>
          <w:lang w:val="es-ES"/>
        </w:rPr>
      </w:pPr>
    </w:p>
    <w:p w:rsidR="00967D38" w:rsidRPr="009C0A09" w:rsidRDefault="00967D38" w:rsidP="00967D38">
      <w:pPr>
        <w:widowControl w:val="0"/>
        <w:rPr>
          <w:rFonts w:ascii="Book Antiqua" w:hAnsi="Book Antiqua" w:cs="Book Antiqua"/>
          <w:snapToGrid w:val="0"/>
          <w:sz w:val="24"/>
          <w:szCs w:val="24"/>
          <w:lang w:val="pt-BR"/>
        </w:rPr>
      </w:pPr>
      <w:r w:rsidRPr="009C0A09">
        <w:rPr>
          <w:rFonts w:ascii="Book Antiqua" w:hAnsi="Book Antiqua" w:cs="Book Antiqua"/>
          <w:snapToGrid w:val="0"/>
          <w:sz w:val="24"/>
          <w:szCs w:val="24"/>
          <w:lang w:val="pt-BR"/>
        </w:rPr>
        <w:t>Atentamente,</w:t>
      </w:r>
    </w:p>
    <w:p w:rsidR="00967D38" w:rsidRPr="009C0A09" w:rsidRDefault="00967D38" w:rsidP="00967D38">
      <w:pPr>
        <w:widowControl w:val="0"/>
        <w:jc w:val="center"/>
        <w:rPr>
          <w:rFonts w:ascii="Book Antiqua" w:hAnsi="Book Antiqua" w:cs="Book Antiqua"/>
          <w:b/>
          <w:bCs/>
          <w:snapToGrid w:val="0"/>
          <w:sz w:val="24"/>
          <w:szCs w:val="24"/>
          <w:lang w:val="pt-BR"/>
        </w:rPr>
      </w:pPr>
    </w:p>
    <w:p w:rsidR="00967D38" w:rsidRDefault="00967D38" w:rsidP="00967D38">
      <w:pPr>
        <w:widowControl w:val="0"/>
        <w:rPr>
          <w:rFonts w:ascii="Book Antiqua" w:hAnsi="Book Antiqua" w:cs="Book Antiqua"/>
          <w:snapToGrid w:val="0"/>
          <w:sz w:val="24"/>
          <w:szCs w:val="24"/>
        </w:rPr>
      </w:pPr>
    </w:p>
    <w:p w:rsidR="00967D38" w:rsidRDefault="00967D38" w:rsidP="00967D38">
      <w:pPr>
        <w:widowControl w:val="0"/>
        <w:rPr>
          <w:rFonts w:ascii="Book Antiqua" w:hAnsi="Book Antiqua" w:cs="Book Antiqua"/>
          <w:snapToGrid w:val="0"/>
          <w:sz w:val="24"/>
          <w:szCs w:val="24"/>
          <w:lang w:val="pt-BR"/>
        </w:rPr>
      </w:pPr>
    </w:p>
    <w:p w:rsidR="00967D38" w:rsidRDefault="00967D38" w:rsidP="00967D38">
      <w:pPr>
        <w:widowControl w:val="0"/>
        <w:rPr>
          <w:rFonts w:ascii="Book Antiqua" w:hAnsi="Book Antiqua" w:cs="Book Antiqua"/>
          <w:snapToGrid w:val="0"/>
          <w:sz w:val="24"/>
          <w:szCs w:val="24"/>
          <w:lang w:val="pt-BR"/>
        </w:rPr>
      </w:pPr>
    </w:p>
    <w:p w:rsidR="00967D38" w:rsidRDefault="00967D38" w:rsidP="00967D38">
      <w:pPr>
        <w:widowControl w:val="0"/>
        <w:rPr>
          <w:rFonts w:ascii="Book Antiqua" w:hAnsi="Book Antiqua" w:cs="Book Antiqua"/>
          <w:snapToGrid w:val="0"/>
          <w:sz w:val="24"/>
          <w:szCs w:val="24"/>
          <w:lang w:val="pt-BR"/>
        </w:rPr>
      </w:pPr>
      <w:r>
        <w:rPr>
          <w:rFonts w:ascii="Book Antiqua" w:hAnsi="Book Antiqua" w:cs="Book Antiqua"/>
          <w:snapToGrid w:val="0"/>
          <w:sz w:val="24"/>
          <w:szCs w:val="24"/>
          <w:lang w:val="pt-BR"/>
        </w:rPr>
        <w:t>Elías Muñoz Jiménez</w:t>
      </w:r>
    </w:p>
    <w:p w:rsidR="00967D38" w:rsidRPr="009C0A09" w:rsidRDefault="00967D38" w:rsidP="00967D38">
      <w:pPr>
        <w:widowControl w:val="0"/>
        <w:rPr>
          <w:rFonts w:ascii="Book Antiqua" w:hAnsi="Book Antiqua" w:cs="Book Antiqua"/>
          <w:snapToGrid w:val="0"/>
          <w:sz w:val="24"/>
          <w:szCs w:val="24"/>
          <w:lang w:val="pt-BR"/>
        </w:rPr>
      </w:pPr>
      <w:r>
        <w:rPr>
          <w:rFonts w:ascii="Book Antiqua" w:hAnsi="Book Antiqua" w:cs="Book Antiqua"/>
          <w:snapToGrid w:val="0"/>
          <w:sz w:val="24"/>
          <w:szCs w:val="24"/>
          <w:lang w:val="pt-BR"/>
        </w:rPr>
        <w:t>Subdirector a.i de Planificación</w:t>
      </w:r>
    </w:p>
    <w:p w:rsidR="00967D38" w:rsidRPr="00B5157C" w:rsidRDefault="00967D38" w:rsidP="00967D38">
      <w:pPr>
        <w:rPr>
          <w:rFonts w:ascii="Book Antiqua" w:hAnsi="Book Antiqua" w:cs="Book Antiqua"/>
          <w:sz w:val="24"/>
          <w:szCs w:val="24"/>
        </w:rPr>
      </w:pPr>
    </w:p>
    <w:p w:rsidR="00967D38" w:rsidRDefault="00967D38" w:rsidP="00967D38">
      <w:pPr>
        <w:rPr>
          <w:rFonts w:ascii="Book Antiqua" w:hAnsi="Book Antiqua" w:cs="Book Antiqua"/>
          <w:sz w:val="24"/>
          <w:szCs w:val="24"/>
        </w:rPr>
      </w:pPr>
      <w:r w:rsidRPr="00B5157C">
        <w:rPr>
          <w:rFonts w:ascii="Book Antiqua" w:hAnsi="Book Antiqua" w:cs="Book Antiqua"/>
          <w:sz w:val="24"/>
          <w:szCs w:val="24"/>
        </w:rPr>
        <w:t xml:space="preserve">Copias: </w:t>
      </w:r>
    </w:p>
    <w:p w:rsidR="00967D38" w:rsidRDefault="00967D38" w:rsidP="00967D38">
      <w:pPr>
        <w:rPr>
          <w:rFonts w:ascii="Book Antiqua" w:hAnsi="Book Antiqua" w:cs="Book Antiqua"/>
          <w:sz w:val="24"/>
          <w:szCs w:val="24"/>
        </w:rPr>
      </w:pPr>
    </w:p>
    <w:p w:rsidR="00967D38" w:rsidRPr="00967D38" w:rsidRDefault="00967D38" w:rsidP="00967D38">
      <w:pPr>
        <w:pStyle w:val="Prrafodelista"/>
        <w:numPr>
          <w:ilvl w:val="0"/>
          <w:numId w:val="43"/>
        </w:numPr>
        <w:suppressAutoHyphens/>
        <w:outlineLvl w:val="0"/>
        <w:rPr>
          <w:rFonts w:ascii="Book Antiqua" w:hAnsi="Book Antiqua"/>
          <w:bCs/>
          <w:color w:val="000000"/>
          <w:sz w:val="20"/>
          <w:szCs w:val="20"/>
        </w:rPr>
      </w:pPr>
      <w:r w:rsidRPr="00967D38">
        <w:rPr>
          <w:rFonts w:ascii="Book Antiqua" w:hAnsi="Book Antiqua"/>
          <w:bCs/>
          <w:color w:val="000000"/>
          <w:sz w:val="20"/>
          <w:szCs w:val="20"/>
        </w:rPr>
        <w:t xml:space="preserve">Magistrado Carlos Chinchilla Sandí, Coordinador </w:t>
      </w:r>
    </w:p>
    <w:p w:rsidR="00967D38" w:rsidRPr="00967D38" w:rsidRDefault="00967D38" w:rsidP="00967D38">
      <w:pPr>
        <w:pStyle w:val="Prrafodelista"/>
        <w:suppressAutoHyphens/>
        <w:ind w:left="720"/>
        <w:outlineLvl w:val="0"/>
        <w:rPr>
          <w:rFonts w:ascii="Book Antiqua" w:hAnsi="Book Antiqua"/>
          <w:bCs/>
          <w:color w:val="000000"/>
          <w:sz w:val="20"/>
          <w:szCs w:val="20"/>
        </w:rPr>
      </w:pPr>
      <w:r w:rsidRPr="00967D38">
        <w:rPr>
          <w:rFonts w:ascii="Book Antiqua" w:hAnsi="Book Antiqua"/>
          <w:bCs/>
          <w:color w:val="000000"/>
          <w:sz w:val="20"/>
          <w:szCs w:val="20"/>
        </w:rPr>
        <w:t xml:space="preserve">Comisión de </w:t>
      </w:r>
      <w:smartTag w:uri="urn:schemas-microsoft-com:office:smarttags" w:element="PersonName">
        <w:smartTagPr>
          <w:attr w:name="ProductID" w:val="la Jurisdicci￳n Penal"/>
        </w:smartTagPr>
        <w:smartTag w:uri="urn:schemas-microsoft-com:office:smarttags" w:element="PersonName">
          <w:smartTagPr>
            <w:attr w:name="ProductID" w:val="la Jurisdicci￳n"/>
          </w:smartTagPr>
          <w:r w:rsidRPr="00967D38">
            <w:rPr>
              <w:rFonts w:ascii="Book Antiqua" w:hAnsi="Book Antiqua"/>
              <w:bCs/>
              <w:color w:val="000000"/>
              <w:sz w:val="20"/>
              <w:szCs w:val="20"/>
            </w:rPr>
            <w:t>la Jurisdicción</w:t>
          </w:r>
        </w:smartTag>
        <w:r w:rsidRPr="00967D38">
          <w:rPr>
            <w:rFonts w:ascii="Book Antiqua" w:hAnsi="Book Antiqua"/>
            <w:bCs/>
            <w:color w:val="000000"/>
            <w:sz w:val="20"/>
            <w:szCs w:val="20"/>
          </w:rPr>
          <w:t xml:space="preserve"> Penal</w:t>
        </w:r>
      </w:smartTag>
    </w:p>
    <w:p w:rsidR="00967D38" w:rsidRDefault="00967D38" w:rsidP="00967D38">
      <w:pPr>
        <w:pStyle w:val="Prrafodelista"/>
        <w:ind w:left="720"/>
        <w:rPr>
          <w:rFonts w:ascii="Book Antiqua" w:hAnsi="Book Antiqua" w:cs="Book Antiqua"/>
        </w:rPr>
      </w:pPr>
    </w:p>
    <w:p w:rsidR="00967D38" w:rsidRPr="00967D38" w:rsidRDefault="00967D38" w:rsidP="00967D38">
      <w:pPr>
        <w:pStyle w:val="Prrafodelista"/>
        <w:numPr>
          <w:ilvl w:val="0"/>
          <w:numId w:val="43"/>
        </w:numPr>
        <w:rPr>
          <w:rFonts w:ascii="Book Antiqua" w:hAnsi="Book Antiqua" w:cs="Book Antiqua"/>
          <w:sz w:val="20"/>
          <w:szCs w:val="20"/>
        </w:rPr>
      </w:pPr>
      <w:r w:rsidRPr="00967D38">
        <w:rPr>
          <w:rFonts w:ascii="Book Antiqua" w:hAnsi="Book Antiqua" w:cs="Book Antiqua"/>
          <w:sz w:val="20"/>
          <w:szCs w:val="20"/>
        </w:rPr>
        <w:t>Archivo</w:t>
      </w:r>
    </w:p>
    <w:p w:rsidR="00B93820" w:rsidRPr="00B5157C" w:rsidRDefault="00B93820" w:rsidP="00B93820">
      <w:pPr>
        <w:widowControl w:val="0"/>
        <w:rPr>
          <w:rFonts w:ascii="Book Antiqua" w:hAnsi="Book Antiqua" w:cs="Book Antiqua"/>
          <w:snapToGrid w:val="0"/>
          <w:sz w:val="24"/>
          <w:szCs w:val="24"/>
        </w:rPr>
      </w:pPr>
    </w:p>
    <w:p w:rsidR="00B93820" w:rsidRPr="00B5157C" w:rsidRDefault="00B93820" w:rsidP="00B93820">
      <w:pPr>
        <w:rPr>
          <w:rFonts w:ascii="Book Antiqua" w:hAnsi="Book Antiqua" w:cs="Book Antiqua"/>
          <w:sz w:val="24"/>
          <w:szCs w:val="24"/>
          <w:lang w:val="es-ES"/>
        </w:rPr>
      </w:pPr>
    </w:p>
    <w:p w:rsidR="00B93820" w:rsidRPr="001458F9" w:rsidRDefault="00CE7479" w:rsidP="00B93820">
      <w:pPr>
        <w:rPr>
          <w:rFonts w:ascii="Book Antiqua" w:hAnsi="Book Antiqua" w:cs="Book Antiqua"/>
          <w:sz w:val="24"/>
          <w:szCs w:val="24"/>
          <w:lang w:val="es-ES"/>
        </w:rPr>
      </w:pPr>
      <w:r>
        <w:rPr>
          <w:rFonts w:ascii="Book Antiqua" w:hAnsi="Book Antiqua" w:cs="Book Antiqua"/>
          <w:sz w:val="24"/>
          <w:szCs w:val="24"/>
          <w:lang w:val="es-ES"/>
        </w:rPr>
        <w:t>EMJ</w:t>
      </w:r>
      <w:bookmarkStart w:id="0" w:name="_GoBack"/>
      <w:bookmarkEnd w:id="0"/>
      <w:r w:rsidR="00B93820" w:rsidRPr="001458F9">
        <w:rPr>
          <w:rFonts w:ascii="Book Antiqua" w:hAnsi="Book Antiqua" w:cs="Book Antiqua"/>
          <w:sz w:val="24"/>
          <w:szCs w:val="24"/>
          <w:lang w:val="es-ES"/>
        </w:rPr>
        <w:t>/</w:t>
      </w:r>
      <w:r w:rsidR="00D85A36">
        <w:rPr>
          <w:rFonts w:ascii="Book Antiqua" w:hAnsi="Book Antiqua" w:cs="Book Antiqua"/>
          <w:sz w:val="24"/>
          <w:szCs w:val="24"/>
          <w:lang w:val="es-ES"/>
        </w:rPr>
        <w:t>pvv</w:t>
      </w:r>
    </w:p>
    <w:p w:rsidR="00B93820" w:rsidRDefault="00B93820" w:rsidP="00B93820">
      <w:pPr>
        <w:pStyle w:val="Textoindependiente2"/>
        <w:rPr>
          <w:b/>
          <w:bCs/>
        </w:rPr>
      </w:pPr>
      <w:r w:rsidRPr="001458F9">
        <w:rPr>
          <w:rFonts w:ascii="Book Antiqua" w:hAnsi="Book Antiqua" w:cs="Book Antiqua"/>
        </w:rPr>
        <w:t>Ref.</w:t>
      </w:r>
      <w:r w:rsidRPr="0086065C">
        <w:rPr>
          <w:b/>
          <w:bCs/>
        </w:rPr>
        <w:t xml:space="preserve"> </w:t>
      </w:r>
      <w:r w:rsidR="00D85A36">
        <w:rPr>
          <w:b/>
          <w:bCs/>
        </w:rPr>
        <w:t>1622-2016</w:t>
      </w:r>
    </w:p>
    <w:p w:rsidR="00224EE7" w:rsidRDefault="00224EE7" w:rsidP="00224EE7"/>
    <w:p w:rsidR="00CE7100" w:rsidRDefault="00CE7100" w:rsidP="00224EE7"/>
    <w:p w:rsidR="00CE7100" w:rsidRPr="00F30705" w:rsidRDefault="00CE7100" w:rsidP="00224EE7"/>
    <w:p w:rsidR="00224EE7" w:rsidRPr="00F30705" w:rsidRDefault="00224EE7" w:rsidP="00224EE7"/>
    <w:p w:rsidR="00224EE7" w:rsidRPr="00F30705" w:rsidRDefault="00D85A36" w:rsidP="008B482D">
      <w:pPr>
        <w:widowControl w:val="0"/>
        <w:jc w:val="right"/>
        <w:rPr>
          <w:rFonts w:ascii="Book Antiqua" w:hAnsi="Book Antiqua" w:cs="Book Antiqua"/>
          <w:snapToGrid w:val="0"/>
          <w:sz w:val="24"/>
          <w:szCs w:val="24"/>
        </w:rPr>
      </w:pPr>
      <w:r>
        <w:rPr>
          <w:rFonts w:ascii="Book Antiqua" w:hAnsi="Book Antiqua" w:cs="Book Antiqua"/>
          <w:snapToGrid w:val="0"/>
          <w:sz w:val="24"/>
          <w:szCs w:val="24"/>
        </w:rPr>
        <w:lastRenderedPageBreak/>
        <w:t>335</w:t>
      </w:r>
      <w:r w:rsidR="008B482D">
        <w:rPr>
          <w:rFonts w:ascii="Book Antiqua" w:hAnsi="Book Antiqua" w:cs="Book Antiqua"/>
          <w:snapToGrid w:val="0"/>
          <w:sz w:val="24"/>
          <w:szCs w:val="24"/>
        </w:rPr>
        <w:t>-E</w:t>
      </w:r>
      <w:r w:rsidR="00224EE7" w:rsidRPr="00F30705">
        <w:rPr>
          <w:rFonts w:ascii="Book Antiqua" w:hAnsi="Book Antiqua" w:cs="Book Antiqua"/>
          <w:snapToGrid w:val="0"/>
          <w:sz w:val="24"/>
          <w:szCs w:val="24"/>
        </w:rPr>
        <w:t>ST-2016</w:t>
      </w:r>
    </w:p>
    <w:p w:rsidR="00224EE7" w:rsidRDefault="00224EE7" w:rsidP="00224EE7">
      <w:pPr>
        <w:autoSpaceDE w:val="0"/>
        <w:autoSpaceDN w:val="0"/>
        <w:adjustRightInd w:val="0"/>
        <w:jc w:val="both"/>
        <w:rPr>
          <w:rFonts w:ascii="Book Antiqua" w:hAnsi="Book Antiqua"/>
          <w:sz w:val="24"/>
          <w:szCs w:val="24"/>
        </w:rPr>
      </w:pPr>
    </w:p>
    <w:p w:rsidR="008B482D" w:rsidRDefault="008B482D" w:rsidP="00224EE7">
      <w:pPr>
        <w:autoSpaceDE w:val="0"/>
        <w:autoSpaceDN w:val="0"/>
        <w:adjustRightInd w:val="0"/>
        <w:jc w:val="both"/>
        <w:rPr>
          <w:rFonts w:ascii="Book Antiqua" w:hAnsi="Book Antiqua"/>
          <w:sz w:val="24"/>
          <w:szCs w:val="24"/>
        </w:rPr>
      </w:pPr>
    </w:p>
    <w:p w:rsidR="008B482D" w:rsidRPr="00F30705" w:rsidRDefault="008B482D" w:rsidP="00224EE7">
      <w:pPr>
        <w:autoSpaceDE w:val="0"/>
        <w:autoSpaceDN w:val="0"/>
        <w:adjustRightInd w:val="0"/>
        <w:jc w:val="both"/>
        <w:rPr>
          <w:rFonts w:ascii="Book Antiqua" w:hAnsi="Book Antiqua"/>
          <w:sz w:val="24"/>
          <w:szCs w:val="24"/>
        </w:rPr>
      </w:pPr>
    </w:p>
    <w:p w:rsidR="00C43B9A" w:rsidRPr="00F30705" w:rsidRDefault="00D85A36" w:rsidP="00224EE7">
      <w:pPr>
        <w:autoSpaceDE w:val="0"/>
        <w:autoSpaceDN w:val="0"/>
        <w:adjustRightInd w:val="0"/>
        <w:jc w:val="both"/>
        <w:rPr>
          <w:rFonts w:ascii="Book Antiqua" w:hAnsi="Book Antiqua"/>
          <w:sz w:val="24"/>
          <w:szCs w:val="24"/>
          <w:lang w:val="es-ES"/>
        </w:rPr>
      </w:pPr>
      <w:r>
        <w:rPr>
          <w:rFonts w:ascii="Book Antiqua" w:hAnsi="Book Antiqua"/>
          <w:sz w:val="24"/>
          <w:szCs w:val="24"/>
          <w:lang w:val="es-ES"/>
        </w:rPr>
        <w:t>10</w:t>
      </w:r>
      <w:r w:rsidR="008B482D">
        <w:rPr>
          <w:rFonts w:ascii="Book Antiqua" w:hAnsi="Book Antiqua"/>
          <w:sz w:val="24"/>
          <w:szCs w:val="24"/>
          <w:lang w:val="es-ES"/>
        </w:rPr>
        <w:t xml:space="preserve"> de noviembre de 2016</w:t>
      </w:r>
    </w:p>
    <w:p w:rsidR="00C43B9A" w:rsidRPr="00F30705" w:rsidRDefault="00C43B9A" w:rsidP="00224EE7">
      <w:pPr>
        <w:autoSpaceDE w:val="0"/>
        <w:autoSpaceDN w:val="0"/>
        <w:adjustRightInd w:val="0"/>
        <w:jc w:val="both"/>
        <w:rPr>
          <w:rFonts w:ascii="Book Antiqua" w:hAnsi="Book Antiqua"/>
          <w:sz w:val="24"/>
          <w:szCs w:val="24"/>
          <w:lang w:val="es-ES"/>
        </w:rPr>
      </w:pPr>
    </w:p>
    <w:p w:rsidR="00224EE7" w:rsidRDefault="00224EE7" w:rsidP="00224EE7">
      <w:pPr>
        <w:autoSpaceDE w:val="0"/>
        <w:autoSpaceDN w:val="0"/>
        <w:adjustRightInd w:val="0"/>
        <w:jc w:val="both"/>
        <w:rPr>
          <w:rFonts w:ascii="Book Antiqua" w:hAnsi="Book Antiqua"/>
          <w:sz w:val="24"/>
          <w:szCs w:val="24"/>
          <w:lang w:val="es-ES"/>
        </w:rPr>
      </w:pPr>
    </w:p>
    <w:p w:rsidR="00B04F3A" w:rsidRPr="00F30705" w:rsidRDefault="00B04F3A" w:rsidP="00224EE7">
      <w:pPr>
        <w:autoSpaceDE w:val="0"/>
        <w:autoSpaceDN w:val="0"/>
        <w:adjustRightInd w:val="0"/>
        <w:jc w:val="both"/>
        <w:rPr>
          <w:rFonts w:ascii="Book Antiqua" w:hAnsi="Book Antiqua"/>
          <w:sz w:val="24"/>
          <w:szCs w:val="24"/>
          <w:lang w:val="es-ES"/>
        </w:rPr>
      </w:pPr>
    </w:p>
    <w:p w:rsidR="00C43B9A" w:rsidRPr="00F30705" w:rsidRDefault="00224EE7" w:rsidP="00224EE7">
      <w:pPr>
        <w:autoSpaceDE w:val="0"/>
        <w:autoSpaceDN w:val="0"/>
        <w:adjustRightInd w:val="0"/>
        <w:jc w:val="both"/>
        <w:rPr>
          <w:rFonts w:ascii="Book Antiqua" w:hAnsi="Book Antiqua"/>
          <w:sz w:val="24"/>
          <w:szCs w:val="24"/>
          <w:lang w:val="es-ES"/>
        </w:rPr>
      </w:pPr>
      <w:r w:rsidRPr="00F30705">
        <w:rPr>
          <w:rFonts w:ascii="Book Antiqua" w:hAnsi="Book Antiqua"/>
          <w:sz w:val="24"/>
          <w:szCs w:val="24"/>
          <w:lang w:val="es-ES"/>
        </w:rPr>
        <w:t>Máster</w:t>
      </w:r>
    </w:p>
    <w:p w:rsidR="00C43B9A" w:rsidRPr="00F30705" w:rsidRDefault="00C43B9A" w:rsidP="00224EE7">
      <w:pPr>
        <w:autoSpaceDE w:val="0"/>
        <w:autoSpaceDN w:val="0"/>
        <w:adjustRightInd w:val="0"/>
        <w:jc w:val="both"/>
        <w:rPr>
          <w:rFonts w:ascii="Book Antiqua" w:hAnsi="Book Antiqua"/>
          <w:sz w:val="24"/>
          <w:szCs w:val="24"/>
          <w:lang w:val="es-ES"/>
        </w:rPr>
      </w:pPr>
      <w:r w:rsidRPr="00F30705">
        <w:rPr>
          <w:rFonts w:ascii="Book Antiqua" w:hAnsi="Book Antiqua"/>
          <w:sz w:val="24"/>
          <w:szCs w:val="24"/>
          <w:lang w:val="es-ES"/>
        </w:rPr>
        <w:t>Elías Muñoz Jiménez</w:t>
      </w:r>
    </w:p>
    <w:p w:rsidR="00C43B9A" w:rsidRPr="00F30705" w:rsidRDefault="00C43B9A" w:rsidP="00224EE7">
      <w:pPr>
        <w:autoSpaceDE w:val="0"/>
        <w:autoSpaceDN w:val="0"/>
        <w:adjustRightInd w:val="0"/>
        <w:jc w:val="both"/>
        <w:rPr>
          <w:rFonts w:ascii="Book Antiqua" w:hAnsi="Book Antiqua"/>
          <w:sz w:val="24"/>
          <w:szCs w:val="24"/>
          <w:lang w:val="es-ES"/>
        </w:rPr>
      </w:pPr>
      <w:r w:rsidRPr="00F30705">
        <w:rPr>
          <w:rFonts w:ascii="Book Antiqua" w:hAnsi="Book Antiqua"/>
          <w:sz w:val="24"/>
          <w:szCs w:val="24"/>
          <w:lang w:val="es-ES"/>
        </w:rPr>
        <w:t>Subdirector</w:t>
      </w:r>
      <w:r w:rsidR="00224EE7" w:rsidRPr="00F30705">
        <w:rPr>
          <w:rFonts w:ascii="Book Antiqua" w:hAnsi="Book Antiqua"/>
          <w:sz w:val="24"/>
          <w:szCs w:val="24"/>
          <w:lang w:val="es-ES"/>
        </w:rPr>
        <w:t xml:space="preserve"> a.i.</w:t>
      </w:r>
      <w:r w:rsidRPr="00F30705">
        <w:rPr>
          <w:rFonts w:ascii="Book Antiqua" w:hAnsi="Book Antiqua"/>
          <w:sz w:val="24"/>
          <w:szCs w:val="24"/>
          <w:lang w:val="es-ES"/>
        </w:rPr>
        <w:t xml:space="preserve"> de Planificación</w:t>
      </w:r>
    </w:p>
    <w:p w:rsidR="00C43B9A" w:rsidRPr="00F30705" w:rsidRDefault="00C43B9A" w:rsidP="00224EE7">
      <w:pPr>
        <w:autoSpaceDE w:val="0"/>
        <w:autoSpaceDN w:val="0"/>
        <w:adjustRightInd w:val="0"/>
        <w:jc w:val="both"/>
        <w:rPr>
          <w:rFonts w:ascii="Book Antiqua" w:hAnsi="Book Antiqua"/>
          <w:sz w:val="24"/>
          <w:szCs w:val="24"/>
          <w:lang w:val="es-ES"/>
        </w:rPr>
      </w:pPr>
    </w:p>
    <w:p w:rsidR="00C43B9A" w:rsidRPr="00F30705" w:rsidRDefault="00C43B9A" w:rsidP="00224EE7">
      <w:pPr>
        <w:autoSpaceDE w:val="0"/>
        <w:autoSpaceDN w:val="0"/>
        <w:adjustRightInd w:val="0"/>
        <w:jc w:val="both"/>
        <w:rPr>
          <w:rFonts w:ascii="Book Antiqua" w:hAnsi="Book Antiqua"/>
          <w:sz w:val="24"/>
          <w:szCs w:val="24"/>
          <w:lang w:val="es-ES"/>
        </w:rPr>
      </w:pPr>
    </w:p>
    <w:p w:rsidR="00C43B9A" w:rsidRPr="00F30705" w:rsidRDefault="00C43B9A" w:rsidP="00224EE7">
      <w:pPr>
        <w:autoSpaceDE w:val="0"/>
        <w:autoSpaceDN w:val="0"/>
        <w:adjustRightInd w:val="0"/>
        <w:jc w:val="both"/>
        <w:rPr>
          <w:rFonts w:ascii="Book Antiqua" w:hAnsi="Book Antiqua"/>
          <w:sz w:val="24"/>
          <w:szCs w:val="24"/>
          <w:lang w:val="es-ES"/>
        </w:rPr>
      </w:pPr>
      <w:r w:rsidRPr="00F30705">
        <w:rPr>
          <w:rFonts w:ascii="Book Antiqua" w:hAnsi="Book Antiqua"/>
          <w:sz w:val="24"/>
          <w:szCs w:val="24"/>
          <w:lang w:val="es-ES"/>
        </w:rPr>
        <w:t>Estimado señor:</w:t>
      </w:r>
    </w:p>
    <w:p w:rsidR="00C43B9A" w:rsidRPr="00F30705" w:rsidRDefault="00C43B9A" w:rsidP="00224EE7">
      <w:pPr>
        <w:autoSpaceDE w:val="0"/>
        <w:autoSpaceDN w:val="0"/>
        <w:adjustRightInd w:val="0"/>
        <w:ind w:right="20"/>
        <w:jc w:val="both"/>
        <w:rPr>
          <w:rFonts w:ascii="Book Antiqua" w:hAnsi="Book Antiqua"/>
          <w:sz w:val="24"/>
          <w:szCs w:val="24"/>
          <w:lang w:val="es-ES"/>
        </w:rPr>
      </w:pPr>
    </w:p>
    <w:p w:rsidR="00C43B9A" w:rsidRPr="00F30705" w:rsidRDefault="00C43B9A" w:rsidP="00224EE7">
      <w:pPr>
        <w:autoSpaceDE w:val="0"/>
        <w:autoSpaceDN w:val="0"/>
        <w:adjustRightInd w:val="0"/>
        <w:ind w:right="20"/>
        <w:jc w:val="both"/>
        <w:rPr>
          <w:rFonts w:ascii="Book Antiqua" w:hAnsi="Book Antiqua"/>
          <w:sz w:val="24"/>
          <w:szCs w:val="24"/>
          <w:lang w:val="es-ES"/>
        </w:rPr>
      </w:pPr>
      <w:r w:rsidRPr="00F30705">
        <w:rPr>
          <w:rFonts w:ascii="Book Antiqua" w:hAnsi="Book Antiqua"/>
          <w:sz w:val="24"/>
          <w:szCs w:val="24"/>
          <w:lang w:val="es-ES"/>
        </w:rPr>
        <w:t xml:space="preserve">Hago de su conocimiento el informe elaborado por el Lic. Gustavo Chen Quesada, Profesional 2 de </w:t>
      </w:r>
      <w:smartTag w:uri="urn:schemas-microsoft-com:office:smarttags" w:element="PersonName">
        <w:smartTagPr>
          <w:attr w:name="ProductID" w:val="la Secci￳n"/>
        </w:smartTagPr>
        <w:r w:rsidRPr="00F30705">
          <w:rPr>
            <w:rFonts w:ascii="Book Antiqua" w:hAnsi="Book Antiqua"/>
            <w:sz w:val="24"/>
            <w:szCs w:val="24"/>
            <w:lang w:val="es-ES"/>
          </w:rPr>
          <w:t>la Sección</w:t>
        </w:r>
      </w:smartTag>
      <w:r w:rsidRPr="00F30705">
        <w:rPr>
          <w:rFonts w:ascii="Book Antiqua" w:hAnsi="Book Antiqua"/>
          <w:sz w:val="24"/>
          <w:szCs w:val="24"/>
          <w:lang w:val="es-ES"/>
        </w:rPr>
        <w:t xml:space="preserve"> a mi cargo, acerca de los principales patrones observados derivados de la exploración estadística del trabajo efectuado sobre las Personas Sentenciadas en los Tribunales Penales, durante el 201</w:t>
      </w:r>
      <w:r w:rsidR="00577E7A" w:rsidRPr="00F30705">
        <w:rPr>
          <w:rFonts w:ascii="Book Antiqua" w:hAnsi="Book Antiqua"/>
          <w:sz w:val="24"/>
          <w:szCs w:val="24"/>
          <w:lang w:val="es-ES"/>
        </w:rPr>
        <w:t>5</w:t>
      </w:r>
      <w:r w:rsidRPr="00F30705">
        <w:rPr>
          <w:rFonts w:ascii="Book Antiqua" w:hAnsi="Book Antiqua"/>
          <w:sz w:val="24"/>
          <w:szCs w:val="24"/>
          <w:lang w:val="es-ES"/>
        </w:rPr>
        <w:t>.</w:t>
      </w:r>
    </w:p>
    <w:p w:rsidR="00C43B9A" w:rsidRPr="00F30705" w:rsidRDefault="00C43B9A" w:rsidP="00224EE7">
      <w:pPr>
        <w:autoSpaceDE w:val="0"/>
        <w:autoSpaceDN w:val="0"/>
        <w:adjustRightInd w:val="0"/>
        <w:ind w:right="20"/>
        <w:jc w:val="both"/>
        <w:rPr>
          <w:rFonts w:ascii="Book Antiqua" w:hAnsi="Book Antiqua"/>
          <w:sz w:val="24"/>
          <w:szCs w:val="24"/>
          <w:lang w:val="es-ES"/>
        </w:rPr>
      </w:pPr>
    </w:p>
    <w:p w:rsidR="005C4C30" w:rsidRDefault="005C4C30" w:rsidP="005C4C30">
      <w:pPr>
        <w:autoSpaceDE w:val="0"/>
        <w:autoSpaceDN w:val="0"/>
        <w:adjustRightInd w:val="0"/>
        <w:ind w:right="20"/>
        <w:jc w:val="both"/>
        <w:rPr>
          <w:rFonts w:ascii="Book Antiqua" w:hAnsi="Book Antiqua"/>
          <w:sz w:val="24"/>
          <w:szCs w:val="24"/>
        </w:rPr>
      </w:pPr>
    </w:p>
    <w:p w:rsidR="005C4C30" w:rsidRPr="00C25C67" w:rsidRDefault="005C4C30" w:rsidP="005C4C30">
      <w:pPr>
        <w:autoSpaceDE w:val="0"/>
        <w:autoSpaceDN w:val="0"/>
        <w:adjustRightInd w:val="0"/>
        <w:ind w:right="20"/>
        <w:jc w:val="both"/>
        <w:rPr>
          <w:rFonts w:ascii="Book Antiqua" w:hAnsi="Book Antiqua"/>
          <w:sz w:val="24"/>
          <w:szCs w:val="24"/>
        </w:rPr>
      </w:pPr>
      <w:r>
        <w:rPr>
          <w:rFonts w:ascii="Book Antiqua" w:hAnsi="Book Antiqua"/>
          <w:sz w:val="24"/>
          <w:szCs w:val="24"/>
        </w:rPr>
        <w:t xml:space="preserve">En términos </w:t>
      </w:r>
      <w:r w:rsidR="003523A2">
        <w:rPr>
          <w:rFonts w:ascii="Book Antiqua" w:hAnsi="Book Antiqua"/>
          <w:sz w:val="24"/>
          <w:szCs w:val="24"/>
        </w:rPr>
        <w:t xml:space="preserve">generales se da una disminución </w:t>
      </w:r>
      <w:r w:rsidRPr="005C4C30">
        <w:rPr>
          <w:rFonts w:ascii="Book Antiqua" w:hAnsi="Book Antiqua"/>
          <w:sz w:val="24"/>
          <w:szCs w:val="24"/>
        </w:rPr>
        <w:t>en el volumen de personas sentenciadas en los tribunales penales de primera instancia del país</w:t>
      </w:r>
      <w:r w:rsidR="00C30864">
        <w:rPr>
          <w:rFonts w:ascii="Book Antiqua" w:hAnsi="Book Antiqua"/>
          <w:sz w:val="24"/>
          <w:szCs w:val="24"/>
        </w:rPr>
        <w:t>. L</w:t>
      </w:r>
      <w:r w:rsidRPr="005C4C30">
        <w:rPr>
          <w:rFonts w:ascii="Book Antiqua" w:hAnsi="Book Antiqua"/>
          <w:sz w:val="24"/>
          <w:szCs w:val="24"/>
        </w:rPr>
        <w:t>a cantidad de personas sentenciadas de cada año del 2008 al 2013 venía creciendo a un ritmo promedio de un 10% anual por el aporte adicional que darán los tribunales de flagrancia, patrón que se interrumpe en el 2014</w:t>
      </w:r>
      <w:r w:rsidR="00C30864">
        <w:rPr>
          <w:rFonts w:ascii="Book Antiqua" w:hAnsi="Book Antiqua"/>
          <w:sz w:val="24"/>
          <w:szCs w:val="24"/>
        </w:rPr>
        <w:t xml:space="preserve">. </w:t>
      </w:r>
      <w:r w:rsidRPr="005C4C30">
        <w:rPr>
          <w:rFonts w:ascii="Book Antiqua" w:hAnsi="Book Antiqua"/>
          <w:sz w:val="24"/>
          <w:szCs w:val="24"/>
        </w:rPr>
        <w:t xml:space="preserve">Este último patrón es congruente con la no conformación de más tribunales de flagrancia en el país, señalando que la capacidad de sentenciar personas, en el futuro cercano y bajo las condiciones actuales, oscilará en un rango que va </w:t>
      </w:r>
      <w:r w:rsidRPr="00C25C67">
        <w:rPr>
          <w:rFonts w:ascii="Book Antiqua" w:hAnsi="Book Antiqua"/>
          <w:sz w:val="24"/>
          <w:szCs w:val="24"/>
        </w:rPr>
        <w:t>de las 12.000 a las 13.500 personas sentenciadas por año.</w:t>
      </w:r>
    </w:p>
    <w:p w:rsidR="001168F8" w:rsidRPr="005C4C30" w:rsidRDefault="001168F8" w:rsidP="00224EE7">
      <w:pPr>
        <w:autoSpaceDE w:val="0"/>
        <w:autoSpaceDN w:val="0"/>
        <w:adjustRightInd w:val="0"/>
        <w:ind w:right="20"/>
        <w:jc w:val="both"/>
        <w:rPr>
          <w:rFonts w:ascii="Book Antiqua" w:hAnsi="Book Antiqua"/>
          <w:sz w:val="24"/>
          <w:szCs w:val="24"/>
        </w:rPr>
      </w:pPr>
    </w:p>
    <w:p w:rsidR="00C43B9A" w:rsidRPr="00F30705" w:rsidRDefault="00C43B9A" w:rsidP="00224EE7">
      <w:pPr>
        <w:autoSpaceDE w:val="0"/>
        <w:autoSpaceDN w:val="0"/>
        <w:adjustRightInd w:val="0"/>
        <w:ind w:right="20"/>
        <w:jc w:val="both"/>
        <w:rPr>
          <w:rFonts w:ascii="Book Antiqua" w:hAnsi="Book Antiqua"/>
          <w:sz w:val="24"/>
          <w:szCs w:val="24"/>
          <w:lang w:val="es-ES"/>
        </w:rPr>
      </w:pPr>
    </w:p>
    <w:p w:rsidR="00C43B9A" w:rsidRPr="00F30705" w:rsidRDefault="00C43B9A" w:rsidP="00224EE7">
      <w:pPr>
        <w:autoSpaceDE w:val="0"/>
        <w:autoSpaceDN w:val="0"/>
        <w:adjustRightInd w:val="0"/>
        <w:ind w:right="20"/>
        <w:jc w:val="both"/>
        <w:rPr>
          <w:rFonts w:ascii="Book Antiqua" w:hAnsi="Book Antiqua"/>
          <w:sz w:val="24"/>
          <w:szCs w:val="24"/>
          <w:lang w:val="es-ES"/>
        </w:rPr>
      </w:pPr>
      <w:r w:rsidRPr="00F30705">
        <w:rPr>
          <w:rFonts w:ascii="Book Antiqua" w:hAnsi="Book Antiqua"/>
          <w:sz w:val="24"/>
          <w:szCs w:val="24"/>
          <w:lang w:val="es-ES"/>
        </w:rPr>
        <w:t>Atentamente,</w:t>
      </w:r>
    </w:p>
    <w:p w:rsidR="00C43B9A" w:rsidRPr="00F30705" w:rsidRDefault="00C43B9A" w:rsidP="00224EE7">
      <w:pPr>
        <w:autoSpaceDE w:val="0"/>
        <w:autoSpaceDN w:val="0"/>
        <w:adjustRightInd w:val="0"/>
        <w:ind w:right="20"/>
        <w:jc w:val="both"/>
        <w:rPr>
          <w:rFonts w:ascii="Book Antiqua" w:hAnsi="Book Antiqua"/>
          <w:sz w:val="24"/>
          <w:szCs w:val="24"/>
          <w:lang w:val="es-ES"/>
        </w:rPr>
      </w:pPr>
    </w:p>
    <w:p w:rsidR="00C43B9A" w:rsidRPr="00F30705" w:rsidRDefault="00C43B9A" w:rsidP="00224EE7">
      <w:pPr>
        <w:autoSpaceDE w:val="0"/>
        <w:autoSpaceDN w:val="0"/>
        <w:adjustRightInd w:val="0"/>
        <w:ind w:right="20"/>
        <w:jc w:val="both"/>
        <w:rPr>
          <w:rFonts w:ascii="Book Antiqua" w:hAnsi="Book Antiqua"/>
          <w:sz w:val="24"/>
          <w:szCs w:val="24"/>
          <w:lang w:val="es-ES"/>
        </w:rPr>
      </w:pPr>
    </w:p>
    <w:p w:rsidR="00224EE7" w:rsidRPr="00F30705" w:rsidRDefault="00C43B9A" w:rsidP="00224EE7">
      <w:pPr>
        <w:autoSpaceDE w:val="0"/>
        <w:autoSpaceDN w:val="0"/>
        <w:adjustRightInd w:val="0"/>
        <w:ind w:right="20"/>
        <w:jc w:val="both"/>
        <w:rPr>
          <w:rFonts w:ascii="Book Antiqua" w:hAnsi="Book Antiqua"/>
          <w:sz w:val="24"/>
          <w:szCs w:val="24"/>
          <w:lang w:val="es-ES"/>
        </w:rPr>
      </w:pPr>
      <w:r w:rsidRPr="00F30705">
        <w:rPr>
          <w:rFonts w:ascii="Book Antiqua" w:hAnsi="Book Antiqua"/>
          <w:sz w:val="24"/>
          <w:szCs w:val="24"/>
          <w:lang w:val="es-ES"/>
        </w:rPr>
        <w:t xml:space="preserve">Licda </w:t>
      </w:r>
      <w:r w:rsidR="00224EE7" w:rsidRPr="00F30705">
        <w:rPr>
          <w:rFonts w:ascii="Book Antiqua" w:hAnsi="Book Antiqua"/>
          <w:sz w:val="24"/>
          <w:szCs w:val="24"/>
          <w:lang w:val="es-ES"/>
        </w:rPr>
        <w:t>Ana Ericka Rodríguez Araya, Jefa a.i.</w:t>
      </w:r>
    </w:p>
    <w:p w:rsidR="00C43B9A" w:rsidRPr="00F30705" w:rsidRDefault="00C43B9A" w:rsidP="00224EE7">
      <w:pPr>
        <w:autoSpaceDE w:val="0"/>
        <w:autoSpaceDN w:val="0"/>
        <w:adjustRightInd w:val="0"/>
        <w:ind w:right="20"/>
        <w:jc w:val="both"/>
        <w:rPr>
          <w:rFonts w:ascii="Book Antiqua" w:hAnsi="Book Antiqua"/>
          <w:sz w:val="24"/>
          <w:szCs w:val="24"/>
          <w:lang w:val="es-ES"/>
        </w:rPr>
      </w:pPr>
      <w:r w:rsidRPr="00F30705">
        <w:rPr>
          <w:rFonts w:ascii="Book Antiqua" w:hAnsi="Book Antiqua"/>
          <w:sz w:val="24"/>
          <w:szCs w:val="24"/>
          <w:lang w:val="es-ES"/>
        </w:rPr>
        <w:t>Sección de Estadística</w:t>
      </w:r>
    </w:p>
    <w:p w:rsidR="00C43B9A" w:rsidRPr="00F30705" w:rsidRDefault="00C43B9A" w:rsidP="00224EE7">
      <w:pPr>
        <w:autoSpaceDE w:val="0"/>
        <w:autoSpaceDN w:val="0"/>
        <w:adjustRightInd w:val="0"/>
        <w:ind w:right="20"/>
        <w:jc w:val="both"/>
        <w:rPr>
          <w:rFonts w:ascii="Book Antiqua" w:hAnsi="Book Antiqua"/>
          <w:sz w:val="24"/>
          <w:szCs w:val="24"/>
          <w:lang w:val="es-ES"/>
        </w:rPr>
      </w:pPr>
    </w:p>
    <w:p w:rsidR="00224EE7" w:rsidRPr="00566926" w:rsidRDefault="007539CB" w:rsidP="00224EE7">
      <w:pPr>
        <w:autoSpaceDE w:val="0"/>
        <w:autoSpaceDN w:val="0"/>
        <w:adjustRightInd w:val="0"/>
        <w:spacing w:line="360" w:lineRule="auto"/>
        <w:rPr>
          <w:rFonts w:ascii="Arial" w:hAnsi="Arial"/>
          <w:sz w:val="24"/>
          <w:szCs w:val="24"/>
          <w:lang w:val="es-ES"/>
        </w:rPr>
      </w:pPr>
      <w:r>
        <w:rPr>
          <w:rFonts w:ascii="Arial" w:hAnsi="Arial"/>
          <w:sz w:val="24"/>
          <w:szCs w:val="24"/>
          <w:lang w:val="es-ES"/>
        </w:rPr>
        <w:t>Aera</w:t>
      </w:r>
      <w:r w:rsidR="00566926" w:rsidRPr="00566926">
        <w:rPr>
          <w:rFonts w:ascii="Arial" w:hAnsi="Arial"/>
          <w:sz w:val="24"/>
          <w:szCs w:val="24"/>
          <w:lang w:val="es-ES"/>
        </w:rPr>
        <w:t>/pvv</w:t>
      </w:r>
    </w:p>
    <w:p w:rsidR="00C43B9A" w:rsidRPr="00F30705" w:rsidRDefault="00C43B9A" w:rsidP="00C43B9A">
      <w:pPr>
        <w:autoSpaceDE w:val="0"/>
        <w:autoSpaceDN w:val="0"/>
        <w:adjustRightInd w:val="0"/>
        <w:spacing w:line="360" w:lineRule="auto"/>
        <w:jc w:val="center"/>
        <w:rPr>
          <w:b/>
          <w:sz w:val="28"/>
          <w:lang w:val="es-ES"/>
        </w:rPr>
      </w:pPr>
      <w:r w:rsidRPr="00F30705">
        <w:rPr>
          <w:rFonts w:ascii="Arial" w:hAnsi="Arial"/>
          <w:sz w:val="28"/>
          <w:lang w:val="es-ES"/>
        </w:rPr>
        <w:br w:type="page"/>
      </w:r>
      <w:r w:rsidRPr="00F30705">
        <w:rPr>
          <w:b/>
          <w:sz w:val="28"/>
          <w:lang w:val="es-ES"/>
        </w:rPr>
        <w:lastRenderedPageBreak/>
        <w:t>PERSONAS SENTENCIADAS EN LOS</w:t>
      </w:r>
    </w:p>
    <w:p w:rsidR="00C43B9A" w:rsidRPr="00F30705" w:rsidRDefault="00C43B9A" w:rsidP="00C43B9A">
      <w:pPr>
        <w:autoSpaceDE w:val="0"/>
        <w:autoSpaceDN w:val="0"/>
        <w:adjustRightInd w:val="0"/>
        <w:spacing w:line="360" w:lineRule="auto"/>
        <w:jc w:val="center"/>
        <w:rPr>
          <w:b/>
          <w:sz w:val="28"/>
          <w:lang w:val="es-ES"/>
        </w:rPr>
      </w:pPr>
      <w:r w:rsidRPr="00F30705">
        <w:rPr>
          <w:b/>
          <w:sz w:val="28"/>
          <w:lang w:val="es-ES"/>
        </w:rPr>
        <w:t>TRIBUNALES PENALES</w:t>
      </w:r>
    </w:p>
    <w:p w:rsidR="00C43B9A" w:rsidRPr="00F30705" w:rsidRDefault="00C43B9A" w:rsidP="00C43B9A">
      <w:pPr>
        <w:autoSpaceDE w:val="0"/>
        <w:autoSpaceDN w:val="0"/>
        <w:adjustRightInd w:val="0"/>
        <w:spacing w:line="360" w:lineRule="auto"/>
        <w:jc w:val="both"/>
        <w:rPr>
          <w:sz w:val="28"/>
          <w:lang w:val="es-ES"/>
        </w:rPr>
      </w:pPr>
    </w:p>
    <w:p w:rsidR="00C43B9A" w:rsidRPr="00F30705" w:rsidRDefault="00C43B9A" w:rsidP="00C43B9A">
      <w:pPr>
        <w:autoSpaceDE w:val="0"/>
        <w:autoSpaceDN w:val="0"/>
        <w:adjustRightInd w:val="0"/>
        <w:spacing w:line="360" w:lineRule="auto"/>
        <w:jc w:val="both"/>
        <w:rPr>
          <w:sz w:val="28"/>
          <w:lang w:val="es-ES"/>
        </w:rPr>
      </w:pPr>
      <w:r w:rsidRPr="00F30705">
        <w:rPr>
          <w:sz w:val="28"/>
          <w:lang w:val="es-ES"/>
        </w:rPr>
        <w:t>A continuación se describe la información relacionada con las personas sentenciadas durante el 201</w:t>
      </w:r>
      <w:r w:rsidR="00543060" w:rsidRPr="00F30705">
        <w:rPr>
          <w:sz w:val="28"/>
          <w:lang w:val="es-ES"/>
        </w:rPr>
        <w:t>5</w:t>
      </w:r>
      <w:r w:rsidR="00B841C9" w:rsidRPr="00F30705">
        <w:rPr>
          <w:sz w:val="28"/>
          <w:lang w:val="es-ES"/>
        </w:rPr>
        <w:t xml:space="preserve">. </w:t>
      </w:r>
    </w:p>
    <w:p w:rsidR="00C43B9A" w:rsidRPr="00F30705" w:rsidRDefault="00C43B9A" w:rsidP="00C43B9A">
      <w:pPr>
        <w:autoSpaceDE w:val="0"/>
        <w:autoSpaceDN w:val="0"/>
        <w:adjustRightInd w:val="0"/>
        <w:jc w:val="both"/>
        <w:rPr>
          <w:lang w:val="es-ES"/>
        </w:rPr>
      </w:pPr>
    </w:p>
    <w:p w:rsidR="00A61A32" w:rsidRPr="00F30705" w:rsidRDefault="00A61A32" w:rsidP="00A61A32">
      <w:pPr>
        <w:jc w:val="both"/>
      </w:pPr>
    </w:p>
    <w:p w:rsidR="00A61A32" w:rsidRPr="00F30705" w:rsidRDefault="00A61A32" w:rsidP="00A61A32">
      <w:pPr>
        <w:jc w:val="both"/>
      </w:pPr>
    </w:p>
    <w:p w:rsidR="00A61A32" w:rsidRPr="00F30705" w:rsidRDefault="00A61A32" w:rsidP="00A61A32">
      <w:pPr>
        <w:jc w:val="both"/>
      </w:pPr>
    </w:p>
    <w:p w:rsidR="00A61A32" w:rsidRPr="00F30705" w:rsidRDefault="00F653AC" w:rsidP="00A61A32">
      <w:pPr>
        <w:spacing w:line="360" w:lineRule="auto"/>
        <w:jc w:val="both"/>
        <w:rPr>
          <w:b/>
          <w:bCs/>
          <w:sz w:val="28"/>
          <w:szCs w:val="28"/>
        </w:rPr>
      </w:pPr>
      <w:r w:rsidRPr="00F30705">
        <w:rPr>
          <w:b/>
          <w:bCs/>
          <w:sz w:val="28"/>
          <w:szCs w:val="28"/>
        </w:rPr>
        <w:t>I.</w:t>
      </w:r>
      <w:r w:rsidR="00A61A32" w:rsidRPr="00F30705">
        <w:rPr>
          <w:b/>
          <w:bCs/>
          <w:sz w:val="28"/>
          <w:szCs w:val="28"/>
        </w:rPr>
        <w:t xml:space="preserve"> Patrón general</w:t>
      </w:r>
    </w:p>
    <w:p w:rsidR="00B51898" w:rsidRPr="00F30705" w:rsidRDefault="00B51898" w:rsidP="00B51898">
      <w:pPr>
        <w:spacing w:line="360" w:lineRule="auto"/>
        <w:jc w:val="both"/>
        <w:rPr>
          <w:sz w:val="28"/>
          <w:szCs w:val="28"/>
        </w:rPr>
      </w:pPr>
    </w:p>
    <w:p w:rsidR="00A61A32" w:rsidRPr="00F30705" w:rsidRDefault="00B51898" w:rsidP="00B51898">
      <w:pPr>
        <w:spacing w:line="360" w:lineRule="auto"/>
        <w:jc w:val="both"/>
        <w:rPr>
          <w:b/>
          <w:sz w:val="28"/>
          <w:szCs w:val="28"/>
        </w:rPr>
      </w:pPr>
      <w:r w:rsidRPr="00F30705">
        <w:rPr>
          <w:b/>
          <w:sz w:val="28"/>
          <w:szCs w:val="28"/>
        </w:rPr>
        <w:t>1.1. Juicios terminados con sentencia</w:t>
      </w:r>
    </w:p>
    <w:p w:rsidR="00B51898" w:rsidRPr="00F30705" w:rsidRDefault="00B51898" w:rsidP="00B51898">
      <w:pPr>
        <w:spacing w:line="360" w:lineRule="auto"/>
        <w:jc w:val="both"/>
        <w:rPr>
          <w:sz w:val="28"/>
          <w:szCs w:val="28"/>
        </w:rPr>
      </w:pPr>
    </w:p>
    <w:p w:rsidR="00B841C9" w:rsidRPr="00F30705" w:rsidRDefault="00B841C9" w:rsidP="00A61A32">
      <w:pPr>
        <w:spacing w:line="360" w:lineRule="auto"/>
        <w:jc w:val="both"/>
        <w:rPr>
          <w:sz w:val="28"/>
          <w:szCs w:val="28"/>
        </w:rPr>
      </w:pPr>
      <w:r w:rsidRPr="00F30705">
        <w:rPr>
          <w:sz w:val="28"/>
          <w:szCs w:val="28"/>
        </w:rPr>
        <w:t xml:space="preserve">Antes de iniciar el análisis de los principales patrones relacionados con las personas sentenciadas es importante que en el 2015 se dieron un total de </w:t>
      </w:r>
      <w:r w:rsidRPr="00F30705">
        <w:rPr>
          <w:b/>
          <w:sz w:val="28"/>
          <w:szCs w:val="28"/>
        </w:rPr>
        <w:t>11.081</w:t>
      </w:r>
      <w:r w:rsidRPr="00F30705">
        <w:rPr>
          <w:sz w:val="28"/>
          <w:szCs w:val="28"/>
        </w:rPr>
        <w:t xml:space="preserve"> juicios para determinar la verdad real de cada uno de los eventos penales asociados</w:t>
      </w:r>
      <w:r w:rsidR="006A3BF2" w:rsidRPr="00F30705">
        <w:rPr>
          <w:sz w:val="28"/>
          <w:szCs w:val="28"/>
        </w:rPr>
        <w:t xml:space="preserve"> lo que requirió sentencia de primera instancia</w:t>
      </w:r>
      <w:r w:rsidRPr="00F30705">
        <w:rPr>
          <w:sz w:val="28"/>
          <w:szCs w:val="28"/>
        </w:rPr>
        <w:t xml:space="preserve">. De esa gran totalidad de debates realizados se sentenciaron </w:t>
      </w:r>
      <w:r w:rsidRPr="00F30705">
        <w:rPr>
          <w:b/>
          <w:sz w:val="28"/>
          <w:szCs w:val="28"/>
        </w:rPr>
        <w:t>12.966</w:t>
      </w:r>
      <w:r w:rsidRPr="00F30705">
        <w:rPr>
          <w:sz w:val="28"/>
          <w:szCs w:val="28"/>
        </w:rPr>
        <w:t xml:space="preserve"> personas y al ser esta última cifra mayor a la cantidad de juicios se establece que hubo como máximo posible </w:t>
      </w:r>
      <w:r w:rsidRPr="00F30705">
        <w:rPr>
          <w:b/>
          <w:sz w:val="28"/>
          <w:szCs w:val="28"/>
        </w:rPr>
        <w:t>1.885</w:t>
      </w:r>
      <w:r w:rsidRPr="00F30705">
        <w:rPr>
          <w:sz w:val="28"/>
          <w:szCs w:val="28"/>
        </w:rPr>
        <w:t xml:space="preserve"> juicios donde se procesó a más de una persona a la vez y por lo tanto </w:t>
      </w:r>
      <w:r w:rsidRPr="00F30705">
        <w:rPr>
          <w:b/>
          <w:sz w:val="28"/>
          <w:szCs w:val="28"/>
        </w:rPr>
        <w:t>11.081</w:t>
      </w:r>
      <w:r w:rsidRPr="00F30705">
        <w:rPr>
          <w:sz w:val="28"/>
          <w:szCs w:val="28"/>
        </w:rPr>
        <w:t xml:space="preserve"> juicios donde se enjuició a solo una persona imputada.</w:t>
      </w:r>
    </w:p>
    <w:p w:rsidR="00B841C9" w:rsidRPr="00F30705" w:rsidRDefault="00B841C9" w:rsidP="00A61A32">
      <w:pPr>
        <w:spacing w:line="360" w:lineRule="auto"/>
        <w:jc w:val="both"/>
        <w:rPr>
          <w:sz w:val="28"/>
          <w:szCs w:val="28"/>
        </w:rPr>
      </w:pPr>
    </w:p>
    <w:p w:rsidR="006A3BF2" w:rsidRPr="00F30705" w:rsidRDefault="006A3BF2" w:rsidP="00A61A32">
      <w:pPr>
        <w:spacing w:line="360" w:lineRule="auto"/>
        <w:jc w:val="both"/>
        <w:rPr>
          <w:sz w:val="28"/>
          <w:szCs w:val="28"/>
        </w:rPr>
      </w:pPr>
      <w:r w:rsidRPr="00F30705">
        <w:rPr>
          <w:sz w:val="28"/>
          <w:szCs w:val="28"/>
        </w:rPr>
        <w:t>En la siguiente tabla</w:t>
      </w:r>
      <w:r w:rsidR="00023AA5" w:rsidRPr="00F30705">
        <w:rPr>
          <w:sz w:val="28"/>
          <w:szCs w:val="28"/>
        </w:rPr>
        <w:t>,</w:t>
      </w:r>
      <w:r w:rsidRPr="00F30705">
        <w:rPr>
          <w:sz w:val="28"/>
          <w:szCs w:val="28"/>
        </w:rPr>
        <w:t xml:space="preserve"> se muestra la distribución de la cantidad total de juicios terminados con sentencia </w:t>
      </w:r>
      <w:r w:rsidR="00023AA5" w:rsidRPr="00F30705">
        <w:rPr>
          <w:sz w:val="28"/>
          <w:szCs w:val="28"/>
        </w:rPr>
        <w:t xml:space="preserve">según el título del delito como se especifica en el código penal o la infracción de legislación específica separado tal información por tipo de tribunal penal, esto es, agrupando los datos de acuerdo a si fueron tramitados por tribunales penales “ordinarios”, sea que no están especializados </w:t>
      </w:r>
      <w:r w:rsidR="00023AA5" w:rsidRPr="00F30705">
        <w:rPr>
          <w:sz w:val="28"/>
          <w:szCs w:val="28"/>
        </w:rPr>
        <w:lastRenderedPageBreak/>
        <w:t xml:space="preserve">en la atención de asuntos cometidos en flagrancia y por los tribunales dedicados exclusivamente flagrancia. En definitiva, la frecuencia más alta </w:t>
      </w:r>
      <w:r w:rsidR="00584E29" w:rsidRPr="00F30705">
        <w:rPr>
          <w:sz w:val="28"/>
          <w:szCs w:val="28"/>
        </w:rPr>
        <w:t xml:space="preserve">se registra en </w:t>
      </w:r>
      <w:r w:rsidR="00023AA5" w:rsidRPr="00F30705">
        <w:rPr>
          <w:sz w:val="28"/>
          <w:szCs w:val="28"/>
        </w:rPr>
        <w:t xml:space="preserve">juicios </w:t>
      </w:r>
      <w:r w:rsidR="00584E29" w:rsidRPr="00F30705">
        <w:rPr>
          <w:sz w:val="28"/>
          <w:szCs w:val="28"/>
        </w:rPr>
        <w:t xml:space="preserve">por delitos contra la propiedad pues en el 2015 se dieron </w:t>
      </w:r>
      <w:r w:rsidR="00584E29" w:rsidRPr="00F30705">
        <w:rPr>
          <w:b/>
          <w:sz w:val="28"/>
          <w:szCs w:val="28"/>
        </w:rPr>
        <w:t>4.381</w:t>
      </w:r>
      <w:r w:rsidR="00584E29" w:rsidRPr="00F30705">
        <w:rPr>
          <w:sz w:val="28"/>
          <w:szCs w:val="28"/>
        </w:rPr>
        <w:t xml:space="preserve"> debates de esta naturaleza de los cuales </w:t>
      </w:r>
      <w:r w:rsidR="00584E29" w:rsidRPr="00F30705">
        <w:rPr>
          <w:b/>
          <w:sz w:val="28"/>
          <w:szCs w:val="28"/>
        </w:rPr>
        <w:t>2.798</w:t>
      </w:r>
      <w:r w:rsidR="00584E29" w:rsidRPr="00F30705">
        <w:rPr>
          <w:sz w:val="28"/>
          <w:szCs w:val="28"/>
        </w:rPr>
        <w:t xml:space="preserve"> (</w:t>
      </w:r>
      <w:r w:rsidR="00584E29" w:rsidRPr="00F30705">
        <w:rPr>
          <w:b/>
          <w:sz w:val="28"/>
          <w:szCs w:val="28"/>
        </w:rPr>
        <w:t>64%</w:t>
      </w:r>
      <w:r w:rsidR="00584E29" w:rsidRPr="00F30705">
        <w:rPr>
          <w:sz w:val="28"/>
          <w:szCs w:val="28"/>
        </w:rPr>
        <w:t>)</w:t>
      </w:r>
      <w:r w:rsidR="004060B6">
        <w:rPr>
          <w:sz w:val="28"/>
          <w:szCs w:val="28"/>
        </w:rPr>
        <w:t xml:space="preserve"> </w:t>
      </w:r>
      <w:r w:rsidR="00584E29" w:rsidRPr="00F30705">
        <w:rPr>
          <w:sz w:val="28"/>
          <w:szCs w:val="28"/>
        </w:rPr>
        <w:t xml:space="preserve">se dieron en tribunales “ordinarios” y </w:t>
      </w:r>
      <w:r w:rsidR="00584E29" w:rsidRPr="00F30705">
        <w:rPr>
          <w:b/>
          <w:sz w:val="28"/>
          <w:szCs w:val="28"/>
        </w:rPr>
        <w:t>1.583</w:t>
      </w:r>
      <w:r w:rsidR="00584E29" w:rsidRPr="00F30705">
        <w:rPr>
          <w:sz w:val="28"/>
          <w:szCs w:val="28"/>
        </w:rPr>
        <w:t xml:space="preserve"> (</w:t>
      </w:r>
      <w:r w:rsidR="00584E29" w:rsidRPr="00F30705">
        <w:rPr>
          <w:b/>
          <w:sz w:val="28"/>
          <w:szCs w:val="28"/>
        </w:rPr>
        <w:t>36%</w:t>
      </w:r>
      <w:r w:rsidR="00584E29" w:rsidRPr="00F30705">
        <w:rPr>
          <w:sz w:val="28"/>
          <w:szCs w:val="28"/>
        </w:rPr>
        <w:t>) en tribunales de flagrancia. Les siguen los juicios terminados donde se procesaron personas acusadas por cometer delitos contra la vida (</w:t>
      </w:r>
      <w:r w:rsidR="00584E29" w:rsidRPr="00F30705">
        <w:rPr>
          <w:b/>
          <w:sz w:val="28"/>
          <w:szCs w:val="28"/>
        </w:rPr>
        <w:t>1</w:t>
      </w:r>
      <w:r w:rsidR="005B3DE8" w:rsidRPr="00F30705">
        <w:rPr>
          <w:b/>
          <w:sz w:val="28"/>
          <w:szCs w:val="28"/>
        </w:rPr>
        <w:t>.</w:t>
      </w:r>
      <w:r w:rsidR="00584E29" w:rsidRPr="00F30705">
        <w:rPr>
          <w:b/>
          <w:sz w:val="28"/>
          <w:szCs w:val="28"/>
        </w:rPr>
        <w:t>306</w:t>
      </w:r>
      <w:r w:rsidR="00584E29" w:rsidRPr="00F30705">
        <w:rPr>
          <w:sz w:val="28"/>
          <w:szCs w:val="28"/>
        </w:rPr>
        <w:t xml:space="preserve">) especialmente en tribunales “ordinarios” donde </w:t>
      </w:r>
      <w:r w:rsidR="004060B6">
        <w:rPr>
          <w:sz w:val="28"/>
          <w:szCs w:val="28"/>
        </w:rPr>
        <w:t>s</w:t>
      </w:r>
      <w:r w:rsidR="00584E29" w:rsidRPr="00F30705">
        <w:rPr>
          <w:sz w:val="28"/>
          <w:szCs w:val="28"/>
        </w:rPr>
        <w:t xml:space="preserve">e tramitaron el </w:t>
      </w:r>
      <w:r w:rsidR="00584E29" w:rsidRPr="00F30705">
        <w:rPr>
          <w:b/>
          <w:sz w:val="28"/>
          <w:szCs w:val="28"/>
        </w:rPr>
        <w:t>95%</w:t>
      </w:r>
      <w:r w:rsidR="00584E29" w:rsidRPr="00F30705">
        <w:rPr>
          <w:sz w:val="28"/>
          <w:szCs w:val="28"/>
        </w:rPr>
        <w:t xml:space="preserve"> de estos, dejando solo el </w:t>
      </w:r>
      <w:r w:rsidR="00584E29" w:rsidRPr="00F30705">
        <w:rPr>
          <w:b/>
          <w:sz w:val="28"/>
          <w:szCs w:val="28"/>
        </w:rPr>
        <w:t>5%</w:t>
      </w:r>
      <w:r w:rsidR="00584E29" w:rsidRPr="00F30705">
        <w:rPr>
          <w:sz w:val="28"/>
          <w:szCs w:val="28"/>
        </w:rPr>
        <w:t xml:space="preserve"> para ser atendidos por tribunales penales de flagrancia. En un tercer lugar se ubican los </w:t>
      </w:r>
      <w:r w:rsidR="00584E29" w:rsidRPr="00F30705">
        <w:rPr>
          <w:b/>
          <w:sz w:val="28"/>
          <w:szCs w:val="28"/>
        </w:rPr>
        <w:t>1.137</w:t>
      </w:r>
      <w:r w:rsidR="00584E29" w:rsidRPr="00F30705">
        <w:rPr>
          <w:sz w:val="28"/>
          <w:szCs w:val="28"/>
        </w:rPr>
        <w:t xml:space="preserve"> enjuiciamientos por delitos sexuales también tramitados principalmente en tribunales “ordinarios”; poco más del </w:t>
      </w:r>
      <w:r w:rsidR="00584E29" w:rsidRPr="00F30705">
        <w:rPr>
          <w:b/>
          <w:sz w:val="28"/>
          <w:szCs w:val="28"/>
        </w:rPr>
        <w:t>96%</w:t>
      </w:r>
      <w:r w:rsidR="00584E29" w:rsidRPr="00F30705">
        <w:rPr>
          <w:sz w:val="28"/>
          <w:szCs w:val="28"/>
        </w:rPr>
        <w:t xml:space="preserve"> de los debates por delitos sexuales son tramitados por los tribunales “ordinarios” contra el </w:t>
      </w:r>
      <w:r w:rsidR="00584E29" w:rsidRPr="00F30705">
        <w:rPr>
          <w:b/>
          <w:sz w:val="28"/>
          <w:szCs w:val="28"/>
        </w:rPr>
        <w:t>4%</w:t>
      </w:r>
      <w:r w:rsidR="00584E29" w:rsidRPr="00F30705">
        <w:rPr>
          <w:sz w:val="28"/>
          <w:szCs w:val="28"/>
        </w:rPr>
        <w:t xml:space="preserve"> de los realizados en tribunales de flagrancia. </w:t>
      </w:r>
    </w:p>
    <w:p w:rsidR="00B841C9" w:rsidRPr="00F30705" w:rsidRDefault="00B841C9" w:rsidP="00A61A32">
      <w:pPr>
        <w:spacing w:line="360" w:lineRule="auto"/>
        <w:jc w:val="both"/>
        <w:rPr>
          <w:sz w:val="28"/>
          <w:szCs w:val="28"/>
        </w:rPr>
      </w:pPr>
    </w:p>
    <w:tbl>
      <w:tblPr>
        <w:tblW w:w="7804" w:type="dxa"/>
        <w:jc w:val="center"/>
        <w:tblCellMar>
          <w:left w:w="70" w:type="dxa"/>
          <w:right w:w="70" w:type="dxa"/>
        </w:tblCellMar>
        <w:tblLook w:val="04A0" w:firstRow="1" w:lastRow="0" w:firstColumn="1" w:lastColumn="0" w:noHBand="0" w:noVBand="1"/>
      </w:tblPr>
      <w:tblGrid>
        <w:gridCol w:w="4304"/>
        <w:gridCol w:w="1072"/>
        <w:gridCol w:w="1181"/>
        <w:gridCol w:w="1247"/>
      </w:tblGrid>
      <w:tr w:rsidR="00B841C9" w:rsidRPr="00F30705" w:rsidTr="00C43B56">
        <w:trPr>
          <w:trHeight w:val="315"/>
          <w:jc w:val="center"/>
        </w:trPr>
        <w:tc>
          <w:tcPr>
            <w:tcW w:w="7804" w:type="dxa"/>
            <w:gridSpan w:val="4"/>
            <w:tcBorders>
              <w:top w:val="nil"/>
              <w:left w:val="nil"/>
              <w:bottom w:val="nil"/>
              <w:right w:val="nil"/>
            </w:tcBorders>
            <w:shd w:val="clear" w:color="000000" w:fill="FFC000"/>
            <w:vAlign w:val="center"/>
            <w:hideMark/>
          </w:tcPr>
          <w:p w:rsidR="00B841C9" w:rsidRPr="00F30705" w:rsidRDefault="00B841C9" w:rsidP="00C43B56">
            <w:pPr>
              <w:jc w:val="center"/>
              <w:rPr>
                <w:b/>
                <w:bCs/>
                <w:sz w:val="24"/>
                <w:szCs w:val="24"/>
                <w:lang w:eastAsia="es-CR"/>
              </w:rPr>
            </w:pPr>
            <w:r w:rsidRPr="00F30705">
              <w:rPr>
                <w:b/>
                <w:bCs/>
                <w:sz w:val="24"/>
                <w:szCs w:val="24"/>
                <w:lang w:eastAsia="es-CR"/>
              </w:rPr>
              <w:t xml:space="preserve">Juicios terminados con sentencia según título del delito o </w:t>
            </w:r>
          </w:p>
          <w:p w:rsidR="00B841C9" w:rsidRPr="00F30705" w:rsidRDefault="00B841C9" w:rsidP="00C43B56">
            <w:pPr>
              <w:jc w:val="center"/>
              <w:rPr>
                <w:b/>
                <w:bCs/>
                <w:sz w:val="24"/>
                <w:szCs w:val="24"/>
                <w:lang w:eastAsia="es-CR"/>
              </w:rPr>
            </w:pPr>
            <w:r w:rsidRPr="00F30705">
              <w:rPr>
                <w:b/>
                <w:bCs/>
                <w:sz w:val="24"/>
                <w:szCs w:val="24"/>
                <w:lang w:eastAsia="es-CR"/>
              </w:rPr>
              <w:t>ley infringida por tipo de tribunal</w:t>
            </w:r>
          </w:p>
        </w:tc>
      </w:tr>
      <w:tr w:rsidR="00B841C9" w:rsidRPr="00F30705" w:rsidTr="00C43B56">
        <w:trPr>
          <w:trHeight w:val="315"/>
          <w:jc w:val="center"/>
        </w:trPr>
        <w:tc>
          <w:tcPr>
            <w:tcW w:w="4304" w:type="dxa"/>
            <w:vMerge w:val="restart"/>
            <w:tcBorders>
              <w:top w:val="nil"/>
              <w:left w:val="nil"/>
              <w:bottom w:val="nil"/>
              <w:right w:val="nil"/>
            </w:tcBorders>
            <w:shd w:val="clear" w:color="auto" w:fill="auto"/>
            <w:vAlign w:val="center"/>
            <w:hideMark/>
          </w:tcPr>
          <w:p w:rsidR="00B841C9" w:rsidRPr="00F30705" w:rsidRDefault="00B841C9" w:rsidP="00C43B56">
            <w:pPr>
              <w:jc w:val="center"/>
              <w:rPr>
                <w:b/>
                <w:bCs/>
                <w:sz w:val="24"/>
                <w:szCs w:val="24"/>
                <w:lang w:eastAsia="es-CR"/>
              </w:rPr>
            </w:pPr>
            <w:r w:rsidRPr="00F30705">
              <w:rPr>
                <w:b/>
                <w:bCs/>
                <w:sz w:val="24"/>
                <w:szCs w:val="24"/>
                <w:lang w:eastAsia="es-CR"/>
              </w:rPr>
              <w:t>Título del delito o ley infringida</w:t>
            </w:r>
          </w:p>
        </w:tc>
        <w:tc>
          <w:tcPr>
            <w:tcW w:w="1072" w:type="dxa"/>
            <w:vMerge w:val="restart"/>
            <w:tcBorders>
              <w:top w:val="nil"/>
              <w:left w:val="nil"/>
              <w:bottom w:val="nil"/>
              <w:right w:val="nil"/>
            </w:tcBorders>
            <w:shd w:val="clear" w:color="auto" w:fill="auto"/>
            <w:vAlign w:val="center"/>
            <w:hideMark/>
          </w:tcPr>
          <w:p w:rsidR="00B841C9" w:rsidRPr="00F30705" w:rsidRDefault="00B841C9" w:rsidP="00C43B56">
            <w:pPr>
              <w:jc w:val="center"/>
              <w:rPr>
                <w:b/>
                <w:bCs/>
                <w:sz w:val="24"/>
                <w:szCs w:val="24"/>
                <w:lang w:eastAsia="es-CR"/>
              </w:rPr>
            </w:pPr>
            <w:r w:rsidRPr="00F30705">
              <w:rPr>
                <w:b/>
                <w:bCs/>
                <w:sz w:val="24"/>
                <w:szCs w:val="24"/>
                <w:lang w:eastAsia="es-CR"/>
              </w:rPr>
              <w:t>TOTAL</w:t>
            </w:r>
          </w:p>
        </w:tc>
        <w:tc>
          <w:tcPr>
            <w:tcW w:w="2428" w:type="dxa"/>
            <w:gridSpan w:val="2"/>
            <w:tcBorders>
              <w:top w:val="nil"/>
              <w:left w:val="nil"/>
              <w:bottom w:val="nil"/>
              <w:right w:val="nil"/>
            </w:tcBorders>
            <w:shd w:val="clear" w:color="auto" w:fill="auto"/>
            <w:vAlign w:val="center"/>
            <w:hideMark/>
          </w:tcPr>
          <w:p w:rsidR="00B841C9" w:rsidRPr="00F30705" w:rsidRDefault="00B841C9" w:rsidP="00C43B56">
            <w:pPr>
              <w:jc w:val="center"/>
              <w:rPr>
                <w:b/>
                <w:bCs/>
                <w:sz w:val="24"/>
                <w:szCs w:val="24"/>
                <w:lang w:eastAsia="es-CR"/>
              </w:rPr>
            </w:pPr>
            <w:r w:rsidRPr="00F30705">
              <w:rPr>
                <w:b/>
                <w:bCs/>
                <w:sz w:val="24"/>
                <w:szCs w:val="24"/>
                <w:lang w:eastAsia="es-CR"/>
              </w:rPr>
              <w:t>Tipo de tribunal</w:t>
            </w:r>
          </w:p>
        </w:tc>
      </w:tr>
      <w:tr w:rsidR="00B841C9" w:rsidRPr="00F30705" w:rsidTr="00C43B56">
        <w:trPr>
          <w:trHeight w:val="315"/>
          <w:jc w:val="center"/>
        </w:trPr>
        <w:tc>
          <w:tcPr>
            <w:tcW w:w="4304" w:type="dxa"/>
            <w:vMerge/>
            <w:tcBorders>
              <w:top w:val="nil"/>
              <w:left w:val="nil"/>
              <w:bottom w:val="nil"/>
              <w:right w:val="nil"/>
            </w:tcBorders>
            <w:vAlign w:val="center"/>
            <w:hideMark/>
          </w:tcPr>
          <w:p w:rsidR="00B841C9" w:rsidRPr="00F30705" w:rsidRDefault="00B841C9" w:rsidP="00C43B56">
            <w:pPr>
              <w:rPr>
                <w:b/>
                <w:bCs/>
                <w:sz w:val="24"/>
                <w:szCs w:val="24"/>
                <w:lang w:eastAsia="es-CR"/>
              </w:rPr>
            </w:pPr>
          </w:p>
        </w:tc>
        <w:tc>
          <w:tcPr>
            <w:tcW w:w="1072" w:type="dxa"/>
            <w:vMerge/>
            <w:tcBorders>
              <w:top w:val="nil"/>
              <w:left w:val="nil"/>
              <w:bottom w:val="nil"/>
              <w:right w:val="nil"/>
            </w:tcBorders>
            <w:vAlign w:val="center"/>
            <w:hideMark/>
          </w:tcPr>
          <w:p w:rsidR="00B841C9" w:rsidRPr="00F30705" w:rsidRDefault="00B841C9" w:rsidP="00C43B56">
            <w:pPr>
              <w:rPr>
                <w:b/>
                <w:bCs/>
                <w:sz w:val="24"/>
                <w:szCs w:val="24"/>
                <w:lang w:eastAsia="es-CR"/>
              </w:rPr>
            </w:pPr>
          </w:p>
        </w:tc>
        <w:tc>
          <w:tcPr>
            <w:tcW w:w="1181" w:type="dxa"/>
            <w:tcBorders>
              <w:top w:val="nil"/>
              <w:left w:val="nil"/>
              <w:bottom w:val="nil"/>
              <w:right w:val="nil"/>
            </w:tcBorders>
            <w:shd w:val="clear" w:color="auto" w:fill="auto"/>
            <w:vAlign w:val="center"/>
            <w:hideMark/>
          </w:tcPr>
          <w:p w:rsidR="00B841C9" w:rsidRPr="00F30705" w:rsidRDefault="00B841C9" w:rsidP="00C43B56">
            <w:pPr>
              <w:rPr>
                <w:b/>
                <w:bCs/>
                <w:sz w:val="24"/>
                <w:szCs w:val="24"/>
                <w:lang w:eastAsia="es-CR"/>
              </w:rPr>
            </w:pPr>
            <w:r w:rsidRPr="00F30705">
              <w:rPr>
                <w:b/>
                <w:bCs/>
                <w:sz w:val="24"/>
                <w:szCs w:val="24"/>
                <w:lang w:eastAsia="es-CR"/>
              </w:rPr>
              <w:t>Ordinario</w:t>
            </w:r>
          </w:p>
        </w:tc>
        <w:tc>
          <w:tcPr>
            <w:tcW w:w="1247" w:type="dxa"/>
            <w:tcBorders>
              <w:top w:val="nil"/>
              <w:left w:val="nil"/>
              <w:bottom w:val="nil"/>
              <w:right w:val="nil"/>
            </w:tcBorders>
            <w:shd w:val="clear" w:color="auto" w:fill="auto"/>
            <w:vAlign w:val="center"/>
            <w:hideMark/>
          </w:tcPr>
          <w:p w:rsidR="00B841C9" w:rsidRPr="00F30705" w:rsidRDefault="00B841C9" w:rsidP="00C43B56">
            <w:pPr>
              <w:rPr>
                <w:b/>
                <w:bCs/>
                <w:sz w:val="24"/>
                <w:szCs w:val="24"/>
                <w:lang w:eastAsia="es-CR"/>
              </w:rPr>
            </w:pPr>
            <w:r w:rsidRPr="00F30705">
              <w:rPr>
                <w:b/>
                <w:bCs/>
                <w:sz w:val="24"/>
                <w:szCs w:val="24"/>
                <w:lang w:eastAsia="es-CR"/>
              </w:rPr>
              <w:t>Flagrancia</w:t>
            </w:r>
          </w:p>
        </w:tc>
      </w:tr>
      <w:tr w:rsidR="00B841C9" w:rsidRPr="00F30705" w:rsidTr="00C43B56">
        <w:trPr>
          <w:trHeight w:val="630"/>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b/>
                <w:bCs/>
                <w:sz w:val="24"/>
                <w:szCs w:val="24"/>
                <w:u w:val="single"/>
                <w:lang w:eastAsia="es-CR"/>
              </w:rPr>
            </w:pPr>
            <w:r w:rsidRPr="00F30705">
              <w:rPr>
                <w:b/>
                <w:bCs/>
                <w:sz w:val="24"/>
                <w:szCs w:val="24"/>
                <w:u w:val="single"/>
                <w:lang w:eastAsia="es-CR"/>
              </w:rPr>
              <w:t>TOTAL</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b/>
                <w:bCs/>
                <w:sz w:val="24"/>
                <w:szCs w:val="24"/>
                <w:u w:val="single"/>
                <w:lang w:eastAsia="es-CR"/>
              </w:rPr>
            </w:pPr>
            <w:r w:rsidRPr="00F30705">
              <w:rPr>
                <w:b/>
                <w:bCs/>
                <w:sz w:val="24"/>
                <w:szCs w:val="24"/>
                <w:u w:val="single"/>
                <w:lang w:eastAsia="es-CR"/>
              </w:rPr>
              <w:t>11081</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b/>
                <w:bCs/>
                <w:sz w:val="24"/>
                <w:szCs w:val="24"/>
                <w:u w:val="single"/>
                <w:lang w:eastAsia="es-CR"/>
              </w:rPr>
            </w:pPr>
            <w:r w:rsidRPr="00F30705">
              <w:rPr>
                <w:b/>
                <w:bCs/>
                <w:sz w:val="24"/>
                <w:szCs w:val="24"/>
                <w:u w:val="single"/>
                <w:lang w:eastAsia="es-CR"/>
              </w:rPr>
              <w:t>7916</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b/>
                <w:bCs/>
                <w:sz w:val="24"/>
                <w:szCs w:val="24"/>
                <w:u w:val="single"/>
                <w:lang w:eastAsia="es-CR"/>
              </w:rPr>
            </w:pPr>
            <w:r w:rsidRPr="00F30705">
              <w:rPr>
                <w:b/>
                <w:bCs/>
                <w:sz w:val="24"/>
                <w:szCs w:val="24"/>
                <w:u w:val="single"/>
                <w:lang w:eastAsia="es-CR"/>
              </w:rPr>
              <w:t>3165</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propiedad</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4381</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2798</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1583</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Infrac. Penaliz. Violencia contra la Mujer</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858</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500</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358</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Infracción ley de armas y explosivos</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464</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182</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282</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autoridad pública</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519</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240</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279</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seguridad común</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551</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288</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263</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Infracción leyes especiales</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158</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78</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80</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vida</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1306</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1228</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78</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Infracción ley de sicotrópicos</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925</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848</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77</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Sexuales</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1137</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1097</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40</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el ámbito de la intimidad</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88</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54</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34</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lastRenderedPageBreak/>
              <w:t>Contra la fé pública</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148</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122</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26</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libertad</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134</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114</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20</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Infracción ley conservación vida silvestre</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53</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33</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20</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administración de justicia</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82</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73</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9</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Infracción ley forestal</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76</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70</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6</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los deberes de la función pública</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62</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58</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4</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Infracción ley protección adulto mayor</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16</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12</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4</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familia</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29</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27</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2</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el honor</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82</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82</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0</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buena fé de los negocios</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6</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6</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0</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 la tranquilidad pública</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5</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5</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0</w:t>
            </w:r>
          </w:p>
        </w:tc>
      </w:tr>
      <w:tr w:rsidR="00B841C9" w:rsidRPr="00F30705" w:rsidTr="00C43B56">
        <w:trPr>
          <w:trHeight w:val="315"/>
          <w:jc w:val="center"/>
        </w:trPr>
        <w:tc>
          <w:tcPr>
            <w:tcW w:w="4304" w:type="dxa"/>
            <w:tcBorders>
              <w:top w:val="nil"/>
              <w:left w:val="nil"/>
              <w:bottom w:val="nil"/>
              <w:right w:val="nil"/>
            </w:tcBorders>
            <w:shd w:val="clear" w:color="auto" w:fill="auto"/>
            <w:vAlign w:val="center"/>
            <w:hideMark/>
          </w:tcPr>
          <w:p w:rsidR="00B841C9" w:rsidRPr="00F30705" w:rsidRDefault="00B841C9" w:rsidP="00C43B56">
            <w:pPr>
              <w:rPr>
                <w:sz w:val="24"/>
                <w:szCs w:val="24"/>
                <w:lang w:eastAsia="es-CR"/>
              </w:rPr>
            </w:pPr>
            <w:r w:rsidRPr="00F30705">
              <w:rPr>
                <w:sz w:val="24"/>
                <w:szCs w:val="24"/>
                <w:lang w:eastAsia="es-CR"/>
              </w:rPr>
              <w:t>Contravenciones</w:t>
            </w:r>
          </w:p>
        </w:tc>
        <w:tc>
          <w:tcPr>
            <w:tcW w:w="1072"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w:t>
            </w:r>
          </w:p>
        </w:tc>
        <w:tc>
          <w:tcPr>
            <w:tcW w:w="1181"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1</w:t>
            </w:r>
          </w:p>
        </w:tc>
        <w:tc>
          <w:tcPr>
            <w:tcW w:w="1247" w:type="dxa"/>
            <w:tcBorders>
              <w:top w:val="nil"/>
              <w:left w:val="nil"/>
              <w:bottom w:val="nil"/>
              <w:right w:val="nil"/>
            </w:tcBorders>
            <w:shd w:val="clear" w:color="auto" w:fill="auto"/>
            <w:vAlign w:val="center"/>
            <w:hideMark/>
          </w:tcPr>
          <w:p w:rsidR="00B841C9" w:rsidRPr="00F30705" w:rsidRDefault="00B841C9" w:rsidP="00C43B56">
            <w:pPr>
              <w:jc w:val="right"/>
              <w:rPr>
                <w:sz w:val="24"/>
                <w:szCs w:val="24"/>
                <w:lang w:eastAsia="es-CR"/>
              </w:rPr>
            </w:pPr>
            <w:r w:rsidRPr="00F30705">
              <w:rPr>
                <w:sz w:val="24"/>
                <w:szCs w:val="24"/>
                <w:lang w:eastAsia="es-CR"/>
              </w:rPr>
              <w:t>0</w:t>
            </w:r>
          </w:p>
        </w:tc>
      </w:tr>
    </w:tbl>
    <w:p w:rsidR="00B841C9" w:rsidRPr="00F30705" w:rsidRDefault="00B841C9" w:rsidP="00A61A32">
      <w:pPr>
        <w:spacing w:line="360" w:lineRule="auto"/>
        <w:jc w:val="both"/>
        <w:rPr>
          <w:sz w:val="28"/>
          <w:szCs w:val="28"/>
        </w:rPr>
      </w:pPr>
    </w:p>
    <w:p w:rsidR="00E70E9B" w:rsidRPr="00F30705" w:rsidRDefault="00E70E9B" w:rsidP="00E70E9B">
      <w:pPr>
        <w:spacing w:line="360" w:lineRule="auto"/>
        <w:jc w:val="both"/>
        <w:rPr>
          <w:sz w:val="28"/>
          <w:szCs w:val="28"/>
        </w:rPr>
      </w:pPr>
      <w:r w:rsidRPr="00F30705">
        <w:rPr>
          <w:sz w:val="28"/>
          <w:szCs w:val="28"/>
        </w:rPr>
        <w:t xml:space="preserve">Como se indicó durante el 2015 se logra terminar un total de 11.081 juicios con sentencia, cifra disminuida  en </w:t>
      </w:r>
      <w:r w:rsidRPr="00F30705">
        <w:rPr>
          <w:b/>
          <w:bCs/>
          <w:sz w:val="28"/>
          <w:szCs w:val="28"/>
        </w:rPr>
        <w:t>246</w:t>
      </w:r>
      <w:r w:rsidRPr="00F30705">
        <w:rPr>
          <w:sz w:val="28"/>
          <w:szCs w:val="28"/>
        </w:rPr>
        <w:t xml:space="preserve"> juicios respecto al 2014 lo que significa un baja relativa del </w:t>
      </w:r>
      <w:r w:rsidRPr="00F30705">
        <w:rPr>
          <w:b/>
          <w:bCs/>
          <w:sz w:val="28"/>
          <w:szCs w:val="28"/>
        </w:rPr>
        <w:t>2%,</w:t>
      </w:r>
      <w:r w:rsidRPr="00F30705">
        <w:rPr>
          <w:sz w:val="28"/>
          <w:szCs w:val="28"/>
        </w:rPr>
        <w:t xml:space="preserve"> mientras que del 2013 al 2014 se produjo un incremento relativo del </w:t>
      </w:r>
      <w:r w:rsidRPr="00F30705">
        <w:rPr>
          <w:b/>
          <w:sz w:val="28"/>
          <w:szCs w:val="28"/>
        </w:rPr>
        <w:t>2</w:t>
      </w:r>
      <w:r w:rsidRPr="00F30705">
        <w:rPr>
          <w:b/>
          <w:bCs/>
          <w:sz w:val="28"/>
          <w:szCs w:val="28"/>
        </w:rPr>
        <w:t>%</w:t>
      </w:r>
      <w:r w:rsidRPr="00F30705">
        <w:rPr>
          <w:sz w:val="28"/>
          <w:szCs w:val="28"/>
        </w:rPr>
        <w:t xml:space="preserve">. En la siguiente tabla se muestran cifras de los juicios terminados con sentencia anualmente desde el 2013 y la </w:t>
      </w:r>
      <w:r w:rsidR="004060B6" w:rsidRPr="00F30705">
        <w:rPr>
          <w:sz w:val="28"/>
          <w:szCs w:val="28"/>
        </w:rPr>
        <w:t>última</w:t>
      </w:r>
      <w:r w:rsidRPr="00F30705">
        <w:rPr>
          <w:sz w:val="28"/>
          <w:szCs w:val="28"/>
        </w:rPr>
        <w:t xml:space="preserve"> variación absoluta (2014-2015) agrupando cada título de delito de acuerdo a si sus respectivos montos aumentaron o decrecieron y dentro de cada conglomerado se han ordenado por orden de mayor a menor cambio. </w:t>
      </w:r>
    </w:p>
    <w:p w:rsidR="00E70E9B" w:rsidRPr="00F30705" w:rsidRDefault="00E70E9B" w:rsidP="00E70E9B">
      <w:pPr>
        <w:spacing w:line="360" w:lineRule="auto"/>
        <w:jc w:val="both"/>
        <w:rPr>
          <w:sz w:val="28"/>
          <w:szCs w:val="28"/>
        </w:rPr>
      </w:pPr>
      <w:r w:rsidRPr="00F30705">
        <w:rPr>
          <w:sz w:val="28"/>
          <w:szCs w:val="28"/>
        </w:rPr>
        <w:t xml:space="preserve"> </w:t>
      </w:r>
    </w:p>
    <w:tbl>
      <w:tblPr>
        <w:tblW w:w="8040" w:type="dxa"/>
        <w:jc w:val="center"/>
        <w:tblCellMar>
          <w:left w:w="70" w:type="dxa"/>
          <w:right w:w="70" w:type="dxa"/>
        </w:tblCellMar>
        <w:tblLook w:val="04A0" w:firstRow="1" w:lastRow="0" w:firstColumn="1" w:lastColumn="0" w:noHBand="0" w:noVBand="1"/>
      </w:tblPr>
      <w:tblGrid>
        <w:gridCol w:w="4220"/>
        <w:gridCol w:w="880"/>
        <w:gridCol w:w="880"/>
        <w:gridCol w:w="880"/>
        <w:gridCol w:w="1180"/>
      </w:tblGrid>
      <w:tr w:rsidR="00E70E9B" w:rsidRPr="00F30705" w:rsidTr="008B482D">
        <w:trPr>
          <w:trHeight w:val="375"/>
          <w:jc w:val="center"/>
        </w:trPr>
        <w:tc>
          <w:tcPr>
            <w:tcW w:w="8040" w:type="dxa"/>
            <w:gridSpan w:val="5"/>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E70E9B" w:rsidRPr="00F30705" w:rsidRDefault="00E70E9B" w:rsidP="008B482D">
            <w:pPr>
              <w:jc w:val="center"/>
              <w:rPr>
                <w:b/>
                <w:bCs/>
                <w:sz w:val="28"/>
                <w:szCs w:val="28"/>
                <w:lang w:eastAsia="es-CR"/>
              </w:rPr>
            </w:pPr>
            <w:r w:rsidRPr="00F30705">
              <w:rPr>
                <w:b/>
                <w:bCs/>
                <w:sz w:val="28"/>
                <w:szCs w:val="28"/>
                <w:lang w:eastAsia="es-CR"/>
              </w:rPr>
              <w:t>Terminación con sentencia por título del delito o ley infringida</w:t>
            </w:r>
          </w:p>
        </w:tc>
      </w:tr>
      <w:tr w:rsidR="00E70E9B" w:rsidRPr="00F30705" w:rsidTr="008B482D">
        <w:trPr>
          <w:trHeight w:val="315"/>
          <w:jc w:val="center"/>
        </w:trPr>
        <w:tc>
          <w:tcPr>
            <w:tcW w:w="4220" w:type="dxa"/>
            <w:vMerge w:val="restart"/>
            <w:tcBorders>
              <w:top w:val="nil"/>
              <w:left w:val="nil"/>
              <w:bottom w:val="nil"/>
              <w:right w:val="nil"/>
            </w:tcBorders>
            <w:shd w:val="clear" w:color="auto" w:fill="auto"/>
            <w:vAlign w:val="bottom"/>
            <w:hideMark/>
          </w:tcPr>
          <w:p w:rsidR="00E70E9B" w:rsidRPr="00F30705" w:rsidRDefault="00E70E9B" w:rsidP="008B482D">
            <w:pPr>
              <w:jc w:val="center"/>
              <w:rPr>
                <w:b/>
                <w:bCs/>
                <w:sz w:val="24"/>
                <w:szCs w:val="24"/>
                <w:u w:val="single"/>
                <w:lang w:eastAsia="es-CR"/>
              </w:rPr>
            </w:pPr>
            <w:r w:rsidRPr="00F30705">
              <w:rPr>
                <w:b/>
                <w:bCs/>
                <w:sz w:val="24"/>
                <w:szCs w:val="24"/>
                <w:u w:val="single"/>
                <w:lang w:eastAsia="es-CR"/>
              </w:rPr>
              <w:t>Título del Delito</w:t>
            </w:r>
          </w:p>
        </w:tc>
        <w:tc>
          <w:tcPr>
            <w:tcW w:w="2640" w:type="dxa"/>
            <w:gridSpan w:val="3"/>
            <w:tcBorders>
              <w:top w:val="nil"/>
              <w:left w:val="nil"/>
              <w:bottom w:val="nil"/>
              <w:right w:val="nil"/>
            </w:tcBorders>
            <w:shd w:val="clear" w:color="auto" w:fill="auto"/>
            <w:vAlign w:val="bottom"/>
            <w:hideMark/>
          </w:tcPr>
          <w:p w:rsidR="00E70E9B" w:rsidRPr="00F30705" w:rsidRDefault="00E70E9B" w:rsidP="008B482D">
            <w:pPr>
              <w:jc w:val="center"/>
              <w:rPr>
                <w:b/>
                <w:bCs/>
                <w:sz w:val="24"/>
                <w:szCs w:val="24"/>
                <w:u w:val="single"/>
                <w:lang w:eastAsia="es-CR"/>
              </w:rPr>
            </w:pPr>
            <w:r w:rsidRPr="00F30705">
              <w:rPr>
                <w:b/>
                <w:bCs/>
                <w:sz w:val="24"/>
                <w:szCs w:val="24"/>
                <w:u w:val="single"/>
                <w:lang w:eastAsia="es-CR"/>
              </w:rPr>
              <w:t>Años</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center"/>
              <w:rPr>
                <w:b/>
                <w:bCs/>
                <w:sz w:val="24"/>
                <w:szCs w:val="24"/>
                <w:u w:val="single"/>
                <w:lang w:eastAsia="es-CR"/>
              </w:rPr>
            </w:pPr>
            <w:r w:rsidRPr="00F30705">
              <w:rPr>
                <w:b/>
                <w:bCs/>
                <w:sz w:val="24"/>
                <w:szCs w:val="24"/>
                <w:u w:val="single"/>
                <w:lang w:eastAsia="es-CR"/>
              </w:rPr>
              <w:t>Variación</w:t>
            </w:r>
          </w:p>
        </w:tc>
      </w:tr>
      <w:tr w:rsidR="00E70E9B" w:rsidRPr="00F30705" w:rsidTr="008B482D">
        <w:trPr>
          <w:trHeight w:val="315"/>
          <w:jc w:val="center"/>
        </w:trPr>
        <w:tc>
          <w:tcPr>
            <w:tcW w:w="4220" w:type="dxa"/>
            <w:vMerge/>
            <w:tcBorders>
              <w:top w:val="nil"/>
              <w:left w:val="nil"/>
              <w:bottom w:val="nil"/>
              <w:right w:val="nil"/>
            </w:tcBorders>
            <w:vAlign w:val="center"/>
            <w:hideMark/>
          </w:tcPr>
          <w:p w:rsidR="00E70E9B" w:rsidRPr="00F30705" w:rsidRDefault="00E70E9B" w:rsidP="008B482D">
            <w:pPr>
              <w:rPr>
                <w:b/>
                <w:bCs/>
                <w:sz w:val="24"/>
                <w:szCs w:val="24"/>
                <w:u w:val="single"/>
                <w:lang w:eastAsia="es-CR"/>
              </w:rPr>
            </w:pPr>
          </w:p>
        </w:tc>
        <w:tc>
          <w:tcPr>
            <w:tcW w:w="880" w:type="dxa"/>
            <w:tcBorders>
              <w:top w:val="nil"/>
              <w:left w:val="nil"/>
              <w:bottom w:val="nil"/>
              <w:right w:val="nil"/>
            </w:tcBorders>
            <w:shd w:val="clear" w:color="auto" w:fill="auto"/>
            <w:vAlign w:val="bottom"/>
            <w:hideMark/>
          </w:tcPr>
          <w:p w:rsidR="00E70E9B" w:rsidRPr="00F30705" w:rsidRDefault="00E70E9B" w:rsidP="008B482D">
            <w:pPr>
              <w:jc w:val="center"/>
              <w:rPr>
                <w:b/>
                <w:bCs/>
                <w:sz w:val="24"/>
                <w:szCs w:val="24"/>
                <w:u w:val="single"/>
                <w:lang w:eastAsia="es-CR"/>
              </w:rPr>
            </w:pPr>
            <w:r w:rsidRPr="00F30705">
              <w:rPr>
                <w:b/>
                <w:bCs/>
                <w:sz w:val="24"/>
                <w:szCs w:val="24"/>
                <w:u w:val="single"/>
                <w:lang w:eastAsia="es-CR"/>
              </w:rPr>
              <w:t>2013</w:t>
            </w:r>
          </w:p>
        </w:tc>
        <w:tc>
          <w:tcPr>
            <w:tcW w:w="880" w:type="dxa"/>
            <w:tcBorders>
              <w:top w:val="nil"/>
              <w:left w:val="nil"/>
              <w:bottom w:val="nil"/>
              <w:right w:val="nil"/>
            </w:tcBorders>
            <w:shd w:val="clear" w:color="auto" w:fill="auto"/>
            <w:vAlign w:val="bottom"/>
            <w:hideMark/>
          </w:tcPr>
          <w:p w:rsidR="00E70E9B" w:rsidRPr="00F30705" w:rsidRDefault="00E70E9B" w:rsidP="008B482D">
            <w:pPr>
              <w:jc w:val="center"/>
              <w:rPr>
                <w:b/>
                <w:bCs/>
                <w:sz w:val="24"/>
                <w:szCs w:val="24"/>
                <w:u w:val="single"/>
                <w:lang w:eastAsia="es-CR"/>
              </w:rPr>
            </w:pPr>
            <w:r w:rsidRPr="00F30705">
              <w:rPr>
                <w:b/>
                <w:bCs/>
                <w:sz w:val="24"/>
                <w:szCs w:val="24"/>
                <w:u w:val="single"/>
                <w:lang w:eastAsia="es-CR"/>
              </w:rPr>
              <w:t>2014</w:t>
            </w:r>
          </w:p>
        </w:tc>
        <w:tc>
          <w:tcPr>
            <w:tcW w:w="880" w:type="dxa"/>
            <w:tcBorders>
              <w:top w:val="nil"/>
              <w:left w:val="nil"/>
              <w:bottom w:val="nil"/>
              <w:right w:val="nil"/>
            </w:tcBorders>
            <w:shd w:val="clear" w:color="auto" w:fill="auto"/>
            <w:vAlign w:val="bottom"/>
            <w:hideMark/>
          </w:tcPr>
          <w:p w:rsidR="00E70E9B" w:rsidRPr="00F30705" w:rsidRDefault="00E70E9B" w:rsidP="008B482D">
            <w:pPr>
              <w:jc w:val="center"/>
              <w:rPr>
                <w:b/>
                <w:bCs/>
                <w:sz w:val="24"/>
                <w:szCs w:val="24"/>
                <w:u w:val="single"/>
                <w:lang w:eastAsia="es-CR"/>
              </w:rPr>
            </w:pPr>
            <w:r w:rsidRPr="00F30705">
              <w:rPr>
                <w:b/>
                <w:bCs/>
                <w:sz w:val="24"/>
                <w:szCs w:val="24"/>
                <w:u w:val="single"/>
                <w:lang w:eastAsia="es-CR"/>
              </w:rPr>
              <w:t>2015</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center"/>
              <w:rPr>
                <w:b/>
                <w:bCs/>
                <w:sz w:val="24"/>
                <w:szCs w:val="24"/>
                <w:u w:val="single"/>
                <w:lang w:eastAsia="es-CR"/>
              </w:rPr>
            </w:pPr>
            <w:r w:rsidRPr="00F30705">
              <w:rPr>
                <w:b/>
                <w:bCs/>
                <w:sz w:val="24"/>
                <w:szCs w:val="24"/>
                <w:u w:val="single"/>
                <w:lang w:eastAsia="es-CR"/>
              </w:rPr>
              <w:t>2014/2015</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b/>
                <w:bCs/>
                <w:sz w:val="24"/>
                <w:szCs w:val="24"/>
                <w:lang w:eastAsia="es-CR"/>
              </w:rPr>
            </w:pPr>
            <w:r w:rsidRPr="00F30705">
              <w:rPr>
                <w:b/>
                <w:bCs/>
                <w:sz w:val="24"/>
                <w:szCs w:val="24"/>
                <w:lang w:eastAsia="es-CR"/>
              </w:rPr>
              <w:t>Total</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b/>
                <w:bCs/>
                <w:sz w:val="24"/>
                <w:szCs w:val="24"/>
                <w:lang w:eastAsia="es-CR"/>
              </w:rPr>
            </w:pPr>
            <w:r w:rsidRPr="00F30705">
              <w:rPr>
                <w:b/>
                <w:bCs/>
                <w:sz w:val="24"/>
                <w:szCs w:val="24"/>
                <w:lang w:eastAsia="es-CR"/>
              </w:rPr>
              <w:t>11.084</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b/>
                <w:bCs/>
                <w:sz w:val="24"/>
                <w:szCs w:val="24"/>
                <w:lang w:eastAsia="es-CR"/>
              </w:rPr>
            </w:pPr>
            <w:r w:rsidRPr="00F30705">
              <w:rPr>
                <w:b/>
                <w:bCs/>
                <w:sz w:val="24"/>
                <w:szCs w:val="24"/>
                <w:lang w:eastAsia="es-CR"/>
              </w:rPr>
              <w:t>11.327</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b/>
                <w:bCs/>
                <w:sz w:val="24"/>
                <w:szCs w:val="24"/>
                <w:lang w:eastAsia="es-CR"/>
              </w:rPr>
            </w:pPr>
            <w:r w:rsidRPr="00F30705">
              <w:rPr>
                <w:b/>
                <w:bCs/>
                <w:sz w:val="24"/>
                <w:szCs w:val="24"/>
                <w:lang w:eastAsia="es-CR"/>
              </w:rPr>
              <w:t>11.081</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b/>
                <w:bCs/>
                <w:sz w:val="24"/>
                <w:szCs w:val="24"/>
                <w:lang w:eastAsia="es-CR"/>
              </w:rPr>
            </w:pPr>
            <w:r w:rsidRPr="00F30705">
              <w:rPr>
                <w:b/>
                <w:bCs/>
                <w:sz w:val="24"/>
                <w:szCs w:val="24"/>
                <w:lang w:eastAsia="es-CR"/>
              </w:rPr>
              <w:t>-246</w:t>
            </w:r>
          </w:p>
        </w:tc>
      </w:tr>
      <w:tr w:rsidR="00E70E9B" w:rsidRPr="00F30705" w:rsidTr="008B482D">
        <w:trPr>
          <w:trHeight w:val="315"/>
          <w:jc w:val="center"/>
        </w:trPr>
        <w:tc>
          <w:tcPr>
            <w:tcW w:w="8040" w:type="dxa"/>
            <w:gridSpan w:val="5"/>
            <w:tcBorders>
              <w:top w:val="nil"/>
              <w:left w:val="nil"/>
              <w:bottom w:val="nil"/>
              <w:right w:val="nil"/>
            </w:tcBorders>
            <w:shd w:val="clear" w:color="000000" w:fill="FFC000"/>
            <w:vAlign w:val="bottom"/>
            <w:hideMark/>
          </w:tcPr>
          <w:p w:rsidR="00E70E9B" w:rsidRPr="00F30705" w:rsidRDefault="00E70E9B" w:rsidP="008B482D">
            <w:pPr>
              <w:jc w:val="center"/>
              <w:rPr>
                <w:b/>
                <w:bCs/>
                <w:sz w:val="24"/>
                <w:szCs w:val="24"/>
                <w:lang w:eastAsia="es-CR"/>
              </w:rPr>
            </w:pPr>
            <w:r w:rsidRPr="00F30705">
              <w:rPr>
                <w:b/>
                <w:bCs/>
                <w:sz w:val="24"/>
                <w:szCs w:val="24"/>
                <w:lang w:eastAsia="es-CR"/>
              </w:rPr>
              <w:t>Aumentos del 2014 al 2015</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seguridad común</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379</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450</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551</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101</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Infracción leyes especiales</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66</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65</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158</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93</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Infracción Ley de Psicotrópicos</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967</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850</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925</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75</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Infracción Ley de Armas y Explosivos</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388</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427</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464</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37</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autoridad pública</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504</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500</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519</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19</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lastRenderedPageBreak/>
              <w:t>Contra el ámbito de la intimidad</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62</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69</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88</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19</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Infracción ley conservación vida silvestre</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29</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41</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53</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12</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Infracción ley protección adulto mayor</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3</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7</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16</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9</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libertad</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109</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126</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134</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familia</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39</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22</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29</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7</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Infracción Ley Forestal</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66</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72</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76</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fe pública</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150</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145</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148</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3</w:t>
            </w:r>
          </w:p>
        </w:tc>
      </w:tr>
      <w:tr w:rsidR="00E70E9B" w:rsidRPr="00F30705" w:rsidTr="008B482D">
        <w:trPr>
          <w:trHeight w:val="315"/>
          <w:jc w:val="center"/>
        </w:trPr>
        <w:tc>
          <w:tcPr>
            <w:tcW w:w="8040" w:type="dxa"/>
            <w:gridSpan w:val="5"/>
            <w:tcBorders>
              <w:top w:val="nil"/>
              <w:left w:val="nil"/>
              <w:bottom w:val="nil"/>
              <w:right w:val="nil"/>
            </w:tcBorders>
            <w:shd w:val="clear" w:color="000000" w:fill="FFC000"/>
            <w:vAlign w:val="bottom"/>
            <w:hideMark/>
          </w:tcPr>
          <w:p w:rsidR="00E70E9B" w:rsidRPr="00F30705" w:rsidRDefault="00E70E9B" w:rsidP="008B482D">
            <w:pPr>
              <w:jc w:val="center"/>
              <w:rPr>
                <w:b/>
                <w:bCs/>
                <w:sz w:val="24"/>
                <w:szCs w:val="24"/>
                <w:lang w:eastAsia="es-CR"/>
              </w:rPr>
            </w:pPr>
            <w:r w:rsidRPr="00F30705">
              <w:rPr>
                <w:b/>
                <w:bCs/>
                <w:sz w:val="24"/>
                <w:szCs w:val="24"/>
                <w:lang w:eastAsia="es-CR"/>
              </w:rPr>
              <w:t>Disminuciones del 2014 al 2015</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propiedad</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4.735</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4.712</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4.381</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-331</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Sexuales</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1.233</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1.330</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1.137</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-193</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vida</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1.243</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1.348</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1.306</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-42</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administración de justicia</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109</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105</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82</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-23</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los deberes de la función pública</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84</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85</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62</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-23</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el honor</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76</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102</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82</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-20</w:t>
            </w:r>
          </w:p>
        </w:tc>
      </w:tr>
      <w:tr w:rsidR="00E70E9B" w:rsidRPr="00F30705" w:rsidTr="008B482D">
        <w:trPr>
          <w:trHeight w:val="315"/>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Infracción Ley Penalizac. Viol. Ctra. Mujer</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817</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859</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858</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w:t>
            </w:r>
          </w:p>
        </w:tc>
      </w:tr>
      <w:tr w:rsidR="00E70E9B" w:rsidRPr="00F30705" w:rsidTr="008B482D">
        <w:trPr>
          <w:trHeight w:val="330"/>
          <w:jc w:val="center"/>
        </w:trPr>
        <w:tc>
          <w:tcPr>
            <w:tcW w:w="4220" w:type="dxa"/>
            <w:tcBorders>
              <w:top w:val="nil"/>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Contravención</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12</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2</w:t>
            </w:r>
          </w:p>
        </w:tc>
        <w:tc>
          <w:tcPr>
            <w:tcW w:w="8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w:t>
            </w:r>
          </w:p>
        </w:tc>
      </w:tr>
      <w:tr w:rsidR="00E70E9B" w:rsidRPr="00F30705" w:rsidTr="008B482D">
        <w:trPr>
          <w:trHeight w:val="330"/>
          <w:jc w:val="center"/>
        </w:trPr>
        <w:tc>
          <w:tcPr>
            <w:tcW w:w="4220" w:type="dxa"/>
            <w:tcBorders>
              <w:top w:val="single" w:sz="12" w:space="0" w:color="auto"/>
              <w:left w:val="nil"/>
              <w:bottom w:val="nil"/>
              <w:right w:val="nil"/>
            </w:tcBorders>
            <w:shd w:val="clear" w:color="auto" w:fill="auto"/>
            <w:vAlign w:val="bottom"/>
            <w:hideMark/>
          </w:tcPr>
          <w:p w:rsidR="00E70E9B" w:rsidRPr="00F30705" w:rsidRDefault="00E70E9B" w:rsidP="008B482D">
            <w:pPr>
              <w:rPr>
                <w:sz w:val="24"/>
                <w:szCs w:val="24"/>
                <w:lang w:eastAsia="es-CR"/>
              </w:rPr>
            </w:pPr>
            <w:r w:rsidRPr="00F30705">
              <w:rPr>
                <w:sz w:val="24"/>
                <w:szCs w:val="24"/>
                <w:lang w:eastAsia="es-CR"/>
              </w:rPr>
              <w:t>Contra la buena fe de los negocios</w:t>
            </w:r>
          </w:p>
        </w:tc>
        <w:tc>
          <w:tcPr>
            <w:tcW w:w="880" w:type="dxa"/>
            <w:tcBorders>
              <w:top w:val="single" w:sz="12" w:space="0" w:color="auto"/>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11</w:t>
            </w:r>
          </w:p>
        </w:tc>
        <w:tc>
          <w:tcPr>
            <w:tcW w:w="880" w:type="dxa"/>
            <w:tcBorders>
              <w:top w:val="single" w:sz="12" w:space="0" w:color="auto"/>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6</w:t>
            </w:r>
          </w:p>
        </w:tc>
        <w:tc>
          <w:tcPr>
            <w:tcW w:w="880" w:type="dxa"/>
            <w:tcBorders>
              <w:top w:val="single" w:sz="12" w:space="0" w:color="auto"/>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6</w:t>
            </w:r>
          </w:p>
        </w:tc>
        <w:tc>
          <w:tcPr>
            <w:tcW w:w="1180" w:type="dxa"/>
            <w:tcBorders>
              <w:top w:val="single" w:sz="12" w:space="0" w:color="auto"/>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0</w:t>
            </w:r>
          </w:p>
        </w:tc>
      </w:tr>
      <w:tr w:rsidR="00E70E9B" w:rsidRPr="00F30705" w:rsidTr="008B482D">
        <w:trPr>
          <w:trHeight w:val="315"/>
          <w:jc w:val="center"/>
        </w:trPr>
        <w:tc>
          <w:tcPr>
            <w:tcW w:w="4220" w:type="dxa"/>
            <w:tcBorders>
              <w:top w:val="nil"/>
              <w:left w:val="nil"/>
              <w:bottom w:val="nil"/>
              <w:right w:val="nil"/>
            </w:tcBorders>
            <w:shd w:val="clear" w:color="auto" w:fill="auto"/>
            <w:hideMark/>
          </w:tcPr>
          <w:p w:rsidR="00E70E9B" w:rsidRPr="00F30705" w:rsidRDefault="00E70E9B" w:rsidP="008B482D">
            <w:pPr>
              <w:rPr>
                <w:i/>
                <w:iCs/>
                <w:sz w:val="24"/>
                <w:szCs w:val="24"/>
                <w:u w:val="single"/>
                <w:lang w:eastAsia="es-CR"/>
              </w:rPr>
            </w:pPr>
            <w:r w:rsidRPr="00F30705">
              <w:rPr>
                <w:i/>
                <w:iCs/>
                <w:sz w:val="24"/>
                <w:szCs w:val="24"/>
                <w:u w:val="single"/>
                <w:lang w:eastAsia="es-CR"/>
              </w:rPr>
              <w:t>OTROS títulos de delito</w:t>
            </w:r>
          </w:p>
        </w:tc>
        <w:tc>
          <w:tcPr>
            <w:tcW w:w="880" w:type="dxa"/>
            <w:tcBorders>
              <w:top w:val="nil"/>
              <w:left w:val="nil"/>
              <w:bottom w:val="nil"/>
              <w:right w:val="nil"/>
            </w:tcBorders>
            <w:shd w:val="clear" w:color="auto" w:fill="auto"/>
            <w:hideMark/>
          </w:tcPr>
          <w:p w:rsidR="00E70E9B" w:rsidRPr="00F30705" w:rsidRDefault="00E70E9B" w:rsidP="008B482D">
            <w:pPr>
              <w:jc w:val="right"/>
              <w:rPr>
                <w:sz w:val="24"/>
                <w:szCs w:val="24"/>
                <w:lang w:eastAsia="es-CR"/>
              </w:rPr>
            </w:pPr>
            <w:r w:rsidRPr="00F30705">
              <w:rPr>
                <w:sz w:val="24"/>
                <w:szCs w:val="24"/>
                <w:lang w:eastAsia="es-CR"/>
              </w:rPr>
              <w:t>2</w:t>
            </w:r>
          </w:p>
        </w:tc>
        <w:tc>
          <w:tcPr>
            <w:tcW w:w="880" w:type="dxa"/>
            <w:tcBorders>
              <w:top w:val="nil"/>
              <w:left w:val="nil"/>
              <w:bottom w:val="nil"/>
              <w:right w:val="nil"/>
            </w:tcBorders>
            <w:shd w:val="clear" w:color="auto" w:fill="auto"/>
            <w:hideMark/>
          </w:tcPr>
          <w:p w:rsidR="00E70E9B" w:rsidRPr="00F30705" w:rsidRDefault="00E70E9B" w:rsidP="008B482D">
            <w:pPr>
              <w:jc w:val="right"/>
              <w:rPr>
                <w:sz w:val="24"/>
                <w:szCs w:val="24"/>
                <w:lang w:eastAsia="es-CR"/>
              </w:rPr>
            </w:pPr>
            <w:r w:rsidRPr="00F30705">
              <w:rPr>
                <w:sz w:val="24"/>
                <w:szCs w:val="24"/>
                <w:lang w:eastAsia="es-CR"/>
              </w:rPr>
              <w:t>4</w:t>
            </w:r>
          </w:p>
        </w:tc>
        <w:tc>
          <w:tcPr>
            <w:tcW w:w="880" w:type="dxa"/>
            <w:tcBorders>
              <w:top w:val="nil"/>
              <w:left w:val="nil"/>
              <w:bottom w:val="nil"/>
              <w:right w:val="nil"/>
            </w:tcBorders>
            <w:shd w:val="clear" w:color="auto" w:fill="auto"/>
            <w:hideMark/>
          </w:tcPr>
          <w:p w:rsidR="00E70E9B" w:rsidRPr="00F30705" w:rsidRDefault="00E70E9B" w:rsidP="008B482D">
            <w:pPr>
              <w:jc w:val="right"/>
              <w:rPr>
                <w:sz w:val="24"/>
                <w:szCs w:val="24"/>
                <w:lang w:eastAsia="es-CR"/>
              </w:rPr>
            </w:pPr>
            <w:r w:rsidRPr="00F30705">
              <w:rPr>
                <w:sz w:val="24"/>
                <w:szCs w:val="24"/>
                <w:lang w:eastAsia="es-CR"/>
              </w:rPr>
              <w:t>5</w:t>
            </w:r>
          </w:p>
        </w:tc>
        <w:tc>
          <w:tcPr>
            <w:tcW w:w="1180" w:type="dxa"/>
            <w:tcBorders>
              <w:top w:val="nil"/>
              <w:left w:val="nil"/>
              <w:bottom w:val="nil"/>
              <w:right w:val="nil"/>
            </w:tcBorders>
            <w:shd w:val="clear" w:color="auto" w:fill="auto"/>
            <w:vAlign w:val="bottom"/>
            <w:hideMark/>
          </w:tcPr>
          <w:p w:rsidR="00E70E9B" w:rsidRPr="00F30705" w:rsidRDefault="00E70E9B" w:rsidP="008B482D">
            <w:pPr>
              <w:jc w:val="right"/>
              <w:rPr>
                <w:sz w:val="24"/>
                <w:szCs w:val="24"/>
                <w:lang w:eastAsia="es-CR"/>
              </w:rPr>
            </w:pPr>
            <w:r w:rsidRPr="00F30705">
              <w:rPr>
                <w:sz w:val="24"/>
                <w:szCs w:val="24"/>
                <w:lang w:eastAsia="es-CR"/>
              </w:rPr>
              <w:t>1</w:t>
            </w:r>
          </w:p>
        </w:tc>
      </w:tr>
    </w:tbl>
    <w:p w:rsidR="00E70E9B" w:rsidRPr="00F30705" w:rsidRDefault="00E70E9B" w:rsidP="00E70E9B">
      <w:pPr>
        <w:spacing w:line="360" w:lineRule="auto"/>
        <w:jc w:val="both"/>
        <w:rPr>
          <w:sz w:val="28"/>
          <w:szCs w:val="28"/>
        </w:rPr>
      </w:pPr>
    </w:p>
    <w:p w:rsidR="00E70E9B" w:rsidRPr="00F30705" w:rsidRDefault="00B51898" w:rsidP="00E70E9B">
      <w:pPr>
        <w:spacing w:line="360" w:lineRule="auto"/>
        <w:jc w:val="both"/>
        <w:rPr>
          <w:b/>
          <w:sz w:val="28"/>
          <w:szCs w:val="28"/>
        </w:rPr>
      </w:pPr>
      <w:r w:rsidRPr="00F30705">
        <w:rPr>
          <w:b/>
          <w:sz w:val="28"/>
          <w:szCs w:val="28"/>
        </w:rPr>
        <w:t>1.2 Personas sentenciadas</w:t>
      </w:r>
    </w:p>
    <w:p w:rsidR="00E70E9B" w:rsidRPr="00F30705" w:rsidRDefault="00E70E9B" w:rsidP="00A61A32">
      <w:pPr>
        <w:spacing w:line="360" w:lineRule="auto"/>
        <w:jc w:val="both"/>
        <w:rPr>
          <w:sz w:val="28"/>
          <w:szCs w:val="28"/>
        </w:rPr>
      </w:pPr>
    </w:p>
    <w:p w:rsidR="00EC62FB" w:rsidRPr="00F30705" w:rsidRDefault="005B3DE8" w:rsidP="00A61A32">
      <w:pPr>
        <w:spacing w:line="360" w:lineRule="auto"/>
        <w:jc w:val="both"/>
        <w:rPr>
          <w:sz w:val="28"/>
          <w:szCs w:val="28"/>
        </w:rPr>
      </w:pPr>
      <w:r w:rsidRPr="00F30705">
        <w:rPr>
          <w:sz w:val="28"/>
          <w:szCs w:val="28"/>
        </w:rPr>
        <w:t>Específicamente sobre las personas sentenciadas se tiene los siguientes patrones estadísticos.</w:t>
      </w:r>
    </w:p>
    <w:p w:rsidR="005B3DE8" w:rsidRPr="00F30705" w:rsidRDefault="005B3DE8" w:rsidP="00A61A32">
      <w:pPr>
        <w:spacing w:line="360" w:lineRule="auto"/>
        <w:jc w:val="both"/>
        <w:rPr>
          <w:sz w:val="28"/>
          <w:szCs w:val="28"/>
        </w:rPr>
      </w:pPr>
    </w:p>
    <w:p w:rsidR="00A61A32" w:rsidRPr="00F30705" w:rsidRDefault="00EC62FB" w:rsidP="00A61A32">
      <w:pPr>
        <w:spacing w:line="360" w:lineRule="auto"/>
        <w:jc w:val="both"/>
        <w:rPr>
          <w:sz w:val="28"/>
          <w:szCs w:val="28"/>
        </w:rPr>
      </w:pPr>
      <w:r w:rsidRPr="00F30705">
        <w:rPr>
          <w:sz w:val="28"/>
          <w:szCs w:val="28"/>
        </w:rPr>
        <w:t xml:space="preserve">Con </w:t>
      </w:r>
      <w:r w:rsidR="00680716" w:rsidRPr="00F30705">
        <w:rPr>
          <w:sz w:val="28"/>
          <w:szCs w:val="28"/>
        </w:rPr>
        <w:t xml:space="preserve">la baja reportada en </w:t>
      </w:r>
      <w:r w:rsidRPr="00F30705">
        <w:rPr>
          <w:sz w:val="28"/>
          <w:szCs w:val="28"/>
        </w:rPr>
        <w:t>el 2015</w:t>
      </w:r>
      <w:r w:rsidR="00680716" w:rsidRPr="00F30705">
        <w:rPr>
          <w:sz w:val="28"/>
          <w:szCs w:val="28"/>
        </w:rPr>
        <w:t xml:space="preserve"> –la primera en 8 años– en el volumen de personas sentenciadas en los tribunales penales de primera instancia del país</w:t>
      </w:r>
      <w:r w:rsidRPr="00F30705">
        <w:rPr>
          <w:sz w:val="28"/>
          <w:szCs w:val="28"/>
        </w:rPr>
        <w:t xml:space="preserve">, se confirma que en 2013 </w:t>
      </w:r>
      <w:r w:rsidR="00A35D05" w:rsidRPr="00F30705">
        <w:rPr>
          <w:sz w:val="28"/>
          <w:szCs w:val="28"/>
        </w:rPr>
        <w:t>el</w:t>
      </w:r>
      <w:r w:rsidRPr="00F30705">
        <w:rPr>
          <w:sz w:val="28"/>
          <w:szCs w:val="28"/>
        </w:rPr>
        <w:t xml:space="preserve"> cambio de tendencia</w:t>
      </w:r>
      <w:r w:rsidR="00680716" w:rsidRPr="00F30705">
        <w:rPr>
          <w:sz w:val="28"/>
          <w:szCs w:val="28"/>
        </w:rPr>
        <w:t xml:space="preserve"> estadística</w:t>
      </w:r>
      <w:r w:rsidRPr="00F30705">
        <w:rPr>
          <w:sz w:val="28"/>
          <w:szCs w:val="28"/>
        </w:rPr>
        <w:t xml:space="preserve">. Como se puede apreciar en la </w:t>
      </w:r>
      <w:r w:rsidR="005C4C30" w:rsidRPr="00F30705">
        <w:rPr>
          <w:sz w:val="28"/>
          <w:szCs w:val="28"/>
        </w:rPr>
        <w:t>gráfica</w:t>
      </w:r>
      <w:r w:rsidRPr="00F30705">
        <w:rPr>
          <w:sz w:val="28"/>
          <w:szCs w:val="28"/>
        </w:rPr>
        <w:t xml:space="preserve"> siguiente, la cantidad de personas sentenciadas de cada año del 2008 al 2013 venía creciendo a un ritmo promedio de un 10% anual</w:t>
      </w:r>
      <w:r w:rsidR="00826989" w:rsidRPr="00F30705">
        <w:rPr>
          <w:sz w:val="28"/>
          <w:szCs w:val="28"/>
        </w:rPr>
        <w:t xml:space="preserve"> por el aporte adicional que darán los tribunales de flagrancia</w:t>
      </w:r>
      <w:r w:rsidRPr="00F30705">
        <w:rPr>
          <w:sz w:val="28"/>
          <w:szCs w:val="28"/>
        </w:rPr>
        <w:t xml:space="preserve">, patrón que se </w:t>
      </w:r>
      <w:r w:rsidRPr="00F30705">
        <w:rPr>
          <w:sz w:val="28"/>
          <w:szCs w:val="28"/>
        </w:rPr>
        <w:lastRenderedPageBreak/>
        <w:t>interrumpe en el 2014 señalando un posible cambio de tendencia que será con</w:t>
      </w:r>
      <w:r w:rsidR="00DA04A8" w:rsidRPr="00F30705">
        <w:rPr>
          <w:sz w:val="28"/>
          <w:szCs w:val="28"/>
        </w:rPr>
        <w:t xml:space="preserve">firmada con las </w:t>
      </w:r>
      <w:r w:rsidR="00DA04A8" w:rsidRPr="00F30705">
        <w:rPr>
          <w:b/>
          <w:sz w:val="28"/>
          <w:szCs w:val="28"/>
        </w:rPr>
        <w:t>12.966</w:t>
      </w:r>
      <w:r w:rsidR="00DA04A8" w:rsidRPr="00F30705">
        <w:rPr>
          <w:sz w:val="28"/>
          <w:szCs w:val="28"/>
        </w:rPr>
        <w:t xml:space="preserve"> personas que recibieron sentencia durante el 2015, cifra que a su vez es similar a la reportada en cada año de bienio inmediatamente anterior</w:t>
      </w:r>
      <w:r w:rsidR="00680716" w:rsidRPr="00F30705">
        <w:rPr>
          <w:sz w:val="28"/>
          <w:szCs w:val="28"/>
        </w:rPr>
        <w:t xml:space="preserve">; en el </w:t>
      </w:r>
      <w:r w:rsidR="00DA04A8" w:rsidRPr="00F30705">
        <w:rPr>
          <w:sz w:val="28"/>
          <w:szCs w:val="28"/>
        </w:rPr>
        <w:t>2013</w:t>
      </w:r>
      <w:r w:rsidR="00680716" w:rsidRPr="00F30705">
        <w:rPr>
          <w:sz w:val="28"/>
          <w:szCs w:val="28"/>
        </w:rPr>
        <w:t xml:space="preserve"> fueron </w:t>
      </w:r>
      <w:r w:rsidR="00680716" w:rsidRPr="00F30705">
        <w:rPr>
          <w:b/>
          <w:sz w:val="28"/>
          <w:szCs w:val="28"/>
        </w:rPr>
        <w:t>13.268</w:t>
      </w:r>
      <w:r w:rsidR="00680716" w:rsidRPr="00F30705">
        <w:rPr>
          <w:sz w:val="28"/>
          <w:szCs w:val="28"/>
        </w:rPr>
        <w:t xml:space="preserve"> sentenciados y sentenciadas y en el </w:t>
      </w:r>
      <w:r w:rsidR="00DA04A8" w:rsidRPr="00F30705">
        <w:rPr>
          <w:sz w:val="28"/>
          <w:szCs w:val="28"/>
        </w:rPr>
        <w:t>2014</w:t>
      </w:r>
      <w:r w:rsidR="00680716" w:rsidRPr="00F30705">
        <w:rPr>
          <w:sz w:val="28"/>
          <w:szCs w:val="28"/>
        </w:rPr>
        <w:t xml:space="preserve"> </w:t>
      </w:r>
      <w:r w:rsidR="00680716" w:rsidRPr="00F30705">
        <w:rPr>
          <w:b/>
          <w:sz w:val="28"/>
          <w:szCs w:val="28"/>
        </w:rPr>
        <w:t>13.360</w:t>
      </w:r>
      <w:r w:rsidR="00680716" w:rsidRPr="00F30705">
        <w:rPr>
          <w:sz w:val="28"/>
          <w:szCs w:val="28"/>
        </w:rPr>
        <w:t>.</w:t>
      </w:r>
      <w:r w:rsidRPr="00F30705">
        <w:rPr>
          <w:sz w:val="28"/>
          <w:szCs w:val="28"/>
        </w:rPr>
        <w:t xml:space="preserve"> </w:t>
      </w:r>
      <w:r w:rsidR="00826989" w:rsidRPr="00F30705">
        <w:rPr>
          <w:sz w:val="28"/>
          <w:szCs w:val="28"/>
        </w:rPr>
        <w:t xml:space="preserve">Este último patrón es congruente con la no conformación de más tribunales de flagrancia en el país, señalando que la capacidad de sentenciar personas, en el futuro cercano y bajo las condiciones actuales, oscilará en un rango que va </w:t>
      </w:r>
      <w:r w:rsidR="00826989" w:rsidRPr="00F30705">
        <w:rPr>
          <w:sz w:val="28"/>
          <w:szCs w:val="28"/>
          <w:u w:val="single"/>
        </w:rPr>
        <w:t>de las 12.000 a las 13.500</w:t>
      </w:r>
      <w:r w:rsidR="00826989" w:rsidRPr="00F30705">
        <w:rPr>
          <w:sz w:val="28"/>
          <w:szCs w:val="28"/>
        </w:rPr>
        <w:t xml:space="preserve"> personas sentenciadas por año.</w:t>
      </w:r>
    </w:p>
    <w:p w:rsidR="00826989" w:rsidRPr="00F30705" w:rsidRDefault="00826989"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noProof/>
          <w:sz w:val="28"/>
          <w:szCs w:val="28"/>
          <w:lang w:eastAsia="es-CR"/>
        </w:rPr>
        <w:drawing>
          <wp:inline distT="0" distB="0" distL="0" distR="0">
            <wp:extent cx="5447030" cy="3618230"/>
            <wp:effectExtent l="19050" t="0" r="20320" b="1270"/>
            <wp:docPr id="48" name="Objeto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1A32" w:rsidRPr="00F30705" w:rsidRDefault="00A61A32" w:rsidP="00A61A32">
      <w:pPr>
        <w:spacing w:line="360" w:lineRule="auto"/>
        <w:jc w:val="both"/>
        <w:rPr>
          <w:sz w:val="28"/>
          <w:szCs w:val="28"/>
        </w:rPr>
      </w:pPr>
    </w:p>
    <w:p w:rsidR="00B51898" w:rsidRPr="00F30705" w:rsidRDefault="00F653AC" w:rsidP="00A61A32">
      <w:pPr>
        <w:spacing w:line="360" w:lineRule="auto"/>
        <w:jc w:val="both"/>
        <w:rPr>
          <w:b/>
          <w:sz w:val="28"/>
          <w:szCs w:val="28"/>
        </w:rPr>
      </w:pPr>
      <w:r w:rsidRPr="00F30705">
        <w:rPr>
          <w:b/>
          <w:sz w:val="28"/>
          <w:szCs w:val="28"/>
        </w:rPr>
        <w:t>II</w:t>
      </w:r>
      <w:r w:rsidR="00B51898" w:rsidRPr="00F30705">
        <w:rPr>
          <w:b/>
          <w:sz w:val="28"/>
          <w:szCs w:val="28"/>
        </w:rPr>
        <w:t>. Detalles específicos de las personas sentenciadas</w:t>
      </w:r>
    </w:p>
    <w:p w:rsidR="00B51898" w:rsidRPr="00F30705" w:rsidRDefault="00B51898" w:rsidP="00A61A32">
      <w:pPr>
        <w:spacing w:line="360" w:lineRule="auto"/>
        <w:jc w:val="both"/>
        <w:rPr>
          <w:sz w:val="28"/>
          <w:szCs w:val="28"/>
        </w:rPr>
      </w:pPr>
    </w:p>
    <w:p w:rsidR="00A61A32" w:rsidRPr="00F30705" w:rsidRDefault="00A61A32" w:rsidP="00A61A32">
      <w:pPr>
        <w:spacing w:line="360" w:lineRule="auto"/>
        <w:jc w:val="both"/>
        <w:rPr>
          <w:b/>
          <w:bCs/>
          <w:sz w:val="28"/>
          <w:szCs w:val="28"/>
        </w:rPr>
      </w:pPr>
      <w:r w:rsidRPr="00F30705">
        <w:rPr>
          <w:sz w:val="28"/>
          <w:szCs w:val="28"/>
        </w:rPr>
        <w:t xml:space="preserve"> </w:t>
      </w:r>
      <w:r w:rsidR="00F653AC" w:rsidRPr="00F30705">
        <w:rPr>
          <w:b/>
          <w:bCs/>
          <w:sz w:val="28"/>
          <w:szCs w:val="28"/>
        </w:rPr>
        <w:t>2</w:t>
      </w:r>
      <w:r w:rsidRPr="00F30705">
        <w:rPr>
          <w:b/>
          <w:bCs/>
          <w:sz w:val="28"/>
          <w:szCs w:val="28"/>
        </w:rPr>
        <w:t>.</w:t>
      </w:r>
      <w:r w:rsidR="00B51898" w:rsidRPr="00F30705">
        <w:rPr>
          <w:b/>
          <w:bCs/>
          <w:sz w:val="28"/>
          <w:szCs w:val="28"/>
        </w:rPr>
        <w:t>1</w:t>
      </w:r>
      <w:r w:rsidRPr="00F30705">
        <w:rPr>
          <w:b/>
          <w:bCs/>
          <w:sz w:val="28"/>
          <w:szCs w:val="28"/>
        </w:rPr>
        <w:t xml:space="preserve"> </w:t>
      </w:r>
      <w:r w:rsidR="00106BE6" w:rsidRPr="00F30705">
        <w:rPr>
          <w:b/>
          <w:bCs/>
          <w:sz w:val="28"/>
          <w:szCs w:val="28"/>
        </w:rPr>
        <w:t>Personas se</w:t>
      </w:r>
      <w:r w:rsidRPr="00F30705">
        <w:rPr>
          <w:b/>
          <w:bCs/>
          <w:sz w:val="28"/>
          <w:szCs w:val="28"/>
        </w:rPr>
        <w:t>ntencia</w:t>
      </w:r>
      <w:r w:rsidR="00106BE6" w:rsidRPr="00F30705">
        <w:rPr>
          <w:b/>
          <w:bCs/>
          <w:sz w:val="28"/>
          <w:szCs w:val="28"/>
        </w:rPr>
        <w:t>das por resultado del proceso penal</w:t>
      </w:r>
    </w:p>
    <w:p w:rsidR="00A61A32" w:rsidRPr="00F30705" w:rsidRDefault="00A61A32" w:rsidP="00A61A32">
      <w:pPr>
        <w:spacing w:line="360" w:lineRule="auto"/>
        <w:jc w:val="both"/>
        <w:rPr>
          <w:sz w:val="28"/>
          <w:szCs w:val="28"/>
        </w:rPr>
      </w:pPr>
    </w:p>
    <w:p w:rsidR="003B2E2B" w:rsidRPr="00F30705" w:rsidRDefault="003B2E2B" w:rsidP="00A61A32">
      <w:pPr>
        <w:spacing w:line="360" w:lineRule="auto"/>
        <w:jc w:val="both"/>
        <w:rPr>
          <w:sz w:val="28"/>
          <w:szCs w:val="28"/>
        </w:rPr>
      </w:pPr>
      <w:r w:rsidRPr="00F30705">
        <w:rPr>
          <w:sz w:val="28"/>
          <w:szCs w:val="28"/>
        </w:rPr>
        <w:t xml:space="preserve">Congruente con lo anterior la condenatoria en los últimos tres años sigue un patrón de relativa estabilidad, mientras </w:t>
      </w:r>
      <w:r w:rsidR="002E1CA7" w:rsidRPr="00F30705">
        <w:rPr>
          <w:sz w:val="28"/>
          <w:szCs w:val="28"/>
        </w:rPr>
        <w:t>en el 2015,</w:t>
      </w:r>
      <w:r w:rsidRPr="00F30705">
        <w:rPr>
          <w:sz w:val="28"/>
          <w:szCs w:val="28"/>
        </w:rPr>
        <w:t xml:space="preserve"> se interrumpe</w:t>
      </w:r>
      <w:r w:rsidR="002E1CA7" w:rsidRPr="00F30705">
        <w:rPr>
          <w:sz w:val="28"/>
          <w:szCs w:val="28"/>
        </w:rPr>
        <w:t xml:space="preserve"> el</w:t>
      </w:r>
      <w:r w:rsidRPr="00F30705">
        <w:rPr>
          <w:sz w:val="28"/>
          <w:szCs w:val="28"/>
        </w:rPr>
        <w:t xml:space="preserve"> proceso incremental de la absolutoria. Como se puede apreciar en el siguiente gráfico del 2013 al 2015 los volúmenes </w:t>
      </w:r>
      <w:r w:rsidR="002E1CA7" w:rsidRPr="00F30705">
        <w:rPr>
          <w:sz w:val="28"/>
          <w:szCs w:val="28"/>
        </w:rPr>
        <w:t xml:space="preserve">anuales </w:t>
      </w:r>
      <w:r w:rsidRPr="00F30705">
        <w:rPr>
          <w:sz w:val="28"/>
          <w:szCs w:val="28"/>
        </w:rPr>
        <w:t xml:space="preserve">de personas condenadas son muy similares además de distantes respecto a lo que se reportaba del 2012 para atrás; en el 2015 se reportan </w:t>
      </w:r>
      <w:r w:rsidRPr="00F30705">
        <w:rPr>
          <w:b/>
          <w:sz w:val="28"/>
          <w:szCs w:val="28"/>
        </w:rPr>
        <w:t>8.871</w:t>
      </w:r>
      <w:r w:rsidRPr="00F30705">
        <w:rPr>
          <w:sz w:val="28"/>
          <w:szCs w:val="28"/>
        </w:rPr>
        <w:t xml:space="preserve"> personas condenadas, apenas </w:t>
      </w:r>
      <w:r w:rsidRPr="00F30705">
        <w:rPr>
          <w:b/>
          <w:sz w:val="28"/>
          <w:szCs w:val="28"/>
        </w:rPr>
        <w:t>43</w:t>
      </w:r>
      <w:r w:rsidRPr="00F30705">
        <w:rPr>
          <w:sz w:val="28"/>
          <w:szCs w:val="28"/>
        </w:rPr>
        <w:t xml:space="preserve"> más que el reporte del 2014 (</w:t>
      </w:r>
      <w:r w:rsidRPr="00F30705">
        <w:rPr>
          <w:b/>
          <w:sz w:val="28"/>
          <w:szCs w:val="28"/>
        </w:rPr>
        <w:t>8.828</w:t>
      </w:r>
      <w:r w:rsidRPr="00F30705">
        <w:rPr>
          <w:sz w:val="28"/>
          <w:szCs w:val="28"/>
        </w:rPr>
        <w:t xml:space="preserve">) y </w:t>
      </w:r>
      <w:r w:rsidRPr="00F30705">
        <w:rPr>
          <w:b/>
          <w:sz w:val="28"/>
          <w:szCs w:val="28"/>
        </w:rPr>
        <w:t>94</w:t>
      </w:r>
      <w:r w:rsidRPr="00F30705">
        <w:rPr>
          <w:sz w:val="28"/>
          <w:szCs w:val="28"/>
        </w:rPr>
        <w:t xml:space="preserve"> más que el dato del 2013 (</w:t>
      </w:r>
      <w:r w:rsidRPr="00F30705">
        <w:rPr>
          <w:b/>
          <w:sz w:val="28"/>
          <w:szCs w:val="28"/>
        </w:rPr>
        <w:t>8.777</w:t>
      </w:r>
      <w:r w:rsidRPr="00F30705">
        <w:rPr>
          <w:sz w:val="28"/>
          <w:szCs w:val="28"/>
        </w:rPr>
        <w:t xml:space="preserve">). </w:t>
      </w:r>
      <w:r w:rsidR="002E1CA7" w:rsidRPr="00F30705">
        <w:rPr>
          <w:sz w:val="28"/>
          <w:szCs w:val="28"/>
        </w:rPr>
        <w:t>Por otro lado, en el 2015 se reporta la baja de casi una décima parte (</w:t>
      </w:r>
      <w:r w:rsidR="002E1CA7" w:rsidRPr="00F30705">
        <w:rPr>
          <w:b/>
          <w:sz w:val="28"/>
          <w:szCs w:val="28"/>
        </w:rPr>
        <w:t>9,6%</w:t>
      </w:r>
      <w:r w:rsidR="002E1CA7" w:rsidRPr="00F30705">
        <w:rPr>
          <w:sz w:val="28"/>
          <w:szCs w:val="28"/>
        </w:rPr>
        <w:t xml:space="preserve">) en la cantidad de personas sometidas a juicio y que fueron absueltas respecto a la cifra reportada doce meses antes; en este año se absolvieron </w:t>
      </w:r>
      <w:r w:rsidR="002E1CA7" w:rsidRPr="00F30705">
        <w:rPr>
          <w:b/>
          <w:sz w:val="28"/>
          <w:szCs w:val="28"/>
        </w:rPr>
        <w:t>4.095</w:t>
      </w:r>
      <w:r w:rsidR="002E1CA7" w:rsidRPr="00F30705">
        <w:rPr>
          <w:sz w:val="28"/>
          <w:szCs w:val="28"/>
        </w:rPr>
        <w:t xml:space="preserve"> personas contra </w:t>
      </w:r>
      <w:r w:rsidR="002E1CA7" w:rsidRPr="00F30705">
        <w:rPr>
          <w:b/>
          <w:sz w:val="28"/>
          <w:szCs w:val="28"/>
        </w:rPr>
        <w:t>4.532</w:t>
      </w:r>
      <w:r w:rsidR="002E1CA7" w:rsidRPr="00F30705">
        <w:rPr>
          <w:sz w:val="28"/>
          <w:szCs w:val="28"/>
        </w:rPr>
        <w:t xml:space="preserve"> del 2014, sea </w:t>
      </w:r>
      <w:r w:rsidR="002E1CA7" w:rsidRPr="00F30705">
        <w:rPr>
          <w:b/>
          <w:sz w:val="28"/>
          <w:szCs w:val="28"/>
        </w:rPr>
        <w:t>437</w:t>
      </w:r>
      <w:r w:rsidR="002E1CA7" w:rsidRPr="00F30705">
        <w:rPr>
          <w:sz w:val="28"/>
          <w:szCs w:val="28"/>
        </w:rPr>
        <w:t xml:space="preserve"> menos.</w:t>
      </w:r>
    </w:p>
    <w:p w:rsidR="003B2E2B" w:rsidRPr="00F30705" w:rsidRDefault="003B2E2B" w:rsidP="00A61A32">
      <w:pPr>
        <w:spacing w:line="360" w:lineRule="auto"/>
        <w:jc w:val="both"/>
        <w:rPr>
          <w:sz w:val="28"/>
          <w:szCs w:val="28"/>
        </w:rPr>
      </w:pPr>
    </w:p>
    <w:p w:rsidR="00A61A32" w:rsidRPr="00F30705" w:rsidRDefault="00A61A32" w:rsidP="00A61A32">
      <w:pPr>
        <w:spacing w:line="360" w:lineRule="auto"/>
        <w:jc w:val="both"/>
        <w:rPr>
          <w:b/>
          <w:bCs/>
        </w:rPr>
      </w:pPr>
      <w:r w:rsidRPr="00F30705">
        <w:rPr>
          <w:sz w:val="28"/>
          <w:szCs w:val="28"/>
        </w:rPr>
        <w:t>Otr</w:t>
      </w:r>
      <w:r w:rsidR="00E9634F" w:rsidRPr="00F30705">
        <w:rPr>
          <w:sz w:val="28"/>
          <w:szCs w:val="28"/>
        </w:rPr>
        <w:t>o</w:t>
      </w:r>
      <w:r w:rsidRPr="00F30705">
        <w:rPr>
          <w:sz w:val="28"/>
          <w:szCs w:val="28"/>
        </w:rPr>
        <w:t xml:space="preserve"> patrón estadístico acaecido de</w:t>
      </w:r>
      <w:r w:rsidR="00237716" w:rsidRPr="00F30705">
        <w:rPr>
          <w:sz w:val="28"/>
          <w:szCs w:val="28"/>
        </w:rPr>
        <w:t xml:space="preserve">sde el 2009 es el incremento de la brecha entre los montos de la condenatoria y absolutoria. </w:t>
      </w:r>
      <w:r w:rsidR="00E9634F" w:rsidRPr="00F30705">
        <w:rPr>
          <w:sz w:val="28"/>
          <w:szCs w:val="28"/>
        </w:rPr>
        <w:t>Esto se manifiesta e</w:t>
      </w:r>
      <w:r w:rsidRPr="00F30705">
        <w:rPr>
          <w:sz w:val="28"/>
          <w:szCs w:val="28"/>
        </w:rPr>
        <w:t>n la gráfica siguiente</w:t>
      </w:r>
      <w:r w:rsidR="00E9634F" w:rsidRPr="00F30705">
        <w:rPr>
          <w:sz w:val="28"/>
          <w:szCs w:val="28"/>
        </w:rPr>
        <w:t xml:space="preserve"> en donde </w:t>
      </w:r>
      <w:r w:rsidRPr="00F30705">
        <w:rPr>
          <w:sz w:val="28"/>
          <w:szCs w:val="28"/>
        </w:rPr>
        <w:t>se presentan las curvas separadas y asociadas a los volúmenes de condenatorias y absolutorias dictadas por año</w:t>
      </w:r>
      <w:r w:rsidR="00E9634F" w:rsidRPr="00F30705">
        <w:rPr>
          <w:sz w:val="28"/>
          <w:szCs w:val="28"/>
        </w:rPr>
        <w:t xml:space="preserve">; </w:t>
      </w:r>
      <w:r w:rsidRPr="00F30705">
        <w:rPr>
          <w:sz w:val="28"/>
          <w:szCs w:val="28"/>
        </w:rPr>
        <w:t>antes del 2009 con todo y sus altibajos anuales, la relación entre condenatorias y absolutorias era proporcionalmente similar (oscilando, ambos tipo de sentencia, en un rango que va del 45% y al 50%) pero a partir del 2009 al 2013 la cantidad de condenatorias crece con mayor magnitud que la absolutoria</w:t>
      </w:r>
      <w:r w:rsidRPr="00F30705">
        <w:rPr>
          <w:sz w:val="28"/>
          <w:szCs w:val="28"/>
          <w:vertAlign w:val="superscript"/>
        </w:rPr>
        <w:t>(</w:t>
      </w:r>
      <w:r w:rsidRPr="00F30705">
        <w:rPr>
          <w:rStyle w:val="Refdenotaalpie"/>
          <w:sz w:val="28"/>
          <w:szCs w:val="28"/>
        </w:rPr>
        <w:footnoteReference w:id="1"/>
      </w:r>
      <w:r w:rsidRPr="00F30705">
        <w:rPr>
          <w:sz w:val="28"/>
          <w:szCs w:val="28"/>
          <w:vertAlign w:val="superscript"/>
        </w:rPr>
        <w:t>)</w:t>
      </w:r>
      <w:r w:rsidR="00E9634F" w:rsidRPr="00F30705">
        <w:rPr>
          <w:sz w:val="28"/>
          <w:szCs w:val="28"/>
        </w:rPr>
        <w:t xml:space="preserve"> lo que provocó el aumento de la diferencia en el tiempo.</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noProof/>
          <w:sz w:val="28"/>
          <w:szCs w:val="28"/>
          <w:lang w:eastAsia="es-CR"/>
        </w:rPr>
        <w:drawing>
          <wp:inline distT="0" distB="0" distL="0" distR="0">
            <wp:extent cx="5283563" cy="3879668"/>
            <wp:effectExtent l="19050" t="0" r="12337" b="6532"/>
            <wp:docPr id="34" name="Objeto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1A32" w:rsidRPr="00F30705" w:rsidRDefault="00A61A32" w:rsidP="00A61A32">
      <w:pPr>
        <w:spacing w:line="360" w:lineRule="auto"/>
        <w:jc w:val="both"/>
        <w:rPr>
          <w:sz w:val="28"/>
          <w:szCs w:val="28"/>
        </w:rPr>
      </w:pPr>
    </w:p>
    <w:p w:rsidR="00A61A32" w:rsidRPr="00F30705" w:rsidRDefault="00FA7C4E" w:rsidP="00A61A32">
      <w:pPr>
        <w:spacing w:line="360" w:lineRule="auto"/>
        <w:jc w:val="both"/>
        <w:rPr>
          <w:sz w:val="28"/>
          <w:szCs w:val="28"/>
        </w:rPr>
      </w:pPr>
      <w:r w:rsidRPr="00F30705">
        <w:rPr>
          <w:sz w:val="28"/>
          <w:szCs w:val="28"/>
        </w:rPr>
        <w:t>Así, se produjo</w:t>
      </w:r>
      <w:r w:rsidR="00A61A32" w:rsidRPr="00F30705">
        <w:rPr>
          <w:sz w:val="28"/>
          <w:szCs w:val="28"/>
        </w:rPr>
        <w:t xml:space="preserve"> un cambio paulatino en la distribución de los sentencias por tipo, de una relativa paridad antes del 2009 a una marcada presencia porcentual de la condenatoria sobre la absolutoria. En el gráfico siguiente se presenta</w:t>
      </w:r>
      <w:r w:rsidRPr="00F30705">
        <w:rPr>
          <w:sz w:val="28"/>
          <w:szCs w:val="28"/>
        </w:rPr>
        <w:t>n</w:t>
      </w:r>
      <w:r w:rsidR="00A61A32" w:rsidRPr="00F30705">
        <w:rPr>
          <w:sz w:val="28"/>
          <w:szCs w:val="28"/>
        </w:rPr>
        <w:t xml:space="preserve"> la</w:t>
      </w:r>
      <w:r w:rsidRPr="00F30705">
        <w:rPr>
          <w:sz w:val="28"/>
          <w:szCs w:val="28"/>
        </w:rPr>
        <w:t>s</w:t>
      </w:r>
      <w:r w:rsidR="00A61A32" w:rsidRPr="00F30705">
        <w:rPr>
          <w:sz w:val="28"/>
          <w:szCs w:val="28"/>
        </w:rPr>
        <w:t xml:space="preserve"> distribuci</w:t>
      </w:r>
      <w:r w:rsidRPr="00F30705">
        <w:rPr>
          <w:sz w:val="28"/>
          <w:szCs w:val="28"/>
        </w:rPr>
        <w:t>ones</w:t>
      </w:r>
      <w:r w:rsidR="00A61A32" w:rsidRPr="00F30705">
        <w:rPr>
          <w:sz w:val="28"/>
          <w:szCs w:val="28"/>
        </w:rPr>
        <w:t xml:space="preserve"> de las sentencias por tipo para el 20</w:t>
      </w:r>
      <w:r w:rsidRPr="00F30705">
        <w:rPr>
          <w:sz w:val="28"/>
          <w:szCs w:val="28"/>
        </w:rPr>
        <w:t>08</w:t>
      </w:r>
      <w:r w:rsidR="00A61A32" w:rsidRPr="00F30705">
        <w:rPr>
          <w:sz w:val="28"/>
          <w:szCs w:val="28"/>
        </w:rPr>
        <w:t xml:space="preserve"> </w:t>
      </w:r>
      <w:r w:rsidRPr="00F30705">
        <w:rPr>
          <w:sz w:val="28"/>
          <w:szCs w:val="28"/>
        </w:rPr>
        <w:t>y el 2015 para contrastarla</w:t>
      </w:r>
      <w:r w:rsidR="002412A6" w:rsidRPr="00F30705">
        <w:rPr>
          <w:sz w:val="28"/>
          <w:szCs w:val="28"/>
        </w:rPr>
        <w:t>s</w:t>
      </w:r>
      <w:r w:rsidR="00A61A32" w:rsidRPr="00F30705">
        <w:rPr>
          <w:sz w:val="28"/>
          <w:szCs w:val="28"/>
        </w:rPr>
        <w:t xml:space="preserve">. Así, </w:t>
      </w:r>
      <w:r w:rsidR="00A61A32" w:rsidRPr="00F30705">
        <w:rPr>
          <w:b/>
          <w:bCs/>
          <w:sz w:val="28"/>
          <w:szCs w:val="28"/>
        </w:rPr>
        <w:t>6</w:t>
      </w:r>
      <w:r w:rsidR="002412A6" w:rsidRPr="00F30705">
        <w:rPr>
          <w:b/>
          <w:bCs/>
          <w:sz w:val="28"/>
          <w:szCs w:val="28"/>
        </w:rPr>
        <w:t>8</w:t>
      </w:r>
      <w:r w:rsidR="00A61A32" w:rsidRPr="00F30705">
        <w:rPr>
          <w:b/>
          <w:bCs/>
          <w:sz w:val="28"/>
          <w:szCs w:val="28"/>
        </w:rPr>
        <w:t>%</w:t>
      </w:r>
      <w:r w:rsidR="00A61A32" w:rsidRPr="00F30705">
        <w:rPr>
          <w:sz w:val="28"/>
          <w:szCs w:val="28"/>
        </w:rPr>
        <w:t xml:space="preserve"> de las sentencias dictadas </w:t>
      </w:r>
      <w:r w:rsidR="002412A6" w:rsidRPr="00F30705">
        <w:rPr>
          <w:sz w:val="28"/>
          <w:szCs w:val="28"/>
        </w:rPr>
        <w:t>en el 2015 en</w:t>
      </w:r>
      <w:r w:rsidR="00A61A32" w:rsidRPr="00F30705">
        <w:rPr>
          <w:sz w:val="28"/>
          <w:szCs w:val="28"/>
        </w:rPr>
        <w:t xml:space="preserve"> los tribunales de juicio terminan condenando a la persona imputada mientras que, en el restante </w:t>
      </w:r>
      <w:r w:rsidR="00A61A32" w:rsidRPr="00F30705">
        <w:rPr>
          <w:b/>
          <w:bCs/>
          <w:sz w:val="28"/>
          <w:szCs w:val="28"/>
        </w:rPr>
        <w:t>3</w:t>
      </w:r>
      <w:r w:rsidR="002412A6" w:rsidRPr="00F30705">
        <w:rPr>
          <w:b/>
          <w:bCs/>
          <w:sz w:val="28"/>
          <w:szCs w:val="28"/>
        </w:rPr>
        <w:t>2</w:t>
      </w:r>
      <w:r w:rsidR="00A61A32" w:rsidRPr="00F30705">
        <w:rPr>
          <w:b/>
          <w:bCs/>
          <w:sz w:val="28"/>
          <w:szCs w:val="28"/>
        </w:rPr>
        <w:t>%</w:t>
      </w:r>
      <w:r w:rsidR="002412A6" w:rsidRPr="00F30705">
        <w:rPr>
          <w:sz w:val="28"/>
          <w:szCs w:val="28"/>
        </w:rPr>
        <w:t xml:space="preserve"> se absuelve; esta relación era de 50%-50% en el 2008.</w:t>
      </w:r>
    </w:p>
    <w:p w:rsidR="000A0BD3" w:rsidRPr="00F30705" w:rsidRDefault="000A0BD3" w:rsidP="00A61A32">
      <w:pPr>
        <w:spacing w:line="360" w:lineRule="auto"/>
        <w:jc w:val="both"/>
        <w:rPr>
          <w:sz w:val="28"/>
          <w:szCs w:val="28"/>
        </w:rPr>
      </w:pPr>
    </w:p>
    <w:tbl>
      <w:tblPr>
        <w:tblStyle w:val="Tablaconcuadrcula"/>
        <w:tblW w:w="0" w:type="auto"/>
        <w:tblInd w:w="38" w:type="dxa"/>
        <w:tblBorders>
          <w:insideH w:val="none" w:sz="0" w:space="0" w:color="auto"/>
          <w:insideV w:val="none" w:sz="0" w:space="0" w:color="auto"/>
        </w:tblBorders>
        <w:tblLook w:val="01E0" w:firstRow="1" w:lastRow="1" w:firstColumn="1" w:lastColumn="1" w:noHBand="0" w:noVBand="0"/>
      </w:tblPr>
      <w:tblGrid>
        <w:gridCol w:w="4394"/>
        <w:gridCol w:w="4398"/>
      </w:tblGrid>
      <w:tr w:rsidR="000A0BD3" w:rsidRPr="00F30705" w:rsidTr="000A0BD3">
        <w:tc>
          <w:tcPr>
            <w:tcW w:w="9261" w:type="dxa"/>
            <w:gridSpan w:val="2"/>
            <w:tcBorders>
              <w:top w:val="single" w:sz="4" w:space="0" w:color="auto"/>
              <w:left w:val="single" w:sz="4" w:space="0" w:color="auto"/>
              <w:right w:val="single" w:sz="4" w:space="0" w:color="auto"/>
            </w:tcBorders>
          </w:tcPr>
          <w:p w:rsidR="000A0BD3" w:rsidRPr="00F30705" w:rsidRDefault="000A0BD3" w:rsidP="000A0BD3">
            <w:pPr>
              <w:jc w:val="center"/>
              <w:rPr>
                <w:bCs/>
                <w:noProof/>
                <w:sz w:val="28"/>
                <w:szCs w:val="28"/>
                <w:lang w:eastAsia="es-CR"/>
              </w:rPr>
            </w:pPr>
            <w:r w:rsidRPr="00F30705">
              <w:rPr>
                <w:bCs/>
                <w:noProof/>
                <w:sz w:val="28"/>
                <w:szCs w:val="28"/>
                <w:lang w:eastAsia="es-CR"/>
              </w:rPr>
              <w:t xml:space="preserve">Gráfico N° </w:t>
            </w:r>
            <w:r w:rsidR="00E94AE1" w:rsidRPr="00F30705">
              <w:rPr>
                <w:bCs/>
                <w:noProof/>
                <w:sz w:val="28"/>
                <w:szCs w:val="28"/>
                <w:lang w:eastAsia="es-CR"/>
              </w:rPr>
              <w:t>3</w:t>
            </w:r>
          </w:p>
          <w:p w:rsidR="003D2842" w:rsidRPr="00F30705" w:rsidRDefault="003D2842" w:rsidP="000A0BD3">
            <w:pPr>
              <w:jc w:val="center"/>
              <w:rPr>
                <w:bCs/>
                <w:noProof/>
                <w:sz w:val="28"/>
                <w:szCs w:val="28"/>
                <w:lang w:eastAsia="es-CR"/>
              </w:rPr>
            </w:pPr>
          </w:p>
          <w:p w:rsidR="000A0BD3" w:rsidRPr="00F30705" w:rsidRDefault="000A0BD3" w:rsidP="000A0BD3">
            <w:pPr>
              <w:jc w:val="center"/>
              <w:rPr>
                <w:b/>
                <w:noProof/>
                <w:sz w:val="28"/>
                <w:szCs w:val="28"/>
                <w:lang w:eastAsia="es-CR"/>
              </w:rPr>
            </w:pPr>
            <w:r w:rsidRPr="00F30705">
              <w:rPr>
                <w:b/>
                <w:noProof/>
                <w:sz w:val="28"/>
                <w:szCs w:val="28"/>
                <w:lang w:eastAsia="es-CR"/>
              </w:rPr>
              <w:lastRenderedPageBreak/>
              <w:t>Distribuciones porcentuales del 20</w:t>
            </w:r>
            <w:r w:rsidR="002412A6" w:rsidRPr="00F30705">
              <w:rPr>
                <w:b/>
                <w:noProof/>
                <w:sz w:val="28"/>
                <w:szCs w:val="28"/>
                <w:lang w:eastAsia="es-CR"/>
              </w:rPr>
              <w:t>08</w:t>
            </w:r>
            <w:r w:rsidRPr="00F30705">
              <w:rPr>
                <w:b/>
                <w:noProof/>
                <w:sz w:val="28"/>
                <w:szCs w:val="28"/>
                <w:lang w:eastAsia="es-CR"/>
              </w:rPr>
              <w:t xml:space="preserve"> y 201</w:t>
            </w:r>
            <w:r w:rsidR="003D2842" w:rsidRPr="00F30705">
              <w:rPr>
                <w:b/>
                <w:noProof/>
                <w:sz w:val="28"/>
                <w:szCs w:val="28"/>
                <w:lang w:eastAsia="es-CR"/>
              </w:rPr>
              <w:t xml:space="preserve">5 del volumen de personas sentenciadas en los tribunales penales </w:t>
            </w:r>
            <w:r w:rsidRPr="00F30705">
              <w:rPr>
                <w:b/>
                <w:noProof/>
                <w:sz w:val="28"/>
                <w:szCs w:val="28"/>
                <w:lang w:eastAsia="es-CR"/>
              </w:rPr>
              <w:t xml:space="preserve">según </w:t>
            </w:r>
            <w:r w:rsidR="003D2842" w:rsidRPr="00F30705">
              <w:rPr>
                <w:b/>
                <w:noProof/>
                <w:sz w:val="28"/>
                <w:szCs w:val="28"/>
                <w:lang w:eastAsia="es-CR"/>
              </w:rPr>
              <w:t>resultado</w:t>
            </w:r>
            <w:r w:rsidRPr="00F30705">
              <w:rPr>
                <w:b/>
                <w:noProof/>
                <w:sz w:val="28"/>
                <w:szCs w:val="28"/>
                <w:lang w:eastAsia="es-CR"/>
              </w:rPr>
              <w:t xml:space="preserve"> </w:t>
            </w:r>
          </w:p>
          <w:p w:rsidR="000A0BD3" w:rsidRPr="00F30705" w:rsidRDefault="000A0BD3" w:rsidP="000A0BD3">
            <w:pPr>
              <w:jc w:val="center"/>
              <w:rPr>
                <w:rFonts w:ascii="Book Antiqua" w:hAnsi="Book Antiqua" w:cs="Book Antiqua"/>
                <w:noProof/>
                <w:lang w:eastAsia="es-CR"/>
              </w:rPr>
            </w:pPr>
          </w:p>
        </w:tc>
      </w:tr>
      <w:tr w:rsidR="000A0BD3" w:rsidRPr="00F30705" w:rsidTr="000A0BD3">
        <w:tc>
          <w:tcPr>
            <w:tcW w:w="4630" w:type="dxa"/>
            <w:tcBorders>
              <w:top w:val="nil"/>
              <w:left w:val="single" w:sz="4" w:space="0" w:color="auto"/>
              <w:bottom w:val="nil"/>
              <w:right w:val="single" w:sz="4" w:space="0" w:color="auto"/>
            </w:tcBorders>
          </w:tcPr>
          <w:p w:rsidR="000A0BD3" w:rsidRPr="00F30705" w:rsidRDefault="000A0BD3" w:rsidP="000A0BD3">
            <w:pPr>
              <w:spacing w:line="360" w:lineRule="auto"/>
              <w:jc w:val="center"/>
              <w:rPr>
                <w:rFonts w:ascii="Book Antiqua" w:hAnsi="Book Antiqua" w:cs="Book Antiqua"/>
                <w:noProof/>
                <w:lang w:eastAsia="es-CR"/>
              </w:rPr>
            </w:pPr>
            <w:r w:rsidRPr="00F30705">
              <w:rPr>
                <w:rFonts w:ascii="Book Antiqua" w:hAnsi="Book Antiqua" w:cs="Book Antiqua"/>
                <w:noProof/>
                <w:lang w:eastAsia="es-CR"/>
              </w:rPr>
              <w:lastRenderedPageBreak/>
              <w:drawing>
                <wp:inline distT="0" distB="0" distL="0" distR="0">
                  <wp:extent cx="2721610" cy="3374390"/>
                  <wp:effectExtent l="0" t="0" r="0" b="0"/>
                  <wp:docPr id="67" name="Objeto 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631" w:type="dxa"/>
            <w:tcBorders>
              <w:left w:val="single" w:sz="4" w:space="0" w:color="auto"/>
              <w:right w:val="single" w:sz="4" w:space="0" w:color="auto"/>
            </w:tcBorders>
          </w:tcPr>
          <w:p w:rsidR="000A0BD3" w:rsidRPr="00F30705" w:rsidRDefault="000A0BD3" w:rsidP="000A0BD3">
            <w:pPr>
              <w:spacing w:line="360" w:lineRule="auto"/>
              <w:jc w:val="center"/>
              <w:rPr>
                <w:rFonts w:ascii="Book Antiqua" w:hAnsi="Book Antiqua" w:cs="Book Antiqua"/>
                <w:noProof/>
                <w:lang w:eastAsia="es-CR"/>
              </w:rPr>
            </w:pPr>
            <w:r w:rsidRPr="00F30705">
              <w:rPr>
                <w:rFonts w:ascii="Book Antiqua" w:hAnsi="Book Antiqua" w:cs="Book Antiqua"/>
                <w:noProof/>
                <w:lang w:eastAsia="es-CR"/>
              </w:rPr>
              <w:drawing>
                <wp:inline distT="0" distB="0" distL="0" distR="0">
                  <wp:extent cx="2721610" cy="3374390"/>
                  <wp:effectExtent l="0" t="0" r="2540" b="0"/>
                  <wp:docPr id="68" name="Objeto 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A0BD3" w:rsidRPr="00F30705" w:rsidTr="000A0BD3">
        <w:tblPrEx>
          <w:tblBorders>
            <w:insideH w:val="single" w:sz="4" w:space="0" w:color="auto"/>
            <w:insideV w:val="single" w:sz="4" w:space="0" w:color="auto"/>
          </w:tblBorders>
        </w:tblPrEx>
        <w:trPr>
          <w:trHeight w:val="146"/>
        </w:trPr>
        <w:tc>
          <w:tcPr>
            <w:tcW w:w="9261" w:type="dxa"/>
            <w:gridSpan w:val="2"/>
            <w:tcBorders>
              <w:top w:val="single" w:sz="4" w:space="0" w:color="auto"/>
              <w:left w:val="single" w:sz="4" w:space="0" w:color="auto"/>
              <w:bottom w:val="single" w:sz="4" w:space="0" w:color="auto"/>
              <w:right w:val="single" w:sz="4" w:space="0" w:color="auto"/>
            </w:tcBorders>
          </w:tcPr>
          <w:p w:rsidR="000A0BD3" w:rsidRPr="00F30705" w:rsidRDefault="000A0BD3" w:rsidP="000A0BD3">
            <w:pPr>
              <w:spacing w:line="360" w:lineRule="auto"/>
              <w:rPr>
                <w:rFonts w:ascii="Book Antiqua" w:hAnsi="Book Antiqua" w:cs="Book Antiqua"/>
                <w:noProof/>
                <w:sz w:val="10"/>
                <w:szCs w:val="10"/>
                <w:lang w:eastAsia="es-CR"/>
              </w:rPr>
            </w:pPr>
            <w:r w:rsidRPr="00F30705">
              <w:rPr>
                <w:rFonts w:ascii="Book Antiqua" w:hAnsi="Book Antiqua" w:cs="Book Antiqua"/>
                <w:noProof/>
                <w:sz w:val="10"/>
                <w:szCs w:val="10"/>
                <w:lang w:eastAsia="es-CR"/>
              </w:rPr>
              <w:t>Elaborado por: Sección de Estadística, Departamento de Planificación</w:t>
            </w:r>
          </w:p>
        </w:tc>
      </w:tr>
    </w:tbl>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pPr>
    </w:p>
    <w:p w:rsidR="00A61A32" w:rsidRPr="00F30705" w:rsidRDefault="00F653AC" w:rsidP="00A61A32">
      <w:pPr>
        <w:spacing w:line="360" w:lineRule="auto"/>
        <w:jc w:val="both"/>
        <w:rPr>
          <w:b/>
          <w:bCs/>
          <w:sz w:val="28"/>
          <w:szCs w:val="28"/>
        </w:rPr>
      </w:pPr>
      <w:r w:rsidRPr="00F30705">
        <w:rPr>
          <w:b/>
          <w:bCs/>
          <w:sz w:val="28"/>
          <w:szCs w:val="28"/>
        </w:rPr>
        <w:t>2</w:t>
      </w:r>
      <w:r w:rsidR="00A61A32" w:rsidRPr="00F30705">
        <w:rPr>
          <w:b/>
          <w:bCs/>
          <w:sz w:val="28"/>
          <w:szCs w:val="28"/>
        </w:rPr>
        <w:t>.</w:t>
      </w:r>
      <w:r w:rsidR="00B51898" w:rsidRPr="00F30705">
        <w:rPr>
          <w:b/>
          <w:bCs/>
          <w:sz w:val="28"/>
          <w:szCs w:val="28"/>
        </w:rPr>
        <w:t>2</w:t>
      </w:r>
      <w:r w:rsidR="00A61A32" w:rsidRPr="00F30705">
        <w:rPr>
          <w:b/>
          <w:bCs/>
          <w:sz w:val="28"/>
          <w:szCs w:val="28"/>
        </w:rPr>
        <w:t xml:space="preserve"> Personas sentenciadas según grupos de edad.</w:t>
      </w:r>
    </w:p>
    <w:p w:rsidR="00A61A32" w:rsidRPr="00F30705" w:rsidRDefault="00A61A32" w:rsidP="00A61A32">
      <w:pPr>
        <w:spacing w:line="360" w:lineRule="auto"/>
        <w:jc w:val="both"/>
      </w:pPr>
    </w:p>
    <w:p w:rsidR="00F17E72" w:rsidRPr="00F30705" w:rsidRDefault="00EB1AC1" w:rsidP="00A61A32">
      <w:pPr>
        <w:spacing w:line="360" w:lineRule="auto"/>
        <w:jc w:val="both"/>
        <w:rPr>
          <w:sz w:val="28"/>
          <w:szCs w:val="28"/>
        </w:rPr>
      </w:pPr>
      <w:r w:rsidRPr="00F30705">
        <w:rPr>
          <w:sz w:val="28"/>
          <w:szCs w:val="28"/>
        </w:rPr>
        <w:t>Tanto dentro del grupo de personas condenadas como dentro del de las absueltas, e</w:t>
      </w:r>
      <w:r w:rsidR="00A61A32" w:rsidRPr="00F30705">
        <w:rPr>
          <w:sz w:val="28"/>
          <w:szCs w:val="28"/>
        </w:rPr>
        <w:t>xiste una marcada presencia estadística de la condena en personas ubicadas en edad de adultez temprana</w:t>
      </w:r>
      <w:r w:rsidR="00A61A32" w:rsidRPr="00F30705">
        <w:rPr>
          <w:sz w:val="28"/>
          <w:szCs w:val="28"/>
          <w:vertAlign w:val="superscript"/>
        </w:rPr>
        <w:t>(</w:t>
      </w:r>
      <w:r w:rsidR="00A61A32" w:rsidRPr="00F30705">
        <w:rPr>
          <w:rStyle w:val="Refdenotaalpie"/>
          <w:sz w:val="28"/>
          <w:szCs w:val="28"/>
        </w:rPr>
        <w:footnoteReference w:id="2"/>
      </w:r>
      <w:r w:rsidR="00A61A32" w:rsidRPr="00F30705">
        <w:rPr>
          <w:sz w:val="28"/>
          <w:szCs w:val="28"/>
          <w:vertAlign w:val="superscript"/>
        </w:rPr>
        <w:t>)</w:t>
      </w:r>
      <w:r w:rsidR="00A61A32" w:rsidRPr="00F30705">
        <w:rPr>
          <w:sz w:val="28"/>
          <w:szCs w:val="28"/>
        </w:rPr>
        <w:t xml:space="preserve">. </w:t>
      </w:r>
      <w:r w:rsidRPr="00F30705">
        <w:rPr>
          <w:sz w:val="28"/>
          <w:szCs w:val="28"/>
        </w:rPr>
        <w:t xml:space="preserve">No obstante, la </w:t>
      </w:r>
      <w:r w:rsidR="002A1639" w:rsidRPr="00F30705">
        <w:rPr>
          <w:sz w:val="28"/>
          <w:szCs w:val="28"/>
        </w:rPr>
        <w:t xml:space="preserve">presencia de </w:t>
      </w:r>
      <w:r w:rsidRPr="00F30705">
        <w:rPr>
          <w:sz w:val="28"/>
          <w:szCs w:val="28"/>
        </w:rPr>
        <w:t xml:space="preserve">personas </w:t>
      </w:r>
      <w:r w:rsidR="002A1639" w:rsidRPr="00F30705">
        <w:rPr>
          <w:sz w:val="28"/>
          <w:szCs w:val="28"/>
        </w:rPr>
        <w:t xml:space="preserve">con edades de los 18 a los 34 años es proporcionalmente más presente en la condenatoria que en la absolutoria; en el conjunto de personas condenadas, </w:t>
      </w:r>
      <w:r w:rsidR="003B5138" w:rsidRPr="00F30705">
        <w:rPr>
          <w:sz w:val="28"/>
          <w:szCs w:val="28"/>
        </w:rPr>
        <w:t xml:space="preserve">el </w:t>
      </w:r>
      <w:r w:rsidR="003B5138" w:rsidRPr="00F30705">
        <w:rPr>
          <w:sz w:val="28"/>
          <w:szCs w:val="28"/>
        </w:rPr>
        <w:lastRenderedPageBreak/>
        <w:t xml:space="preserve">porcentaje de </w:t>
      </w:r>
      <w:r w:rsidR="002A1639" w:rsidRPr="00F30705">
        <w:rPr>
          <w:sz w:val="28"/>
          <w:szCs w:val="28"/>
        </w:rPr>
        <w:t xml:space="preserve">las ubicadas en la adultez temprana </w:t>
      </w:r>
      <w:r w:rsidR="003B5138" w:rsidRPr="00F30705">
        <w:rPr>
          <w:sz w:val="28"/>
          <w:szCs w:val="28"/>
        </w:rPr>
        <w:t xml:space="preserve">es 10 puntos porcentuales mayor que el porcentaje obtenido </w:t>
      </w:r>
      <w:r w:rsidR="002A1639" w:rsidRPr="00F30705">
        <w:rPr>
          <w:sz w:val="28"/>
          <w:szCs w:val="28"/>
        </w:rPr>
        <w:t>en el conglomerado de personas absueltas este tipo de adultez.</w:t>
      </w:r>
      <w:r w:rsidR="003B5138" w:rsidRPr="00F30705">
        <w:rPr>
          <w:sz w:val="28"/>
          <w:szCs w:val="28"/>
        </w:rPr>
        <w:t xml:space="preserve"> Así y como se </w:t>
      </w:r>
      <w:r w:rsidR="00F17E72" w:rsidRPr="00F30705">
        <w:rPr>
          <w:sz w:val="28"/>
          <w:szCs w:val="28"/>
        </w:rPr>
        <w:t>deduce</w:t>
      </w:r>
      <w:r w:rsidR="003B5138" w:rsidRPr="00F30705">
        <w:rPr>
          <w:sz w:val="28"/>
          <w:szCs w:val="28"/>
        </w:rPr>
        <w:t xml:space="preserve"> en la </w:t>
      </w:r>
      <w:r w:rsidR="00A61A32" w:rsidRPr="00F30705">
        <w:rPr>
          <w:sz w:val="28"/>
          <w:szCs w:val="28"/>
        </w:rPr>
        <w:t xml:space="preserve">siguiente gráfica estadística, las personas condenadas que tenían al momento de la sentencia 18 a 34 años </w:t>
      </w:r>
      <w:r w:rsidR="00F17E72" w:rsidRPr="00F30705">
        <w:rPr>
          <w:sz w:val="28"/>
          <w:szCs w:val="28"/>
        </w:rPr>
        <w:t>sumaban</w:t>
      </w:r>
      <w:r w:rsidR="00A61A32" w:rsidRPr="00F30705">
        <w:rPr>
          <w:sz w:val="28"/>
          <w:szCs w:val="28"/>
        </w:rPr>
        <w:t xml:space="preserve"> </w:t>
      </w:r>
      <w:r w:rsidR="003B5138" w:rsidRPr="00F30705">
        <w:rPr>
          <w:b/>
          <w:bCs/>
          <w:sz w:val="28"/>
          <w:szCs w:val="28"/>
        </w:rPr>
        <w:t>5</w:t>
      </w:r>
      <w:r w:rsidR="00A61A32" w:rsidRPr="00F30705">
        <w:rPr>
          <w:b/>
          <w:bCs/>
          <w:sz w:val="28"/>
          <w:szCs w:val="28"/>
        </w:rPr>
        <w:t>.</w:t>
      </w:r>
      <w:r w:rsidR="003B5138" w:rsidRPr="00F30705">
        <w:rPr>
          <w:b/>
          <w:bCs/>
          <w:sz w:val="28"/>
          <w:szCs w:val="28"/>
        </w:rPr>
        <w:t>308</w:t>
      </w:r>
      <w:r w:rsidR="00A61A32" w:rsidRPr="00F30705">
        <w:rPr>
          <w:sz w:val="28"/>
          <w:szCs w:val="28"/>
        </w:rPr>
        <w:t xml:space="preserve"> (</w:t>
      </w:r>
      <w:r w:rsidR="003B5138" w:rsidRPr="00F30705">
        <w:rPr>
          <w:b/>
          <w:bCs/>
          <w:sz w:val="28"/>
          <w:szCs w:val="28"/>
        </w:rPr>
        <w:t>348</w:t>
      </w:r>
      <w:r w:rsidR="00A61A32" w:rsidRPr="00F30705">
        <w:rPr>
          <w:sz w:val="28"/>
          <w:szCs w:val="28"/>
        </w:rPr>
        <w:t xml:space="preserve"> de 18 a 19 años de edad, </w:t>
      </w:r>
      <w:r w:rsidR="003B5138" w:rsidRPr="00F30705">
        <w:rPr>
          <w:b/>
          <w:bCs/>
          <w:sz w:val="28"/>
          <w:szCs w:val="28"/>
        </w:rPr>
        <w:t>1</w:t>
      </w:r>
      <w:r w:rsidR="00A61A32" w:rsidRPr="00F30705">
        <w:rPr>
          <w:b/>
          <w:bCs/>
          <w:sz w:val="28"/>
          <w:szCs w:val="28"/>
        </w:rPr>
        <w:t>.</w:t>
      </w:r>
      <w:r w:rsidR="003B5138" w:rsidRPr="00F30705">
        <w:rPr>
          <w:b/>
          <w:bCs/>
          <w:sz w:val="28"/>
          <w:szCs w:val="28"/>
        </w:rPr>
        <w:t>602</w:t>
      </w:r>
      <w:r w:rsidR="00A61A32" w:rsidRPr="00F30705">
        <w:rPr>
          <w:sz w:val="28"/>
          <w:szCs w:val="28"/>
        </w:rPr>
        <w:t xml:space="preserve"> con 20 a 24 años, </w:t>
      </w:r>
      <w:r w:rsidR="003B5138" w:rsidRPr="00F30705">
        <w:rPr>
          <w:b/>
          <w:bCs/>
          <w:sz w:val="28"/>
          <w:szCs w:val="28"/>
        </w:rPr>
        <w:t>1</w:t>
      </w:r>
      <w:r w:rsidR="00A61A32" w:rsidRPr="00F30705">
        <w:rPr>
          <w:b/>
          <w:bCs/>
          <w:sz w:val="28"/>
          <w:szCs w:val="28"/>
        </w:rPr>
        <w:t>.</w:t>
      </w:r>
      <w:r w:rsidR="003B5138" w:rsidRPr="00F30705">
        <w:rPr>
          <w:b/>
          <w:bCs/>
          <w:sz w:val="28"/>
          <w:szCs w:val="28"/>
        </w:rPr>
        <w:t>813</w:t>
      </w:r>
      <w:r w:rsidR="00A61A32" w:rsidRPr="00F30705">
        <w:rPr>
          <w:sz w:val="28"/>
          <w:szCs w:val="28"/>
        </w:rPr>
        <w:t xml:space="preserve"> con 25 a 29 años y </w:t>
      </w:r>
      <w:r w:rsidR="003B5138" w:rsidRPr="00F30705">
        <w:rPr>
          <w:b/>
          <w:bCs/>
          <w:sz w:val="28"/>
          <w:szCs w:val="28"/>
        </w:rPr>
        <w:t>1</w:t>
      </w:r>
      <w:r w:rsidR="00A61A32" w:rsidRPr="00F30705">
        <w:rPr>
          <w:b/>
          <w:bCs/>
          <w:sz w:val="28"/>
          <w:szCs w:val="28"/>
        </w:rPr>
        <w:t>.</w:t>
      </w:r>
      <w:r w:rsidR="003B5138" w:rsidRPr="00F30705">
        <w:rPr>
          <w:b/>
          <w:bCs/>
          <w:sz w:val="28"/>
          <w:szCs w:val="28"/>
        </w:rPr>
        <w:t>545</w:t>
      </w:r>
      <w:r w:rsidR="00A61A32" w:rsidRPr="00F30705">
        <w:rPr>
          <w:sz w:val="28"/>
          <w:szCs w:val="28"/>
        </w:rPr>
        <w:t xml:space="preserve"> con</w:t>
      </w:r>
      <w:r w:rsidR="003B5138" w:rsidRPr="00F30705">
        <w:rPr>
          <w:sz w:val="28"/>
          <w:szCs w:val="28"/>
        </w:rPr>
        <w:t xml:space="preserve"> 30 a 34 años cumplidos) cifra que representa</w:t>
      </w:r>
      <w:r w:rsidR="00A61A32" w:rsidRPr="00F30705">
        <w:rPr>
          <w:sz w:val="28"/>
          <w:szCs w:val="28"/>
        </w:rPr>
        <w:t xml:space="preserve"> el </w:t>
      </w:r>
      <w:r w:rsidR="00A61A32" w:rsidRPr="00F30705">
        <w:rPr>
          <w:b/>
          <w:bCs/>
          <w:sz w:val="28"/>
          <w:szCs w:val="28"/>
        </w:rPr>
        <w:t>5</w:t>
      </w:r>
      <w:r w:rsidR="003B5138" w:rsidRPr="00F30705">
        <w:rPr>
          <w:b/>
          <w:bCs/>
          <w:sz w:val="28"/>
          <w:szCs w:val="28"/>
        </w:rPr>
        <w:t>9</w:t>
      </w:r>
      <w:r w:rsidR="00A61A32" w:rsidRPr="00F30705">
        <w:rPr>
          <w:b/>
          <w:bCs/>
          <w:sz w:val="28"/>
          <w:szCs w:val="28"/>
        </w:rPr>
        <w:t>%</w:t>
      </w:r>
      <w:r w:rsidR="00A61A32" w:rsidRPr="00F30705">
        <w:rPr>
          <w:sz w:val="28"/>
          <w:szCs w:val="28"/>
        </w:rPr>
        <w:t xml:space="preserve"> del total de personas </w:t>
      </w:r>
      <w:r w:rsidR="003B5138" w:rsidRPr="00F30705">
        <w:rPr>
          <w:sz w:val="28"/>
          <w:szCs w:val="28"/>
        </w:rPr>
        <w:t>condenadas mientras que</w:t>
      </w:r>
      <w:r w:rsidR="00F17E72" w:rsidRPr="00F30705">
        <w:rPr>
          <w:sz w:val="28"/>
          <w:szCs w:val="28"/>
        </w:rPr>
        <w:t>,</w:t>
      </w:r>
      <w:r w:rsidR="003B5138" w:rsidRPr="00F30705">
        <w:rPr>
          <w:sz w:val="28"/>
          <w:szCs w:val="28"/>
        </w:rPr>
        <w:t xml:space="preserve"> las personas en adultez temprana absueltas sumaban </w:t>
      </w:r>
      <w:r w:rsidR="003B5138" w:rsidRPr="00F30705">
        <w:rPr>
          <w:b/>
          <w:sz w:val="28"/>
          <w:szCs w:val="28"/>
        </w:rPr>
        <w:t>2.013</w:t>
      </w:r>
      <w:r w:rsidR="003B5138" w:rsidRPr="00F30705">
        <w:rPr>
          <w:sz w:val="28"/>
          <w:szCs w:val="28"/>
        </w:rPr>
        <w:t xml:space="preserve"> (</w:t>
      </w:r>
      <w:r w:rsidR="003B5138" w:rsidRPr="00F30705">
        <w:rPr>
          <w:b/>
          <w:bCs/>
          <w:sz w:val="28"/>
          <w:szCs w:val="28"/>
        </w:rPr>
        <w:t>55</w:t>
      </w:r>
      <w:r w:rsidR="003B5138" w:rsidRPr="00F30705">
        <w:rPr>
          <w:sz w:val="28"/>
          <w:szCs w:val="28"/>
        </w:rPr>
        <w:t xml:space="preserve"> de 18 a 19 años de edad, </w:t>
      </w:r>
      <w:r w:rsidR="003B5138" w:rsidRPr="00F30705">
        <w:rPr>
          <w:b/>
          <w:bCs/>
          <w:sz w:val="28"/>
          <w:szCs w:val="28"/>
        </w:rPr>
        <w:t>521</w:t>
      </w:r>
      <w:r w:rsidR="003B5138" w:rsidRPr="00F30705">
        <w:rPr>
          <w:sz w:val="28"/>
          <w:szCs w:val="28"/>
        </w:rPr>
        <w:t xml:space="preserve"> con 20 a 24 años, </w:t>
      </w:r>
      <w:r w:rsidR="003B5138" w:rsidRPr="00F30705">
        <w:rPr>
          <w:b/>
          <w:bCs/>
          <w:sz w:val="28"/>
          <w:szCs w:val="28"/>
        </w:rPr>
        <w:t>760</w:t>
      </w:r>
      <w:r w:rsidR="003B5138" w:rsidRPr="00F30705">
        <w:rPr>
          <w:sz w:val="28"/>
          <w:szCs w:val="28"/>
        </w:rPr>
        <w:t xml:space="preserve"> con 25 a 29 años y </w:t>
      </w:r>
      <w:r w:rsidR="003B5138" w:rsidRPr="00F30705">
        <w:rPr>
          <w:b/>
          <w:bCs/>
          <w:sz w:val="28"/>
          <w:szCs w:val="28"/>
        </w:rPr>
        <w:t>677</w:t>
      </w:r>
      <w:r w:rsidR="003B5138" w:rsidRPr="00F30705">
        <w:rPr>
          <w:sz w:val="28"/>
          <w:szCs w:val="28"/>
        </w:rPr>
        <w:t xml:space="preserve"> con 30 a 34 años cumplidos)</w:t>
      </w:r>
      <w:r w:rsidR="00F17E72" w:rsidRPr="00F30705">
        <w:rPr>
          <w:sz w:val="28"/>
          <w:szCs w:val="28"/>
        </w:rPr>
        <w:t xml:space="preserve">, sea el </w:t>
      </w:r>
      <w:r w:rsidR="00F17E72" w:rsidRPr="00F30705">
        <w:rPr>
          <w:b/>
          <w:sz w:val="28"/>
          <w:szCs w:val="28"/>
        </w:rPr>
        <w:t>49%</w:t>
      </w:r>
      <w:r w:rsidR="00F17E72" w:rsidRPr="00F30705">
        <w:rPr>
          <w:sz w:val="28"/>
          <w:szCs w:val="28"/>
        </w:rPr>
        <w:t xml:space="preserve"> del total de personas absueltas. También, es notable en el grupo de adultez temprana que la porción de los que tenían 18 y 19 años cumplidos (</w:t>
      </w:r>
      <w:r w:rsidR="00F17E72" w:rsidRPr="00F30705">
        <w:rPr>
          <w:b/>
          <w:sz w:val="28"/>
          <w:szCs w:val="28"/>
        </w:rPr>
        <w:t>55</w:t>
      </w:r>
      <w:r w:rsidR="00F17E72" w:rsidRPr="00F30705">
        <w:rPr>
          <w:sz w:val="28"/>
          <w:szCs w:val="28"/>
        </w:rPr>
        <w:t xml:space="preserve"> absolutorias y </w:t>
      </w:r>
      <w:r w:rsidR="00F17E72" w:rsidRPr="00F30705">
        <w:rPr>
          <w:b/>
          <w:sz w:val="28"/>
          <w:szCs w:val="28"/>
        </w:rPr>
        <w:t>348</w:t>
      </w:r>
      <w:r w:rsidR="00F17E72" w:rsidRPr="00F30705">
        <w:rPr>
          <w:sz w:val="28"/>
          <w:szCs w:val="28"/>
        </w:rPr>
        <w:t xml:space="preserve"> condenatorias) es marcadamente menor que la de los grupos de edad superiores. </w:t>
      </w:r>
    </w:p>
    <w:p w:rsidR="00A61A32" w:rsidRPr="00F30705" w:rsidRDefault="0069519E" w:rsidP="00A61A32">
      <w:pPr>
        <w:spacing w:line="360" w:lineRule="auto"/>
        <w:jc w:val="both"/>
        <w:rPr>
          <w:b/>
          <w:bCs/>
          <w:sz w:val="28"/>
          <w:szCs w:val="28"/>
        </w:rPr>
      </w:pPr>
      <w:r>
        <w:rPr>
          <w:noProof/>
          <w:lang w:eastAsia="es-CR"/>
        </w:rPr>
        <w:lastRenderedPageBreak/>
        <mc:AlternateContent>
          <mc:Choice Requires="wpg">
            <w:drawing>
              <wp:anchor distT="0" distB="0" distL="114300" distR="114300" simplePos="0" relativeHeight="251670528" behindDoc="0" locked="0" layoutInCell="1" allowOverlap="1">
                <wp:simplePos x="0" y="0"/>
                <wp:positionH relativeFrom="column">
                  <wp:posOffset>508000</wp:posOffset>
                </wp:positionH>
                <wp:positionV relativeFrom="paragraph">
                  <wp:posOffset>862965</wp:posOffset>
                </wp:positionV>
                <wp:extent cx="4354830" cy="440055"/>
                <wp:effectExtent l="26035" t="17145" r="19685" b="0"/>
                <wp:wrapNone/>
                <wp:docPr id="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4830" cy="440055"/>
                          <a:chOff x="2501" y="3627"/>
                          <a:chExt cx="6858" cy="693"/>
                        </a:xfrm>
                      </wpg:grpSpPr>
                      <wps:wsp>
                        <wps:cNvPr id="5" name="AutoShape 51"/>
                        <wps:cNvSpPr>
                          <a:spLocks noChangeArrowheads="1"/>
                        </wps:cNvSpPr>
                        <wps:spPr bwMode="auto">
                          <a:xfrm>
                            <a:off x="5930" y="3627"/>
                            <a:ext cx="3429" cy="590"/>
                          </a:xfrm>
                          <a:prstGeom prst="stripedRightArrow">
                            <a:avLst>
                              <a:gd name="adj1" fmla="val 50000"/>
                              <a:gd name="adj2" fmla="val 145297"/>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6233" y="3662"/>
                            <a:ext cx="3071"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0B6" w:rsidRPr="00F3007B" w:rsidRDefault="004060B6" w:rsidP="00F3007B">
                              <w:pPr>
                                <w:jc w:val="center"/>
                                <w:rPr>
                                  <w:b/>
                                  <w:color w:val="4F81BD" w:themeColor="accent1"/>
                                  <w:sz w:val="22"/>
                                  <w:szCs w:val="22"/>
                                </w:rPr>
                              </w:pPr>
                              <w:r w:rsidRPr="00F3007B">
                                <w:rPr>
                                  <w:b/>
                                  <w:color w:val="4F81BD" w:themeColor="accent1"/>
                                </w:rPr>
                                <w:t>Personas Condenadas</w:t>
                              </w:r>
                              <w:r>
                                <w:rPr>
                                  <w:b/>
                                  <w:color w:val="4F81BD" w:themeColor="accent1"/>
                                  <w:sz w:val="22"/>
                                  <w:szCs w:val="22"/>
                                </w:rPr>
                                <w:t xml:space="preserve"> </w:t>
                              </w:r>
                              <w:r w:rsidRPr="00694303">
                                <w:rPr>
                                  <w:b/>
                                  <w:color w:val="4F81BD" w:themeColor="accent1"/>
                                  <w:sz w:val="28"/>
                                  <w:szCs w:val="28"/>
                                </w:rPr>
                                <w:t>68%</w:t>
                              </w:r>
                            </w:p>
                          </w:txbxContent>
                        </wps:txbx>
                        <wps:bodyPr rot="0" vert="horz" wrap="square" lIns="91440" tIns="45720" rIns="91440" bIns="45720" anchor="t" anchorCtr="0" upright="1">
                          <a:noAutofit/>
                        </wps:bodyPr>
                      </wps:wsp>
                      <wps:wsp>
                        <wps:cNvPr id="7" name="AutoShape 58"/>
                        <wps:cNvSpPr>
                          <a:spLocks noChangeArrowheads="1"/>
                        </wps:cNvSpPr>
                        <wps:spPr bwMode="auto">
                          <a:xfrm rot="10800000">
                            <a:off x="2501" y="3627"/>
                            <a:ext cx="3429" cy="590"/>
                          </a:xfrm>
                          <a:prstGeom prst="stripedRightArrow">
                            <a:avLst>
                              <a:gd name="adj1" fmla="val 50000"/>
                              <a:gd name="adj2" fmla="val 145297"/>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8" name="Text Box 59"/>
                        <wps:cNvSpPr txBox="1">
                          <a:spLocks noChangeArrowheads="1"/>
                        </wps:cNvSpPr>
                        <wps:spPr bwMode="auto">
                          <a:xfrm>
                            <a:off x="2881" y="3662"/>
                            <a:ext cx="263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0B6" w:rsidRPr="002232F7" w:rsidRDefault="004060B6">
                              <w:pPr>
                                <w:rPr>
                                  <w:b/>
                                  <w:color w:val="76923C" w:themeColor="accent3" w:themeShade="BF"/>
                                </w:rPr>
                              </w:pPr>
                              <w:r w:rsidRPr="002232F7">
                                <w:rPr>
                                  <w:b/>
                                  <w:color w:val="76923C" w:themeColor="accent3" w:themeShade="BF"/>
                                  <w:sz w:val="28"/>
                                  <w:szCs w:val="28"/>
                                </w:rPr>
                                <w:t>32%</w:t>
                              </w:r>
                              <w:r w:rsidRPr="002232F7">
                                <w:rPr>
                                  <w:b/>
                                  <w:color w:val="76923C" w:themeColor="accent3" w:themeShade="BF"/>
                                </w:rPr>
                                <w:t xml:space="preserve"> Personas Absueltas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id="Group 61" o:spid="_x0000_s1026" style="position:absolute;left:0;text-align:left;margin-left:40pt;margin-top:67.95pt;width:342.9pt;height:34.65pt;z-index:251670528" coordorigin="2501,3627" coordsize="685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cBTwQAAOoRAAAOAAAAZHJzL2Uyb0RvYy54bWzsWNtu4zYQfS/QfyD07uhiSbaEOIvEl6BA&#10;2l3sbj+AlqhLK5EqScdOi/57h0NJkdMFWmTbFAWsB4E3zQxnzpwhdf3u1DbkkUlVC75y/CvPIYxn&#10;Iq95uXJ+/LybLR2iNOU5bQRnK+eJKefdzbffXB+7lAWiEk3OJAEhXKXHbuVUWnep66qsYi1VV6Jj&#10;HCYLIVuqoStLN5f0CNLbxg08L3aPQuadFBlTCkY3dtK5QflFwTL9vigU06RZOWCbxrfE99683Ztr&#10;mpaSdlWd9WbQV1jR0pqD0lHUhmpKDrL+k6i2zqRQotBXmWhdURR1xnAPsBvfe7GbeykOHe6lTI9l&#10;N7oJXPvCT68Wm/3w+EGSOl85c4dw2kKIUCuJfeObY1emsORedp+6D9JuEJoPIvtZwbT7ct70S7uY&#10;7I/fixzk0YMW6JtTIVsjAnZNThiCpzEE7KRJBoPhPAqXc4hUBnNh6HlRZGOUVRBI81kQeb5DYHYe&#10;B4thbtt/Hi8jAJz5Nk7mZtKlqVWLpvammX0B3NSzR9XXefRTRTuGgVLGXb1Ho8Gjt+ABXEKi3qu4&#10;bHCpsv4kXKwrykt2K6U4VozmYBWuB9snH5iOgmj8pYOjxDjyzFODm+dhkFg/RQkmwegnmnZS6Xsm&#10;WmIaK0dpWXcs/1iXlUbLMJb08UFpxEPew4bmP0FciraB/HmkDYk8eGx8ysmaYLrGD6MgwSCC/l4k&#10;tAYLjHwlmjrf1U2DHUMLbN1IAhoAWVnGuJ6jQc2hBbjZcYDNoBqGDW5weTwMgwokGCMJIXKmpOHk&#10;uHKSKIhQ8NmckuV+VG/EWT1G4NTOttbAak3drpzluIimJqZbniPnaFo3tg0fNxxzycbVonMv8ieI&#10;sRSWsoBioVEJ+atDjkBXEJdfDlQyhzTfccBJ4kOyAL9hJ4wWAXTkdGY/naE8A1ErRzvENtfacuKh&#10;kybOBnfG31wY6Ba1trmuUmtVbywk0BtlUjxk0mcD4DtxImFioDXJC6JPMD4Y/m+lVBzMgScxpeLA&#10;gntMKW8B+EfqAQ6aUs8zoPuUklCW0L8Iebt0inkuDOBh3CLDxKEf6LFCU9DaJ6DRj5Xmt8RLtsvt&#10;MpyFQbydhd5mM7vdrcNZvPMX0Wa+Wa83/u9Grx+mVZ3njBupQ9Xzw7/HgX39tfVqrHtn8D/Lkh0+&#10;vUMmy9xzMzAPYS9m05Mt+UHo3QXJbBcvF7NwF0azZOEtZ56f3CWxFybhZne+pYeas6/f0lszwBgR&#10;Y/6zKyDcQ6CxBhjat6jXp/2pT4ALU0xq7mJgiknNxWycUIWB2D9KEJalfa/neiO/P+N84bBiwG1O&#10;OpcSPBRzxPuEGQzrvXUCXkrweIf68mEWjtX2ejCW4Oi/KcHBcjmc/1+W4CA21RlvDnM0DvhzuHQM&#10;9fVSgp8PqpcSPDmEv6oE4815vNP9Xyox3oXhhwISb//zw/yxmPahPf1Fc/MHAAAA//8DAFBLAwQU&#10;AAYACAAAACEApMJoBeEAAAAKAQAADwAAAGRycy9kb3ducmV2LnhtbEyPwUrDQBCG74LvsIzgze4m&#10;JbWN2ZRS1FMRbAXpbZpMk9Dsbshuk/TtHU96nJmff74vW0+mFQP1vnFWQzRTIMgWrmxspeHr8Pa0&#10;BOED2hJbZ0nDjTys8/u7DNPSjfaThn2oBJdYn6KGOoQuldIXNRn0M9eR5dvZ9QYDj30lyx5HLjet&#10;jJVaSION5Q81drStqbjsr0bD+4jjZh69DrvLeXs7HpKP711EWj8+TJsXEIGm8BeGX3xGh5yZTu5q&#10;Sy9aDUvFKoH382QFggPPi4RdThpilcQg80z+V8h/AAAA//8DAFBLAQItABQABgAIAAAAIQC2gziS&#10;/gAAAOEBAAATAAAAAAAAAAAAAAAAAAAAAABbQ29udGVudF9UeXBlc10ueG1sUEsBAi0AFAAGAAgA&#10;AAAhADj9If/WAAAAlAEAAAsAAAAAAAAAAAAAAAAALwEAAF9yZWxzLy5yZWxzUEsBAi0AFAAGAAgA&#10;AAAhAMpXhwFPBAAA6hEAAA4AAAAAAAAAAAAAAAAALgIAAGRycy9lMm9Eb2MueG1sUEsBAi0AFAAG&#10;AAgAAAAhAKTCaAXhAAAACgEAAA8AAAAAAAAAAAAAAAAAqQYAAGRycy9kb3ducmV2LnhtbFBLBQYA&#10;AAAABAAEAPMAAAC3Bw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51" o:spid="_x0000_s1027" type="#_x0000_t93" style="position:absolute;left:5930;top:3627;width:3429;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FRxQAAANoAAAAPAAAAZHJzL2Rvd25yZXYueG1sRI9Ba8JA&#10;FITvgv9heUJvurHQmkZXaYUS6alqKXp7Zp9JavZtzK6a9te7gtDjMDPfMJNZaypxpsaVlhUMBxEI&#10;4szqknMFX+v3fgzCeWSNlWVS8EsOZtNuZ4KJthde0nnlcxEg7BJUUHhfJ1K6rCCDbmBr4uDtbWPQ&#10;B9nkUjd4CXBTyccoepYGSw4LBdY0Lyg7rE5Gwcci3a7l9+bwc4zr0efbX7p7KVOlHnrt6xiEp9b/&#10;h+/thVbwBLcr4QbI6RUAAP//AwBQSwECLQAUAAYACAAAACEA2+H2y+4AAACFAQAAEwAAAAAAAAAA&#10;AAAAAAAAAAAAW0NvbnRlbnRfVHlwZXNdLnhtbFBLAQItABQABgAIAAAAIQBa9CxbvwAAABUBAAAL&#10;AAAAAAAAAAAAAAAAAB8BAABfcmVscy8ucmVsc1BLAQItABQABgAIAAAAIQCNlnFRxQAAANoAAAAP&#10;AAAAAAAAAAAAAAAAAAcCAABkcnMvZG93bnJldi54bWxQSwUGAAAAAAMAAwC3AAAA+QIAAAAA&#10;" fillcolor="#d6e3bc [1302]"/>
                <v:shapetype id="_x0000_t202" coordsize="21600,21600" o:spt="202" path="m,l,21600r21600,l21600,xe">
                  <v:stroke joinstyle="miter"/>
                  <v:path gradientshapeok="t" o:connecttype="rect"/>
                </v:shapetype>
                <v:shape id="Text Box 49" o:spid="_x0000_s1028" type="#_x0000_t202" style="position:absolute;left:6233;top:3662;width:3071;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4060B6" w:rsidRPr="00F3007B" w:rsidRDefault="004060B6" w:rsidP="00F3007B">
                        <w:pPr>
                          <w:jc w:val="center"/>
                          <w:rPr>
                            <w:b/>
                            <w:color w:val="4F81BD" w:themeColor="accent1"/>
                            <w:sz w:val="22"/>
                            <w:szCs w:val="22"/>
                          </w:rPr>
                        </w:pPr>
                        <w:r w:rsidRPr="00F3007B">
                          <w:rPr>
                            <w:b/>
                            <w:color w:val="4F81BD" w:themeColor="accent1"/>
                          </w:rPr>
                          <w:t>Personas Condenadas</w:t>
                        </w:r>
                        <w:r>
                          <w:rPr>
                            <w:b/>
                            <w:color w:val="4F81BD" w:themeColor="accent1"/>
                            <w:sz w:val="22"/>
                            <w:szCs w:val="22"/>
                          </w:rPr>
                          <w:t xml:space="preserve"> </w:t>
                        </w:r>
                        <w:r w:rsidRPr="00694303">
                          <w:rPr>
                            <w:b/>
                            <w:color w:val="4F81BD" w:themeColor="accent1"/>
                            <w:sz w:val="28"/>
                            <w:szCs w:val="28"/>
                          </w:rPr>
                          <w:t>68%</w:t>
                        </w:r>
                      </w:p>
                    </w:txbxContent>
                  </v:textbox>
                </v:shape>
                <v:shape id="AutoShape 58" o:spid="_x0000_s1029" type="#_x0000_t93" style="position:absolute;left:2501;top:3627;width:3429;height:59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OJwAAAANoAAAAPAAAAZHJzL2Rvd25yZXYueG1sRI9Lq8Iw&#10;FIT3gv8hHMGdprpQ6TXK5aLgykcV3B6a0we3OSlNrNVfbwTB5TAz3zDLdWcq0VLjSssKJuMIBHFq&#10;dcm5gst5O1qAcB5ZY2WZFDzIwXrV7y0x1vbOJ2oTn4sAYRejgsL7OpbSpQUZdGNbEwcvs41BH2ST&#10;S93gPcBNJadRNJMGSw4LBdb0V1D6n9yMAr15Ho8kfdKyO+zdIsqueZkpNRx0vz8gPHX+G/60d1rB&#10;HN5Xwg2QqxcAAAD//wMAUEsBAi0AFAAGAAgAAAAhANvh9svuAAAAhQEAABMAAAAAAAAAAAAAAAAA&#10;AAAAAFtDb250ZW50X1R5cGVzXS54bWxQSwECLQAUAAYACAAAACEAWvQsW78AAAAVAQAACwAAAAAA&#10;AAAAAAAAAAAfAQAAX3JlbHMvLnJlbHNQSwECLQAUAAYACAAAACEA3LZTicAAAADaAAAADwAAAAAA&#10;AAAAAAAAAAAHAgAAZHJzL2Rvd25yZXYueG1sUEsFBgAAAAADAAMAtwAAAPQCAAAAAA==&#10;" fillcolor="#d6e3bc [1302]"/>
                <v:shape id="Text Box 59" o:spid="_x0000_s1030" type="#_x0000_t202" style="position:absolute;left:2881;top:3662;width:263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4060B6" w:rsidRPr="002232F7" w:rsidRDefault="004060B6">
                        <w:pPr>
                          <w:rPr>
                            <w:b/>
                            <w:color w:val="76923C" w:themeColor="accent3" w:themeShade="BF"/>
                          </w:rPr>
                        </w:pPr>
                        <w:r w:rsidRPr="002232F7">
                          <w:rPr>
                            <w:b/>
                            <w:color w:val="76923C" w:themeColor="accent3" w:themeShade="BF"/>
                            <w:sz w:val="28"/>
                            <w:szCs w:val="28"/>
                          </w:rPr>
                          <w:t>32%</w:t>
                        </w:r>
                        <w:r w:rsidRPr="002232F7">
                          <w:rPr>
                            <w:b/>
                            <w:color w:val="76923C" w:themeColor="accent3" w:themeShade="BF"/>
                          </w:rPr>
                          <w:t xml:space="preserve"> Personas Absueltas</w:t>
                        </w:r>
                      </w:p>
                    </w:txbxContent>
                  </v:textbox>
                </v:shape>
              </v:group>
            </w:pict>
          </mc:Fallback>
        </mc:AlternateContent>
      </w:r>
      <w:r>
        <w:rPr>
          <w:noProof/>
          <w:lang w:eastAsia="es-C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3400" cy="3992880"/>
                <wp:effectExtent l="3810" t="1905" r="2540" b="0"/>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399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0B6" w:rsidRPr="00A92D36" w:rsidRDefault="004060B6" w:rsidP="00A61A32">
                            <w:pPr>
                              <w:spacing w:line="360" w:lineRule="auto"/>
                            </w:pPr>
                            <w:r>
                              <w:rPr>
                                <w:noProof/>
                                <w:lang w:eastAsia="es-CR"/>
                              </w:rPr>
                              <w:drawing>
                                <wp:inline distT="0" distB="0" distL="0" distR="0">
                                  <wp:extent cx="5471179" cy="3820563"/>
                                  <wp:effectExtent l="19050" t="0" r="15221" b="8487"/>
                                  <wp:docPr id="49" name="Objeto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47" o:spid="_x0000_s1031" type="#_x0000_t202" style="position:absolute;left:0;text-align:left;margin-left:0;margin-top:0;width:442pt;height:31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0hgIAABYFAAAOAAAAZHJzL2Uyb0RvYy54bWysVMmO3CAQvUfKPyDuPV7iXmyNezRLHEWa&#10;LNJMPoAG3EbBgIBpexLl31Pg7o6zHKIoPmCgikdVvVdcXo29RAdundCqxtlFihFXVDOh9jX+9Ngs&#10;Nhg5TxQjUite42fu8NX25YvLwVQ8152WjFsEIMpVg6lx572pksTRjvfEXWjDFRhbbXviYWn3CbNk&#10;APReJnmarpJBW2asptw52L2bjHgb8duWU/+hbR33SNYYYvNxtHHchTHZXpJqb4npBD2GQf4hip4I&#10;BZeeoe6IJ+jJit+gekGtdrr1F1T3iW5bQXnMAbLJ0l+yeeiI4TEXKI4z5zK5/wdL3x8+WiQYcIeR&#10;Ij1Q9MhHj270iIp1KM9gXAVeDwb8/Aj7wTWk6sy9pp8dUvq2I2rPr63VQ8cJg/CycDKZHZ1wXADZ&#10;De80g3vIk9cRaGxtHwChGgjQgabnMzUhFgqby1X2qkjBRMH2qizzzSaSl5DqdNxY599w3aMwqbEF&#10;7iM8Odw7H8Ih1cklhq+lYI2QMi7sfncrLToQ0EkTv5gBZDl3kyo4Kx2OTYjTDkQJdwRbiDfy/rXM&#10;8iK9yctFs9qsF0VTLBflOt0s0qy8KVdpURZ3zbcQYFZUnWCMq3uh+EmDWfF3HB+7YVJPVCEaalwu&#10;8+XE0Tx6N08yjd+fkuyFh5aUoq/x5uxEqsDsa8UgbVJ5IuQ0T34OP1YZanD6x6pEHQTqJxH4cTdG&#10;xeUnee00ewZhWA20AcXwnMCk0/YLRgO0Zo0VvB0YybcKpFVmRRE6OS6K5TqHhZ1bdnMLURSAauwx&#10;mqa3fur+J2PFvoN7TmK+Bjk2Igol6HaK6ShiaL6Y0fGhCN09X0evH8/Z9jsAAAD//wMAUEsDBBQA&#10;BgAIAAAAIQDwLwaH2wAAAAUBAAAPAAAAZHJzL2Rvd25yZXYueG1sTI9RS8QwEITfBf9DWME3L/WU&#10;GntND1EERTi40x+QJnttuWZTm9y1/ntXX/RlYJhl5ttyPftenHCMXSAN14sMBJINrqNGw8f785UC&#10;EZMhZ/pAqOELI6yr87PSFC5MtMXTLjWCSygWRkOb0lBIGW2L3sRFGJA424fRm8R2bKQbzcTlvpfL&#10;LMulNx3xQmsGfGzRHnZHr+GpG+tPG25e8ru3e7vZxv30upFaX17MDysQCef0dww/+IwOFTPV4Ugu&#10;il4DP5J+lTOlbtnWGvKlUiCrUv6nr74BAAD//wMAUEsBAi0AFAAGAAgAAAAhALaDOJL+AAAA4QEA&#10;ABMAAAAAAAAAAAAAAAAAAAAAAFtDb250ZW50X1R5cGVzXS54bWxQSwECLQAUAAYACAAAACEAOP0h&#10;/9YAAACUAQAACwAAAAAAAAAAAAAAAAAvAQAAX3JlbHMvLnJlbHNQSwECLQAUAAYACAAAACEAtf68&#10;dIYCAAAWBQAADgAAAAAAAAAAAAAAAAAuAgAAZHJzL2Uyb0RvYy54bWxQSwECLQAUAAYACAAAACEA&#10;8C8Gh9sAAAAFAQAADwAAAAAAAAAAAAAAAADgBAAAZHJzL2Rvd25yZXYueG1sUEsFBgAAAAAEAAQA&#10;8wAAAOgFAAAAAA==&#10;" stroked="f">
                <v:textbox style="mso-fit-shape-to-text:t">
                  <w:txbxContent>
                    <w:p w:rsidR="004060B6" w:rsidRPr="00A92D36" w:rsidRDefault="004060B6" w:rsidP="00A61A32">
                      <w:pPr>
                        <w:spacing w:line="360" w:lineRule="auto"/>
                      </w:pPr>
                      <w:r>
                        <w:rPr>
                          <w:noProof/>
                          <w:lang w:eastAsia="es-CR"/>
                        </w:rPr>
                        <w:drawing>
                          <wp:inline distT="0" distB="0" distL="0" distR="0">
                            <wp:extent cx="5471179" cy="3820563"/>
                            <wp:effectExtent l="19050" t="0" r="15221" b="8487"/>
                            <wp:docPr id="49" name="Objeto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type="square"/>
              </v:shape>
            </w:pict>
          </mc:Fallback>
        </mc:AlternateContent>
      </w:r>
    </w:p>
    <w:p w:rsidR="006948CF" w:rsidRPr="00F30705" w:rsidRDefault="006948CF" w:rsidP="006948CF">
      <w:pPr>
        <w:spacing w:line="360" w:lineRule="auto"/>
        <w:jc w:val="both"/>
        <w:rPr>
          <w:sz w:val="28"/>
          <w:szCs w:val="28"/>
        </w:rPr>
      </w:pPr>
      <w:r w:rsidRPr="00F30705">
        <w:rPr>
          <w:sz w:val="28"/>
          <w:szCs w:val="28"/>
        </w:rPr>
        <w:t xml:space="preserve">Las personas sentenciadas que se encuentran en la “Adultez” o “Adultez media” suman </w:t>
      </w:r>
      <w:r w:rsidRPr="00F30705">
        <w:rPr>
          <w:b/>
          <w:bCs/>
          <w:sz w:val="28"/>
          <w:szCs w:val="28"/>
        </w:rPr>
        <w:t>5.286</w:t>
      </w:r>
      <w:r w:rsidRPr="00F30705">
        <w:rPr>
          <w:sz w:val="28"/>
          <w:szCs w:val="28"/>
        </w:rPr>
        <w:t xml:space="preserve"> (3.378 condenadas y 1.908 absueltas) en este año, cifra que significa el </w:t>
      </w:r>
      <w:r w:rsidRPr="00F30705">
        <w:rPr>
          <w:b/>
          <w:bCs/>
          <w:sz w:val="28"/>
          <w:szCs w:val="28"/>
        </w:rPr>
        <w:t>41%</w:t>
      </w:r>
      <w:r w:rsidRPr="00F30705">
        <w:rPr>
          <w:sz w:val="28"/>
          <w:szCs w:val="28"/>
        </w:rPr>
        <w:t xml:space="preserve"> del total de personas sentencias; esto es, poco más de dos quintas partes de las sentencias. En menor proporción, se ubica la “Adultez mayor” (</w:t>
      </w:r>
      <w:r w:rsidRPr="00F30705">
        <w:rPr>
          <w:b/>
          <w:sz w:val="28"/>
          <w:szCs w:val="28"/>
        </w:rPr>
        <w:t>185</w:t>
      </w:r>
      <w:r w:rsidRPr="00F30705">
        <w:rPr>
          <w:sz w:val="28"/>
          <w:szCs w:val="28"/>
        </w:rPr>
        <w:t xml:space="preserve"> personas condenadas y </w:t>
      </w:r>
      <w:r w:rsidRPr="00F30705">
        <w:rPr>
          <w:b/>
          <w:sz w:val="28"/>
          <w:szCs w:val="28"/>
        </w:rPr>
        <w:t>174</w:t>
      </w:r>
      <w:r w:rsidRPr="00F30705">
        <w:rPr>
          <w:sz w:val="28"/>
          <w:szCs w:val="28"/>
        </w:rPr>
        <w:t xml:space="preserve"> absueltas) con poco más del </w:t>
      </w:r>
      <w:r w:rsidRPr="00F30705">
        <w:rPr>
          <w:b/>
          <w:bCs/>
          <w:sz w:val="28"/>
          <w:szCs w:val="28"/>
        </w:rPr>
        <w:t>4%</w:t>
      </w:r>
      <w:r w:rsidRPr="00F30705">
        <w:rPr>
          <w:sz w:val="28"/>
          <w:szCs w:val="28"/>
        </w:rPr>
        <w:t>.</w:t>
      </w:r>
    </w:p>
    <w:p w:rsidR="006948CF" w:rsidRPr="00F30705" w:rsidRDefault="006948CF" w:rsidP="00A61A32">
      <w:pPr>
        <w:spacing w:line="360" w:lineRule="auto"/>
        <w:jc w:val="both"/>
        <w:rPr>
          <w:b/>
          <w:bCs/>
          <w:sz w:val="28"/>
          <w:szCs w:val="28"/>
        </w:rPr>
      </w:pPr>
    </w:p>
    <w:p w:rsidR="00A61A32" w:rsidRPr="00F30705" w:rsidRDefault="00F653AC" w:rsidP="00A61A32">
      <w:pPr>
        <w:spacing w:line="360" w:lineRule="auto"/>
        <w:jc w:val="both"/>
        <w:rPr>
          <w:b/>
          <w:bCs/>
          <w:sz w:val="28"/>
          <w:szCs w:val="28"/>
        </w:rPr>
      </w:pPr>
      <w:r w:rsidRPr="00F30705">
        <w:rPr>
          <w:b/>
          <w:bCs/>
          <w:sz w:val="28"/>
          <w:szCs w:val="28"/>
        </w:rPr>
        <w:t>2</w:t>
      </w:r>
      <w:r w:rsidR="00A61A32" w:rsidRPr="00F30705">
        <w:rPr>
          <w:b/>
          <w:bCs/>
          <w:sz w:val="28"/>
          <w:szCs w:val="28"/>
        </w:rPr>
        <w:t>.</w:t>
      </w:r>
      <w:r w:rsidR="00B51898" w:rsidRPr="00F30705">
        <w:rPr>
          <w:b/>
          <w:bCs/>
          <w:sz w:val="28"/>
          <w:szCs w:val="28"/>
        </w:rPr>
        <w:t>3</w:t>
      </w:r>
      <w:r w:rsidR="00A61A32" w:rsidRPr="00F30705">
        <w:rPr>
          <w:b/>
          <w:bCs/>
          <w:sz w:val="28"/>
          <w:szCs w:val="28"/>
        </w:rPr>
        <w:t xml:space="preserve"> Personas sentenciadas según estado civil.</w:t>
      </w:r>
    </w:p>
    <w:p w:rsidR="00A61A32" w:rsidRPr="00F30705" w:rsidRDefault="00A61A32" w:rsidP="00A61A32">
      <w:pPr>
        <w:spacing w:line="360" w:lineRule="auto"/>
        <w:jc w:val="both"/>
        <w:rPr>
          <w:sz w:val="28"/>
          <w:szCs w:val="28"/>
        </w:rPr>
      </w:pPr>
    </w:p>
    <w:p w:rsidR="00A61A32" w:rsidRPr="00F30705" w:rsidRDefault="00162983" w:rsidP="00A61A32">
      <w:pPr>
        <w:spacing w:line="360" w:lineRule="auto"/>
        <w:jc w:val="both"/>
        <w:rPr>
          <w:sz w:val="28"/>
          <w:szCs w:val="28"/>
        </w:rPr>
      </w:pPr>
      <w:r w:rsidRPr="00F30705">
        <w:rPr>
          <w:sz w:val="28"/>
          <w:szCs w:val="28"/>
        </w:rPr>
        <w:t xml:space="preserve">La cantidad de </w:t>
      </w:r>
      <w:r w:rsidR="00A61A32" w:rsidRPr="00F30705">
        <w:rPr>
          <w:sz w:val="28"/>
          <w:szCs w:val="28"/>
        </w:rPr>
        <w:t xml:space="preserve">personas </w:t>
      </w:r>
      <w:r w:rsidRPr="00F30705">
        <w:rPr>
          <w:sz w:val="28"/>
          <w:szCs w:val="28"/>
        </w:rPr>
        <w:t xml:space="preserve">sentenciadas </w:t>
      </w:r>
      <w:r w:rsidR="00A61A32" w:rsidRPr="00F30705">
        <w:rPr>
          <w:sz w:val="28"/>
          <w:szCs w:val="28"/>
        </w:rPr>
        <w:t xml:space="preserve">solteras </w:t>
      </w:r>
      <w:r w:rsidRPr="00F30705">
        <w:rPr>
          <w:sz w:val="28"/>
          <w:szCs w:val="28"/>
        </w:rPr>
        <w:t xml:space="preserve">aumentó en este año respecto al anterior, reafirmando este grupo se </w:t>
      </w:r>
      <w:r w:rsidR="00B94794" w:rsidRPr="00F30705">
        <w:rPr>
          <w:sz w:val="28"/>
          <w:szCs w:val="28"/>
        </w:rPr>
        <w:t>cómo</w:t>
      </w:r>
      <w:r w:rsidRPr="00F30705">
        <w:rPr>
          <w:sz w:val="28"/>
          <w:szCs w:val="28"/>
        </w:rPr>
        <w:t xml:space="preserve"> el predominante </w:t>
      </w:r>
      <w:r w:rsidR="00A61A32" w:rsidRPr="00F30705">
        <w:rPr>
          <w:sz w:val="28"/>
          <w:szCs w:val="28"/>
        </w:rPr>
        <w:t>en la distr</w:t>
      </w:r>
      <w:r w:rsidRPr="00F30705">
        <w:rPr>
          <w:sz w:val="28"/>
          <w:szCs w:val="28"/>
        </w:rPr>
        <w:t>ibución por estado civil</w:t>
      </w:r>
      <w:r w:rsidR="00A61A32" w:rsidRPr="00F30705">
        <w:rPr>
          <w:sz w:val="28"/>
          <w:szCs w:val="28"/>
        </w:rPr>
        <w:t xml:space="preserve">. En el siguiente </w:t>
      </w:r>
      <w:r w:rsidRPr="00F30705">
        <w:rPr>
          <w:sz w:val="28"/>
          <w:szCs w:val="28"/>
        </w:rPr>
        <w:t>gráfico,</w:t>
      </w:r>
      <w:r w:rsidR="00A61A32" w:rsidRPr="00F30705">
        <w:rPr>
          <w:sz w:val="28"/>
          <w:szCs w:val="28"/>
        </w:rPr>
        <w:t xml:space="preserve"> se realiza un desglose de las personas </w:t>
      </w:r>
      <w:r w:rsidR="00A61A32" w:rsidRPr="00F30705">
        <w:rPr>
          <w:sz w:val="28"/>
          <w:szCs w:val="28"/>
        </w:rPr>
        <w:lastRenderedPageBreak/>
        <w:t>sentenciadas según el estado civil y como se puede observar las personas solteras son</w:t>
      </w:r>
      <w:r w:rsidRPr="00F30705">
        <w:rPr>
          <w:sz w:val="28"/>
          <w:szCs w:val="28"/>
        </w:rPr>
        <w:t xml:space="preserve"> las frecuentes; en el 2015 fue </w:t>
      </w:r>
      <w:r w:rsidRPr="00F30705">
        <w:rPr>
          <w:b/>
          <w:sz w:val="28"/>
          <w:szCs w:val="28"/>
        </w:rPr>
        <w:t>7.235</w:t>
      </w:r>
      <w:r w:rsidRPr="00F30705">
        <w:rPr>
          <w:sz w:val="28"/>
          <w:szCs w:val="28"/>
        </w:rPr>
        <w:t xml:space="preserve">, 4% mayor que el dato del 2014 y representan el </w:t>
      </w:r>
      <w:r w:rsidRPr="00F30705">
        <w:rPr>
          <w:b/>
          <w:sz w:val="28"/>
          <w:szCs w:val="28"/>
        </w:rPr>
        <w:t>56%</w:t>
      </w:r>
      <w:r w:rsidRPr="00F30705">
        <w:rPr>
          <w:sz w:val="28"/>
          <w:szCs w:val="28"/>
        </w:rPr>
        <w:t xml:space="preserve"> del total de personas sentenciadas</w:t>
      </w:r>
      <w:r w:rsidR="00A61A32" w:rsidRPr="00F30705">
        <w:rPr>
          <w:sz w:val="28"/>
          <w:szCs w:val="28"/>
        </w:rPr>
        <w:t>. A ese subconjunto, le siguen las personas casadas que son levemente mayores a la quinta parte de las sentenciadas (</w:t>
      </w:r>
      <w:r w:rsidR="00A61A32" w:rsidRPr="00F30705">
        <w:rPr>
          <w:b/>
          <w:bCs/>
          <w:sz w:val="28"/>
          <w:szCs w:val="28"/>
        </w:rPr>
        <w:t>2</w:t>
      </w:r>
      <w:r w:rsidR="00566FC9" w:rsidRPr="00F30705">
        <w:rPr>
          <w:b/>
          <w:bCs/>
          <w:sz w:val="28"/>
          <w:szCs w:val="28"/>
        </w:rPr>
        <w:t>0</w:t>
      </w:r>
      <w:r w:rsidR="00A61A32" w:rsidRPr="00F30705">
        <w:rPr>
          <w:b/>
          <w:bCs/>
          <w:sz w:val="28"/>
          <w:szCs w:val="28"/>
        </w:rPr>
        <w:t>%</w:t>
      </w:r>
      <w:r w:rsidR="00A61A32" w:rsidRPr="00F30705">
        <w:rPr>
          <w:sz w:val="28"/>
          <w:szCs w:val="28"/>
        </w:rPr>
        <w:t xml:space="preserve">) y las que se encuentran en unión libre que alcanzan el </w:t>
      </w:r>
      <w:r w:rsidR="00A61A32" w:rsidRPr="00F30705">
        <w:rPr>
          <w:b/>
          <w:bCs/>
          <w:sz w:val="28"/>
          <w:szCs w:val="28"/>
        </w:rPr>
        <w:t>1</w:t>
      </w:r>
      <w:r w:rsidR="00566FC9" w:rsidRPr="00F30705">
        <w:rPr>
          <w:b/>
          <w:bCs/>
          <w:sz w:val="28"/>
          <w:szCs w:val="28"/>
        </w:rPr>
        <w:t>5</w:t>
      </w:r>
      <w:r w:rsidR="00A61A32" w:rsidRPr="00F30705">
        <w:rPr>
          <w:b/>
          <w:bCs/>
          <w:sz w:val="28"/>
          <w:szCs w:val="28"/>
        </w:rPr>
        <w:t>%</w:t>
      </w:r>
      <w:r w:rsidR="00A61A32" w:rsidRPr="00F30705">
        <w:rPr>
          <w:sz w:val="28"/>
          <w:szCs w:val="28"/>
        </w:rPr>
        <w:t xml:space="preserve">. En proporciones menores se ubican las personas divorciadas con el </w:t>
      </w:r>
      <w:r w:rsidR="00566FC9" w:rsidRPr="00F30705">
        <w:rPr>
          <w:b/>
          <w:bCs/>
          <w:sz w:val="28"/>
          <w:szCs w:val="28"/>
        </w:rPr>
        <w:t>7</w:t>
      </w:r>
      <w:r w:rsidR="00A61A32" w:rsidRPr="00F30705">
        <w:rPr>
          <w:b/>
          <w:bCs/>
          <w:sz w:val="28"/>
          <w:szCs w:val="28"/>
        </w:rPr>
        <w:t>%</w:t>
      </w:r>
      <w:r w:rsidR="00A61A32" w:rsidRPr="00F30705">
        <w:rPr>
          <w:sz w:val="28"/>
          <w:szCs w:val="28"/>
        </w:rPr>
        <w:t>, las separadas y las viudas con c</w:t>
      </w:r>
      <w:r w:rsidR="00566FC9" w:rsidRPr="00F30705">
        <w:rPr>
          <w:sz w:val="28"/>
          <w:szCs w:val="28"/>
        </w:rPr>
        <w:t>erca d</w:t>
      </w:r>
      <w:r w:rsidR="00A61A32" w:rsidRPr="00F30705">
        <w:rPr>
          <w:sz w:val="28"/>
          <w:szCs w:val="28"/>
        </w:rPr>
        <w:t xml:space="preserve">el </w:t>
      </w:r>
      <w:r w:rsidR="00A61A32" w:rsidRPr="00F30705">
        <w:rPr>
          <w:b/>
          <w:bCs/>
          <w:sz w:val="28"/>
          <w:szCs w:val="28"/>
        </w:rPr>
        <w:t>1%</w:t>
      </w:r>
      <w:r w:rsidR="00566FC9" w:rsidRPr="00F30705">
        <w:rPr>
          <w:b/>
          <w:bCs/>
          <w:sz w:val="28"/>
          <w:szCs w:val="28"/>
        </w:rPr>
        <w:t xml:space="preserve"> </w:t>
      </w:r>
      <w:r w:rsidR="00566FC9" w:rsidRPr="00F30705">
        <w:rPr>
          <w:bCs/>
          <w:sz w:val="28"/>
          <w:szCs w:val="28"/>
        </w:rPr>
        <w:t>cada una</w:t>
      </w:r>
      <w:r w:rsidR="00A61A32" w:rsidRPr="00F30705">
        <w:rPr>
          <w:sz w:val="28"/>
          <w:szCs w:val="28"/>
        </w:rPr>
        <w:t xml:space="preserve">.  </w:t>
      </w:r>
    </w:p>
    <w:p w:rsidR="00A61A32" w:rsidRPr="00F30705" w:rsidRDefault="00A61A32" w:rsidP="00A61A32">
      <w:pPr>
        <w:spacing w:line="360" w:lineRule="auto"/>
        <w:jc w:val="both"/>
        <w:rPr>
          <w:sz w:val="28"/>
          <w:szCs w:val="28"/>
        </w:rPr>
      </w:pPr>
    </w:p>
    <w:p w:rsidR="005A20F9" w:rsidRPr="00F30705" w:rsidRDefault="005A20F9" w:rsidP="003919C7">
      <w:pPr>
        <w:spacing w:line="360" w:lineRule="auto"/>
        <w:jc w:val="center"/>
        <w:rPr>
          <w:sz w:val="28"/>
          <w:szCs w:val="28"/>
        </w:rPr>
      </w:pPr>
      <w:r w:rsidRPr="00F30705">
        <w:rPr>
          <w:noProof/>
          <w:sz w:val="28"/>
          <w:szCs w:val="28"/>
          <w:lang w:eastAsia="es-CR"/>
        </w:rPr>
        <w:drawing>
          <wp:inline distT="0" distB="0" distL="0" distR="0">
            <wp:extent cx="5225687" cy="3439885"/>
            <wp:effectExtent l="19050" t="0" r="13063" b="81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20F9" w:rsidRPr="00F30705" w:rsidRDefault="005A20F9" w:rsidP="00A61A32">
      <w:pPr>
        <w:spacing w:line="360" w:lineRule="auto"/>
        <w:jc w:val="both"/>
        <w:rPr>
          <w:sz w:val="28"/>
          <w:szCs w:val="28"/>
        </w:rPr>
      </w:pPr>
    </w:p>
    <w:p w:rsidR="00A61A32" w:rsidRPr="00F30705" w:rsidRDefault="00F653AC" w:rsidP="00A61A32">
      <w:pPr>
        <w:spacing w:line="360" w:lineRule="auto"/>
        <w:jc w:val="both"/>
        <w:rPr>
          <w:b/>
          <w:bCs/>
          <w:sz w:val="28"/>
          <w:szCs w:val="28"/>
        </w:rPr>
      </w:pPr>
      <w:r w:rsidRPr="00F30705">
        <w:rPr>
          <w:b/>
          <w:bCs/>
          <w:sz w:val="28"/>
          <w:szCs w:val="28"/>
        </w:rPr>
        <w:t>2</w:t>
      </w:r>
      <w:r w:rsidR="00A61A32" w:rsidRPr="00F30705">
        <w:rPr>
          <w:b/>
          <w:bCs/>
          <w:sz w:val="28"/>
          <w:szCs w:val="28"/>
        </w:rPr>
        <w:t>.</w:t>
      </w:r>
      <w:r w:rsidR="00B51898" w:rsidRPr="00F30705">
        <w:rPr>
          <w:b/>
          <w:bCs/>
          <w:sz w:val="28"/>
          <w:szCs w:val="28"/>
        </w:rPr>
        <w:t>4</w:t>
      </w:r>
      <w:r w:rsidR="00A61A32" w:rsidRPr="00F30705">
        <w:rPr>
          <w:b/>
          <w:bCs/>
          <w:sz w:val="28"/>
          <w:szCs w:val="28"/>
        </w:rPr>
        <w:t xml:space="preserve"> Personas sentenciadas según título de delito o ley infringida.</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En este año</w:t>
      </w:r>
      <w:r w:rsidR="00E653A9" w:rsidRPr="00F30705">
        <w:rPr>
          <w:sz w:val="28"/>
          <w:szCs w:val="28"/>
        </w:rPr>
        <w:t>,</w:t>
      </w:r>
      <w:r w:rsidRPr="00F30705">
        <w:rPr>
          <w:sz w:val="28"/>
          <w:szCs w:val="28"/>
        </w:rPr>
        <w:t xml:space="preserve"> se dan cambios </w:t>
      </w:r>
      <w:r w:rsidR="00E653A9" w:rsidRPr="00F30705">
        <w:rPr>
          <w:sz w:val="28"/>
          <w:szCs w:val="28"/>
        </w:rPr>
        <w:t xml:space="preserve">estadísticos </w:t>
      </w:r>
      <w:r w:rsidRPr="00F30705">
        <w:rPr>
          <w:sz w:val="28"/>
          <w:szCs w:val="28"/>
        </w:rPr>
        <w:t>importan</w:t>
      </w:r>
      <w:r w:rsidR="00E653A9" w:rsidRPr="00F30705">
        <w:rPr>
          <w:sz w:val="28"/>
          <w:szCs w:val="28"/>
        </w:rPr>
        <w:t>tes</w:t>
      </w:r>
      <w:r w:rsidRPr="00F30705">
        <w:rPr>
          <w:sz w:val="28"/>
          <w:szCs w:val="28"/>
        </w:rPr>
        <w:t xml:space="preserve"> en </w:t>
      </w:r>
      <w:r w:rsidR="00E653A9" w:rsidRPr="00F30705">
        <w:rPr>
          <w:sz w:val="28"/>
          <w:szCs w:val="28"/>
        </w:rPr>
        <w:t xml:space="preserve">algunos </w:t>
      </w:r>
      <w:r w:rsidRPr="00F30705">
        <w:rPr>
          <w:sz w:val="28"/>
          <w:szCs w:val="28"/>
        </w:rPr>
        <w:t xml:space="preserve">volúmenes de personas sentenciadas por título del delito o ley especial infringida. En la </w:t>
      </w:r>
      <w:r w:rsidRPr="00F30705">
        <w:rPr>
          <w:sz w:val="28"/>
          <w:szCs w:val="28"/>
        </w:rPr>
        <w:lastRenderedPageBreak/>
        <w:t>siguiente tabla, se compara el ejercicio de 201</w:t>
      </w:r>
      <w:r w:rsidR="006E77F2" w:rsidRPr="00F30705">
        <w:rPr>
          <w:sz w:val="28"/>
          <w:szCs w:val="28"/>
        </w:rPr>
        <w:t>5</w:t>
      </w:r>
      <w:r w:rsidRPr="00F30705">
        <w:rPr>
          <w:sz w:val="28"/>
          <w:szCs w:val="28"/>
        </w:rPr>
        <w:t xml:space="preserve"> con el del año inmediatamente anterior y se puede observar que </w:t>
      </w:r>
      <w:r w:rsidR="006E77F2" w:rsidRPr="00F30705">
        <w:rPr>
          <w:sz w:val="28"/>
          <w:szCs w:val="28"/>
        </w:rPr>
        <w:t xml:space="preserve">la infracción de leyes especiales  es la más aumentada en frecuencia pues se pasó de </w:t>
      </w:r>
      <w:r w:rsidR="006E77F2" w:rsidRPr="00F30705">
        <w:rPr>
          <w:b/>
          <w:sz w:val="28"/>
          <w:szCs w:val="28"/>
        </w:rPr>
        <w:t>70</w:t>
      </w:r>
      <w:r w:rsidR="006E77F2" w:rsidRPr="00F30705">
        <w:rPr>
          <w:sz w:val="28"/>
          <w:szCs w:val="28"/>
        </w:rPr>
        <w:t xml:space="preserve"> en el 2014 a </w:t>
      </w:r>
      <w:r w:rsidR="006E77F2" w:rsidRPr="00F30705">
        <w:rPr>
          <w:b/>
          <w:sz w:val="28"/>
          <w:szCs w:val="28"/>
        </w:rPr>
        <w:t>195</w:t>
      </w:r>
      <w:r w:rsidR="006E77F2" w:rsidRPr="00F30705">
        <w:rPr>
          <w:sz w:val="28"/>
          <w:szCs w:val="28"/>
        </w:rPr>
        <w:t xml:space="preserve"> en este año; casi se triplica la cifra. También se dieron aumentos importantes (mayores al 10%) en  el volumen de personas sentenciadas a las cuales se les imputó delitos contra la seguridad común (</w:t>
      </w:r>
      <w:r w:rsidR="006E77F2" w:rsidRPr="00F30705">
        <w:rPr>
          <w:b/>
          <w:sz w:val="28"/>
          <w:szCs w:val="28"/>
        </w:rPr>
        <w:t>26%</w:t>
      </w:r>
      <w:r w:rsidR="006E77F2" w:rsidRPr="00F30705">
        <w:rPr>
          <w:sz w:val="28"/>
          <w:szCs w:val="28"/>
        </w:rPr>
        <w:t xml:space="preserve">) y contra el ámbito de la intimidad con el </w:t>
      </w:r>
      <w:r w:rsidR="006E77F2" w:rsidRPr="00F30705">
        <w:rPr>
          <w:b/>
          <w:sz w:val="28"/>
          <w:szCs w:val="28"/>
        </w:rPr>
        <w:t>21%</w:t>
      </w:r>
      <w:r w:rsidR="006E77F2" w:rsidRPr="00F30705">
        <w:rPr>
          <w:sz w:val="28"/>
          <w:szCs w:val="28"/>
        </w:rPr>
        <w:t xml:space="preserve"> adicional.</w:t>
      </w:r>
      <w:r w:rsidR="00796691" w:rsidRPr="00F30705">
        <w:rPr>
          <w:sz w:val="28"/>
          <w:szCs w:val="28"/>
        </w:rPr>
        <w:t xml:space="preserve"> El grupo de las disminuciones</w:t>
      </w:r>
      <w:r w:rsidR="000817A2" w:rsidRPr="00F30705">
        <w:rPr>
          <w:sz w:val="28"/>
          <w:szCs w:val="28"/>
        </w:rPr>
        <w:t>,</w:t>
      </w:r>
      <w:r w:rsidR="00796691" w:rsidRPr="00F30705">
        <w:rPr>
          <w:sz w:val="28"/>
          <w:szCs w:val="28"/>
        </w:rPr>
        <w:t xml:space="preserve"> los delitos contra el honor encabezan con la baja del </w:t>
      </w:r>
      <w:r w:rsidR="00796691" w:rsidRPr="00F30705">
        <w:rPr>
          <w:b/>
          <w:sz w:val="28"/>
          <w:szCs w:val="28"/>
        </w:rPr>
        <w:t>37%</w:t>
      </w:r>
      <w:r w:rsidR="000817A2" w:rsidRPr="00F30705">
        <w:rPr>
          <w:sz w:val="28"/>
          <w:szCs w:val="28"/>
        </w:rPr>
        <w:t xml:space="preserve">, los cuales son </w:t>
      </w:r>
      <w:r w:rsidR="00796691" w:rsidRPr="00F30705">
        <w:rPr>
          <w:sz w:val="28"/>
          <w:szCs w:val="28"/>
        </w:rPr>
        <w:t xml:space="preserve">seguidos por las reducciones </w:t>
      </w:r>
      <w:r w:rsidR="000817A2" w:rsidRPr="00F30705">
        <w:rPr>
          <w:sz w:val="28"/>
          <w:szCs w:val="28"/>
        </w:rPr>
        <w:t>de los delitos contra los deberes de la función pública (</w:t>
      </w:r>
      <w:r w:rsidR="000817A2" w:rsidRPr="00F30705">
        <w:rPr>
          <w:b/>
          <w:sz w:val="28"/>
          <w:szCs w:val="28"/>
        </w:rPr>
        <w:t>24%</w:t>
      </w:r>
      <w:r w:rsidR="000817A2" w:rsidRPr="00F30705">
        <w:rPr>
          <w:sz w:val="28"/>
          <w:szCs w:val="28"/>
        </w:rPr>
        <w:t xml:space="preserve"> menos) y los delitos sexuales y contra la administración de la justicia con bajas del </w:t>
      </w:r>
      <w:r w:rsidR="000817A2" w:rsidRPr="00F30705">
        <w:rPr>
          <w:b/>
          <w:sz w:val="28"/>
          <w:szCs w:val="28"/>
        </w:rPr>
        <w:t>17%</w:t>
      </w:r>
      <w:r w:rsidR="000817A2" w:rsidRPr="00F30705">
        <w:rPr>
          <w:sz w:val="28"/>
          <w:szCs w:val="28"/>
        </w:rPr>
        <w:t xml:space="preserve"> cada uno.</w:t>
      </w:r>
    </w:p>
    <w:p w:rsidR="00E944B2" w:rsidRPr="00F30705" w:rsidRDefault="00E944B2">
      <w:pPr>
        <w:rPr>
          <w:b/>
          <w:sz w:val="28"/>
          <w:szCs w:val="28"/>
          <w:lang w:eastAsia="es-CR"/>
        </w:rPr>
      </w:pPr>
    </w:p>
    <w:tbl>
      <w:tblPr>
        <w:tblW w:w="7634" w:type="dxa"/>
        <w:jc w:val="center"/>
        <w:tblCellMar>
          <w:left w:w="70" w:type="dxa"/>
          <w:right w:w="70" w:type="dxa"/>
        </w:tblCellMar>
        <w:tblLook w:val="04A0" w:firstRow="1" w:lastRow="0" w:firstColumn="1" w:lastColumn="0" w:noHBand="0" w:noVBand="1"/>
      </w:tblPr>
      <w:tblGrid>
        <w:gridCol w:w="4496"/>
        <w:gridCol w:w="690"/>
        <w:gridCol w:w="690"/>
        <w:gridCol w:w="907"/>
        <w:gridCol w:w="851"/>
      </w:tblGrid>
      <w:tr w:rsidR="00E944B2" w:rsidRPr="00F30705" w:rsidTr="00E944B2">
        <w:trPr>
          <w:trHeight w:val="255"/>
          <w:jc w:val="center"/>
        </w:trPr>
        <w:tc>
          <w:tcPr>
            <w:tcW w:w="7634" w:type="dxa"/>
            <w:gridSpan w:val="5"/>
            <w:tcBorders>
              <w:top w:val="single" w:sz="4" w:space="0" w:color="auto"/>
              <w:left w:val="single" w:sz="4" w:space="0" w:color="auto"/>
              <w:bottom w:val="single" w:sz="4" w:space="0" w:color="auto"/>
              <w:right w:val="single" w:sz="4" w:space="0" w:color="000000"/>
            </w:tcBorders>
            <w:shd w:val="clear" w:color="000000" w:fill="FFC000"/>
            <w:vAlign w:val="center"/>
            <w:hideMark/>
          </w:tcPr>
          <w:p w:rsidR="00E944B2" w:rsidRPr="00F30705" w:rsidRDefault="00E944B2" w:rsidP="00E944B2">
            <w:pPr>
              <w:jc w:val="center"/>
              <w:rPr>
                <w:b/>
                <w:sz w:val="24"/>
                <w:szCs w:val="24"/>
                <w:lang w:eastAsia="es-CR"/>
              </w:rPr>
            </w:pPr>
            <w:r w:rsidRPr="00F30705">
              <w:rPr>
                <w:b/>
                <w:sz w:val="24"/>
                <w:szCs w:val="24"/>
                <w:lang w:eastAsia="es-CR"/>
              </w:rPr>
              <w:t>Personas sentenciadas por título del delito</w:t>
            </w:r>
          </w:p>
        </w:tc>
      </w:tr>
      <w:tr w:rsidR="00E944B2" w:rsidRPr="00F30705" w:rsidTr="00E944B2">
        <w:trPr>
          <w:trHeight w:val="255"/>
          <w:jc w:val="center"/>
        </w:trPr>
        <w:tc>
          <w:tcPr>
            <w:tcW w:w="4496" w:type="dxa"/>
            <w:vMerge w:val="restart"/>
            <w:tcBorders>
              <w:top w:val="nil"/>
              <w:left w:val="nil"/>
              <w:bottom w:val="nil"/>
              <w:right w:val="nil"/>
            </w:tcBorders>
            <w:shd w:val="clear" w:color="auto" w:fill="auto"/>
            <w:vAlign w:val="center"/>
            <w:hideMark/>
          </w:tcPr>
          <w:p w:rsidR="00E944B2" w:rsidRPr="00F30705" w:rsidRDefault="00E944B2" w:rsidP="00E944B2">
            <w:pPr>
              <w:jc w:val="center"/>
              <w:rPr>
                <w:b/>
                <w:bCs/>
                <w:u w:val="single"/>
                <w:lang w:eastAsia="es-CR"/>
              </w:rPr>
            </w:pPr>
            <w:r w:rsidRPr="00F30705">
              <w:rPr>
                <w:b/>
                <w:bCs/>
                <w:u w:val="single"/>
                <w:lang w:eastAsia="es-CR"/>
              </w:rPr>
              <w:t>Título del Delito</w:t>
            </w:r>
          </w:p>
        </w:tc>
        <w:tc>
          <w:tcPr>
            <w:tcW w:w="1380" w:type="dxa"/>
            <w:gridSpan w:val="2"/>
            <w:tcBorders>
              <w:top w:val="single" w:sz="4" w:space="0" w:color="auto"/>
              <w:left w:val="nil"/>
              <w:bottom w:val="nil"/>
              <w:right w:val="nil"/>
            </w:tcBorders>
            <w:shd w:val="clear" w:color="auto" w:fill="auto"/>
            <w:vAlign w:val="center"/>
            <w:hideMark/>
          </w:tcPr>
          <w:p w:rsidR="00E944B2" w:rsidRPr="00F30705" w:rsidRDefault="00E944B2" w:rsidP="00E944B2">
            <w:pPr>
              <w:jc w:val="center"/>
              <w:rPr>
                <w:b/>
                <w:bCs/>
                <w:u w:val="single"/>
                <w:lang w:eastAsia="es-CR"/>
              </w:rPr>
            </w:pPr>
            <w:r w:rsidRPr="00F30705">
              <w:rPr>
                <w:b/>
                <w:bCs/>
                <w:u w:val="single"/>
                <w:lang w:eastAsia="es-CR"/>
              </w:rPr>
              <w:t>Año</w:t>
            </w:r>
          </w:p>
        </w:tc>
        <w:tc>
          <w:tcPr>
            <w:tcW w:w="1758" w:type="dxa"/>
            <w:gridSpan w:val="2"/>
            <w:tcBorders>
              <w:top w:val="single" w:sz="4" w:space="0" w:color="auto"/>
              <w:left w:val="nil"/>
              <w:bottom w:val="nil"/>
              <w:right w:val="nil"/>
            </w:tcBorders>
            <w:shd w:val="clear" w:color="auto" w:fill="auto"/>
            <w:vAlign w:val="center"/>
            <w:hideMark/>
          </w:tcPr>
          <w:p w:rsidR="00E944B2" w:rsidRPr="00F30705" w:rsidRDefault="00E944B2" w:rsidP="00E944B2">
            <w:pPr>
              <w:jc w:val="center"/>
              <w:rPr>
                <w:b/>
                <w:bCs/>
                <w:u w:val="single"/>
                <w:lang w:eastAsia="es-CR"/>
              </w:rPr>
            </w:pPr>
            <w:r w:rsidRPr="00F30705">
              <w:rPr>
                <w:b/>
                <w:bCs/>
                <w:u w:val="single"/>
                <w:lang w:eastAsia="es-CR"/>
              </w:rPr>
              <w:t>Variación</w:t>
            </w:r>
          </w:p>
        </w:tc>
      </w:tr>
      <w:tr w:rsidR="00E944B2" w:rsidRPr="00F30705" w:rsidTr="00E944B2">
        <w:trPr>
          <w:trHeight w:val="255"/>
          <w:jc w:val="center"/>
        </w:trPr>
        <w:tc>
          <w:tcPr>
            <w:tcW w:w="4496" w:type="dxa"/>
            <w:vMerge/>
            <w:tcBorders>
              <w:top w:val="nil"/>
              <w:left w:val="nil"/>
              <w:bottom w:val="nil"/>
              <w:right w:val="nil"/>
            </w:tcBorders>
            <w:vAlign w:val="center"/>
            <w:hideMark/>
          </w:tcPr>
          <w:p w:rsidR="00E944B2" w:rsidRPr="00F30705" w:rsidRDefault="00E944B2" w:rsidP="00E944B2">
            <w:pPr>
              <w:rPr>
                <w:b/>
                <w:bCs/>
                <w:u w:val="single"/>
                <w:lang w:eastAsia="es-CR"/>
              </w:rPr>
            </w:pPr>
          </w:p>
        </w:tc>
        <w:tc>
          <w:tcPr>
            <w:tcW w:w="690" w:type="dxa"/>
            <w:tcBorders>
              <w:top w:val="nil"/>
              <w:left w:val="nil"/>
              <w:bottom w:val="nil"/>
              <w:right w:val="nil"/>
            </w:tcBorders>
            <w:shd w:val="clear" w:color="auto" w:fill="auto"/>
            <w:vAlign w:val="center"/>
            <w:hideMark/>
          </w:tcPr>
          <w:p w:rsidR="00E944B2" w:rsidRPr="00F30705" w:rsidRDefault="00E944B2" w:rsidP="00E944B2">
            <w:pPr>
              <w:jc w:val="center"/>
              <w:rPr>
                <w:b/>
                <w:bCs/>
                <w:u w:val="single"/>
                <w:lang w:eastAsia="es-CR"/>
              </w:rPr>
            </w:pPr>
            <w:r w:rsidRPr="00F30705">
              <w:rPr>
                <w:b/>
                <w:bCs/>
                <w:u w:val="single"/>
                <w:lang w:eastAsia="es-CR"/>
              </w:rPr>
              <w:t>2014</w:t>
            </w:r>
          </w:p>
        </w:tc>
        <w:tc>
          <w:tcPr>
            <w:tcW w:w="690" w:type="dxa"/>
            <w:tcBorders>
              <w:top w:val="nil"/>
              <w:left w:val="nil"/>
              <w:bottom w:val="nil"/>
              <w:right w:val="nil"/>
            </w:tcBorders>
            <w:shd w:val="clear" w:color="auto" w:fill="auto"/>
            <w:vAlign w:val="center"/>
            <w:hideMark/>
          </w:tcPr>
          <w:p w:rsidR="00E944B2" w:rsidRPr="00F30705" w:rsidRDefault="00E944B2" w:rsidP="00E944B2">
            <w:pPr>
              <w:jc w:val="center"/>
              <w:rPr>
                <w:b/>
                <w:bCs/>
                <w:u w:val="single"/>
                <w:lang w:eastAsia="es-CR"/>
              </w:rPr>
            </w:pPr>
            <w:r w:rsidRPr="00F30705">
              <w:rPr>
                <w:b/>
                <w:bCs/>
                <w:u w:val="single"/>
                <w:lang w:eastAsia="es-CR"/>
              </w:rPr>
              <w:t>2015</w:t>
            </w:r>
          </w:p>
        </w:tc>
        <w:tc>
          <w:tcPr>
            <w:tcW w:w="907" w:type="dxa"/>
            <w:tcBorders>
              <w:top w:val="nil"/>
              <w:left w:val="nil"/>
              <w:bottom w:val="nil"/>
              <w:right w:val="nil"/>
            </w:tcBorders>
            <w:shd w:val="clear" w:color="auto" w:fill="auto"/>
            <w:vAlign w:val="center"/>
            <w:hideMark/>
          </w:tcPr>
          <w:p w:rsidR="00E944B2" w:rsidRPr="00F30705" w:rsidRDefault="00E944B2" w:rsidP="00E944B2">
            <w:pPr>
              <w:rPr>
                <w:b/>
                <w:bCs/>
                <w:u w:val="single"/>
                <w:lang w:eastAsia="es-CR"/>
              </w:rPr>
            </w:pPr>
            <w:r w:rsidRPr="00F30705">
              <w:rPr>
                <w:b/>
                <w:bCs/>
                <w:u w:val="single"/>
                <w:lang w:eastAsia="es-CR"/>
              </w:rPr>
              <w:t>Absoluta</w:t>
            </w:r>
          </w:p>
        </w:tc>
        <w:tc>
          <w:tcPr>
            <w:tcW w:w="851" w:type="dxa"/>
            <w:tcBorders>
              <w:top w:val="nil"/>
              <w:left w:val="nil"/>
              <w:bottom w:val="nil"/>
              <w:right w:val="nil"/>
            </w:tcBorders>
            <w:shd w:val="clear" w:color="auto" w:fill="auto"/>
            <w:vAlign w:val="center"/>
            <w:hideMark/>
          </w:tcPr>
          <w:p w:rsidR="00E944B2" w:rsidRPr="00F30705" w:rsidRDefault="00E944B2" w:rsidP="00E944B2">
            <w:pPr>
              <w:rPr>
                <w:b/>
                <w:bCs/>
                <w:u w:val="single"/>
                <w:lang w:eastAsia="es-CR"/>
              </w:rPr>
            </w:pPr>
            <w:r w:rsidRPr="00F30705">
              <w:rPr>
                <w:b/>
                <w:bCs/>
                <w:u w:val="single"/>
                <w:lang w:eastAsia="es-CR"/>
              </w:rPr>
              <w:t>Relativa</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jc w:val="center"/>
              <w:rPr>
                <w:b/>
                <w:bCs/>
                <w:u w:val="double"/>
                <w:lang w:eastAsia="es-CR"/>
              </w:rPr>
            </w:pPr>
            <w:r w:rsidRPr="00F30705">
              <w:rPr>
                <w:b/>
                <w:bCs/>
                <w:u w:val="double"/>
                <w:lang w:eastAsia="es-CR"/>
              </w:rPr>
              <w:t>Total</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b/>
                <w:bCs/>
                <w:u w:val="double"/>
                <w:lang w:eastAsia="es-CR"/>
              </w:rPr>
            </w:pPr>
            <w:r w:rsidRPr="00F30705">
              <w:rPr>
                <w:b/>
                <w:bCs/>
                <w:u w:val="double"/>
                <w:lang w:eastAsia="es-CR"/>
              </w:rPr>
              <w:t>13.360</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b/>
                <w:bCs/>
                <w:u w:val="double"/>
                <w:lang w:eastAsia="es-CR"/>
              </w:rPr>
            </w:pPr>
            <w:r w:rsidRPr="00F30705">
              <w:rPr>
                <w:b/>
                <w:bCs/>
                <w:u w:val="double"/>
                <w:lang w:eastAsia="es-CR"/>
              </w:rPr>
              <w:t>12.966</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b/>
                <w:bCs/>
                <w:u w:val="double"/>
                <w:lang w:eastAsia="es-CR"/>
              </w:rPr>
            </w:pPr>
            <w:r w:rsidRPr="00F30705">
              <w:rPr>
                <w:b/>
                <w:bCs/>
                <w:u w:val="double"/>
                <w:lang w:eastAsia="es-CR"/>
              </w:rPr>
              <w:t>-394</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b/>
                <w:bCs/>
                <w:u w:val="double"/>
                <w:lang w:eastAsia="es-CR"/>
              </w:rPr>
            </w:pPr>
            <w:r w:rsidRPr="00F30705">
              <w:rPr>
                <w:b/>
                <w:bCs/>
                <w:u w:val="double"/>
                <w:lang w:eastAsia="es-CR"/>
              </w:rPr>
              <w:t>-3%</w:t>
            </w:r>
          </w:p>
        </w:tc>
      </w:tr>
      <w:tr w:rsidR="00E944B2" w:rsidRPr="00F30705" w:rsidTr="00E944B2">
        <w:trPr>
          <w:trHeight w:val="255"/>
          <w:jc w:val="center"/>
        </w:trPr>
        <w:tc>
          <w:tcPr>
            <w:tcW w:w="7634" w:type="dxa"/>
            <w:gridSpan w:val="5"/>
            <w:tcBorders>
              <w:top w:val="nil"/>
              <w:left w:val="nil"/>
              <w:bottom w:val="nil"/>
              <w:right w:val="nil"/>
            </w:tcBorders>
            <w:shd w:val="clear" w:color="000000" w:fill="FFEB9C"/>
            <w:vAlign w:val="center"/>
            <w:hideMark/>
          </w:tcPr>
          <w:p w:rsidR="00E944B2" w:rsidRPr="00F30705" w:rsidRDefault="00E944B2" w:rsidP="00E944B2">
            <w:pPr>
              <w:jc w:val="center"/>
              <w:rPr>
                <w:b/>
                <w:bCs/>
                <w:color w:val="000000"/>
                <w:lang w:eastAsia="es-CR"/>
              </w:rPr>
            </w:pPr>
            <w:r w:rsidRPr="00F30705">
              <w:rPr>
                <w:b/>
                <w:bCs/>
                <w:color w:val="000000"/>
                <w:lang w:eastAsia="es-CR"/>
              </w:rPr>
              <w:t>Aumentos</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Infracción leyes especiales</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70</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195</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125</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179%</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seguridad común</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457</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575</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118</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26%</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el ámbito de la intimidad</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76</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92</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16</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21%</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Infracción Ley de Armas y Explosivos</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436</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479</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43</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10%</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Infracción Ley de Psicotrópicos</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1.230</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1.344</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114</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9%</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fe pública</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193</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204</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11</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6%</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autoridad pública</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536</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544</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8</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Infracción Ley Forestal</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92</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92</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0</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0%</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Infracción Ley Conservación Vida Silvestre</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52</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66</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14</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N.R.</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Infracción Ley de Protección del Adulto Mayor</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7</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19</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12</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N.R.</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familia</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26</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34</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8</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N.R.</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tranquilidad pública</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15</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16</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N.R.</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buena fe de los negocios</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6</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6</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0</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N.R.</w:t>
            </w:r>
          </w:p>
        </w:tc>
      </w:tr>
      <w:tr w:rsidR="00E944B2" w:rsidRPr="00F30705" w:rsidTr="00E944B2">
        <w:trPr>
          <w:trHeight w:val="255"/>
          <w:jc w:val="center"/>
        </w:trPr>
        <w:tc>
          <w:tcPr>
            <w:tcW w:w="7634" w:type="dxa"/>
            <w:gridSpan w:val="5"/>
            <w:tcBorders>
              <w:top w:val="nil"/>
              <w:left w:val="nil"/>
              <w:bottom w:val="nil"/>
              <w:right w:val="nil"/>
            </w:tcBorders>
            <w:shd w:val="clear" w:color="000000" w:fill="FFEB9C"/>
            <w:vAlign w:val="center"/>
            <w:hideMark/>
          </w:tcPr>
          <w:p w:rsidR="00E944B2" w:rsidRPr="00F30705" w:rsidRDefault="00E944B2" w:rsidP="00E944B2">
            <w:pPr>
              <w:jc w:val="center"/>
              <w:rPr>
                <w:b/>
                <w:bCs/>
                <w:color w:val="000000"/>
                <w:lang w:eastAsia="es-CR"/>
              </w:rPr>
            </w:pPr>
            <w:r w:rsidRPr="00F30705">
              <w:rPr>
                <w:b/>
                <w:bCs/>
                <w:color w:val="000000"/>
                <w:lang w:eastAsia="es-CR"/>
              </w:rPr>
              <w:t>Disminución</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el honor</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166</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104</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-62</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-37%</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los deberes de la función pública</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115</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87</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-28</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-24%</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Sexuales</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1.423</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1.183</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-240</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-17%</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administración de justicia</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121</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101</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-20</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-17%</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propiedad</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5.727</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5.268</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-459</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-8%</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libertad</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178</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172</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-6</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-3%</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 la vida</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1.552</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1.525</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-27</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lastRenderedPageBreak/>
              <w:t>Infrac. Ley Penalización Violencia Contra la Mujer</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863</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859</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-4</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0%</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Infracción Ley Corrupción y Enriquecimiento ilícito</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16</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-16</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N.R.</w:t>
            </w:r>
          </w:p>
        </w:tc>
      </w:tr>
      <w:tr w:rsidR="00E944B2" w:rsidRPr="00F30705" w:rsidTr="00E944B2">
        <w:trPr>
          <w:trHeight w:val="255"/>
          <w:jc w:val="center"/>
        </w:trPr>
        <w:tc>
          <w:tcPr>
            <w:tcW w:w="4496" w:type="dxa"/>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Contravención</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3</w:t>
            </w:r>
          </w:p>
        </w:tc>
        <w:tc>
          <w:tcPr>
            <w:tcW w:w="690"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1</w:t>
            </w:r>
          </w:p>
        </w:tc>
        <w:tc>
          <w:tcPr>
            <w:tcW w:w="907"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-2</w:t>
            </w:r>
          </w:p>
        </w:tc>
        <w:tc>
          <w:tcPr>
            <w:tcW w:w="851" w:type="dxa"/>
            <w:tcBorders>
              <w:top w:val="nil"/>
              <w:left w:val="nil"/>
              <w:bottom w:val="nil"/>
              <w:right w:val="nil"/>
            </w:tcBorders>
            <w:shd w:val="clear" w:color="auto" w:fill="auto"/>
            <w:vAlign w:val="center"/>
            <w:hideMark/>
          </w:tcPr>
          <w:p w:rsidR="00E944B2" w:rsidRPr="00F30705" w:rsidRDefault="00E944B2" w:rsidP="00E944B2">
            <w:pPr>
              <w:jc w:val="right"/>
              <w:rPr>
                <w:lang w:eastAsia="es-CR"/>
              </w:rPr>
            </w:pPr>
            <w:r w:rsidRPr="00F30705">
              <w:rPr>
                <w:lang w:eastAsia="es-CR"/>
              </w:rPr>
              <w:t>N.R.</w:t>
            </w:r>
          </w:p>
        </w:tc>
      </w:tr>
      <w:tr w:rsidR="00E944B2" w:rsidRPr="00F30705" w:rsidTr="00E944B2">
        <w:trPr>
          <w:trHeight w:val="255"/>
          <w:jc w:val="center"/>
        </w:trPr>
        <w:tc>
          <w:tcPr>
            <w:tcW w:w="7634" w:type="dxa"/>
            <w:gridSpan w:val="5"/>
            <w:tcBorders>
              <w:top w:val="nil"/>
              <w:left w:val="nil"/>
              <w:bottom w:val="nil"/>
              <w:right w:val="nil"/>
            </w:tcBorders>
            <w:shd w:val="clear" w:color="auto" w:fill="auto"/>
            <w:vAlign w:val="center"/>
            <w:hideMark/>
          </w:tcPr>
          <w:p w:rsidR="00E944B2" w:rsidRPr="00F30705" w:rsidRDefault="00E944B2" w:rsidP="00E944B2">
            <w:pPr>
              <w:rPr>
                <w:lang w:eastAsia="es-CR"/>
              </w:rPr>
            </w:pPr>
            <w:r w:rsidRPr="00F30705">
              <w:rPr>
                <w:lang w:eastAsia="es-CR"/>
              </w:rPr>
              <w:t>N.R. No se recomienda el cálculo por tener una base pequeña menor a 50 casos</w:t>
            </w:r>
          </w:p>
        </w:tc>
      </w:tr>
    </w:tbl>
    <w:p w:rsidR="00E944B2" w:rsidRPr="00F30705" w:rsidRDefault="00E944B2">
      <w:pPr>
        <w:rPr>
          <w:b/>
          <w:sz w:val="28"/>
          <w:szCs w:val="28"/>
          <w:lang w:eastAsia="es-CR"/>
        </w:rPr>
      </w:pPr>
    </w:p>
    <w:p w:rsidR="0016377A" w:rsidRPr="00F30705" w:rsidRDefault="0016377A">
      <w:pPr>
        <w:rPr>
          <w:b/>
          <w:bCs/>
          <w:u w:val="single"/>
        </w:rPr>
      </w:pPr>
    </w:p>
    <w:p w:rsidR="00A61A32" w:rsidRPr="00F30705" w:rsidRDefault="00C62E31" w:rsidP="00A61A32">
      <w:pPr>
        <w:spacing w:line="360" w:lineRule="auto"/>
        <w:jc w:val="both"/>
        <w:rPr>
          <w:sz w:val="28"/>
          <w:szCs w:val="28"/>
        </w:rPr>
      </w:pPr>
      <w:r w:rsidRPr="00F30705">
        <w:rPr>
          <w:sz w:val="28"/>
          <w:szCs w:val="28"/>
        </w:rPr>
        <w:t>Como es de esperar por congruencia con los juicios terminados por título del de delito o ley infringida antes comentada, l</w:t>
      </w:r>
      <w:r w:rsidR="00A61A32" w:rsidRPr="00F30705">
        <w:rPr>
          <w:sz w:val="28"/>
          <w:szCs w:val="28"/>
        </w:rPr>
        <w:t xml:space="preserve">os delitos por los cuales se sentencia más en los tribunales de juicio están relacionados con el Título “Contra la propiedad”. En el siguiente gráfico, se </w:t>
      </w:r>
      <w:r w:rsidRPr="00F30705">
        <w:rPr>
          <w:sz w:val="28"/>
          <w:szCs w:val="28"/>
        </w:rPr>
        <w:t>muestra como este tipo de delitos tiene una frecuencia significativamente mayor al resto de la tipología.</w:t>
      </w:r>
      <w:r w:rsidR="00A61A32" w:rsidRPr="00F30705">
        <w:rPr>
          <w:sz w:val="28"/>
          <w:szCs w:val="28"/>
        </w:rPr>
        <w:t xml:space="preserve"> </w:t>
      </w:r>
    </w:p>
    <w:p w:rsidR="00A61A32" w:rsidRPr="00F30705" w:rsidRDefault="00A61A32" w:rsidP="00A61A32">
      <w:pPr>
        <w:spacing w:line="360" w:lineRule="auto"/>
        <w:jc w:val="both"/>
        <w:rPr>
          <w:b/>
          <w:bCs/>
        </w:rPr>
      </w:pPr>
    </w:p>
    <w:p w:rsidR="00A61A32" w:rsidRPr="00F30705" w:rsidRDefault="00A61A32" w:rsidP="00A61A32">
      <w:pPr>
        <w:spacing w:line="360" w:lineRule="auto"/>
        <w:jc w:val="both"/>
        <w:rPr>
          <w:sz w:val="28"/>
          <w:szCs w:val="28"/>
        </w:rPr>
      </w:pPr>
    </w:p>
    <w:p w:rsidR="006C32D1" w:rsidRPr="00F30705" w:rsidRDefault="006C32D1" w:rsidP="00C62E31">
      <w:pPr>
        <w:spacing w:line="360" w:lineRule="auto"/>
        <w:jc w:val="center"/>
        <w:rPr>
          <w:sz w:val="28"/>
          <w:szCs w:val="28"/>
        </w:rPr>
      </w:pPr>
      <w:r w:rsidRPr="00F30705">
        <w:rPr>
          <w:noProof/>
          <w:sz w:val="28"/>
          <w:szCs w:val="28"/>
          <w:lang w:eastAsia="es-CR"/>
        </w:rPr>
        <w:drawing>
          <wp:inline distT="0" distB="0" distL="0" distR="0">
            <wp:extent cx="5225687" cy="3439885"/>
            <wp:effectExtent l="19050" t="0" r="13063" b="8165"/>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32D1" w:rsidRPr="00F30705" w:rsidRDefault="006C32D1" w:rsidP="00A61A32">
      <w:pPr>
        <w:spacing w:line="360" w:lineRule="auto"/>
        <w:jc w:val="both"/>
        <w:rPr>
          <w:sz w:val="28"/>
          <w:szCs w:val="28"/>
        </w:rPr>
      </w:pPr>
    </w:p>
    <w:p w:rsidR="00C62E31" w:rsidRPr="00F30705" w:rsidRDefault="00C62E31" w:rsidP="00A61A32">
      <w:pPr>
        <w:spacing w:line="360" w:lineRule="auto"/>
        <w:jc w:val="both"/>
        <w:rPr>
          <w:sz w:val="28"/>
          <w:szCs w:val="28"/>
        </w:rPr>
      </w:pPr>
      <w:r w:rsidRPr="00F30705">
        <w:rPr>
          <w:sz w:val="28"/>
          <w:szCs w:val="28"/>
        </w:rPr>
        <w:t xml:space="preserve">También de la gráfica anterior se puede apreciar que existe una diferencial atención de asuntos por tipo de tribunal. El procesamiento en tribunales de </w:t>
      </w:r>
      <w:r w:rsidRPr="00F30705">
        <w:rPr>
          <w:sz w:val="28"/>
          <w:szCs w:val="28"/>
        </w:rPr>
        <w:lastRenderedPageBreak/>
        <w:t>flagrancias es pequeña en los delitos contra la Vida, Sexuales y en la infracción a la Ley de Sicotrópicos</w:t>
      </w:r>
      <w:r w:rsidR="00B265AE" w:rsidRPr="00F30705">
        <w:rPr>
          <w:sz w:val="28"/>
          <w:szCs w:val="28"/>
        </w:rPr>
        <w:t xml:space="preserve"> y por lo tanto son más atendidos por los tribunales “ordinarios”. </w:t>
      </w:r>
    </w:p>
    <w:p w:rsidR="00B265AE" w:rsidRPr="00F30705" w:rsidRDefault="00B265AE" w:rsidP="00A61A32">
      <w:pPr>
        <w:spacing w:line="360" w:lineRule="auto"/>
        <w:jc w:val="both"/>
        <w:rPr>
          <w:sz w:val="28"/>
          <w:szCs w:val="28"/>
        </w:rPr>
      </w:pPr>
    </w:p>
    <w:p w:rsidR="00A61A32" w:rsidRPr="00F30705" w:rsidRDefault="00F653AC" w:rsidP="00A61A32">
      <w:pPr>
        <w:spacing w:line="360" w:lineRule="auto"/>
        <w:jc w:val="both"/>
        <w:rPr>
          <w:b/>
          <w:bCs/>
          <w:sz w:val="28"/>
          <w:szCs w:val="28"/>
        </w:rPr>
      </w:pPr>
      <w:r w:rsidRPr="00F30705">
        <w:rPr>
          <w:b/>
          <w:bCs/>
          <w:sz w:val="28"/>
          <w:szCs w:val="28"/>
        </w:rPr>
        <w:t>2</w:t>
      </w:r>
      <w:r w:rsidR="00A61A32" w:rsidRPr="00F30705">
        <w:rPr>
          <w:b/>
          <w:bCs/>
          <w:sz w:val="28"/>
          <w:szCs w:val="28"/>
        </w:rPr>
        <w:t>.</w:t>
      </w:r>
      <w:r w:rsidR="00B51898" w:rsidRPr="00F30705">
        <w:rPr>
          <w:b/>
          <w:bCs/>
          <w:sz w:val="28"/>
          <w:szCs w:val="28"/>
        </w:rPr>
        <w:t>5</w:t>
      </w:r>
      <w:r w:rsidR="00A61A32" w:rsidRPr="00F30705">
        <w:rPr>
          <w:b/>
          <w:bCs/>
          <w:sz w:val="28"/>
          <w:szCs w:val="28"/>
        </w:rPr>
        <w:t xml:space="preserve"> Personas sentenciadas según reincidencia o no.</w:t>
      </w:r>
    </w:p>
    <w:p w:rsidR="00A61A32" w:rsidRPr="00F30705" w:rsidRDefault="00A61A32" w:rsidP="00A61A32">
      <w:pPr>
        <w:spacing w:line="360" w:lineRule="auto"/>
        <w:jc w:val="both"/>
        <w:rPr>
          <w:sz w:val="28"/>
          <w:szCs w:val="28"/>
        </w:rPr>
      </w:pPr>
    </w:p>
    <w:p w:rsidR="00345DEF" w:rsidRPr="00F30705" w:rsidRDefault="00DF7F81" w:rsidP="00A61A32">
      <w:pPr>
        <w:spacing w:line="360" w:lineRule="auto"/>
        <w:jc w:val="both"/>
        <w:rPr>
          <w:sz w:val="28"/>
          <w:szCs w:val="28"/>
        </w:rPr>
      </w:pPr>
      <w:r w:rsidRPr="00F30705">
        <w:rPr>
          <w:sz w:val="28"/>
          <w:szCs w:val="28"/>
        </w:rPr>
        <w:t xml:space="preserve">Con el </w:t>
      </w:r>
      <w:r w:rsidR="005B7C26" w:rsidRPr="00F30705">
        <w:rPr>
          <w:sz w:val="28"/>
          <w:szCs w:val="28"/>
        </w:rPr>
        <w:t xml:space="preserve">resultado </w:t>
      </w:r>
      <w:r w:rsidRPr="00F30705">
        <w:rPr>
          <w:sz w:val="28"/>
          <w:szCs w:val="28"/>
        </w:rPr>
        <w:t xml:space="preserve">del 2015 </w:t>
      </w:r>
      <w:r w:rsidR="00345DEF" w:rsidRPr="00F30705">
        <w:rPr>
          <w:sz w:val="28"/>
          <w:szCs w:val="28"/>
        </w:rPr>
        <w:t xml:space="preserve">se confirma el </w:t>
      </w:r>
      <w:r w:rsidRPr="00F30705">
        <w:rPr>
          <w:sz w:val="28"/>
          <w:szCs w:val="28"/>
        </w:rPr>
        <w:t>cambi</w:t>
      </w:r>
      <w:r w:rsidR="00345DEF" w:rsidRPr="00F30705">
        <w:rPr>
          <w:sz w:val="28"/>
          <w:szCs w:val="28"/>
        </w:rPr>
        <w:t>o en</w:t>
      </w:r>
      <w:r w:rsidRPr="00F30705">
        <w:rPr>
          <w:sz w:val="28"/>
          <w:szCs w:val="28"/>
        </w:rPr>
        <w:t xml:space="preserve"> el comportamiento estadístico incremental del período 2009-2013.</w:t>
      </w:r>
      <w:r w:rsidR="00345DEF" w:rsidRPr="00F30705">
        <w:rPr>
          <w:sz w:val="28"/>
          <w:szCs w:val="28"/>
        </w:rPr>
        <w:t xml:space="preserve"> </w:t>
      </w:r>
      <w:r w:rsidR="00A61A32" w:rsidRPr="00F30705">
        <w:rPr>
          <w:sz w:val="28"/>
          <w:szCs w:val="28"/>
        </w:rPr>
        <w:t xml:space="preserve">En el </w:t>
      </w:r>
      <w:r w:rsidRPr="00F30705">
        <w:rPr>
          <w:sz w:val="28"/>
          <w:szCs w:val="28"/>
        </w:rPr>
        <w:t xml:space="preserve">informe estadístico elaborado para </w:t>
      </w:r>
      <w:r w:rsidR="00A61A32" w:rsidRPr="00F30705">
        <w:rPr>
          <w:sz w:val="28"/>
          <w:szCs w:val="28"/>
        </w:rPr>
        <w:t xml:space="preserve">2014, se </w:t>
      </w:r>
      <w:r w:rsidRPr="00F30705">
        <w:rPr>
          <w:sz w:val="28"/>
          <w:szCs w:val="28"/>
        </w:rPr>
        <w:t>indicó la suspensión d</w:t>
      </w:r>
      <w:r w:rsidR="00A61A32" w:rsidRPr="00F30705">
        <w:rPr>
          <w:sz w:val="28"/>
          <w:szCs w:val="28"/>
        </w:rPr>
        <w:t>el proceso incremental del juzgamiento de personas que recibirán una sentencia penal y que no son reincidentes, mientras que las sentencias en personas reincidentes mantienen los volúmenes crec</w:t>
      </w:r>
      <w:r w:rsidRPr="00F30705">
        <w:rPr>
          <w:sz w:val="28"/>
          <w:szCs w:val="28"/>
        </w:rPr>
        <w:t xml:space="preserve">ientes pero con baja velocidad. </w:t>
      </w:r>
    </w:p>
    <w:p w:rsidR="00345DEF" w:rsidRPr="00F30705" w:rsidRDefault="00345DEF" w:rsidP="00A61A32">
      <w:pPr>
        <w:spacing w:line="360" w:lineRule="auto"/>
        <w:jc w:val="both"/>
        <w:rPr>
          <w:sz w:val="28"/>
          <w:szCs w:val="28"/>
        </w:rPr>
      </w:pPr>
    </w:p>
    <w:p w:rsidR="00345DEF" w:rsidRPr="00F30705" w:rsidRDefault="00DF7F81" w:rsidP="00A61A32">
      <w:pPr>
        <w:spacing w:line="360" w:lineRule="auto"/>
        <w:jc w:val="both"/>
        <w:rPr>
          <w:sz w:val="28"/>
          <w:szCs w:val="28"/>
        </w:rPr>
      </w:pPr>
      <w:r w:rsidRPr="00F30705">
        <w:rPr>
          <w:sz w:val="28"/>
          <w:szCs w:val="28"/>
        </w:rPr>
        <w:t xml:space="preserve">En este año, el volumen de personas sentenciadas no reincidentes llegó a </w:t>
      </w:r>
      <w:r w:rsidRPr="00F30705">
        <w:rPr>
          <w:b/>
          <w:sz w:val="28"/>
          <w:szCs w:val="28"/>
        </w:rPr>
        <w:t>10.546</w:t>
      </w:r>
      <w:r w:rsidRPr="00F30705">
        <w:rPr>
          <w:sz w:val="28"/>
          <w:szCs w:val="28"/>
        </w:rPr>
        <w:t>, cifra similar los valores anuales del 2013 y 2014 lo que señala que en los últimos tres años</w:t>
      </w:r>
      <w:r w:rsidR="00345DEF" w:rsidRPr="00F30705">
        <w:rPr>
          <w:sz w:val="28"/>
          <w:szCs w:val="28"/>
        </w:rPr>
        <w:t xml:space="preserve"> el comportamiento es hacia la estabilidad</w:t>
      </w:r>
      <w:r w:rsidR="005B7C26" w:rsidRPr="00F30705">
        <w:rPr>
          <w:sz w:val="28"/>
          <w:szCs w:val="28"/>
        </w:rPr>
        <w:t>, c</w:t>
      </w:r>
      <w:r w:rsidR="00A61A32" w:rsidRPr="00F30705">
        <w:rPr>
          <w:sz w:val="28"/>
          <w:szCs w:val="28"/>
        </w:rPr>
        <w:t>omo se aprecia en la siguiente gráfica</w:t>
      </w:r>
      <w:r w:rsidR="005B7C26" w:rsidRPr="00F30705">
        <w:rPr>
          <w:sz w:val="28"/>
          <w:szCs w:val="28"/>
        </w:rPr>
        <w:t xml:space="preserve">. </w:t>
      </w:r>
      <w:r w:rsidR="00345DEF" w:rsidRPr="00F30705">
        <w:rPr>
          <w:sz w:val="28"/>
          <w:szCs w:val="28"/>
        </w:rPr>
        <w:t xml:space="preserve">En cuanto a las </w:t>
      </w:r>
      <w:r w:rsidR="00A61A32" w:rsidRPr="00F30705">
        <w:rPr>
          <w:sz w:val="28"/>
          <w:szCs w:val="28"/>
        </w:rPr>
        <w:t xml:space="preserve">sentencias </w:t>
      </w:r>
      <w:r w:rsidR="00345DEF" w:rsidRPr="00F30705">
        <w:rPr>
          <w:sz w:val="28"/>
          <w:szCs w:val="28"/>
        </w:rPr>
        <w:t xml:space="preserve">dictadas a </w:t>
      </w:r>
      <w:r w:rsidR="00A61A32" w:rsidRPr="00F30705">
        <w:rPr>
          <w:sz w:val="28"/>
          <w:szCs w:val="28"/>
        </w:rPr>
        <w:t>personas reincidentes</w:t>
      </w:r>
      <w:r w:rsidR="00345DEF" w:rsidRPr="00F30705">
        <w:rPr>
          <w:sz w:val="28"/>
          <w:szCs w:val="28"/>
        </w:rPr>
        <w:t>,</w:t>
      </w:r>
      <w:r w:rsidR="00A61A32" w:rsidRPr="00F30705">
        <w:rPr>
          <w:sz w:val="28"/>
          <w:szCs w:val="28"/>
        </w:rPr>
        <w:t xml:space="preserve"> </w:t>
      </w:r>
      <w:r w:rsidR="00345DEF" w:rsidRPr="00F30705">
        <w:rPr>
          <w:sz w:val="28"/>
          <w:szCs w:val="28"/>
        </w:rPr>
        <w:t xml:space="preserve">en este año se produce un decrecimiento lo que suspende el </w:t>
      </w:r>
      <w:r w:rsidR="00A61A32" w:rsidRPr="00F30705">
        <w:rPr>
          <w:sz w:val="28"/>
          <w:szCs w:val="28"/>
        </w:rPr>
        <w:t xml:space="preserve"> </w:t>
      </w:r>
      <w:r w:rsidR="00345DEF" w:rsidRPr="00F30705">
        <w:rPr>
          <w:sz w:val="28"/>
          <w:szCs w:val="28"/>
        </w:rPr>
        <w:t xml:space="preserve">lento </w:t>
      </w:r>
      <w:r w:rsidR="00A61A32" w:rsidRPr="00F30705">
        <w:rPr>
          <w:sz w:val="28"/>
          <w:szCs w:val="28"/>
        </w:rPr>
        <w:t>creciendo</w:t>
      </w:r>
      <w:r w:rsidR="00345DEF" w:rsidRPr="00F30705">
        <w:rPr>
          <w:sz w:val="28"/>
          <w:szCs w:val="28"/>
        </w:rPr>
        <w:t xml:space="preserve"> que acontecía del 2014 para atrás; en el 2015 se reportaron </w:t>
      </w:r>
      <w:r w:rsidR="00345DEF" w:rsidRPr="00F30705">
        <w:rPr>
          <w:b/>
          <w:sz w:val="28"/>
          <w:szCs w:val="28"/>
        </w:rPr>
        <w:t>2.420</w:t>
      </w:r>
      <w:r w:rsidR="00345DEF" w:rsidRPr="00F30705">
        <w:rPr>
          <w:sz w:val="28"/>
          <w:szCs w:val="28"/>
        </w:rPr>
        <w:t xml:space="preserve"> sentencias en las que están implicadas personas reincidentes, </w:t>
      </w:r>
      <w:r w:rsidR="00345DEF" w:rsidRPr="00F30705">
        <w:rPr>
          <w:b/>
          <w:sz w:val="28"/>
          <w:szCs w:val="28"/>
        </w:rPr>
        <w:t>231</w:t>
      </w:r>
      <w:r w:rsidR="00345DEF" w:rsidRPr="00F30705">
        <w:rPr>
          <w:sz w:val="28"/>
          <w:szCs w:val="28"/>
        </w:rPr>
        <w:t xml:space="preserve"> menos que el reporte de doce meses antes</w:t>
      </w:r>
      <w:r w:rsidR="00857692" w:rsidRPr="00F30705">
        <w:rPr>
          <w:sz w:val="28"/>
          <w:szCs w:val="28"/>
        </w:rPr>
        <w:t xml:space="preserve"> (</w:t>
      </w:r>
      <w:r w:rsidR="00857692" w:rsidRPr="00F30705">
        <w:rPr>
          <w:b/>
          <w:sz w:val="28"/>
          <w:szCs w:val="28"/>
        </w:rPr>
        <w:t>2.741</w:t>
      </w:r>
      <w:r w:rsidR="00857692" w:rsidRPr="00F30705">
        <w:rPr>
          <w:sz w:val="28"/>
          <w:szCs w:val="28"/>
        </w:rPr>
        <w:t xml:space="preserve"> sentencias)</w:t>
      </w:r>
      <w:r w:rsidR="00345DEF" w:rsidRPr="00F30705">
        <w:rPr>
          <w:sz w:val="28"/>
          <w:szCs w:val="28"/>
        </w:rPr>
        <w:t xml:space="preserve">, lo que significa que la cifra de este año es un </w:t>
      </w:r>
      <w:r w:rsidR="00857692" w:rsidRPr="00F30705">
        <w:rPr>
          <w:b/>
          <w:sz w:val="28"/>
          <w:szCs w:val="28"/>
        </w:rPr>
        <w:t>12%</w:t>
      </w:r>
      <w:r w:rsidR="00857692" w:rsidRPr="00F30705">
        <w:rPr>
          <w:sz w:val="28"/>
          <w:szCs w:val="28"/>
        </w:rPr>
        <w:t xml:space="preserve"> más baja que la del año inmediatamente anterior.</w:t>
      </w:r>
    </w:p>
    <w:p w:rsidR="00345DEF" w:rsidRPr="00F30705" w:rsidRDefault="00345DEF"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 xml:space="preserve"> </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noProof/>
          <w:sz w:val="28"/>
          <w:szCs w:val="28"/>
          <w:lang w:eastAsia="es-CR"/>
        </w:rPr>
        <w:lastRenderedPageBreak/>
        <w:drawing>
          <wp:inline distT="0" distB="0" distL="0" distR="0">
            <wp:extent cx="5629910" cy="4032250"/>
            <wp:effectExtent l="19050" t="0" r="27940" b="6350"/>
            <wp:docPr id="38" name="Objeto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7692" w:rsidRPr="00F30705" w:rsidRDefault="00857692" w:rsidP="00A61A32">
      <w:pPr>
        <w:spacing w:line="360" w:lineRule="auto"/>
        <w:jc w:val="both"/>
        <w:rPr>
          <w:sz w:val="28"/>
          <w:szCs w:val="28"/>
        </w:rPr>
      </w:pPr>
    </w:p>
    <w:p w:rsidR="00857692" w:rsidRPr="00F30705" w:rsidRDefault="00857692" w:rsidP="00A61A32">
      <w:pPr>
        <w:spacing w:line="360" w:lineRule="auto"/>
        <w:jc w:val="both"/>
        <w:rPr>
          <w:sz w:val="28"/>
          <w:szCs w:val="28"/>
        </w:rPr>
      </w:pPr>
    </w:p>
    <w:p w:rsidR="00A61A32" w:rsidRPr="00F30705" w:rsidRDefault="00857692" w:rsidP="00A61A32">
      <w:pPr>
        <w:spacing w:line="360" w:lineRule="auto"/>
        <w:jc w:val="both"/>
        <w:rPr>
          <w:sz w:val="28"/>
          <w:szCs w:val="28"/>
        </w:rPr>
      </w:pPr>
      <w:r w:rsidRPr="00F30705">
        <w:rPr>
          <w:sz w:val="28"/>
          <w:szCs w:val="28"/>
        </w:rPr>
        <w:t xml:space="preserve">Lo anterior </w:t>
      </w:r>
      <w:r w:rsidR="00A61A32" w:rsidRPr="00F30705">
        <w:rPr>
          <w:sz w:val="28"/>
          <w:szCs w:val="28"/>
        </w:rPr>
        <w:t>denota la fuerte diferencia entre los valores reportados de sentencias a personas no reincidentes de las que lo son</w:t>
      </w:r>
      <w:r w:rsidRPr="00F30705">
        <w:rPr>
          <w:sz w:val="28"/>
          <w:szCs w:val="28"/>
        </w:rPr>
        <w:t xml:space="preserve">. Del siguiente gráfico se tiene que </w:t>
      </w:r>
      <w:r w:rsidR="00A61A32" w:rsidRPr="00F30705">
        <w:rPr>
          <w:b/>
          <w:bCs/>
          <w:sz w:val="28"/>
          <w:szCs w:val="28"/>
        </w:rPr>
        <w:t>ocho</w:t>
      </w:r>
      <w:r w:rsidR="00A61A32" w:rsidRPr="00F30705">
        <w:rPr>
          <w:sz w:val="28"/>
          <w:szCs w:val="28"/>
        </w:rPr>
        <w:t xml:space="preserve"> de cada </w:t>
      </w:r>
      <w:r w:rsidR="00A61A32" w:rsidRPr="00F30705">
        <w:rPr>
          <w:sz w:val="28"/>
          <w:szCs w:val="28"/>
          <w:u w:val="single"/>
        </w:rPr>
        <w:t>diez</w:t>
      </w:r>
      <w:r w:rsidR="00A61A32" w:rsidRPr="00F30705">
        <w:rPr>
          <w:sz w:val="28"/>
          <w:szCs w:val="28"/>
        </w:rPr>
        <w:t xml:space="preserve"> sentencias (o el </w:t>
      </w:r>
      <w:r w:rsidR="00A61A32" w:rsidRPr="00F30705">
        <w:rPr>
          <w:b/>
          <w:bCs/>
          <w:sz w:val="28"/>
          <w:szCs w:val="28"/>
        </w:rPr>
        <w:t>81%</w:t>
      </w:r>
      <w:r w:rsidR="00A61A32" w:rsidRPr="00F30705">
        <w:rPr>
          <w:sz w:val="28"/>
          <w:szCs w:val="28"/>
        </w:rPr>
        <w:t xml:space="preserve">) se emitieron en personas no reincidentes mientras que </w:t>
      </w:r>
      <w:r w:rsidR="00A61A32" w:rsidRPr="00F30705">
        <w:rPr>
          <w:b/>
          <w:bCs/>
          <w:sz w:val="28"/>
          <w:szCs w:val="28"/>
        </w:rPr>
        <w:t>dos</w:t>
      </w:r>
      <w:r w:rsidR="00A61A32" w:rsidRPr="00F30705">
        <w:rPr>
          <w:sz w:val="28"/>
          <w:szCs w:val="28"/>
        </w:rPr>
        <w:t xml:space="preserve"> de cada </w:t>
      </w:r>
      <w:r w:rsidR="00A61A32" w:rsidRPr="00F30705">
        <w:rPr>
          <w:sz w:val="28"/>
          <w:szCs w:val="28"/>
          <w:u w:val="single"/>
        </w:rPr>
        <w:t>diez</w:t>
      </w:r>
      <w:r w:rsidR="00A61A32" w:rsidRPr="00F30705">
        <w:rPr>
          <w:sz w:val="28"/>
          <w:szCs w:val="28"/>
        </w:rPr>
        <w:t xml:space="preserve"> (o el </w:t>
      </w:r>
      <w:r w:rsidR="00A61A32" w:rsidRPr="00F30705">
        <w:rPr>
          <w:b/>
          <w:bCs/>
          <w:sz w:val="28"/>
          <w:szCs w:val="28"/>
        </w:rPr>
        <w:t>19%</w:t>
      </w:r>
      <w:r w:rsidR="00A61A32" w:rsidRPr="00F30705">
        <w:rPr>
          <w:sz w:val="28"/>
          <w:szCs w:val="28"/>
        </w:rPr>
        <w:t>) se dictaron para personas reincidentes.</w:t>
      </w:r>
    </w:p>
    <w:p w:rsidR="00A61A32" w:rsidRPr="00F30705" w:rsidRDefault="00A61A32" w:rsidP="00A61A32">
      <w:pPr>
        <w:spacing w:line="360" w:lineRule="auto"/>
        <w:jc w:val="both"/>
        <w:rPr>
          <w:sz w:val="28"/>
          <w:szCs w:val="28"/>
        </w:rPr>
      </w:pPr>
      <w:r w:rsidRPr="00F30705">
        <w:rPr>
          <w:noProof/>
          <w:sz w:val="28"/>
          <w:szCs w:val="28"/>
          <w:lang w:eastAsia="es-CR"/>
        </w:rPr>
        <w:lastRenderedPageBreak/>
        <w:drawing>
          <wp:inline distT="0" distB="0" distL="0" distR="0">
            <wp:extent cx="5525770" cy="3540125"/>
            <wp:effectExtent l="19050" t="0" r="17780" b="3175"/>
            <wp:docPr id="39" name="Objeto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1A32" w:rsidRPr="00F30705" w:rsidRDefault="00A61A32" w:rsidP="00A61A32">
      <w:pPr>
        <w:spacing w:line="360" w:lineRule="auto"/>
        <w:jc w:val="both"/>
        <w:rPr>
          <w:b/>
          <w:bCs/>
          <w:sz w:val="28"/>
          <w:szCs w:val="28"/>
        </w:rPr>
      </w:pPr>
    </w:p>
    <w:p w:rsidR="00A61A32" w:rsidRPr="00F30705" w:rsidRDefault="00F653AC" w:rsidP="00A61A32">
      <w:pPr>
        <w:spacing w:line="360" w:lineRule="auto"/>
        <w:jc w:val="both"/>
        <w:rPr>
          <w:b/>
          <w:bCs/>
          <w:sz w:val="28"/>
          <w:szCs w:val="28"/>
        </w:rPr>
      </w:pPr>
      <w:r w:rsidRPr="00F30705">
        <w:rPr>
          <w:b/>
          <w:bCs/>
          <w:sz w:val="28"/>
          <w:szCs w:val="28"/>
        </w:rPr>
        <w:t>2</w:t>
      </w:r>
      <w:r w:rsidR="00A61A32" w:rsidRPr="00F30705">
        <w:rPr>
          <w:b/>
          <w:bCs/>
          <w:sz w:val="28"/>
          <w:szCs w:val="28"/>
        </w:rPr>
        <w:t>.6 Reincidencia o no según tipo (condenatoria o absolutoria).</w:t>
      </w:r>
    </w:p>
    <w:p w:rsidR="00A61A32" w:rsidRPr="00F30705" w:rsidRDefault="00A61A32" w:rsidP="00A61A32">
      <w:pPr>
        <w:spacing w:line="360" w:lineRule="auto"/>
        <w:jc w:val="both"/>
        <w:rPr>
          <w:sz w:val="28"/>
          <w:szCs w:val="28"/>
        </w:rPr>
      </w:pPr>
    </w:p>
    <w:p w:rsidR="00A61A32" w:rsidRPr="00F30705" w:rsidRDefault="00C43B56" w:rsidP="00A61A32">
      <w:pPr>
        <w:spacing w:line="360" w:lineRule="auto"/>
        <w:jc w:val="both"/>
        <w:rPr>
          <w:sz w:val="28"/>
          <w:szCs w:val="28"/>
        </w:rPr>
      </w:pPr>
      <w:r w:rsidRPr="00F30705">
        <w:rPr>
          <w:sz w:val="28"/>
          <w:szCs w:val="28"/>
        </w:rPr>
        <w:t>L</w:t>
      </w:r>
      <w:r w:rsidR="00A61A32" w:rsidRPr="00F30705">
        <w:rPr>
          <w:sz w:val="28"/>
          <w:szCs w:val="28"/>
        </w:rPr>
        <w:t>a “Razón de condenatoria” es un indicador del peso tenido por el volumen de sentencias condenatorias por cada diez absolutorias; este número relativo es útil para analizar la distribución por tipo de sentencia dictada</w:t>
      </w:r>
      <w:r w:rsidRPr="00F30705">
        <w:rPr>
          <w:sz w:val="28"/>
          <w:szCs w:val="28"/>
        </w:rPr>
        <w:t xml:space="preserve"> y cuya observación en el tiempo permite describir la evolución estadística de la distribución de las sentencias por tipo</w:t>
      </w:r>
      <w:r w:rsidR="00A61A32" w:rsidRPr="00F30705">
        <w:rPr>
          <w:sz w:val="28"/>
          <w:szCs w:val="28"/>
        </w:rPr>
        <w:t xml:space="preserve">.  Así, cuando esta relación es igual o cercana a 10 señala una paridad entre condenatorias y absolutorias, si es menor 10 el sistema judicial absuelve más que condena, mientras que si es mayor a 10, la presencia estadística de las condenatorias es mayor que el de la absolutoria. </w:t>
      </w:r>
      <w:r w:rsidRPr="00F30705">
        <w:rPr>
          <w:sz w:val="28"/>
          <w:szCs w:val="28"/>
        </w:rPr>
        <w:t xml:space="preserve">En la siguiente tabla se presentan los resultados obtenidos para </w:t>
      </w:r>
      <w:r w:rsidR="00A61A32" w:rsidRPr="00F30705">
        <w:rPr>
          <w:sz w:val="28"/>
          <w:szCs w:val="28"/>
        </w:rPr>
        <w:t xml:space="preserve"> “razón de condenatoria”</w:t>
      </w:r>
      <w:r w:rsidRPr="00F30705">
        <w:rPr>
          <w:sz w:val="28"/>
          <w:szCs w:val="28"/>
        </w:rPr>
        <w:t xml:space="preserve"> calculada anualmente desde el 2009 tanto a escala general como para los </w:t>
      </w:r>
      <w:r w:rsidRPr="00F30705">
        <w:rPr>
          <w:sz w:val="28"/>
          <w:szCs w:val="28"/>
        </w:rPr>
        <w:lastRenderedPageBreak/>
        <w:t>subgrupos de personas condenadas clasificadas de acuerdo a si son reincidentes o no</w:t>
      </w:r>
      <w:r w:rsidR="00A61A32" w:rsidRPr="00F30705">
        <w:rPr>
          <w:sz w:val="28"/>
          <w:szCs w:val="28"/>
        </w:rPr>
        <w:t xml:space="preserve">. </w:t>
      </w:r>
    </w:p>
    <w:p w:rsidR="00A61A32" w:rsidRPr="00F30705" w:rsidRDefault="00A61A32" w:rsidP="00A61A32">
      <w:pPr>
        <w:spacing w:line="360" w:lineRule="auto"/>
        <w:jc w:val="both"/>
        <w:rPr>
          <w:sz w:val="28"/>
          <w:szCs w:val="28"/>
        </w:rPr>
      </w:pPr>
      <w:r w:rsidRPr="00F30705">
        <w:rPr>
          <w:sz w:val="28"/>
          <w:szCs w:val="28"/>
        </w:rPr>
        <w:t xml:space="preserve"> </w:t>
      </w:r>
    </w:p>
    <w:tbl>
      <w:tblPr>
        <w:tblW w:w="5082" w:type="dxa"/>
        <w:jc w:val="center"/>
        <w:tblCellMar>
          <w:left w:w="70" w:type="dxa"/>
          <w:right w:w="70" w:type="dxa"/>
        </w:tblCellMar>
        <w:tblLook w:val="04A0" w:firstRow="1" w:lastRow="0" w:firstColumn="1" w:lastColumn="0" w:noHBand="0" w:noVBand="1"/>
      </w:tblPr>
      <w:tblGrid>
        <w:gridCol w:w="1874"/>
        <w:gridCol w:w="887"/>
        <w:gridCol w:w="834"/>
        <w:gridCol w:w="1487"/>
      </w:tblGrid>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Reincidencia</w:t>
            </w:r>
          </w:p>
        </w:tc>
        <w:tc>
          <w:tcPr>
            <w:tcW w:w="887"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Conde-</w:t>
            </w:r>
          </w:p>
        </w:tc>
        <w:tc>
          <w:tcPr>
            <w:tcW w:w="834"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Abso-</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Razón de</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o no y Año</w:t>
            </w:r>
          </w:p>
        </w:tc>
        <w:tc>
          <w:tcPr>
            <w:tcW w:w="887"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natoria</w:t>
            </w:r>
          </w:p>
        </w:tc>
        <w:tc>
          <w:tcPr>
            <w:tcW w:w="834"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lutoria</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condenatoria</w:t>
            </w:r>
          </w:p>
        </w:tc>
      </w:tr>
      <w:tr w:rsidR="00DD7D8A" w:rsidRPr="00F30705" w:rsidTr="00DD7D8A">
        <w:trPr>
          <w:trHeight w:val="630"/>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TOTAL</w:t>
            </w:r>
          </w:p>
        </w:tc>
        <w:tc>
          <w:tcPr>
            <w:tcW w:w="887"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p>
        </w:tc>
        <w:tc>
          <w:tcPr>
            <w:tcW w:w="834"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2009</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4.969</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3.849</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12,9</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2010</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6.039</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3.856</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15,7</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2011</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7.074</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3.923</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18,0</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2012</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8.085</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4.250</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19,0</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2013</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8.777</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4.491</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19,5</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2014</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11.301</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4.677</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24,2</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2015</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8.871</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4.095</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21,7</w:t>
            </w:r>
          </w:p>
        </w:tc>
      </w:tr>
      <w:tr w:rsidR="00DD7D8A" w:rsidRPr="00F30705" w:rsidTr="00DD7D8A">
        <w:trPr>
          <w:trHeight w:val="630"/>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No Reincidentes</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2009</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3.854</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3.036</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12,7</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2010</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4.944</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3.122</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15,8</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2011</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5.682</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3.337</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17,0</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2012</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6.406</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3.672</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17,4</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2013</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6.933</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3.831</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18,1</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2014</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9.213</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4.024</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22,9</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2015</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7.044</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3.502</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w:t>
            </w:r>
          </w:p>
        </w:tc>
      </w:tr>
      <w:tr w:rsidR="00DD7D8A" w:rsidRPr="00F30705" w:rsidTr="00DD7D8A">
        <w:trPr>
          <w:trHeight w:val="630"/>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b/>
                <w:bCs/>
                <w:sz w:val="24"/>
                <w:szCs w:val="24"/>
                <w:lang w:eastAsia="es-CR"/>
              </w:rPr>
            </w:pPr>
            <w:r w:rsidRPr="00F30705">
              <w:rPr>
                <w:b/>
                <w:bCs/>
                <w:sz w:val="24"/>
                <w:szCs w:val="24"/>
                <w:lang w:eastAsia="es-CR"/>
              </w:rPr>
              <w:t>Reincidentes</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2009</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1.115</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813</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13,7</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2010</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1.095</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734</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14,9</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2011</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1.392</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586</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23,8</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2012</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1.679</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578</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29,0</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2013</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1.844</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660</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27,9</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2014</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2.088</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653</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32,0</w:t>
            </w:r>
          </w:p>
        </w:tc>
      </w:tr>
      <w:tr w:rsidR="00DD7D8A" w:rsidRPr="00F30705" w:rsidTr="00DD7D8A">
        <w:trPr>
          <w:trHeight w:val="315"/>
          <w:jc w:val="center"/>
        </w:trPr>
        <w:tc>
          <w:tcPr>
            <w:tcW w:w="1874"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2015</w:t>
            </w:r>
          </w:p>
        </w:tc>
        <w:tc>
          <w:tcPr>
            <w:tcW w:w="887"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1.827</w:t>
            </w:r>
          </w:p>
        </w:tc>
        <w:tc>
          <w:tcPr>
            <w:tcW w:w="834" w:type="dxa"/>
            <w:tcBorders>
              <w:top w:val="nil"/>
              <w:left w:val="nil"/>
              <w:bottom w:val="nil"/>
              <w:right w:val="nil"/>
            </w:tcBorders>
            <w:shd w:val="clear" w:color="auto" w:fill="auto"/>
            <w:vAlign w:val="center"/>
            <w:hideMark/>
          </w:tcPr>
          <w:p w:rsidR="00DD7D8A" w:rsidRPr="00F30705" w:rsidRDefault="00DD7D8A" w:rsidP="00DD7D8A">
            <w:pPr>
              <w:jc w:val="right"/>
              <w:rPr>
                <w:sz w:val="24"/>
                <w:szCs w:val="24"/>
                <w:lang w:eastAsia="es-CR"/>
              </w:rPr>
            </w:pPr>
            <w:r w:rsidRPr="00F30705">
              <w:rPr>
                <w:sz w:val="24"/>
                <w:szCs w:val="24"/>
                <w:lang w:eastAsia="es-CR"/>
              </w:rPr>
              <w:t>593</w:t>
            </w:r>
          </w:p>
        </w:tc>
        <w:tc>
          <w:tcPr>
            <w:tcW w:w="1487" w:type="dxa"/>
            <w:tcBorders>
              <w:top w:val="nil"/>
              <w:left w:val="nil"/>
              <w:bottom w:val="nil"/>
              <w:right w:val="nil"/>
            </w:tcBorders>
            <w:shd w:val="clear" w:color="auto" w:fill="auto"/>
            <w:vAlign w:val="center"/>
            <w:hideMark/>
          </w:tcPr>
          <w:p w:rsidR="00DD7D8A" w:rsidRPr="00F30705" w:rsidRDefault="00DD7D8A" w:rsidP="00DD7D8A">
            <w:pPr>
              <w:jc w:val="center"/>
              <w:rPr>
                <w:sz w:val="24"/>
                <w:szCs w:val="24"/>
                <w:lang w:eastAsia="es-CR"/>
              </w:rPr>
            </w:pPr>
            <w:r w:rsidRPr="00F30705">
              <w:rPr>
                <w:sz w:val="24"/>
                <w:szCs w:val="24"/>
                <w:lang w:eastAsia="es-CR"/>
              </w:rPr>
              <w:t>30,8</w:t>
            </w:r>
          </w:p>
        </w:tc>
      </w:tr>
    </w:tbl>
    <w:p w:rsidR="00DD7D8A" w:rsidRPr="00F30705" w:rsidRDefault="00DD7D8A" w:rsidP="00A61A32">
      <w:pPr>
        <w:spacing w:line="360" w:lineRule="auto"/>
        <w:jc w:val="both"/>
        <w:rPr>
          <w:b/>
          <w:bCs/>
        </w:rPr>
      </w:pPr>
    </w:p>
    <w:p w:rsidR="00A61A32" w:rsidRPr="00F30705" w:rsidRDefault="00A61A32" w:rsidP="00A61A32">
      <w:pPr>
        <w:spacing w:line="360" w:lineRule="auto"/>
        <w:jc w:val="both"/>
        <w:rPr>
          <w:sz w:val="28"/>
          <w:szCs w:val="28"/>
        </w:rPr>
      </w:pPr>
      <w:r w:rsidRPr="00F30705">
        <w:rPr>
          <w:sz w:val="28"/>
          <w:szCs w:val="28"/>
        </w:rPr>
        <w:t>De la información anterior, se tiene:</w:t>
      </w:r>
    </w:p>
    <w:p w:rsidR="00A61A32" w:rsidRPr="00F30705" w:rsidRDefault="00A61A32" w:rsidP="00A61A32">
      <w:pPr>
        <w:spacing w:line="360" w:lineRule="auto"/>
        <w:jc w:val="both"/>
        <w:rPr>
          <w:sz w:val="28"/>
          <w:szCs w:val="28"/>
        </w:rPr>
      </w:pPr>
    </w:p>
    <w:p w:rsidR="00A61A32" w:rsidRPr="00F30705" w:rsidRDefault="00A61A32" w:rsidP="00A61A32">
      <w:pPr>
        <w:widowControl w:val="0"/>
        <w:numPr>
          <w:ilvl w:val="0"/>
          <w:numId w:val="26"/>
        </w:numPr>
        <w:tabs>
          <w:tab w:val="num" w:pos="720"/>
        </w:tabs>
        <w:autoSpaceDE w:val="0"/>
        <w:autoSpaceDN w:val="0"/>
        <w:adjustRightInd w:val="0"/>
        <w:spacing w:line="360" w:lineRule="auto"/>
        <w:ind w:left="720" w:hanging="360"/>
        <w:jc w:val="both"/>
        <w:rPr>
          <w:sz w:val="28"/>
          <w:szCs w:val="28"/>
        </w:rPr>
      </w:pPr>
      <w:r w:rsidRPr="00F30705">
        <w:rPr>
          <w:sz w:val="28"/>
          <w:szCs w:val="28"/>
        </w:rPr>
        <w:lastRenderedPageBreak/>
        <w:t xml:space="preserve">A escala total, en este año la relación de las condenas respecto a las absolutorias </w:t>
      </w:r>
      <w:r w:rsidR="00D51D49" w:rsidRPr="00F30705">
        <w:rPr>
          <w:sz w:val="28"/>
          <w:szCs w:val="28"/>
        </w:rPr>
        <w:t>se redujo respecto al valor calculado para el 2014</w:t>
      </w:r>
      <w:r w:rsidRPr="00F30705">
        <w:rPr>
          <w:sz w:val="28"/>
          <w:szCs w:val="28"/>
        </w:rPr>
        <w:t>. En e</w:t>
      </w:r>
      <w:r w:rsidR="00D51D49" w:rsidRPr="00F30705">
        <w:rPr>
          <w:sz w:val="28"/>
          <w:szCs w:val="28"/>
        </w:rPr>
        <w:t>ste año</w:t>
      </w:r>
      <w:r w:rsidRPr="00F30705">
        <w:rPr>
          <w:sz w:val="28"/>
          <w:szCs w:val="28"/>
        </w:rPr>
        <w:t>, se condena</w:t>
      </w:r>
      <w:r w:rsidR="00D51D49" w:rsidRPr="00F30705">
        <w:rPr>
          <w:sz w:val="28"/>
          <w:szCs w:val="28"/>
        </w:rPr>
        <w:t xml:space="preserve">ron </w:t>
      </w:r>
      <w:r w:rsidRPr="00F30705">
        <w:rPr>
          <w:b/>
          <w:bCs/>
          <w:sz w:val="28"/>
          <w:szCs w:val="28"/>
        </w:rPr>
        <w:t>2</w:t>
      </w:r>
      <w:r w:rsidR="00D51D49" w:rsidRPr="00F30705">
        <w:rPr>
          <w:b/>
          <w:bCs/>
          <w:sz w:val="28"/>
          <w:szCs w:val="28"/>
        </w:rPr>
        <w:t>1</w:t>
      </w:r>
      <w:r w:rsidRPr="00F30705">
        <w:rPr>
          <w:b/>
          <w:bCs/>
          <w:sz w:val="28"/>
          <w:szCs w:val="28"/>
        </w:rPr>
        <w:t>,</w:t>
      </w:r>
      <w:r w:rsidR="00D51D49" w:rsidRPr="00F30705">
        <w:rPr>
          <w:b/>
          <w:bCs/>
          <w:sz w:val="28"/>
          <w:szCs w:val="28"/>
        </w:rPr>
        <w:t>7</w:t>
      </w:r>
      <w:r w:rsidRPr="00F30705">
        <w:rPr>
          <w:sz w:val="28"/>
          <w:szCs w:val="28"/>
        </w:rPr>
        <w:t xml:space="preserve"> (casi </w:t>
      </w:r>
      <w:r w:rsidR="00D51D49" w:rsidRPr="00F30705">
        <w:rPr>
          <w:sz w:val="28"/>
          <w:szCs w:val="28"/>
        </w:rPr>
        <w:t>22</w:t>
      </w:r>
      <w:r w:rsidRPr="00F30705">
        <w:rPr>
          <w:sz w:val="28"/>
          <w:szCs w:val="28"/>
        </w:rPr>
        <w:t>) personas por cada 10 personas absueltas</w:t>
      </w:r>
      <w:r w:rsidR="00D51D49" w:rsidRPr="00F30705">
        <w:rPr>
          <w:sz w:val="28"/>
          <w:szCs w:val="28"/>
        </w:rPr>
        <w:t xml:space="preserve"> cuando que un año antes este indicador f</w:t>
      </w:r>
      <w:r w:rsidRPr="00F30705">
        <w:rPr>
          <w:sz w:val="28"/>
          <w:szCs w:val="28"/>
        </w:rPr>
        <w:t xml:space="preserve">ue de </w:t>
      </w:r>
      <w:r w:rsidRPr="00F30705">
        <w:rPr>
          <w:b/>
          <w:bCs/>
          <w:sz w:val="28"/>
          <w:szCs w:val="28"/>
        </w:rPr>
        <w:t>24.2</w:t>
      </w:r>
      <w:r w:rsidRPr="00F30705">
        <w:rPr>
          <w:sz w:val="28"/>
          <w:szCs w:val="28"/>
        </w:rPr>
        <w:t xml:space="preserve"> (poco más de 24) condenatorias por cada 10 personas absueltas. </w:t>
      </w:r>
      <w:r w:rsidR="00D51D49" w:rsidRPr="00F30705">
        <w:rPr>
          <w:sz w:val="28"/>
          <w:szCs w:val="28"/>
        </w:rPr>
        <w:t xml:space="preserve">Así la diferencia entre condena y absolutoria se redujo pero todavía es grande respecto a lo que acontecía siete años antes cuando se daba una relativa paridad entre estos tipos de sentencia. </w:t>
      </w:r>
      <w:r w:rsidRPr="00F30705">
        <w:rPr>
          <w:sz w:val="28"/>
          <w:szCs w:val="28"/>
        </w:rPr>
        <w:t xml:space="preserve"> </w:t>
      </w:r>
    </w:p>
    <w:p w:rsidR="00A61A32" w:rsidRPr="00F30705" w:rsidRDefault="00A61A32" w:rsidP="00A61A32">
      <w:pPr>
        <w:widowControl w:val="0"/>
        <w:numPr>
          <w:ilvl w:val="0"/>
          <w:numId w:val="26"/>
        </w:numPr>
        <w:tabs>
          <w:tab w:val="num" w:pos="720"/>
        </w:tabs>
        <w:autoSpaceDE w:val="0"/>
        <w:autoSpaceDN w:val="0"/>
        <w:adjustRightInd w:val="0"/>
        <w:spacing w:line="360" w:lineRule="auto"/>
        <w:ind w:left="720" w:hanging="360"/>
        <w:jc w:val="both"/>
        <w:rPr>
          <w:sz w:val="28"/>
          <w:szCs w:val="28"/>
        </w:rPr>
      </w:pPr>
      <w:r w:rsidRPr="00F30705">
        <w:rPr>
          <w:sz w:val="28"/>
          <w:szCs w:val="28"/>
        </w:rPr>
        <w:t xml:space="preserve">Si bien la “Razón de condenatoria” </w:t>
      </w:r>
      <w:r w:rsidR="00B36998" w:rsidRPr="00F30705">
        <w:rPr>
          <w:sz w:val="28"/>
          <w:szCs w:val="28"/>
        </w:rPr>
        <w:t xml:space="preserve">calculada para las personas condenada de acuerdo a si son reincidentes o no indica que la distancia entre condena y absolutoria es más fuerte en las personas enjuiciadas que se presentan como reincidentes que en el grupo de personas procesadas que no son reincidentes. </w:t>
      </w:r>
      <w:r w:rsidRPr="00F30705">
        <w:rPr>
          <w:sz w:val="28"/>
          <w:szCs w:val="28"/>
        </w:rPr>
        <w:t>En el 201</w:t>
      </w:r>
      <w:r w:rsidR="00B36998" w:rsidRPr="00F30705">
        <w:rPr>
          <w:sz w:val="28"/>
          <w:szCs w:val="28"/>
        </w:rPr>
        <w:t>5</w:t>
      </w:r>
      <w:r w:rsidRPr="00F30705">
        <w:rPr>
          <w:sz w:val="28"/>
          <w:szCs w:val="28"/>
        </w:rPr>
        <w:t xml:space="preserve">, se dictaron </w:t>
      </w:r>
      <w:r w:rsidRPr="00F30705">
        <w:rPr>
          <w:b/>
          <w:bCs/>
          <w:sz w:val="28"/>
          <w:szCs w:val="28"/>
        </w:rPr>
        <w:t>2</w:t>
      </w:r>
      <w:r w:rsidR="00B36998" w:rsidRPr="00F30705">
        <w:rPr>
          <w:b/>
          <w:bCs/>
          <w:sz w:val="28"/>
          <w:szCs w:val="28"/>
        </w:rPr>
        <w:t>0</w:t>
      </w:r>
      <w:r w:rsidRPr="00F30705">
        <w:rPr>
          <w:b/>
          <w:bCs/>
          <w:sz w:val="28"/>
          <w:szCs w:val="28"/>
        </w:rPr>
        <w:t>,</w:t>
      </w:r>
      <w:r w:rsidR="00B36998" w:rsidRPr="00F30705">
        <w:rPr>
          <w:b/>
          <w:bCs/>
          <w:sz w:val="28"/>
          <w:szCs w:val="28"/>
        </w:rPr>
        <w:t>1</w:t>
      </w:r>
      <w:r w:rsidRPr="00F30705">
        <w:rPr>
          <w:sz w:val="28"/>
          <w:szCs w:val="28"/>
        </w:rPr>
        <w:t xml:space="preserve"> (</w:t>
      </w:r>
      <w:r w:rsidR="00B36998" w:rsidRPr="00F30705">
        <w:rPr>
          <w:sz w:val="28"/>
          <w:szCs w:val="28"/>
        </w:rPr>
        <w:t>poco más de 20</w:t>
      </w:r>
      <w:r w:rsidRPr="00F30705">
        <w:rPr>
          <w:sz w:val="28"/>
          <w:szCs w:val="28"/>
        </w:rPr>
        <w:t>) condenas</w:t>
      </w:r>
      <w:r w:rsidR="009E55BE" w:rsidRPr="00F30705">
        <w:rPr>
          <w:sz w:val="28"/>
          <w:szCs w:val="28"/>
        </w:rPr>
        <w:t xml:space="preserve"> en personas no reincidentes</w:t>
      </w:r>
      <w:r w:rsidRPr="00F30705">
        <w:rPr>
          <w:sz w:val="28"/>
          <w:szCs w:val="28"/>
        </w:rPr>
        <w:t xml:space="preserve"> por cada 10 personas no reincidentes absueltas, mientras que </w:t>
      </w:r>
      <w:r w:rsidRPr="00F30705">
        <w:rPr>
          <w:b/>
          <w:bCs/>
          <w:sz w:val="28"/>
          <w:szCs w:val="28"/>
        </w:rPr>
        <w:t>3</w:t>
      </w:r>
      <w:r w:rsidR="009E55BE" w:rsidRPr="00F30705">
        <w:rPr>
          <w:b/>
          <w:bCs/>
          <w:sz w:val="28"/>
          <w:szCs w:val="28"/>
        </w:rPr>
        <w:t>0,8</w:t>
      </w:r>
      <w:r w:rsidRPr="00F30705">
        <w:rPr>
          <w:sz w:val="28"/>
          <w:szCs w:val="28"/>
        </w:rPr>
        <w:t xml:space="preserve"> </w:t>
      </w:r>
      <w:r w:rsidR="009E55BE" w:rsidRPr="00F30705">
        <w:rPr>
          <w:sz w:val="28"/>
          <w:szCs w:val="28"/>
        </w:rPr>
        <w:t xml:space="preserve">(casi 31) </w:t>
      </w:r>
      <w:r w:rsidRPr="00F30705">
        <w:rPr>
          <w:sz w:val="28"/>
          <w:szCs w:val="28"/>
        </w:rPr>
        <w:t>personas reincidentes fueron condenadas por cada 10 reincidentes absuelt</w:t>
      </w:r>
      <w:r w:rsidR="009E55BE" w:rsidRPr="00F30705">
        <w:rPr>
          <w:sz w:val="28"/>
          <w:szCs w:val="28"/>
        </w:rPr>
        <w:t>a</w:t>
      </w:r>
      <w:r w:rsidRPr="00F30705">
        <w:rPr>
          <w:sz w:val="28"/>
          <w:szCs w:val="28"/>
        </w:rPr>
        <w:t>s. Así, la condenatoria es mayor en el grupo de personas reincidentes</w:t>
      </w:r>
      <w:r w:rsidR="009E55BE" w:rsidRPr="00F30705">
        <w:rPr>
          <w:sz w:val="28"/>
          <w:szCs w:val="28"/>
        </w:rPr>
        <w:t xml:space="preserve"> en términos relativos</w:t>
      </w:r>
      <w:r w:rsidRPr="00F30705">
        <w:rPr>
          <w:sz w:val="28"/>
          <w:szCs w:val="28"/>
        </w:rPr>
        <w:t xml:space="preserve">. </w:t>
      </w:r>
    </w:p>
    <w:p w:rsidR="00A61A32" w:rsidRPr="00F30705" w:rsidRDefault="00A61A32" w:rsidP="00A61A32">
      <w:pPr>
        <w:spacing w:line="360" w:lineRule="auto"/>
        <w:jc w:val="both"/>
        <w:rPr>
          <w:b/>
          <w:bCs/>
          <w:sz w:val="28"/>
          <w:szCs w:val="28"/>
        </w:rPr>
      </w:pPr>
    </w:p>
    <w:p w:rsidR="00A61A32" w:rsidRPr="00F30705" w:rsidRDefault="00F653AC" w:rsidP="00A61A32">
      <w:pPr>
        <w:spacing w:line="360" w:lineRule="auto"/>
        <w:jc w:val="both"/>
        <w:rPr>
          <w:b/>
          <w:bCs/>
          <w:sz w:val="28"/>
          <w:szCs w:val="28"/>
        </w:rPr>
      </w:pPr>
      <w:r w:rsidRPr="00F30705">
        <w:rPr>
          <w:b/>
          <w:bCs/>
          <w:sz w:val="28"/>
          <w:szCs w:val="28"/>
        </w:rPr>
        <w:t>2</w:t>
      </w:r>
      <w:r w:rsidR="00A61A32" w:rsidRPr="00F30705">
        <w:rPr>
          <w:b/>
          <w:bCs/>
          <w:sz w:val="28"/>
          <w:szCs w:val="28"/>
        </w:rPr>
        <w:t>.7 Reincidencia o no según sexo de la persona sentenciada.</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 xml:space="preserve">Existe una mayor probabilidad de que un hombre reincidente sea condenado que en uno “no reincidente”, Como se presenta en la siguiente tabla, </w:t>
      </w:r>
      <w:r w:rsidRPr="00F30705">
        <w:rPr>
          <w:b/>
          <w:bCs/>
          <w:sz w:val="28"/>
          <w:szCs w:val="28"/>
        </w:rPr>
        <w:t>91%</w:t>
      </w:r>
      <w:r w:rsidRPr="00F30705">
        <w:rPr>
          <w:sz w:val="28"/>
          <w:szCs w:val="28"/>
        </w:rPr>
        <w:t xml:space="preserve"> de las personas sentenciadas (sea un poco más de 9 de cada 10) son hombres pero, cuando se calculan las distribuciones por sexo para cada grupo (reincidentes y </w:t>
      </w:r>
      <w:r w:rsidRPr="00F30705">
        <w:rPr>
          <w:sz w:val="28"/>
          <w:szCs w:val="28"/>
        </w:rPr>
        <w:lastRenderedPageBreak/>
        <w:t xml:space="preserve">no reincidentes) se denotan probabilidades disímiles; en el grupo de las personas sentenciadas que no son reincidentes el 90% son hombres mientras que en el grupo de las personas reincidentes el 94% son hombres.  </w:t>
      </w:r>
    </w:p>
    <w:p w:rsidR="00A61A32" w:rsidRPr="00F30705" w:rsidRDefault="00A61A32" w:rsidP="00A61A32">
      <w:pPr>
        <w:spacing w:line="360" w:lineRule="auto"/>
        <w:jc w:val="both"/>
        <w:rPr>
          <w:b/>
          <w:bCs/>
        </w:rPr>
      </w:pPr>
    </w:p>
    <w:p w:rsidR="00D6055A" w:rsidRPr="00F30705" w:rsidRDefault="00D6055A" w:rsidP="00A61A32">
      <w:pPr>
        <w:spacing w:line="360" w:lineRule="auto"/>
        <w:jc w:val="both"/>
        <w:rPr>
          <w:b/>
          <w:bCs/>
        </w:rPr>
      </w:pPr>
    </w:p>
    <w:tbl>
      <w:tblPr>
        <w:tblW w:w="6800" w:type="dxa"/>
        <w:jc w:val="center"/>
        <w:tblCellMar>
          <w:left w:w="70" w:type="dxa"/>
          <w:right w:w="70" w:type="dxa"/>
        </w:tblCellMar>
        <w:tblLook w:val="04A0" w:firstRow="1" w:lastRow="0" w:firstColumn="1" w:lastColumn="0" w:noHBand="0" w:noVBand="1"/>
      </w:tblPr>
      <w:tblGrid>
        <w:gridCol w:w="2043"/>
        <w:gridCol w:w="800"/>
        <w:gridCol w:w="1087"/>
        <w:gridCol w:w="793"/>
        <w:gridCol w:w="197"/>
        <w:gridCol w:w="1087"/>
        <w:gridCol w:w="793"/>
      </w:tblGrid>
      <w:tr w:rsidR="00D6055A" w:rsidRPr="00F30705" w:rsidTr="00D6055A">
        <w:trPr>
          <w:trHeight w:val="720"/>
          <w:jc w:val="center"/>
        </w:trPr>
        <w:tc>
          <w:tcPr>
            <w:tcW w:w="6800" w:type="dxa"/>
            <w:gridSpan w:val="7"/>
            <w:tcBorders>
              <w:top w:val="single" w:sz="4" w:space="0" w:color="auto"/>
              <w:left w:val="single" w:sz="4" w:space="0" w:color="auto"/>
              <w:bottom w:val="single" w:sz="4" w:space="0" w:color="auto"/>
              <w:right w:val="single" w:sz="4" w:space="0" w:color="000000"/>
            </w:tcBorders>
            <w:shd w:val="clear" w:color="000000" w:fill="FFEB9C"/>
            <w:vAlign w:val="center"/>
            <w:hideMark/>
          </w:tcPr>
          <w:p w:rsidR="00D6055A" w:rsidRPr="00F30705" w:rsidRDefault="00D6055A" w:rsidP="00D6055A">
            <w:pPr>
              <w:jc w:val="center"/>
              <w:rPr>
                <w:b/>
                <w:bCs/>
                <w:color w:val="000000"/>
                <w:sz w:val="28"/>
                <w:szCs w:val="28"/>
                <w:lang w:eastAsia="es-CR"/>
              </w:rPr>
            </w:pPr>
            <w:r w:rsidRPr="00F30705">
              <w:rPr>
                <w:b/>
                <w:bCs/>
                <w:color w:val="000000"/>
                <w:sz w:val="28"/>
                <w:szCs w:val="28"/>
                <w:lang w:eastAsia="es-CR"/>
              </w:rPr>
              <w:t>Personas Sentenciadas según sexo reincidenc</w:t>
            </w:r>
            <w:r w:rsidR="00836F8C" w:rsidRPr="00F30705">
              <w:rPr>
                <w:b/>
                <w:bCs/>
                <w:color w:val="000000"/>
                <w:sz w:val="28"/>
                <w:szCs w:val="28"/>
                <w:lang w:eastAsia="es-CR"/>
              </w:rPr>
              <w:t>i</w:t>
            </w:r>
            <w:r w:rsidRPr="00F30705">
              <w:rPr>
                <w:b/>
                <w:bCs/>
                <w:color w:val="000000"/>
                <w:sz w:val="28"/>
                <w:szCs w:val="28"/>
                <w:lang w:eastAsia="es-CR"/>
              </w:rPr>
              <w:t>a o no y por sexo para el 2014 y 2015</w:t>
            </w:r>
          </w:p>
          <w:p w:rsidR="00836F8C" w:rsidRPr="00F30705" w:rsidRDefault="00836F8C" w:rsidP="00D6055A">
            <w:pPr>
              <w:jc w:val="center"/>
              <w:rPr>
                <w:bCs/>
                <w:color w:val="000000"/>
                <w:lang w:eastAsia="es-CR"/>
              </w:rPr>
            </w:pPr>
            <w:r w:rsidRPr="00F30705">
              <w:rPr>
                <w:bCs/>
                <w:color w:val="000000"/>
                <w:lang w:eastAsia="es-CR"/>
              </w:rPr>
              <w:t>(cifras absolutas y relativas)</w:t>
            </w:r>
          </w:p>
        </w:tc>
      </w:tr>
      <w:tr w:rsidR="00D6055A" w:rsidRPr="00F30705" w:rsidTr="00D6055A">
        <w:trPr>
          <w:trHeight w:val="330"/>
          <w:jc w:val="center"/>
        </w:trPr>
        <w:tc>
          <w:tcPr>
            <w:tcW w:w="2300" w:type="dxa"/>
            <w:vMerge w:val="restart"/>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single"/>
                <w:lang w:eastAsia="es-CR"/>
              </w:rPr>
            </w:pPr>
            <w:r w:rsidRPr="00F30705">
              <w:rPr>
                <w:b/>
                <w:bCs/>
                <w:sz w:val="24"/>
                <w:szCs w:val="24"/>
                <w:u w:val="single"/>
                <w:lang w:eastAsia="es-CR"/>
              </w:rPr>
              <w:t>Reincidencia</w:t>
            </w:r>
          </w:p>
        </w:tc>
        <w:tc>
          <w:tcPr>
            <w:tcW w:w="2520" w:type="dxa"/>
            <w:gridSpan w:val="3"/>
            <w:tcBorders>
              <w:top w:val="nil"/>
              <w:left w:val="nil"/>
              <w:bottom w:val="single" w:sz="8" w:space="0" w:color="auto"/>
              <w:right w:val="nil"/>
            </w:tcBorders>
            <w:shd w:val="clear" w:color="auto" w:fill="auto"/>
            <w:vAlign w:val="center"/>
            <w:hideMark/>
          </w:tcPr>
          <w:p w:rsidR="00D6055A" w:rsidRPr="00F30705" w:rsidRDefault="00D6055A" w:rsidP="00D6055A">
            <w:pPr>
              <w:jc w:val="center"/>
              <w:rPr>
                <w:b/>
                <w:bCs/>
                <w:sz w:val="24"/>
                <w:szCs w:val="24"/>
                <w:lang w:eastAsia="es-CR"/>
              </w:rPr>
            </w:pPr>
            <w:r w:rsidRPr="00F30705">
              <w:rPr>
                <w:b/>
                <w:bCs/>
                <w:sz w:val="24"/>
                <w:szCs w:val="24"/>
                <w:lang w:eastAsia="es-CR"/>
              </w:rPr>
              <w:t>Absolutos</w:t>
            </w:r>
          </w:p>
        </w:tc>
        <w:tc>
          <w:tcPr>
            <w:tcW w:w="220" w:type="dxa"/>
            <w:tcBorders>
              <w:top w:val="nil"/>
              <w:left w:val="nil"/>
              <w:bottom w:val="nil"/>
              <w:right w:val="nil"/>
            </w:tcBorders>
            <w:shd w:val="clear" w:color="auto" w:fill="auto"/>
            <w:vAlign w:val="center"/>
            <w:hideMark/>
          </w:tcPr>
          <w:p w:rsidR="00D6055A" w:rsidRPr="00F30705" w:rsidRDefault="00D6055A" w:rsidP="00D6055A">
            <w:pPr>
              <w:rPr>
                <w:sz w:val="24"/>
                <w:szCs w:val="24"/>
                <w:lang w:eastAsia="es-CR"/>
              </w:rPr>
            </w:pPr>
          </w:p>
        </w:tc>
        <w:tc>
          <w:tcPr>
            <w:tcW w:w="1760" w:type="dxa"/>
            <w:gridSpan w:val="2"/>
            <w:tcBorders>
              <w:top w:val="nil"/>
              <w:left w:val="nil"/>
              <w:bottom w:val="single" w:sz="8" w:space="0" w:color="auto"/>
              <w:right w:val="nil"/>
            </w:tcBorders>
            <w:shd w:val="clear" w:color="auto" w:fill="auto"/>
            <w:vAlign w:val="center"/>
            <w:hideMark/>
          </w:tcPr>
          <w:p w:rsidR="00D6055A" w:rsidRPr="00F30705" w:rsidRDefault="00D6055A" w:rsidP="00D6055A">
            <w:pPr>
              <w:jc w:val="center"/>
              <w:rPr>
                <w:b/>
                <w:bCs/>
                <w:sz w:val="24"/>
                <w:szCs w:val="24"/>
                <w:lang w:eastAsia="es-CR"/>
              </w:rPr>
            </w:pPr>
            <w:r w:rsidRPr="00F30705">
              <w:rPr>
                <w:b/>
                <w:bCs/>
                <w:sz w:val="24"/>
                <w:szCs w:val="24"/>
                <w:lang w:eastAsia="es-CR"/>
              </w:rPr>
              <w:t>Relativos</w:t>
            </w:r>
          </w:p>
        </w:tc>
      </w:tr>
      <w:tr w:rsidR="00D6055A" w:rsidRPr="00F30705" w:rsidTr="00D6055A">
        <w:trPr>
          <w:trHeight w:val="315"/>
          <w:jc w:val="center"/>
        </w:trPr>
        <w:tc>
          <w:tcPr>
            <w:tcW w:w="2300" w:type="dxa"/>
            <w:vMerge/>
            <w:tcBorders>
              <w:top w:val="nil"/>
              <w:left w:val="nil"/>
              <w:bottom w:val="nil"/>
              <w:right w:val="nil"/>
            </w:tcBorders>
            <w:vAlign w:val="center"/>
            <w:hideMark/>
          </w:tcPr>
          <w:p w:rsidR="00D6055A" w:rsidRPr="00F30705" w:rsidRDefault="00D6055A" w:rsidP="00D6055A">
            <w:pPr>
              <w:rPr>
                <w:b/>
                <w:bCs/>
                <w:sz w:val="24"/>
                <w:szCs w:val="24"/>
                <w:u w:val="single"/>
                <w:lang w:eastAsia="es-CR"/>
              </w:rPr>
            </w:pPr>
          </w:p>
        </w:tc>
        <w:tc>
          <w:tcPr>
            <w:tcW w:w="76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single"/>
                <w:lang w:eastAsia="es-CR"/>
              </w:rPr>
            </w:pPr>
            <w:r w:rsidRPr="00F30705">
              <w:rPr>
                <w:b/>
                <w:bCs/>
                <w:sz w:val="24"/>
                <w:szCs w:val="24"/>
                <w:u w:val="single"/>
                <w:lang w:eastAsia="es-CR"/>
              </w:rPr>
              <w:t>Total</w:t>
            </w:r>
          </w:p>
        </w:tc>
        <w:tc>
          <w:tcPr>
            <w:tcW w:w="102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single"/>
                <w:lang w:eastAsia="es-CR"/>
              </w:rPr>
            </w:pPr>
            <w:r w:rsidRPr="00F30705">
              <w:rPr>
                <w:b/>
                <w:bCs/>
                <w:sz w:val="24"/>
                <w:szCs w:val="24"/>
                <w:u w:val="single"/>
                <w:lang w:eastAsia="es-CR"/>
              </w:rPr>
              <w:t>Hombres</w:t>
            </w:r>
          </w:p>
        </w:tc>
        <w:tc>
          <w:tcPr>
            <w:tcW w:w="74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single"/>
                <w:lang w:eastAsia="es-CR"/>
              </w:rPr>
            </w:pPr>
            <w:r w:rsidRPr="00F30705">
              <w:rPr>
                <w:b/>
                <w:bCs/>
                <w:sz w:val="24"/>
                <w:szCs w:val="24"/>
                <w:u w:val="single"/>
                <w:lang w:eastAsia="es-CR"/>
              </w:rPr>
              <w:t>Mujer</w:t>
            </w:r>
          </w:p>
        </w:tc>
        <w:tc>
          <w:tcPr>
            <w:tcW w:w="220" w:type="dxa"/>
            <w:tcBorders>
              <w:top w:val="nil"/>
              <w:left w:val="nil"/>
              <w:bottom w:val="nil"/>
              <w:right w:val="nil"/>
            </w:tcBorders>
            <w:shd w:val="clear" w:color="auto" w:fill="auto"/>
            <w:vAlign w:val="center"/>
            <w:hideMark/>
          </w:tcPr>
          <w:p w:rsidR="00D6055A" w:rsidRPr="00F30705" w:rsidRDefault="00D6055A" w:rsidP="00D6055A">
            <w:pPr>
              <w:rPr>
                <w:sz w:val="24"/>
                <w:szCs w:val="24"/>
                <w:lang w:eastAsia="es-CR"/>
              </w:rPr>
            </w:pPr>
          </w:p>
        </w:tc>
        <w:tc>
          <w:tcPr>
            <w:tcW w:w="102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single"/>
                <w:lang w:eastAsia="es-CR"/>
              </w:rPr>
            </w:pPr>
            <w:r w:rsidRPr="00F30705">
              <w:rPr>
                <w:b/>
                <w:bCs/>
                <w:sz w:val="24"/>
                <w:szCs w:val="24"/>
                <w:u w:val="single"/>
                <w:lang w:eastAsia="es-CR"/>
              </w:rPr>
              <w:t>Hombres</w:t>
            </w:r>
          </w:p>
        </w:tc>
        <w:tc>
          <w:tcPr>
            <w:tcW w:w="74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single"/>
                <w:lang w:eastAsia="es-CR"/>
              </w:rPr>
            </w:pPr>
            <w:r w:rsidRPr="00F30705">
              <w:rPr>
                <w:b/>
                <w:bCs/>
                <w:sz w:val="24"/>
                <w:szCs w:val="24"/>
                <w:u w:val="single"/>
                <w:lang w:eastAsia="es-CR"/>
              </w:rPr>
              <w:t>Mujer</w:t>
            </w:r>
          </w:p>
        </w:tc>
      </w:tr>
      <w:tr w:rsidR="00D6055A" w:rsidRPr="00F30705" w:rsidTr="00D6055A">
        <w:trPr>
          <w:trHeight w:val="795"/>
          <w:jc w:val="center"/>
        </w:trPr>
        <w:tc>
          <w:tcPr>
            <w:tcW w:w="230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double"/>
                <w:lang w:eastAsia="es-CR"/>
              </w:rPr>
            </w:pPr>
            <w:r w:rsidRPr="00F30705">
              <w:rPr>
                <w:b/>
                <w:bCs/>
                <w:sz w:val="24"/>
                <w:szCs w:val="24"/>
                <w:u w:val="double"/>
                <w:lang w:eastAsia="es-CR"/>
              </w:rPr>
              <w:t>2014</w:t>
            </w:r>
          </w:p>
        </w:tc>
        <w:tc>
          <w:tcPr>
            <w:tcW w:w="760" w:type="dxa"/>
            <w:tcBorders>
              <w:top w:val="nil"/>
              <w:left w:val="nil"/>
              <w:bottom w:val="nil"/>
              <w:right w:val="nil"/>
            </w:tcBorders>
            <w:shd w:val="clear" w:color="auto" w:fill="auto"/>
            <w:vAlign w:val="center"/>
            <w:hideMark/>
          </w:tcPr>
          <w:p w:rsidR="00D6055A" w:rsidRPr="00F30705" w:rsidRDefault="00D6055A" w:rsidP="00D6055A">
            <w:pPr>
              <w:jc w:val="right"/>
              <w:rPr>
                <w:b/>
                <w:bCs/>
                <w:sz w:val="24"/>
                <w:szCs w:val="24"/>
                <w:u w:val="double"/>
                <w:lang w:eastAsia="es-CR"/>
              </w:rPr>
            </w:pPr>
            <w:r w:rsidRPr="00F30705">
              <w:rPr>
                <w:b/>
                <w:bCs/>
                <w:sz w:val="24"/>
                <w:szCs w:val="24"/>
                <w:u w:val="double"/>
                <w:lang w:eastAsia="es-CR"/>
              </w:rPr>
              <w:t>13.360</w:t>
            </w:r>
          </w:p>
        </w:tc>
        <w:tc>
          <w:tcPr>
            <w:tcW w:w="1020" w:type="dxa"/>
            <w:tcBorders>
              <w:top w:val="nil"/>
              <w:left w:val="nil"/>
              <w:bottom w:val="nil"/>
              <w:right w:val="nil"/>
            </w:tcBorders>
            <w:shd w:val="clear" w:color="auto" w:fill="auto"/>
            <w:vAlign w:val="center"/>
            <w:hideMark/>
          </w:tcPr>
          <w:p w:rsidR="00D6055A" w:rsidRPr="00F30705" w:rsidRDefault="00D6055A" w:rsidP="00D6055A">
            <w:pPr>
              <w:jc w:val="right"/>
              <w:rPr>
                <w:b/>
                <w:bCs/>
                <w:sz w:val="24"/>
                <w:szCs w:val="24"/>
                <w:u w:val="double"/>
                <w:lang w:eastAsia="es-CR"/>
              </w:rPr>
            </w:pPr>
            <w:r w:rsidRPr="00F30705">
              <w:rPr>
                <w:b/>
                <w:bCs/>
                <w:sz w:val="24"/>
                <w:szCs w:val="24"/>
                <w:u w:val="double"/>
                <w:lang w:eastAsia="es-CR"/>
              </w:rPr>
              <w:t>12.101</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b/>
                <w:bCs/>
                <w:sz w:val="24"/>
                <w:szCs w:val="24"/>
                <w:u w:val="double"/>
                <w:lang w:eastAsia="es-CR"/>
              </w:rPr>
            </w:pPr>
            <w:r w:rsidRPr="00F30705">
              <w:rPr>
                <w:b/>
                <w:bCs/>
                <w:sz w:val="24"/>
                <w:szCs w:val="24"/>
                <w:u w:val="double"/>
                <w:lang w:eastAsia="es-CR"/>
              </w:rPr>
              <w:t>1.259</w:t>
            </w:r>
          </w:p>
        </w:tc>
        <w:tc>
          <w:tcPr>
            <w:tcW w:w="22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lang w:eastAsia="es-CR"/>
              </w:rPr>
            </w:pPr>
          </w:p>
        </w:tc>
        <w:tc>
          <w:tcPr>
            <w:tcW w:w="102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double"/>
                <w:lang w:eastAsia="es-CR"/>
              </w:rPr>
            </w:pPr>
            <w:r w:rsidRPr="00F30705">
              <w:rPr>
                <w:b/>
                <w:bCs/>
                <w:sz w:val="24"/>
                <w:szCs w:val="24"/>
                <w:u w:val="double"/>
                <w:lang w:eastAsia="es-CR"/>
              </w:rPr>
              <w:t>91%</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b/>
                <w:bCs/>
                <w:sz w:val="24"/>
                <w:szCs w:val="24"/>
                <w:u w:val="double"/>
                <w:lang w:eastAsia="es-CR"/>
              </w:rPr>
            </w:pPr>
            <w:r w:rsidRPr="00F30705">
              <w:rPr>
                <w:b/>
                <w:bCs/>
                <w:sz w:val="24"/>
                <w:szCs w:val="24"/>
                <w:u w:val="double"/>
                <w:lang w:eastAsia="es-CR"/>
              </w:rPr>
              <w:t>9%</w:t>
            </w:r>
          </w:p>
        </w:tc>
      </w:tr>
      <w:tr w:rsidR="00D6055A" w:rsidRPr="00F30705" w:rsidTr="00D6055A">
        <w:trPr>
          <w:trHeight w:val="315"/>
          <w:jc w:val="center"/>
        </w:trPr>
        <w:tc>
          <w:tcPr>
            <w:tcW w:w="2300" w:type="dxa"/>
            <w:tcBorders>
              <w:top w:val="nil"/>
              <w:left w:val="nil"/>
              <w:bottom w:val="nil"/>
              <w:right w:val="nil"/>
            </w:tcBorders>
            <w:shd w:val="clear" w:color="auto" w:fill="auto"/>
            <w:vAlign w:val="center"/>
            <w:hideMark/>
          </w:tcPr>
          <w:p w:rsidR="00D6055A" w:rsidRPr="00F30705" w:rsidRDefault="00D6055A" w:rsidP="00D6055A">
            <w:pPr>
              <w:rPr>
                <w:b/>
                <w:bCs/>
                <w:sz w:val="24"/>
                <w:szCs w:val="24"/>
                <w:lang w:eastAsia="es-CR"/>
              </w:rPr>
            </w:pPr>
            <w:r w:rsidRPr="00F30705">
              <w:rPr>
                <w:b/>
                <w:bCs/>
                <w:sz w:val="24"/>
                <w:szCs w:val="24"/>
                <w:lang w:eastAsia="es-CR"/>
              </w:rPr>
              <w:t>No Reincidentes</w:t>
            </w:r>
          </w:p>
        </w:tc>
        <w:tc>
          <w:tcPr>
            <w:tcW w:w="76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10.619</w:t>
            </w:r>
          </w:p>
        </w:tc>
        <w:tc>
          <w:tcPr>
            <w:tcW w:w="102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9.519</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1.100</w:t>
            </w:r>
          </w:p>
        </w:tc>
        <w:tc>
          <w:tcPr>
            <w:tcW w:w="220" w:type="dxa"/>
            <w:tcBorders>
              <w:top w:val="nil"/>
              <w:left w:val="nil"/>
              <w:bottom w:val="nil"/>
              <w:right w:val="nil"/>
            </w:tcBorders>
            <w:shd w:val="clear" w:color="auto" w:fill="auto"/>
            <w:vAlign w:val="center"/>
            <w:hideMark/>
          </w:tcPr>
          <w:p w:rsidR="00D6055A" w:rsidRPr="00F30705" w:rsidRDefault="00D6055A" w:rsidP="00D6055A">
            <w:pPr>
              <w:jc w:val="center"/>
              <w:rPr>
                <w:sz w:val="24"/>
                <w:szCs w:val="24"/>
                <w:lang w:eastAsia="es-CR"/>
              </w:rPr>
            </w:pPr>
          </w:p>
        </w:tc>
        <w:tc>
          <w:tcPr>
            <w:tcW w:w="1020" w:type="dxa"/>
            <w:tcBorders>
              <w:top w:val="nil"/>
              <w:left w:val="nil"/>
              <w:bottom w:val="nil"/>
              <w:right w:val="nil"/>
            </w:tcBorders>
            <w:shd w:val="clear" w:color="auto" w:fill="auto"/>
            <w:vAlign w:val="center"/>
            <w:hideMark/>
          </w:tcPr>
          <w:p w:rsidR="00D6055A" w:rsidRPr="00F30705" w:rsidRDefault="00D6055A" w:rsidP="00D6055A">
            <w:pPr>
              <w:jc w:val="center"/>
              <w:rPr>
                <w:sz w:val="24"/>
                <w:szCs w:val="24"/>
                <w:lang w:eastAsia="es-CR"/>
              </w:rPr>
            </w:pPr>
            <w:r w:rsidRPr="00F30705">
              <w:rPr>
                <w:sz w:val="24"/>
                <w:szCs w:val="24"/>
                <w:lang w:eastAsia="es-CR"/>
              </w:rPr>
              <w:t>90%</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10%</w:t>
            </w:r>
          </w:p>
        </w:tc>
      </w:tr>
      <w:tr w:rsidR="00D6055A" w:rsidRPr="00F30705" w:rsidTr="00D6055A">
        <w:trPr>
          <w:trHeight w:val="315"/>
          <w:jc w:val="center"/>
        </w:trPr>
        <w:tc>
          <w:tcPr>
            <w:tcW w:w="2300" w:type="dxa"/>
            <w:tcBorders>
              <w:top w:val="nil"/>
              <w:left w:val="nil"/>
              <w:bottom w:val="nil"/>
              <w:right w:val="nil"/>
            </w:tcBorders>
            <w:shd w:val="clear" w:color="auto" w:fill="auto"/>
            <w:vAlign w:val="center"/>
            <w:hideMark/>
          </w:tcPr>
          <w:p w:rsidR="00D6055A" w:rsidRPr="00F30705" w:rsidRDefault="00D6055A" w:rsidP="00D6055A">
            <w:pPr>
              <w:rPr>
                <w:b/>
                <w:bCs/>
                <w:sz w:val="24"/>
                <w:szCs w:val="24"/>
                <w:lang w:eastAsia="es-CR"/>
              </w:rPr>
            </w:pPr>
            <w:r w:rsidRPr="00F30705">
              <w:rPr>
                <w:b/>
                <w:bCs/>
                <w:sz w:val="24"/>
                <w:szCs w:val="24"/>
                <w:lang w:eastAsia="es-CR"/>
              </w:rPr>
              <w:t>Reincidentes</w:t>
            </w:r>
          </w:p>
        </w:tc>
        <w:tc>
          <w:tcPr>
            <w:tcW w:w="76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2.741</w:t>
            </w:r>
          </w:p>
        </w:tc>
        <w:tc>
          <w:tcPr>
            <w:tcW w:w="102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2.582</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159</w:t>
            </w:r>
          </w:p>
        </w:tc>
        <w:tc>
          <w:tcPr>
            <w:tcW w:w="220" w:type="dxa"/>
            <w:tcBorders>
              <w:top w:val="nil"/>
              <w:left w:val="nil"/>
              <w:bottom w:val="nil"/>
              <w:right w:val="nil"/>
            </w:tcBorders>
            <w:shd w:val="clear" w:color="auto" w:fill="auto"/>
            <w:vAlign w:val="center"/>
            <w:hideMark/>
          </w:tcPr>
          <w:p w:rsidR="00D6055A" w:rsidRPr="00F30705" w:rsidRDefault="00D6055A" w:rsidP="00D6055A">
            <w:pPr>
              <w:jc w:val="center"/>
              <w:rPr>
                <w:sz w:val="24"/>
                <w:szCs w:val="24"/>
                <w:lang w:eastAsia="es-CR"/>
              </w:rPr>
            </w:pPr>
          </w:p>
        </w:tc>
        <w:tc>
          <w:tcPr>
            <w:tcW w:w="1020" w:type="dxa"/>
            <w:tcBorders>
              <w:top w:val="nil"/>
              <w:left w:val="nil"/>
              <w:bottom w:val="nil"/>
              <w:right w:val="nil"/>
            </w:tcBorders>
            <w:shd w:val="clear" w:color="auto" w:fill="auto"/>
            <w:vAlign w:val="center"/>
            <w:hideMark/>
          </w:tcPr>
          <w:p w:rsidR="00D6055A" w:rsidRPr="00F30705" w:rsidRDefault="00D6055A" w:rsidP="00D6055A">
            <w:pPr>
              <w:jc w:val="center"/>
              <w:rPr>
                <w:sz w:val="24"/>
                <w:szCs w:val="24"/>
                <w:lang w:eastAsia="es-CR"/>
              </w:rPr>
            </w:pPr>
            <w:r w:rsidRPr="00F30705">
              <w:rPr>
                <w:sz w:val="24"/>
                <w:szCs w:val="24"/>
                <w:lang w:eastAsia="es-CR"/>
              </w:rPr>
              <w:t>94%</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6%</w:t>
            </w:r>
          </w:p>
        </w:tc>
      </w:tr>
      <w:tr w:rsidR="00D6055A" w:rsidRPr="00F30705" w:rsidTr="00D6055A">
        <w:trPr>
          <w:trHeight w:val="795"/>
          <w:jc w:val="center"/>
        </w:trPr>
        <w:tc>
          <w:tcPr>
            <w:tcW w:w="230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double"/>
                <w:lang w:eastAsia="es-CR"/>
              </w:rPr>
            </w:pPr>
            <w:r w:rsidRPr="00F30705">
              <w:rPr>
                <w:b/>
                <w:bCs/>
                <w:sz w:val="24"/>
                <w:szCs w:val="24"/>
                <w:u w:val="double"/>
                <w:lang w:eastAsia="es-CR"/>
              </w:rPr>
              <w:t>2015</w:t>
            </w:r>
          </w:p>
        </w:tc>
        <w:tc>
          <w:tcPr>
            <w:tcW w:w="760" w:type="dxa"/>
            <w:tcBorders>
              <w:top w:val="nil"/>
              <w:left w:val="nil"/>
              <w:bottom w:val="nil"/>
              <w:right w:val="nil"/>
            </w:tcBorders>
            <w:shd w:val="clear" w:color="auto" w:fill="auto"/>
            <w:vAlign w:val="center"/>
            <w:hideMark/>
          </w:tcPr>
          <w:p w:rsidR="00D6055A" w:rsidRPr="00F30705" w:rsidRDefault="00D6055A" w:rsidP="00D6055A">
            <w:pPr>
              <w:jc w:val="right"/>
              <w:rPr>
                <w:b/>
                <w:bCs/>
                <w:sz w:val="24"/>
                <w:szCs w:val="24"/>
                <w:u w:val="double"/>
                <w:lang w:eastAsia="es-CR"/>
              </w:rPr>
            </w:pPr>
            <w:r w:rsidRPr="00F30705">
              <w:rPr>
                <w:b/>
                <w:bCs/>
                <w:sz w:val="24"/>
                <w:szCs w:val="24"/>
                <w:u w:val="double"/>
                <w:lang w:eastAsia="es-CR"/>
              </w:rPr>
              <w:t>12.966</w:t>
            </w:r>
          </w:p>
        </w:tc>
        <w:tc>
          <w:tcPr>
            <w:tcW w:w="1020" w:type="dxa"/>
            <w:tcBorders>
              <w:top w:val="nil"/>
              <w:left w:val="nil"/>
              <w:bottom w:val="nil"/>
              <w:right w:val="nil"/>
            </w:tcBorders>
            <w:shd w:val="clear" w:color="auto" w:fill="auto"/>
            <w:vAlign w:val="center"/>
            <w:hideMark/>
          </w:tcPr>
          <w:p w:rsidR="00D6055A" w:rsidRPr="00F30705" w:rsidRDefault="00D6055A" w:rsidP="00D6055A">
            <w:pPr>
              <w:jc w:val="right"/>
              <w:rPr>
                <w:b/>
                <w:bCs/>
                <w:sz w:val="24"/>
                <w:szCs w:val="24"/>
                <w:u w:val="double"/>
                <w:lang w:eastAsia="es-CR"/>
              </w:rPr>
            </w:pPr>
            <w:r w:rsidRPr="00F30705">
              <w:rPr>
                <w:b/>
                <w:bCs/>
                <w:sz w:val="24"/>
                <w:szCs w:val="24"/>
                <w:u w:val="double"/>
                <w:lang w:eastAsia="es-CR"/>
              </w:rPr>
              <w:t>11.815</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b/>
                <w:bCs/>
                <w:sz w:val="24"/>
                <w:szCs w:val="24"/>
                <w:u w:val="double"/>
                <w:lang w:eastAsia="es-CR"/>
              </w:rPr>
            </w:pPr>
            <w:r w:rsidRPr="00F30705">
              <w:rPr>
                <w:b/>
                <w:bCs/>
                <w:sz w:val="24"/>
                <w:szCs w:val="24"/>
                <w:u w:val="double"/>
                <w:lang w:eastAsia="es-CR"/>
              </w:rPr>
              <w:t>1.151</w:t>
            </w:r>
          </w:p>
        </w:tc>
        <w:tc>
          <w:tcPr>
            <w:tcW w:w="22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lang w:eastAsia="es-CR"/>
              </w:rPr>
            </w:pPr>
          </w:p>
        </w:tc>
        <w:tc>
          <w:tcPr>
            <w:tcW w:w="1020" w:type="dxa"/>
            <w:tcBorders>
              <w:top w:val="nil"/>
              <w:left w:val="nil"/>
              <w:bottom w:val="nil"/>
              <w:right w:val="nil"/>
            </w:tcBorders>
            <w:shd w:val="clear" w:color="auto" w:fill="auto"/>
            <w:vAlign w:val="center"/>
            <w:hideMark/>
          </w:tcPr>
          <w:p w:rsidR="00D6055A" w:rsidRPr="00F30705" w:rsidRDefault="00D6055A" w:rsidP="00D6055A">
            <w:pPr>
              <w:jc w:val="center"/>
              <w:rPr>
                <w:b/>
                <w:bCs/>
                <w:sz w:val="24"/>
                <w:szCs w:val="24"/>
                <w:u w:val="double"/>
                <w:lang w:eastAsia="es-CR"/>
              </w:rPr>
            </w:pPr>
            <w:r w:rsidRPr="00F30705">
              <w:rPr>
                <w:b/>
                <w:bCs/>
                <w:sz w:val="24"/>
                <w:szCs w:val="24"/>
                <w:u w:val="double"/>
                <w:lang w:eastAsia="es-CR"/>
              </w:rPr>
              <w:t>91%</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b/>
                <w:bCs/>
                <w:sz w:val="24"/>
                <w:szCs w:val="24"/>
                <w:u w:val="double"/>
                <w:lang w:eastAsia="es-CR"/>
              </w:rPr>
            </w:pPr>
            <w:r w:rsidRPr="00F30705">
              <w:rPr>
                <w:b/>
                <w:bCs/>
                <w:sz w:val="24"/>
                <w:szCs w:val="24"/>
                <w:u w:val="double"/>
                <w:lang w:eastAsia="es-CR"/>
              </w:rPr>
              <w:t>9%</w:t>
            </w:r>
          </w:p>
        </w:tc>
      </w:tr>
      <w:tr w:rsidR="00D6055A" w:rsidRPr="00F30705" w:rsidTr="00D6055A">
        <w:trPr>
          <w:trHeight w:val="315"/>
          <w:jc w:val="center"/>
        </w:trPr>
        <w:tc>
          <w:tcPr>
            <w:tcW w:w="2300" w:type="dxa"/>
            <w:tcBorders>
              <w:top w:val="nil"/>
              <w:left w:val="nil"/>
              <w:bottom w:val="nil"/>
              <w:right w:val="nil"/>
            </w:tcBorders>
            <w:shd w:val="clear" w:color="auto" w:fill="auto"/>
            <w:vAlign w:val="center"/>
            <w:hideMark/>
          </w:tcPr>
          <w:p w:rsidR="00D6055A" w:rsidRPr="00F30705" w:rsidRDefault="00D6055A" w:rsidP="00D6055A">
            <w:pPr>
              <w:rPr>
                <w:b/>
                <w:bCs/>
                <w:sz w:val="24"/>
                <w:szCs w:val="24"/>
                <w:lang w:eastAsia="es-CR"/>
              </w:rPr>
            </w:pPr>
            <w:r w:rsidRPr="00F30705">
              <w:rPr>
                <w:b/>
                <w:bCs/>
                <w:sz w:val="24"/>
                <w:szCs w:val="24"/>
                <w:lang w:eastAsia="es-CR"/>
              </w:rPr>
              <w:t>No Reincidentes</w:t>
            </w:r>
          </w:p>
        </w:tc>
        <w:tc>
          <w:tcPr>
            <w:tcW w:w="76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10.546</w:t>
            </w:r>
          </w:p>
        </w:tc>
        <w:tc>
          <w:tcPr>
            <w:tcW w:w="102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9.536</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1.010</w:t>
            </w:r>
          </w:p>
        </w:tc>
        <w:tc>
          <w:tcPr>
            <w:tcW w:w="220" w:type="dxa"/>
            <w:tcBorders>
              <w:top w:val="nil"/>
              <w:left w:val="nil"/>
              <w:bottom w:val="nil"/>
              <w:right w:val="nil"/>
            </w:tcBorders>
            <w:shd w:val="clear" w:color="auto" w:fill="auto"/>
            <w:vAlign w:val="center"/>
            <w:hideMark/>
          </w:tcPr>
          <w:p w:rsidR="00D6055A" w:rsidRPr="00F30705" w:rsidRDefault="00D6055A" w:rsidP="00D6055A">
            <w:pPr>
              <w:jc w:val="center"/>
              <w:rPr>
                <w:sz w:val="24"/>
                <w:szCs w:val="24"/>
                <w:lang w:eastAsia="es-CR"/>
              </w:rPr>
            </w:pPr>
          </w:p>
        </w:tc>
        <w:tc>
          <w:tcPr>
            <w:tcW w:w="1020" w:type="dxa"/>
            <w:tcBorders>
              <w:top w:val="nil"/>
              <w:left w:val="nil"/>
              <w:bottom w:val="nil"/>
              <w:right w:val="nil"/>
            </w:tcBorders>
            <w:shd w:val="clear" w:color="auto" w:fill="auto"/>
            <w:vAlign w:val="center"/>
            <w:hideMark/>
          </w:tcPr>
          <w:p w:rsidR="00D6055A" w:rsidRPr="00F30705" w:rsidRDefault="00D6055A" w:rsidP="00D6055A">
            <w:pPr>
              <w:jc w:val="center"/>
              <w:rPr>
                <w:sz w:val="24"/>
                <w:szCs w:val="24"/>
                <w:lang w:eastAsia="es-CR"/>
              </w:rPr>
            </w:pPr>
            <w:r w:rsidRPr="00F30705">
              <w:rPr>
                <w:sz w:val="24"/>
                <w:szCs w:val="24"/>
                <w:lang w:eastAsia="es-CR"/>
              </w:rPr>
              <w:t>90%</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10%</w:t>
            </w:r>
          </w:p>
        </w:tc>
      </w:tr>
      <w:tr w:rsidR="00D6055A" w:rsidRPr="00F30705" w:rsidTr="00D6055A">
        <w:trPr>
          <w:trHeight w:val="315"/>
          <w:jc w:val="center"/>
        </w:trPr>
        <w:tc>
          <w:tcPr>
            <w:tcW w:w="2300" w:type="dxa"/>
            <w:tcBorders>
              <w:top w:val="nil"/>
              <w:left w:val="nil"/>
              <w:bottom w:val="nil"/>
              <w:right w:val="nil"/>
            </w:tcBorders>
            <w:shd w:val="clear" w:color="auto" w:fill="auto"/>
            <w:vAlign w:val="center"/>
            <w:hideMark/>
          </w:tcPr>
          <w:p w:rsidR="00D6055A" w:rsidRPr="00F30705" w:rsidRDefault="00D6055A" w:rsidP="00D6055A">
            <w:pPr>
              <w:rPr>
                <w:b/>
                <w:bCs/>
                <w:sz w:val="24"/>
                <w:szCs w:val="24"/>
                <w:lang w:eastAsia="es-CR"/>
              </w:rPr>
            </w:pPr>
            <w:r w:rsidRPr="00F30705">
              <w:rPr>
                <w:b/>
                <w:bCs/>
                <w:sz w:val="24"/>
                <w:szCs w:val="24"/>
                <w:lang w:eastAsia="es-CR"/>
              </w:rPr>
              <w:t>Reincidentes</w:t>
            </w:r>
          </w:p>
        </w:tc>
        <w:tc>
          <w:tcPr>
            <w:tcW w:w="76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2.420</w:t>
            </w:r>
          </w:p>
        </w:tc>
        <w:tc>
          <w:tcPr>
            <w:tcW w:w="102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2.279</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141</w:t>
            </w:r>
          </w:p>
        </w:tc>
        <w:tc>
          <w:tcPr>
            <w:tcW w:w="220" w:type="dxa"/>
            <w:tcBorders>
              <w:top w:val="nil"/>
              <w:left w:val="nil"/>
              <w:bottom w:val="nil"/>
              <w:right w:val="nil"/>
            </w:tcBorders>
            <w:shd w:val="clear" w:color="auto" w:fill="auto"/>
            <w:vAlign w:val="center"/>
            <w:hideMark/>
          </w:tcPr>
          <w:p w:rsidR="00D6055A" w:rsidRPr="00F30705" w:rsidRDefault="00D6055A" w:rsidP="00D6055A">
            <w:pPr>
              <w:jc w:val="center"/>
              <w:rPr>
                <w:sz w:val="24"/>
                <w:szCs w:val="24"/>
                <w:lang w:eastAsia="es-CR"/>
              </w:rPr>
            </w:pPr>
          </w:p>
        </w:tc>
        <w:tc>
          <w:tcPr>
            <w:tcW w:w="1020" w:type="dxa"/>
            <w:tcBorders>
              <w:top w:val="nil"/>
              <w:left w:val="nil"/>
              <w:bottom w:val="nil"/>
              <w:right w:val="nil"/>
            </w:tcBorders>
            <w:shd w:val="clear" w:color="auto" w:fill="auto"/>
            <w:vAlign w:val="center"/>
            <w:hideMark/>
          </w:tcPr>
          <w:p w:rsidR="00D6055A" w:rsidRPr="00F30705" w:rsidRDefault="00D6055A" w:rsidP="00D6055A">
            <w:pPr>
              <w:jc w:val="center"/>
              <w:rPr>
                <w:sz w:val="24"/>
                <w:szCs w:val="24"/>
                <w:lang w:eastAsia="es-CR"/>
              </w:rPr>
            </w:pPr>
            <w:r w:rsidRPr="00F30705">
              <w:rPr>
                <w:sz w:val="24"/>
                <w:szCs w:val="24"/>
                <w:lang w:eastAsia="es-CR"/>
              </w:rPr>
              <w:t>94%</w:t>
            </w:r>
          </w:p>
        </w:tc>
        <w:tc>
          <w:tcPr>
            <w:tcW w:w="740" w:type="dxa"/>
            <w:tcBorders>
              <w:top w:val="nil"/>
              <w:left w:val="nil"/>
              <w:bottom w:val="nil"/>
              <w:right w:val="nil"/>
            </w:tcBorders>
            <w:shd w:val="clear" w:color="auto" w:fill="auto"/>
            <w:vAlign w:val="center"/>
            <w:hideMark/>
          </w:tcPr>
          <w:p w:rsidR="00D6055A" w:rsidRPr="00F30705" w:rsidRDefault="00D6055A" w:rsidP="00D6055A">
            <w:pPr>
              <w:jc w:val="right"/>
              <w:rPr>
                <w:sz w:val="24"/>
                <w:szCs w:val="24"/>
                <w:lang w:eastAsia="es-CR"/>
              </w:rPr>
            </w:pPr>
            <w:r w:rsidRPr="00F30705">
              <w:rPr>
                <w:sz w:val="24"/>
                <w:szCs w:val="24"/>
                <w:lang w:eastAsia="es-CR"/>
              </w:rPr>
              <w:t>6%</w:t>
            </w:r>
          </w:p>
        </w:tc>
      </w:tr>
    </w:tbl>
    <w:p w:rsidR="00D6055A" w:rsidRPr="00F30705" w:rsidRDefault="00D6055A" w:rsidP="00A61A32">
      <w:pPr>
        <w:spacing w:line="360" w:lineRule="auto"/>
        <w:jc w:val="both"/>
        <w:rPr>
          <w:b/>
          <w:bCs/>
        </w:rPr>
      </w:pPr>
    </w:p>
    <w:p w:rsidR="00D6055A" w:rsidRPr="00F30705" w:rsidRDefault="00D6055A" w:rsidP="00A61A32">
      <w:pPr>
        <w:spacing w:line="360" w:lineRule="auto"/>
        <w:jc w:val="both"/>
        <w:rPr>
          <w:b/>
          <w:bCs/>
        </w:rPr>
      </w:pPr>
    </w:p>
    <w:p w:rsidR="00A61A32" w:rsidRPr="00F30705" w:rsidRDefault="00F653AC" w:rsidP="00A61A32">
      <w:pPr>
        <w:spacing w:line="360" w:lineRule="auto"/>
        <w:jc w:val="both"/>
        <w:rPr>
          <w:b/>
          <w:bCs/>
          <w:sz w:val="28"/>
          <w:szCs w:val="28"/>
        </w:rPr>
      </w:pPr>
      <w:r w:rsidRPr="00F30705">
        <w:rPr>
          <w:b/>
          <w:bCs/>
          <w:sz w:val="28"/>
          <w:szCs w:val="28"/>
        </w:rPr>
        <w:t>2</w:t>
      </w:r>
      <w:r w:rsidR="00A61A32" w:rsidRPr="00F30705">
        <w:rPr>
          <w:b/>
          <w:bCs/>
          <w:sz w:val="28"/>
          <w:szCs w:val="28"/>
        </w:rPr>
        <w:t>.</w:t>
      </w:r>
      <w:r w:rsidR="00B51898" w:rsidRPr="00F30705">
        <w:rPr>
          <w:b/>
          <w:bCs/>
          <w:sz w:val="28"/>
          <w:szCs w:val="28"/>
        </w:rPr>
        <w:t>8</w:t>
      </w:r>
      <w:r w:rsidR="00A61A32" w:rsidRPr="00F30705">
        <w:rPr>
          <w:b/>
          <w:bCs/>
          <w:sz w:val="28"/>
          <w:szCs w:val="28"/>
        </w:rPr>
        <w:t xml:space="preserve"> Reincidencia o no según delito principal por el que se sentencia.</w:t>
      </w:r>
    </w:p>
    <w:p w:rsidR="00A61A32" w:rsidRPr="00F30705" w:rsidRDefault="00A61A32" w:rsidP="00A61A32">
      <w:pPr>
        <w:spacing w:line="360" w:lineRule="auto"/>
        <w:jc w:val="both"/>
        <w:rPr>
          <w:b/>
          <w:bCs/>
        </w:rPr>
      </w:pPr>
    </w:p>
    <w:p w:rsidR="00A61A32" w:rsidRPr="00F30705" w:rsidRDefault="001F452D" w:rsidP="00A61A32">
      <w:pPr>
        <w:spacing w:line="360" w:lineRule="auto"/>
        <w:jc w:val="both"/>
        <w:rPr>
          <w:sz w:val="28"/>
          <w:szCs w:val="28"/>
        </w:rPr>
      </w:pPr>
      <w:r w:rsidRPr="00F30705">
        <w:rPr>
          <w:sz w:val="28"/>
          <w:szCs w:val="28"/>
        </w:rPr>
        <w:t xml:space="preserve">A pesar de la leve reducción de las sentencias en los procesamientos penales </w:t>
      </w:r>
      <w:r w:rsidR="00A92E53" w:rsidRPr="00F30705">
        <w:rPr>
          <w:sz w:val="28"/>
          <w:szCs w:val="28"/>
        </w:rPr>
        <w:t>asociados con delitos contra la propiedad</w:t>
      </w:r>
      <w:r w:rsidR="00A92E53" w:rsidRPr="00F30705">
        <w:rPr>
          <w:sz w:val="28"/>
          <w:szCs w:val="28"/>
          <w:vertAlign w:val="superscript"/>
        </w:rPr>
        <w:t xml:space="preserve"> </w:t>
      </w:r>
      <w:r w:rsidR="00A92E53" w:rsidRPr="00F30705">
        <w:rPr>
          <w:sz w:val="28"/>
          <w:szCs w:val="28"/>
        </w:rPr>
        <w:t xml:space="preserve">estos continúan siendo </w:t>
      </w:r>
      <w:r w:rsidR="00A61A32" w:rsidRPr="00F30705">
        <w:rPr>
          <w:sz w:val="28"/>
          <w:szCs w:val="28"/>
        </w:rPr>
        <w:t xml:space="preserve">mayoría </w:t>
      </w:r>
      <w:r w:rsidR="00A92E53" w:rsidRPr="00F30705">
        <w:rPr>
          <w:sz w:val="28"/>
          <w:szCs w:val="28"/>
        </w:rPr>
        <w:t xml:space="preserve">en el </w:t>
      </w:r>
      <w:r w:rsidR="00A61A32" w:rsidRPr="00F30705">
        <w:rPr>
          <w:sz w:val="28"/>
          <w:szCs w:val="28"/>
        </w:rPr>
        <w:t>dictad</w:t>
      </w:r>
      <w:r w:rsidR="00A92E53" w:rsidRPr="00F30705">
        <w:rPr>
          <w:sz w:val="28"/>
          <w:szCs w:val="28"/>
        </w:rPr>
        <w:t>o e</w:t>
      </w:r>
      <w:r w:rsidR="00A61A32" w:rsidRPr="00F30705">
        <w:rPr>
          <w:sz w:val="28"/>
          <w:szCs w:val="28"/>
        </w:rPr>
        <w:t>n los tribunales de juicio penal de Costa Rica</w:t>
      </w:r>
      <w:r w:rsidR="0074070C" w:rsidRPr="00F30705">
        <w:rPr>
          <w:sz w:val="28"/>
          <w:szCs w:val="28"/>
          <w:vertAlign w:val="superscript"/>
        </w:rPr>
        <w:t>(</w:t>
      </w:r>
      <w:r w:rsidR="0074070C" w:rsidRPr="00F30705">
        <w:rPr>
          <w:rStyle w:val="Refdenotaalpie"/>
          <w:sz w:val="28"/>
          <w:szCs w:val="28"/>
        </w:rPr>
        <w:footnoteReference w:id="3"/>
      </w:r>
      <w:r w:rsidR="0074070C" w:rsidRPr="00F30705">
        <w:rPr>
          <w:sz w:val="28"/>
          <w:szCs w:val="28"/>
          <w:vertAlign w:val="superscript"/>
        </w:rPr>
        <w:t>)</w:t>
      </w:r>
      <w:r w:rsidR="00A61A32" w:rsidRPr="00F30705">
        <w:rPr>
          <w:sz w:val="28"/>
          <w:szCs w:val="28"/>
        </w:rPr>
        <w:t xml:space="preserve">. Como se puede apreciar en la tabla siguiente, de las </w:t>
      </w:r>
      <w:r w:rsidR="00A61A32" w:rsidRPr="00F30705">
        <w:rPr>
          <w:b/>
          <w:bCs/>
          <w:sz w:val="28"/>
          <w:szCs w:val="28"/>
        </w:rPr>
        <w:t>2.</w:t>
      </w:r>
      <w:r w:rsidR="007D42B3" w:rsidRPr="00F30705">
        <w:rPr>
          <w:b/>
          <w:bCs/>
          <w:sz w:val="28"/>
          <w:szCs w:val="28"/>
        </w:rPr>
        <w:t>520</w:t>
      </w:r>
      <w:r w:rsidR="00A61A32" w:rsidRPr="00F30705">
        <w:rPr>
          <w:sz w:val="28"/>
          <w:szCs w:val="28"/>
        </w:rPr>
        <w:t xml:space="preserve"> sentencias dictadas de personas reincidentes</w:t>
      </w:r>
      <w:r w:rsidR="007D42B3" w:rsidRPr="00F30705">
        <w:rPr>
          <w:sz w:val="28"/>
          <w:szCs w:val="28"/>
        </w:rPr>
        <w:t xml:space="preserve"> en el 2015</w:t>
      </w:r>
      <w:r w:rsidR="00A61A32" w:rsidRPr="00F30705">
        <w:rPr>
          <w:sz w:val="28"/>
          <w:szCs w:val="28"/>
        </w:rPr>
        <w:t xml:space="preserve">, </w:t>
      </w:r>
      <w:r w:rsidR="00A61A32" w:rsidRPr="00F30705">
        <w:rPr>
          <w:b/>
          <w:bCs/>
          <w:sz w:val="28"/>
          <w:szCs w:val="28"/>
        </w:rPr>
        <w:t>1.</w:t>
      </w:r>
      <w:r w:rsidR="007D42B3" w:rsidRPr="00F30705">
        <w:rPr>
          <w:b/>
          <w:bCs/>
          <w:sz w:val="28"/>
          <w:szCs w:val="28"/>
        </w:rPr>
        <w:t>333</w:t>
      </w:r>
      <w:r w:rsidR="00A61A32" w:rsidRPr="00F30705">
        <w:rPr>
          <w:sz w:val="28"/>
          <w:szCs w:val="28"/>
        </w:rPr>
        <w:t xml:space="preserve"> eran asuntos donde se imputa la comisión de </w:t>
      </w:r>
      <w:r w:rsidR="00A61A32" w:rsidRPr="00F30705">
        <w:rPr>
          <w:sz w:val="28"/>
          <w:szCs w:val="28"/>
        </w:rPr>
        <w:lastRenderedPageBreak/>
        <w:t xml:space="preserve">delitos contra la propiedad, representando éstos el </w:t>
      </w:r>
      <w:r w:rsidR="00A61A32" w:rsidRPr="00F30705">
        <w:rPr>
          <w:b/>
          <w:bCs/>
          <w:sz w:val="28"/>
          <w:szCs w:val="28"/>
        </w:rPr>
        <w:t>5</w:t>
      </w:r>
      <w:r w:rsidR="007D42B3" w:rsidRPr="00F30705">
        <w:rPr>
          <w:b/>
          <w:bCs/>
          <w:sz w:val="28"/>
          <w:szCs w:val="28"/>
        </w:rPr>
        <w:t>5</w:t>
      </w:r>
      <w:r w:rsidR="00A61A32" w:rsidRPr="00F30705">
        <w:rPr>
          <w:b/>
          <w:bCs/>
          <w:sz w:val="28"/>
          <w:szCs w:val="28"/>
        </w:rPr>
        <w:t>%</w:t>
      </w:r>
      <w:r w:rsidR="00A61A32" w:rsidRPr="00F30705">
        <w:rPr>
          <w:sz w:val="28"/>
          <w:szCs w:val="28"/>
        </w:rPr>
        <w:t xml:space="preserve"> de todo lo dictado en el año. Además, este Título de delito (según nomenclatura del Código Penal) es el que más </w:t>
      </w:r>
      <w:r w:rsidR="007D42B3" w:rsidRPr="00F30705">
        <w:rPr>
          <w:sz w:val="28"/>
          <w:szCs w:val="28"/>
        </w:rPr>
        <w:t>disminuyó</w:t>
      </w:r>
      <w:r w:rsidR="00A61A32" w:rsidRPr="00F30705">
        <w:rPr>
          <w:sz w:val="28"/>
          <w:szCs w:val="28"/>
        </w:rPr>
        <w:t xml:space="preserve"> en el 201</w:t>
      </w:r>
      <w:r w:rsidR="007D42B3" w:rsidRPr="00F30705">
        <w:rPr>
          <w:sz w:val="28"/>
          <w:szCs w:val="28"/>
        </w:rPr>
        <w:t>5</w:t>
      </w:r>
      <w:r w:rsidR="00A61A32" w:rsidRPr="00F30705">
        <w:rPr>
          <w:sz w:val="28"/>
          <w:szCs w:val="28"/>
        </w:rPr>
        <w:t xml:space="preserve"> respecto al 201</w:t>
      </w:r>
      <w:r w:rsidR="007D42B3" w:rsidRPr="00F30705">
        <w:rPr>
          <w:sz w:val="28"/>
          <w:szCs w:val="28"/>
        </w:rPr>
        <w:t>4</w:t>
      </w:r>
      <w:r w:rsidR="00A61A32" w:rsidRPr="00F30705">
        <w:rPr>
          <w:sz w:val="28"/>
          <w:szCs w:val="28"/>
        </w:rPr>
        <w:t xml:space="preserve">; se reportaron </w:t>
      </w:r>
      <w:r w:rsidR="007D42B3" w:rsidRPr="00F30705">
        <w:rPr>
          <w:b/>
          <w:bCs/>
          <w:sz w:val="28"/>
          <w:szCs w:val="28"/>
        </w:rPr>
        <w:t>212</w:t>
      </w:r>
      <w:r w:rsidR="00A61A32" w:rsidRPr="00F30705">
        <w:rPr>
          <w:sz w:val="28"/>
          <w:szCs w:val="28"/>
        </w:rPr>
        <w:t xml:space="preserve"> sentencias </w:t>
      </w:r>
      <w:r w:rsidR="007D42B3" w:rsidRPr="00F30705">
        <w:rPr>
          <w:sz w:val="28"/>
          <w:szCs w:val="28"/>
        </w:rPr>
        <w:t>menos.</w:t>
      </w:r>
      <w:r w:rsidR="00A61A32" w:rsidRPr="00F30705">
        <w:rPr>
          <w:sz w:val="28"/>
          <w:szCs w:val="28"/>
        </w:rPr>
        <w:t xml:space="preserve"> </w:t>
      </w:r>
    </w:p>
    <w:p w:rsidR="00A61A32" w:rsidRPr="00F30705" w:rsidRDefault="00A61A32" w:rsidP="00A61A32">
      <w:pPr>
        <w:spacing w:line="360" w:lineRule="auto"/>
        <w:jc w:val="both"/>
        <w:rPr>
          <w:sz w:val="28"/>
          <w:szCs w:val="28"/>
        </w:rPr>
      </w:pPr>
    </w:p>
    <w:tbl>
      <w:tblPr>
        <w:tblW w:w="7420" w:type="dxa"/>
        <w:jc w:val="center"/>
        <w:tblCellMar>
          <w:left w:w="70" w:type="dxa"/>
          <w:right w:w="70" w:type="dxa"/>
        </w:tblCellMar>
        <w:tblLook w:val="04A0" w:firstRow="1" w:lastRow="0" w:firstColumn="1" w:lastColumn="0" w:noHBand="0" w:noVBand="1"/>
      </w:tblPr>
      <w:tblGrid>
        <w:gridCol w:w="4080"/>
        <w:gridCol w:w="700"/>
        <w:gridCol w:w="700"/>
        <w:gridCol w:w="700"/>
        <w:gridCol w:w="1240"/>
      </w:tblGrid>
      <w:tr w:rsidR="000B3585" w:rsidRPr="00F30705" w:rsidTr="000B3585">
        <w:trPr>
          <w:trHeight w:val="315"/>
          <w:jc w:val="center"/>
        </w:trPr>
        <w:tc>
          <w:tcPr>
            <w:tcW w:w="742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0B3585" w:rsidRPr="00F30705" w:rsidRDefault="000B3585" w:rsidP="000B3585">
            <w:pPr>
              <w:jc w:val="center"/>
              <w:rPr>
                <w:b/>
                <w:bCs/>
                <w:sz w:val="24"/>
                <w:szCs w:val="24"/>
                <w:lang w:eastAsia="es-CR"/>
              </w:rPr>
            </w:pPr>
            <w:r w:rsidRPr="00F30705">
              <w:rPr>
                <w:b/>
                <w:bCs/>
                <w:sz w:val="24"/>
                <w:szCs w:val="24"/>
                <w:lang w:eastAsia="es-CR"/>
              </w:rPr>
              <w:t>REINCIDENCIA SEGÚN TITULO DE DELITO, 2013-2014</w:t>
            </w:r>
          </w:p>
        </w:tc>
      </w:tr>
      <w:tr w:rsidR="000B3585" w:rsidRPr="00F30705" w:rsidTr="000B3585">
        <w:trPr>
          <w:trHeight w:val="315"/>
          <w:jc w:val="center"/>
        </w:trPr>
        <w:tc>
          <w:tcPr>
            <w:tcW w:w="4080" w:type="dxa"/>
            <w:vMerge w:val="restart"/>
            <w:tcBorders>
              <w:top w:val="nil"/>
              <w:left w:val="nil"/>
              <w:bottom w:val="nil"/>
              <w:right w:val="nil"/>
            </w:tcBorders>
            <w:shd w:val="clear" w:color="auto" w:fill="auto"/>
            <w:vAlign w:val="center"/>
            <w:hideMark/>
          </w:tcPr>
          <w:p w:rsidR="000B3585" w:rsidRPr="00F30705" w:rsidRDefault="000B3585" w:rsidP="000B3585">
            <w:pPr>
              <w:jc w:val="center"/>
              <w:rPr>
                <w:b/>
                <w:bCs/>
                <w:sz w:val="24"/>
                <w:szCs w:val="24"/>
                <w:u w:val="single"/>
                <w:lang w:eastAsia="es-CR"/>
              </w:rPr>
            </w:pPr>
            <w:r w:rsidRPr="00F30705">
              <w:rPr>
                <w:b/>
                <w:bCs/>
                <w:sz w:val="24"/>
                <w:szCs w:val="24"/>
                <w:u w:val="single"/>
                <w:lang w:eastAsia="es-CR"/>
              </w:rPr>
              <w:t>Título del Delito</w:t>
            </w:r>
          </w:p>
        </w:tc>
        <w:tc>
          <w:tcPr>
            <w:tcW w:w="2100" w:type="dxa"/>
            <w:gridSpan w:val="3"/>
            <w:tcBorders>
              <w:top w:val="single" w:sz="4" w:space="0" w:color="auto"/>
              <w:left w:val="nil"/>
              <w:bottom w:val="single" w:sz="4" w:space="0" w:color="auto"/>
              <w:right w:val="double" w:sz="6" w:space="0" w:color="000000"/>
            </w:tcBorders>
            <w:shd w:val="clear" w:color="auto" w:fill="auto"/>
            <w:vAlign w:val="center"/>
            <w:hideMark/>
          </w:tcPr>
          <w:p w:rsidR="000B3585" w:rsidRPr="00F30705" w:rsidRDefault="000B3585" w:rsidP="000B3585">
            <w:pPr>
              <w:jc w:val="center"/>
              <w:rPr>
                <w:b/>
                <w:bCs/>
                <w:sz w:val="24"/>
                <w:szCs w:val="24"/>
                <w:lang w:eastAsia="es-CR"/>
              </w:rPr>
            </w:pPr>
            <w:r w:rsidRPr="00F30705">
              <w:rPr>
                <w:b/>
                <w:bCs/>
                <w:sz w:val="24"/>
                <w:szCs w:val="24"/>
                <w:lang w:eastAsia="es-CR"/>
              </w:rPr>
              <w:t>Año</w:t>
            </w:r>
          </w:p>
        </w:tc>
        <w:tc>
          <w:tcPr>
            <w:tcW w:w="1240" w:type="dxa"/>
            <w:vMerge w:val="restart"/>
            <w:tcBorders>
              <w:top w:val="nil"/>
              <w:left w:val="nil"/>
              <w:bottom w:val="nil"/>
              <w:right w:val="nil"/>
            </w:tcBorders>
            <w:shd w:val="clear" w:color="auto" w:fill="auto"/>
            <w:vAlign w:val="center"/>
            <w:hideMark/>
          </w:tcPr>
          <w:p w:rsidR="000B3585" w:rsidRPr="00F30705" w:rsidRDefault="000B3585" w:rsidP="000B3585">
            <w:pPr>
              <w:jc w:val="center"/>
              <w:rPr>
                <w:b/>
                <w:bCs/>
                <w:sz w:val="24"/>
                <w:szCs w:val="24"/>
                <w:u w:val="single"/>
                <w:lang w:eastAsia="es-CR"/>
              </w:rPr>
            </w:pPr>
            <w:r w:rsidRPr="00F30705">
              <w:rPr>
                <w:b/>
                <w:bCs/>
                <w:sz w:val="24"/>
                <w:szCs w:val="24"/>
                <w:u w:val="single"/>
                <w:lang w:eastAsia="es-CR"/>
              </w:rPr>
              <w:t>Variación 2014/2015</w:t>
            </w:r>
          </w:p>
        </w:tc>
      </w:tr>
      <w:tr w:rsidR="000B3585" w:rsidRPr="00F30705" w:rsidTr="000B3585">
        <w:trPr>
          <w:trHeight w:val="315"/>
          <w:jc w:val="center"/>
        </w:trPr>
        <w:tc>
          <w:tcPr>
            <w:tcW w:w="4080" w:type="dxa"/>
            <w:vMerge/>
            <w:tcBorders>
              <w:top w:val="nil"/>
              <w:left w:val="nil"/>
              <w:bottom w:val="nil"/>
              <w:right w:val="nil"/>
            </w:tcBorders>
            <w:vAlign w:val="center"/>
            <w:hideMark/>
          </w:tcPr>
          <w:p w:rsidR="000B3585" w:rsidRPr="00F30705" w:rsidRDefault="000B3585" w:rsidP="000B3585">
            <w:pPr>
              <w:rPr>
                <w:b/>
                <w:bCs/>
                <w:sz w:val="24"/>
                <w:szCs w:val="24"/>
                <w:u w:val="single"/>
                <w:lang w:eastAsia="es-CR"/>
              </w:rPr>
            </w:pPr>
          </w:p>
        </w:tc>
        <w:tc>
          <w:tcPr>
            <w:tcW w:w="700" w:type="dxa"/>
            <w:tcBorders>
              <w:top w:val="nil"/>
              <w:left w:val="nil"/>
              <w:bottom w:val="nil"/>
              <w:right w:val="nil"/>
            </w:tcBorders>
            <w:shd w:val="clear" w:color="auto" w:fill="auto"/>
            <w:vAlign w:val="center"/>
            <w:hideMark/>
          </w:tcPr>
          <w:p w:rsidR="000B3585" w:rsidRPr="00F30705" w:rsidRDefault="000B3585" w:rsidP="000B3585">
            <w:pPr>
              <w:jc w:val="center"/>
              <w:rPr>
                <w:b/>
                <w:bCs/>
                <w:sz w:val="24"/>
                <w:szCs w:val="24"/>
                <w:u w:val="single"/>
                <w:lang w:eastAsia="es-CR"/>
              </w:rPr>
            </w:pPr>
            <w:r w:rsidRPr="00F30705">
              <w:rPr>
                <w:b/>
                <w:bCs/>
                <w:sz w:val="24"/>
                <w:szCs w:val="24"/>
                <w:u w:val="single"/>
                <w:lang w:eastAsia="es-CR"/>
              </w:rPr>
              <w:t>2013</w:t>
            </w:r>
          </w:p>
        </w:tc>
        <w:tc>
          <w:tcPr>
            <w:tcW w:w="700" w:type="dxa"/>
            <w:tcBorders>
              <w:top w:val="nil"/>
              <w:left w:val="nil"/>
              <w:bottom w:val="nil"/>
              <w:right w:val="nil"/>
            </w:tcBorders>
            <w:shd w:val="clear" w:color="auto" w:fill="auto"/>
            <w:vAlign w:val="center"/>
            <w:hideMark/>
          </w:tcPr>
          <w:p w:rsidR="000B3585" w:rsidRPr="00F30705" w:rsidRDefault="000B3585" w:rsidP="000B3585">
            <w:pPr>
              <w:jc w:val="center"/>
              <w:rPr>
                <w:b/>
                <w:bCs/>
                <w:sz w:val="24"/>
                <w:szCs w:val="24"/>
                <w:u w:val="single"/>
                <w:lang w:eastAsia="es-CR"/>
              </w:rPr>
            </w:pPr>
            <w:r w:rsidRPr="00F30705">
              <w:rPr>
                <w:b/>
                <w:bCs/>
                <w:sz w:val="24"/>
                <w:szCs w:val="24"/>
                <w:u w:val="single"/>
                <w:lang w:eastAsia="es-CR"/>
              </w:rPr>
              <w:t>2014</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center"/>
              <w:rPr>
                <w:b/>
                <w:bCs/>
                <w:sz w:val="24"/>
                <w:szCs w:val="24"/>
                <w:u w:val="single"/>
                <w:lang w:eastAsia="es-CR"/>
              </w:rPr>
            </w:pPr>
            <w:r w:rsidRPr="00F30705">
              <w:rPr>
                <w:b/>
                <w:bCs/>
                <w:sz w:val="24"/>
                <w:szCs w:val="24"/>
                <w:u w:val="single"/>
                <w:lang w:eastAsia="es-CR"/>
              </w:rPr>
              <w:t>2015</w:t>
            </w:r>
          </w:p>
        </w:tc>
        <w:tc>
          <w:tcPr>
            <w:tcW w:w="1240" w:type="dxa"/>
            <w:vMerge/>
            <w:tcBorders>
              <w:top w:val="nil"/>
              <w:left w:val="nil"/>
              <w:bottom w:val="nil"/>
              <w:right w:val="nil"/>
            </w:tcBorders>
            <w:vAlign w:val="center"/>
            <w:hideMark/>
          </w:tcPr>
          <w:p w:rsidR="000B3585" w:rsidRPr="00F30705" w:rsidRDefault="000B3585" w:rsidP="000B3585">
            <w:pPr>
              <w:rPr>
                <w:b/>
                <w:bCs/>
                <w:sz w:val="24"/>
                <w:szCs w:val="24"/>
                <w:u w:val="single"/>
                <w:lang w:eastAsia="es-CR"/>
              </w:rPr>
            </w:pPr>
          </w:p>
        </w:tc>
      </w:tr>
      <w:tr w:rsidR="000B3585" w:rsidRPr="00F30705" w:rsidTr="000B3585">
        <w:trPr>
          <w:trHeight w:val="780"/>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jc w:val="center"/>
              <w:rPr>
                <w:b/>
                <w:bCs/>
                <w:sz w:val="24"/>
                <w:szCs w:val="24"/>
                <w:u w:val="double"/>
                <w:lang w:eastAsia="es-CR"/>
              </w:rPr>
            </w:pPr>
            <w:r w:rsidRPr="00F30705">
              <w:rPr>
                <w:b/>
                <w:bCs/>
                <w:sz w:val="24"/>
                <w:szCs w:val="24"/>
                <w:u w:val="double"/>
                <w:lang w:eastAsia="es-CR"/>
              </w:rPr>
              <w:t>Total</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b/>
                <w:bCs/>
                <w:sz w:val="24"/>
                <w:szCs w:val="24"/>
                <w:u w:val="double"/>
                <w:lang w:eastAsia="es-CR"/>
              </w:rPr>
            </w:pPr>
            <w:r w:rsidRPr="00F30705">
              <w:rPr>
                <w:b/>
                <w:bCs/>
                <w:sz w:val="24"/>
                <w:szCs w:val="24"/>
                <w:u w:val="double"/>
                <w:lang w:eastAsia="es-CR"/>
              </w:rPr>
              <w:t>2.504</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b/>
                <w:bCs/>
                <w:sz w:val="24"/>
                <w:szCs w:val="24"/>
                <w:u w:val="double"/>
                <w:lang w:eastAsia="es-CR"/>
              </w:rPr>
            </w:pPr>
            <w:r w:rsidRPr="00F30705">
              <w:rPr>
                <w:b/>
                <w:bCs/>
                <w:sz w:val="24"/>
                <w:szCs w:val="24"/>
                <w:u w:val="double"/>
                <w:lang w:eastAsia="es-CR"/>
              </w:rPr>
              <w:t>2.741</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b/>
                <w:bCs/>
                <w:sz w:val="24"/>
                <w:szCs w:val="24"/>
                <w:u w:val="double"/>
                <w:lang w:eastAsia="es-CR"/>
              </w:rPr>
            </w:pPr>
            <w:r w:rsidRPr="00F30705">
              <w:rPr>
                <w:b/>
                <w:bCs/>
                <w:sz w:val="24"/>
                <w:szCs w:val="24"/>
                <w:u w:val="double"/>
                <w:lang w:eastAsia="es-CR"/>
              </w:rPr>
              <w:t>2.420</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b/>
                <w:bCs/>
                <w:sz w:val="24"/>
                <w:szCs w:val="24"/>
                <w:u w:val="double"/>
                <w:lang w:eastAsia="es-CR"/>
              </w:rPr>
            </w:pPr>
            <w:r w:rsidRPr="00F30705">
              <w:rPr>
                <w:b/>
                <w:bCs/>
                <w:sz w:val="24"/>
                <w:szCs w:val="24"/>
                <w:u w:val="double"/>
                <w:lang w:eastAsia="es-CR"/>
              </w:rPr>
              <w:t>-321</w:t>
            </w:r>
          </w:p>
        </w:tc>
      </w:tr>
      <w:tr w:rsidR="000B3585" w:rsidRPr="00F30705" w:rsidTr="000B3585">
        <w:trPr>
          <w:trHeight w:val="315"/>
          <w:jc w:val="center"/>
        </w:trPr>
        <w:tc>
          <w:tcPr>
            <w:tcW w:w="7420" w:type="dxa"/>
            <w:gridSpan w:val="5"/>
            <w:tcBorders>
              <w:top w:val="nil"/>
              <w:left w:val="nil"/>
              <w:bottom w:val="nil"/>
              <w:right w:val="nil"/>
            </w:tcBorders>
            <w:shd w:val="clear" w:color="000000" w:fill="FFC000"/>
            <w:vAlign w:val="center"/>
            <w:hideMark/>
          </w:tcPr>
          <w:p w:rsidR="000B3585" w:rsidRPr="00F30705" w:rsidRDefault="000B3585" w:rsidP="000B3585">
            <w:pPr>
              <w:jc w:val="center"/>
              <w:rPr>
                <w:b/>
                <w:bCs/>
                <w:sz w:val="24"/>
                <w:szCs w:val="24"/>
                <w:lang w:eastAsia="es-CR"/>
              </w:rPr>
            </w:pPr>
            <w:r w:rsidRPr="00F30705">
              <w:rPr>
                <w:b/>
                <w:bCs/>
                <w:sz w:val="24"/>
                <w:szCs w:val="24"/>
                <w:lang w:eastAsia="es-CR"/>
              </w:rPr>
              <w:t>Aumentos del  2014 al 2015</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Infracción Ley de Psicotrópicos</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180</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137</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152</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15</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fe pública</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26</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16</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22</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6</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Infracción leyes especiales</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30</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26</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32</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6</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Sexuales</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95</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94</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98</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4</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el ámbito de la intimidad</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20</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18</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21</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3</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los deberes de la función pública</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5</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6</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1</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Contravenciones</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0</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0</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0</w:t>
            </w:r>
          </w:p>
        </w:tc>
      </w:tr>
      <w:tr w:rsidR="000B3585" w:rsidRPr="00F30705" w:rsidTr="000B3585">
        <w:trPr>
          <w:trHeight w:val="315"/>
          <w:jc w:val="center"/>
        </w:trPr>
        <w:tc>
          <w:tcPr>
            <w:tcW w:w="7420" w:type="dxa"/>
            <w:gridSpan w:val="5"/>
            <w:tcBorders>
              <w:top w:val="nil"/>
              <w:left w:val="nil"/>
              <w:bottom w:val="nil"/>
              <w:right w:val="nil"/>
            </w:tcBorders>
            <w:shd w:val="clear" w:color="000000" w:fill="FFC000"/>
            <w:vAlign w:val="center"/>
            <w:hideMark/>
          </w:tcPr>
          <w:p w:rsidR="000B3585" w:rsidRPr="00F30705" w:rsidRDefault="000B3585" w:rsidP="000B3585">
            <w:pPr>
              <w:jc w:val="center"/>
              <w:rPr>
                <w:b/>
                <w:bCs/>
                <w:sz w:val="24"/>
                <w:szCs w:val="24"/>
                <w:lang w:eastAsia="es-CR"/>
              </w:rPr>
            </w:pPr>
            <w:r w:rsidRPr="00F30705">
              <w:rPr>
                <w:b/>
                <w:bCs/>
                <w:sz w:val="24"/>
                <w:szCs w:val="24"/>
                <w:lang w:eastAsia="es-CR"/>
              </w:rPr>
              <w:t>Disminuciones del 2014 al 2015</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propiedad</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1.372</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1.545</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1.333</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-212</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vida</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198</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237</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191</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-46</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Infracción Ley de Armas y Explosivos</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120</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144</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113</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-31</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autoridad pública</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129</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147</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125</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-22</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Infracción Ley Penalizac. Viol. Ctra. Mujer</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174</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193</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180</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-13</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administración de justicia</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33</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36</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24</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-12</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seguridad común</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91</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101</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90</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-11</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el honor</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3</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5</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-3</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familia</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3</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5</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-3</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tranquilidad pública</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6</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4</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-2</w:t>
            </w:r>
          </w:p>
        </w:tc>
      </w:tr>
      <w:tr w:rsidR="000B3585" w:rsidRPr="00F30705" w:rsidTr="000B3585">
        <w:trPr>
          <w:trHeight w:val="315"/>
          <w:jc w:val="center"/>
        </w:trPr>
        <w:tc>
          <w:tcPr>
            <w:tcW w:w="4080" w:type="dxa"/>
            <w:tcBorders>
              <w:top w:val="nil"/>
              <w:left w:val="nil"/>
              <w:bottom w:val="nil"/>
              <w:right w:val="nil"/>
            </w:tcBorders>
            <w:shd w:val="clear" w:color="auto" w:fill="auto"/>
            <w:vAlign w:val="center"/>
            <w:hideMark/>
          </w:tcPr>
          <w:p w:rsidR="000B3585" w:rsidRPr="00F30705" w:rsidRDefault="000B3585" w:rsidP="000B3585">
            <w:pPr>
              <w:rPr>
                <w:sz w:val="24"/>
                <w:szCs w:val="24"/>
                <w:lang w:eastAsia="es-CR"/>
              </w:rPr>
            </w:pPr>
            <w:r w:rsidRPr="00F30705">
              <w:rPr>
                <w:sz w:val="24"/>
                <w:szCs w:val="24"/>
                <w:lang w:eastAsia="es-CR"/>
              </w:rPr>
              <w:t>Contra la libertad</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26</w:t>
            </w:r>
          </w:p>
        </w:tc>
        <w:tc>
          <w:tcPr>
            <w:tcW w:w="700" w:type="dxa"/>
            <w:tcBorders>
              <w:top w:val="nil"/>
              <w:left w:val="nil"/>
              <w:bottom w:val="nil"/>
              <w:right w:val="nil"/>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26</w:t>
            </w:r>
          </w:p>
        </w:tc>
        <w:tc>
          <w:tcPr>
            <w:tcW w:w="700" w:type="dxa"/>
            <w:tcBorders>
              <w:top w:val="nil"/>
              <w:left w:val="nil"/>
              <w:bottom w:val="nil"/>
              <w:right w:val="double" w:sz="6" w:space="0" w:color="auto"/>
            </w:tcBorders>
            <w:shd w:val="clear" w:color="auto" w:fill="auto"/>
            <w:vAlign w:val="center"/>
            <w:hideMark/>
          </w:tcPr>
          <w:p w:rsidR="000B3585" w:rsidRPr="00F30705" w:rsidRDefault="000B3585" w:rsidP="000B3585">
            <w:pPr>
              <w:jc w:val="right"/>
              <w:rPr>
                <w:sz w:val="24"/>
                <w:szCs w:val="24"/>
                <w:lang w:eastAsia="es-CR"/>
              </w:rPr>
            </w:pPr>
            <w:r w:rsidRPr="00F30705">
              <w:rPr>
                <w:sz w:val="24"/>
                <w:szCs w:val="24"/>
                <w:lang w:eastAsia="es-CR"/>
              </w:rPr>
              <w:t>25</w:t>
            </w:r>
          </w:p>
        </w:tc>
        <w:tc>
          <w:tcPr>
            <w:tcW w:w="1240" w:type="dxa"/>
            <w:tcBorders>
              <w:top w:val="nil"/>
              <w:left w:val="nil"/>
              <w:bottom w:val="nil"/>
              <w:right w:val="nil"/>
            </w:tcBorders>
            <w:shd w:val="clear" w:color="auto" w:fill="auto"/>
            <w:vAlign w:val="center"/>
            <w:hideMark/>
          </w:tcPr>
          <w:p w:rsidR="000B3585" w:rsidRPr="00F30705" w:rsidRDefault="000B3585" w:rsidP="000B3585">
            <w:pPr>
              <w:ind w:right="263"/>
              <w:jc w:val="right"/>
              <w:rPr>
                <w:sz w:val="24"/>
                <w:szCs w:val="24"/>
                <w:lang w:eastAsia="es-CR"/>
              </w:rPr>
            </w:pPr>
            <w:r w:rsidRPr="00F30705">
              <w:rPr>
                <w:sz w:val="24"/>
                <w:szCs w:val="24"/>
                <w:lang w:eastAsia="es-CR"/>
              </w:rPr>
              <w:t>-1</w:t>
            </w:r>
          </w:p>
        </w:tc>
      </w:tr>
    </w:tbl>
    <w:p w:rsidR="000B3585" w:rsidRPr="00F30705" w:rsidRDefault="000B3585" w:rsidP="00A61A32">
      <w:pPr>
        <w:spacing w:line="360" w:lineRule="auto"/>
        <w:jc w:val="both"/>
        <w:rPr>
          <w:sz w:val="28"/>
          <w:szCs w:val="28"/>
        </w:rPr>
      </w:pPr>
    </w:p>
    <w:p w:rsidR="00A61A32" w:rsidRPr="00F30705" w:rsidRDefault="00B51898" w:rsidP="00B51898">
      <w:pPr>
        <w:widowControl w:val="0"/>
        <w:autoSpaceDE w:val="0"/>
        <w:autoSpaceDN w:val="0"/>
        <w:adjustRightInd w:val="0"/>
        <w:spacing w:line="360" w:lineRule="auto"/>
        <w:jc w:val="both"/>
        <w:rPr>
          <w:sz w:val="28"/>
          <w:szCs w:val="28"/>
        </w:rPr>
      </w:pPr>
      <w:r w:rsidRPr="00F30705">
        <w:rPr>
          <w:b/>
          <w:bCs/>
          <w:sz w:val="28"/>
          <w:szCs w:val="28"/>
        </w:rPr>
        <w:t xml:space="preserve">III. </w:t>
      </w:r>
      <w:r w:rsidR="00A61A32" w:rsidRPr="00F30705">
        <w:rPr>
          <w:b/>
          <w:bCs/>
          <w:sz w:val="28"/>
          <w:szCs w:val="28"/>
        </w:rPr>
        <w:t>Personas Condenadas</w:t>
      </w:r>
      <w:r w:rsidR="00A61A32" w:rsidRPr="00F30705">
        <w:rPr>
          <w:sz w:val="28"/>
          <w:szCs w:val="28"/>
        </w:rPr>
        <w:t xml:space="preserve"> </w:t>
      </w:r>
    </w:p>
    <w:p w:rsidR="00A61A32" w:rsidRPr="00F30705" w:rsidRDefault="00A61A32" w:rsidP="00A61A32">
      <w:pPr>
        <w:spacing w:line="360" w:lineRule="auto"/>
        <w:jc w:val="both"/>
        <w:rPr>
          <w:sz w:val="28"/>
          <w:szCs w:val="28"/>
        </w:rPr>
      </w:pPr>
    </w:p>
    <w:p w:rsidR="00A61A32" w:rsidRPr="00F30705" w:rsidRDefault="00B51898" w:rsidP="00A61A32">
      <w:pPr>
        <w:spacing w:line="360" w:lineRule="auto"/>
        <w:jc w:val="both"/>
        <w:rPr>
          <w:b/>
          <w:bCs/>
          <w:sz w:val="28"/>
          <w:szCs w:val="28"/>
        </w:rPr>
      </w:pPr>
      <w:r w:rsidRPr="00F30705">
        <w:rPr>
          <w:b/>
          <w:bCs/>
          <w:sz w:val="28"/>
          <w:szCs w:val="28"/>
        </w:rPr>
        <w:lastRenderedPageBreak/>
        <w:t>3</w:t>
      </w:r>
      <w:r w:rsidR="00A61A32" w:rsidRPr="00F30705">
        <w:rPr>
          <w:b/>
          <w:bCs/>
          <w:sz w:val="28"/>
          <w:szCs w:val="28"/>
        </w:rPr>
        <w:t>.1 Tasas de condena</w:t>
      </w:r>
    </w:p>
    <w:p w:rsidR="00A61A32" w:rsidRPr="00F30705" w:rsidRDefault="00A61A32" w:rsidP="00A61A32">
      <w:pPr>
        <w:spacing w:line="360" w:lineRule="auto"/>
        <w:jc w:val="both"/>
        <w:rPr>
          <w:sz w:val="28"/>
          <w:szCs w:val="28"/>
        </w:rPr>
      </w:pPr>
    </w:p>
    <w:p w:rsidR="00CF43F8" w:rsidRPr="00F30705" w:rsidRDefault="00A61A32" w:rsidP="00CF43F8">
      <w:pPr>
        <w:spacing w:line="360" w:lineRule="auto"/>
        <w:jc w:val="both"/>
        <w:rPr>
          <w:sz w:val="28"/>
          <w:szCs w:val="28"/>
        </w:rPr>
      </w:pPr>
      <w:r w:rsidRPr="00F30705">
        <w:rPr>
          <w:sz w:val="28"/>
          <w:szCs w:val="28"/>
        </w:rPr>
        <w:t xml:space="preserve">La “Tasa Bruta de Condena” es un indicador estadístico con el cual se relaciona el volumen de sentencias condenatorias con la población. Es útil para realizar comparaciones internacionales y su cálculo en el tiempo permite observar la evolución o desarrollo. </w:t>
      </w:r>
    </w:p>
    <w:p w:rsidR="00CF43F8" w:rsidRPr="00F30705" w:rsidRDefault="00CF43F8" w:rsidP="00CF43F8">
      <w:pPr>
        <w:spacing w:line="360" w:lineRule="auto"/>
        <w:jc w:val="both"/>
        <w:rPr>
          <w:sz w:val="28"/>
          <w:szCs w:val="28"/>
        </w:rPr>
      </w:pPr>
    </w:p>
    <w:p w:rsidR="00CF43F8" w:rsidRPr="00F30705" w:rsidRDefault="00CF43F8" w:rsidP="00CF43F8">
      <w:pPr>
        <w:spacing w:line="360" w:lineRule="auto"/>
        <w:jc w:val="both"/>
        <w:rPr>
          <w:sz w:val="28"/>
          <w:szCs w:val="28"/>
        </w:rPr>
      </w:pPr>
      <w:r w:rsidRPr="00F30705">
        <w:rPr>
          <w:sz w:val="28"/>
          <w:szCs w:val="28"/>
        </w:rPr>
        <w:t>Las tasas específicas de condena se obtienen por sexo de las personas sentenciadas debido a que existen diferencias de magnitud importantes. En este apartado se muestra la “Tasa de condena para hombres” y la “Tasa de condena para mujeres”; se contrastan las cifras de condenados con la población masculina la obtener la primera mencionada y se relaciona el volumen de condenadas entre la población femenina.</w:t>
      </w:r>
    </w:p>
    <w:p w:rsidR="00CF43F8" w:rsidRPr="00F30705" w:rsidRDefault="00CF43F8" w:rsidP="00CF43F8">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A continuación se presentan los resultados de las tasas indicadas que están amplificadas por 100 mil habitantes.</w:t>
      </w:r>
    </w:p>
    <w:p w:rsidR="002269ED" w:rsidRPr="00F30705" w:rsidRDefault="002269ED" w:rsidP="00A61A32">
      <w:pPr>
        <w:spacing w:line="360" w:lineRule="auto"/>
        <w:jc w:val="both"/>
        <w:rPr>
          <w:b/>
          <w:bCs/>
          <w:sz w:val="28"/>
          <w:szCs w:val="28"/>
          <w:u w:val="single"/>
          <w:lang w:eastAsia="es-CR"/>
        </w:rPr>
      </w:pPr>
    </w:p>
    <w:tbl>
      <w:tblPr>
        <w:tblW w:w="7760" w:type="dxa"/>
        <w:jc w:val="center"/>
        <w:tblCellMar>
          <w:left w:w="70" w:type="dxa"/>
          <w:right w:w="70" w:type="dxa"/>
        </w:tblCellMar>
        <w:tblLook w:val="04A0" w:firstRow="1" w:lastRow="0" w:firstColumn="1" w:lastColumn="0" w:noHBand="0" w:noVBand="1"/>
      </w:tblPr>
      <w:tblGrid>
        <w:gridCol w:w="880"/>
        <w:gridCol w:w="2040"/>
        <w:gridCol w:w="2420"/>
        <w:gridCol w:w="2420"/>
      </w:tblGrid>
      <w:tr w:rsidR="002269ED" w:rsidRPr="00F30705" w:rsidTr="002269ED">
        <w:trPr>
          <w:trHeight w:val="375"/>
          <w:jc w:val="center"/>
        </w:trPr>
        <w:tc>
          <w:tcPr>
            <w:tcW w:w="7760" w:type="dxa"/>
            <w:gridSpan w:val="4"/>
            <w:tcBorders>
              <w:top w:val="single" w:sz="4" w:space="0" w:color="auto"/>
              <w:left w:val="single" w:sz="4" w:space="0" w:color="auto"/>
              <w:bottom w:val="single" w:sz="4" w:space="0" w:color="auto"/>
              <w:right w:val="single" w:sz="4" w:space="0" w:color="000000"/>
            </w:tcBorders>
            <w:shd w:val="clear" w:color="000000" w:fill="FCD5B4"/>
            <w:vAlign w:val="center"/>
            <w:hideMark/>
          </w:tcPr>
          <w:p w:rsidR="002269ED" w:rsidRPr="00F30705" w:rsidRDefault="002269ED" w:rsidP="002269ED">
            <w:pPr>
              <w:jc w:val="center"/>
              <w:rPr>
                <w:b/>
                <w:bCs/>
                <w:sz w:val="28"/>
                <w:szCs w:val="28"/>
                <w:u w:val="single"/>
                <w:lang w:eastAsia="es-CR"/>
              </w:rPr>
            </w:pPr>
            <w:r w:rsidRPr="00F30705">
              <w:rPr>
                <w:b/>
                <w:bCs/>
                <w:sz w:val="28"/>
                <w:szCs w:val="28"/>
                <w:u w:val="single"/>
                <w:lang w:eastAsia="es-CR"/>
              </w:rPr>
              <w:t>Tasas de condena por cada 100 mil habitantes</w:t>
            </w:r>
          </w:p>
        </w:tc>
      </w:tr>
      <w:tr w:rsidR="002269ED" w:rsidRPr="00F30705" w:rsidTr="002269ED">
        <w:trPr>
          <w:trHeight w:val="750"/>
          <w:jc w:val="center"/>
        </w:trPr>
        <w:tc>
          <w:tcPr>
            <w:tcW w:w="880" w:type="dxa"/>
            <w:tcBorders>
              <w:top w:val="nil"/>
              <w:left w:val="nil"/>
              <w:bottom w:val="nil"/>
              <w:right w:val="nil"/>
            </w:tcBorders>
            <w:shd w:val="clear" w:color="auto" w:fill="auto"/>
            <w:vAlign w:val="center"/>
            <w:hideMark/>
          </w:tcPr>
          <w:p w:rsidR="002269ED" w:rsidRPr="00F30705" w:rsidRDefault="002269ED" w:rsidP="002269ED">
            <w:pPr>
              <w:rPr>
                <w:b/>
                <w:bCs/>
                <w:sz w:val="28"/>
                <w:szCs w:val="28"/>
                <w:u w:val="single"/>
                <w:lang w:eastAsia="es-CR"/>
              </w:rPr>
            </w:pPr>
            <w:r w:rsidRPr="00F30705">
              <w:rPr>
                <w:b/>
                <w:bCs/>
                <w:sz w:val="28"/>
                <w:szCs w:val="28"/>
                <w:u w:val="single"/>
                <w:lang w:eastAsia="es-CR"/>
              </w:rPr>
              <w:t>Año</w:t>
            </w:r>
          </w:p>
        </w:tc>
        <w:tc>
          <w:tcPr>
            <w:tcW w:w="2040" w:type="dxa"/>
            <w:tcBorders>
              <w:top w:val="nil"/>
              <w:left w:val="nil"/>
              <w:bottom w:val="nil"/>
              <w:right w:val="nil"/>
            </w:tcBorders>
            <w:shd w:val="clear" w:color="auto" w:fill="auto"/>
            <w:vAlign w:val="center"/>
            <w:hideMark/>
          </w:tcPr>
          <w:p w:rsidR="002269ED" w:rsidRPr="00F30705" w:rsidRDefault="002269ED" w:rsidP="002269ED">
            <w:pPr>
              <w:jc w:val="center"/>
              <w:rPr>
                <w:b/>
                <w:bCs/>
                <w:sz w:val="28"/>
                <w:szCs w:val="28"/>
                <w:u w:val="single"/>
                <w:lang w:eastAsia="es-CR"/>
              </w:rPr>
            </w:pPr>
            <w:r w:rsidRPr="00F30705">
              <w:rPr>
                <w:b/>
                <w:bCs/>
                <w:sz w:val="28"/>
                <w:szCs w:val="28"/>
                <w:u w:val="single"/>
                <w:lang w:eastAsia="es-CR"/>
              </w:rPr>
              <w:t>Tasa bruta de</w:t>
            </w:r>
            <w:r w:rsidRPr="00F30705">
              <w:rPr>
                <w:b/>
                <w:bCs/>
                <w:sz w:val="28"/>
                <w:szCs w:val="28"/>
                <w:u w:val="single"/>
                <w:lang w:eastAsia="es-CR"/>
              </w:rPr>
              <w:br/>
              <w:t>condena</w:t>
            </w:r>
          </w:p>
        </w:tc>
        <w:tc>
          <w:tcPr>
            <w:tcW w:w="2420" w:type="dxa"/>
            <w:tcBorders>
              <w:top w:val="nil"/>
              <w:left w:val="nil"/>
              <w:bottom w:val="nil"/>
              <w:right w:val="nil"/>
            </w:tcBorders>
            <w:shd w:val="clear" w:color="auto" w:fill="auto"/>
            <w:vAlign w:val="center"/>
            <w:hideMark/>
          </w:tcPr>
          <w:p w:rsidR="002269ED" w:rsidRPr="00F30705" w:rsidRDefault="002269ED" w:rsidP="004F23E2">
            <w:pPr>
              <w:jc w:val="center"/>
              <w:rPr>
                <w:b/>
                <w:bCs/>
                <w:sz w:val="28"/>
                <w:szCs w:val="28"/>
                <w:u w:val="single"/>
                <w:lang w:eastAsia="es-CR"/>
              </w:rPr>
            </w:pPr>
            <w:r w:rsidRPr="00F30705">
              <w:rPr>
                <w:b/>
                <w:bCs/>
                <w:sz w:val="28"/>
                <w:szCs w:val="28"/>
                <w:u w:val="single"/>
                <w:lang w:eastAsia="es-CR"/>
              </w:rPr>
              <w:t xml:space="preserve">Tasa de condena </w:t>
            </w:r>
            <w:r w:rsidRPr="00F30705">
              <w:rPr>
                <w:b/>
                <w:bCs/>
                <w:sz w:val="28"/>
                <w:szCs w:val="28"/>
                <w:u w:val="single"/>
                <w:lang w:eastAsia="es-CR"/>
              </w:rPr>
              <w:br/>
            </w:r>
            <w:r w:rsidR="004F23E2">
              <w:rPr>
                <w:b/>
                <w:bCs/>
                <w:sz w:val="28"/>
                <w:szCs w:val="28"/>
                <w:u w:val="single"/>
                <w:lang w:eastAsia="es-CR"/>
              </w:rPr>
              <w:t>Hombres</w:t>
            </w:r>
          </w:p>
        </w:tc>
        <w:tc>
          <w:tcPr>
            <w:tcW w:w="2420" w:type="dxa"/>
            <w:tcBorders>
              <w:top w:val="nil"/>
              <w:left w:val="nil"/>
              <w:bottom w:val="nil"/>
              <w:right w:val="nil"/>
            </w:tcBorders>
            <w:shd w:val="clear" w:color="auto" w:fill="auto"/>
            <w:vAlign w:val="center"/>
            <w:hideMark/>
          </w:tcPr>
          <w:p w:rsidR="002269ED" w:rsidRPr="00F30705" w:rsidRDefault="002269ED" w:rsidP="004F23E2">
            <w:pPr>
              <w:jc w:val="center"/>
              <w:rPr>
                <w:b/>
                <w:bCs/>
                <w:sz w:val="28"/>
                <w:szCs w:val="28"/>
                <w:u w:val="single"/>
                <w:lang w:eastAsia="es-CR"/>
              </w:rPr>
            </w:pPr>
            <w:r w:rsidRPr="00F30705">
              <w:rPr>
                <w:b/>
                <w:bCs/>
                <w:sz w:val="28"/>
                <w:szCs w:val="28"/>
                <w:u w:val="single"/>
                <w:lang w:eastAsia="es-CR"/>
              </w:rPr>
              <w:t xml:space="preserve">Tasa de condena </w:t>
            </w:r>
            <w:r w:rsidRPr="00F30705">
              <w:rPr>
                <w:b/>
                <w:bCs/>
                <w:sz w:val="28"/>
                <w:szCs w:val="28"/>
                <w:u w:val="single"/>
                <w:lang w:eastAsia="es-CR"/>
              </w:rPr>
              <w:br/>
            </w:r>
            <w:r w:rsidR="004F23E2">
              <w:rPr>
                <w:b/>
                <w:bCs/>
                <w:sz w:val="28"/>
                <w:szCs w:val="28"/>
                <w:u w:val="single"/>
                <w:lang w:eastAsia="es-CR"/>
              </w:rPr>
              <w:t>mujeres</w:t>
            </w:r>
          </w:p>
        </w:tc>
      </w:tr>
      <w:tr w:rsidR="002269ED" w:rsidRPr="00F30705" w:rsidTr="002269ED">
        <w:trPr>
          <w:trHeight w:val="375"/>
          <w:jc w:val="center"/>
        </w:trPr>
        <w:tc>
          <w:tcPr>
            <w:tcW w:w="88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2009</w:t>
            </w:r>
          </w:p>
        </w:tc>
        <w:tc>
          <w:tcPr>
            <w:tcW w:w="204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111</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200</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w:t>
            </w:r>
          </w:p>
        </w:tc>
      </w:tr>
      <w:tr w:rsidR="002269ED" w:rsidRPr="00F30705" w:rsidTr="002269ED">
        <w:trPr>
          <w:trHeight w:val="375"/>
          <w:jc w:val="center"/>
        </w:trPr>
        <w:tc>
          <w:tcPr>
            <w:tcW w:w="88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2010</w:t>
            </w:r>
          </w:p>
        </w:tc>
        <w:tc>
          <w:tcPr>
            <w:tcW w:w="204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133</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241</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23</w:t>
            </w:r>
          </w:p>
        </w:tc>
      </w:tr>
      <w:tr w:rsidR="002269ED" w:rsidRPr="00F30705" w:rsidTr="002269ED">
        <w:trPr>
          <w:trHeight w:val="375"/>
          <w:jc w:val="center"/>
        </w:trPr>
        <w:tc>
          <w:tcPr>
            <w:tcW w:w="88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2011</w:t>
            </w:r>
          </w:p>
        </w:tc>
        <w:tc>
          <w:tcPr>
            <w:tcW w:w="204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154</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277</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29</w:t>
            </w:r>
          </w:p>
        </w:tc>
      </w:tr>
      <w:tr w:rsidR="002269ED" w:rsidRPr="00F30705" w:rsidTr="002269ED">
        <w:trPr>
          <w:trHeight w:val="375"/>
          <w:jc w:val="center"/>
        </w:trPr>
        <w:tc>
          <w:tcPr>
            <w:tcW w:w="88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2012</w:t>
            </w:r>
          </w:p>
        </w:tc>
        <w:tc>
          <w:tcPr>
            <w:tcW w:w="204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174</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313</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31</w:t>
            </w:r>
          </w:p>
        </w:tc>
      </w:tr>
      <w:tr w:rsidR="002269ED" w:rsidRPr="00F30705" w:rsidTr="002269ED">
        <w:trPr>
          <w:trHeight w:val="375"/>
          <w:jc w:val="center"/>
        </w:trPr>
        <w:tc>
          <w:tcPr>
            <w:tcW w:w="88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2013</w:t>
            </w:r>
          </w:p>
        </w:tc>
        <w:tc>
          <w:tcPr>
            <w:tcW w:w="204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186</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339</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31</w:t>
            </w:r>
          </w:p>
        </w:tc>
      </w:tr>
      <w:tr w:rsidR="002269ED" w:rsidRPr="00F30705" w:rsidTr="002269ED">
        <w:trPr>
          <w:trHeight w:val="375"/>
          <w:jc w:val="center"/>
        </w:trPr>
        <w:tc>
          <w:tcPr>
            <w:tcW w:w="88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2014</w:t>
            </w:r>
          </w:p>
        </w:tc>
        <w:tc>
          <w:tcPr>
            <w:tcW w:w="204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185</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335</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32</w:t>
            </w:r>
          </w:p>
        </w:tc>
      </w:tr>
      <w:tr w:rsidR="002269ED" w:rsidRPr="00F30705" w:rsidTr="002269ED">
        <w:trPr>
          <w:trHeight w:val="375"/>
          <w:jc w:val="center"/>
        </w:trPr>
        <w:tc>
          <w:tcPr>
            <w:tcW w:w="88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2015</w:t>
            </w:r>
          </w:p>
        </w:tc>
        <w:tc>
          <w:tcPr>
            <w:tcW w:w="204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184</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337</w:t>
            </w:r>
          </w:p>
        </w:tc>
        <w:tc>
          <w:tcPr>
            <w:tcW w:w="2420" w:type="dxa"/>
            <w:tcBorders>
              <w:top w:val="nil"/>
              <w:left w:val="nil"/>
              <w:bottom w:val="nil"/>
              <w:right w:val="nil"/>
            </w:tcBorders>
            <w:shd w:val="clear" w:color="auto" w:fill="auto"/>
            <w:vAlign w:val="center"/>
            <w:hideMark/>
          </w:tcPr>
          <w:p w:rsidR="002269ED" w:rsidRPr="00F30705" w:rsidRDefault="002269ED" w:rsidP="002269ED">
            <w:pPr>
              <w:jc w:val="center"/>
              <w:rPr>
                <w:sz w:val="28"/>
                <w:szCs w:val="28"/>
                <w:lang w:eastAsia="es-CR"/>
              </w:rPr>
            </w:pPr>
            <w:r w:rsidRPr="00F30705">
              <w:rPr>
                <w:sz w:val="28"/>
                <w:szCs w:val="28"/>
                <w:lang w:eastAsia="es-CR"/>
              </w:rPr>
              <w:t>27</w:t>
            </w:r>
          </w:p>
        </w:tc>
      </w:tr>
    </w:tbl>
    <w:p w:rsidR="002269ED" w:rsidRPr="00F30705" w:rsidRDefault="002269ED" w:rsidP="00A61A32">
      <w:pPr>
        <w:spacing w:line="360" w:lineRule="auto"/>
        <w:jc w:val="both"/>
        <w:rPr>
          <w:b/>
          <w:bCs/>
          <w:sz w:val="28"/>
          <w:szCs w:val="28"/>
          <w:u w:val="single"/>
          <w:lang w:eastAsia="es-CR"/>
        </w:rPr>
      </w:pPr>
    </w:p>
    <w:p w:rsidR="00A61A32" w:rsidRPr="00F30705" w:rsidRDefault="00CF43F8" w:rsidP="00A61A32">
      <w:pPr>
        <w:spacing w:line="360" w:lineRule="auto"/>
        <w:jc w:val="both"/>
        <w:rPr>
          <w:sz w:val="28"/>
          <w:szCs w:val="28"/>
        </w:rPr>
      </w:pPr>
      <w:r w:rsidRPr="00F30705">
        <w:rPr>
          <w:sz w:val="28"/>
          <w:szCs w:val="28"/>
        </w:rPr>
        <w:t>De la información anterior</w:t>
      </w:r>
      <w:r w:rsidR="001A57A4" w:rsidRPr="00F30705">
        <w:rPr>
          <w:sz w:val="28"/>
          <w:szCs w:val="28"/>
        </w:rPr>
        <w:t>,</w:t>
      </w:r>
      <w:r w:rsidRPr="00F30705">
        <w:rPr>
          <w:sz w:val="28"/>
          <w:szCs w:val="28"/>
        </w:rPr>
        <w:t xml:space="preserve"> se tiene que la condena por cada cien mil habitantes (</w:t>
      </w:r>
      <w:r w:rsidR="00A61A32" w:rsidRPr="00F30705">
        <w:rPr>
          <w:sz w:val="28"/>
          <w:szCs w:val="28"/>
        </w:rPr>
        <w:t>Tasa Bruta de Condena</w:t>
      </w:r>
      <w:r w:rsidRPr="00F30705">
        <w:rPr>
          <w:sz w:val="28"/>
          <w:szCs w:val="28"/>
        </w:rPr>
        <w:t>) es relativamente estable en los últimos tres años (</w:t>
      </w:r>
      <w:r w:rsidRPr="00F30705">
        <w:rPr>
          <w:b/>
          <w:sz w:val="28"/>
          <w:szCs w:val="28"/>
        </w:rPr>
        <w:t>186</w:t>
      </w:r>
      <w:r w:rsidRPr="00F30705">
        <w:rPr>
          <w:sz w:val="28"/>
          <w:szCs w:val="28"/>
        </w:rPr>
        <w:t xml:space="preserve"> en el 2013, </w:t>
      </w:r>
      <w:r w:rsidRPr="00F30705">
        <w:rPr>
          <w:b/>
          <w:sz w:val="28"/>
          <w:szCs w:val="28"/>
        </w:rPr>
        <w:t>185</w:t>
      </w:r>
      <w:r w:rsidRPr="00F30705">
        <w:rPr>
          <w:sz w:val="28"/>
          <w:szCs w:val="28"/>
        </w:rPr>
        <w:t xml:space="preserve"> en el 2014 y de </w:t>
      </w:r>
      <w:r w:rsidRPr="00F30705">
        <w:rPr>
          <w:b/>
          <w:sz w:val="28"/>
          <w:szCs w:val="28"/>
        </w:rPr>
        <w:t>184</w:t>
      </w:r>
      <w:r w:rsidRPr="00F30705">
        <w:rPr>
          <w:sz w:val="28"/>
          <w:szCs w:val="28"/>
        </w:rPr>
        <w:t xml:space="preserve"> en el 2015). No obstante</w:t>
      </w:r>
      <w:r w:rsidR="001A57A4" w:rsidRPr="00F30705">
        <w:rPr>
          <w:sz w:val="28"/>
          <w:szCs w:val="28"/>
        </w:rPr>
        <w:t>,</w:t>
      </w:r>
      <w:r w:rsidRPr="00F30705">
        <w:rPr>
          <w:sz w:val="28"/>
          <w:szCs w:val="28"/>
        </w:rPr>
        <w:t xml:space="preserve"> al observar el comportamiento por sexo (Tasas específicas por sexo)</w:t>
      </w:r>
      <w:r w:rsidR="001A57A4" w:rsidRPr="00F30705">
        <w:rPr>
          <w:sz w:val="28"/>
          <w:szCs w:val="28"/>
        </w:rPr>
        <w:t>, s</w:t>
      </w:r>
      <w:r w:rsidRPr="00F30705">
        <w:rPr>
          <w:sz w:val="28"/>
          <w:szCs w:val="28"/>
        </w:rPr>
        <w:t>e observan diferencias; los condenados por cada cien mil habitantes masculinos se presentan relativamente estables en los dos últimos años (</w:t>
      </w:r>
      <w:r w:rsidRPr="00F30705">
        <w:rPr>
          <w:b/>
          <w:sz w:val="28"/>
          <w:szCs w:val="28"/>
        </w:rPr>
        <w:t>335</w:t>
      </w:r>
      <w:r w:rsidRPr="00F30705">
        <w:rPr>
          <w:sz w:val="28"/>
          <w:szCs w:val="28"/>
        </w:rPr>
        <w:t xml:space="preserve"> en el 2014 y </w:t>
      </w:r>
      <w:r w:rsidRPr="00F30705">
        <w:rPr>
          <w:b/>
          <w:sz w:val="28"/>
          <w:szCs w:val="28"/>
        </w:rPr>
        <w:t>337</w:t>
      </w:r>
      <w:r w:rsidRPr="00F30705">
        <w:rPr>
          <w:sz w:val="28"/>
          <w:szCs w:val="28"/>
        </w:rPr>
        <w:t xml:space="preserve"> en el 2015) mientras que las condenadas por cada cien mil habitantes femeninas cae a </w:t>
      </w:r>
      <w:r w:rsidR="00ED0929" w:rsidRPr="00F30705">
        <w:rPr>
          <w:b/>
          <w:sz w:val="28"/>
          <w:szCs w:val="28"/>
        </w:rPr>
        <w:t>27</w:t>
      </w:r>
      <w:r w:rsidR="00ED448B" w:rsidRPr="00F30705">
        <w:rPr>
          <w:sz w:val="28"/>
          <w:szCs w:val="28"/>
        </w:rPr>
        <w:t xml:space="preserve"> durante el 2015, </w:t>
      </w:r>
      <w:r w:rsidR="00ED0929" w:rsidRPr="00F30705">
        <w:rPr>
          <w:sz w:val="28"/>
          <w:szCs w:val="28"/>
        </w:rPr>
        <w:t xml:space="preserve">que un año antes eran </w:t>
      </w:r>
      <w:r w:rsidR="00ED0929" w:rsidRPr="00F30705">
        <w:rPr>
          <w:b/>
          <w:sz w:val="28"/>
          <w:szCs w:val="28"/>
        </w:rPr>
        <w:t>32</w:t>
      </w:r>
      <w:r w:rsidR="00ED0929" w:rsidRPr="00F30705">
        <w:rPr>
          <w:sz w:val="28"/>
          <w:szCs w:val="28"/>
        </w:rPr>
        <w:t xml:space="preserve"> condenas </w:t>
      </w:r>
      <w:r w:rsidR="00ED448B" w:rsidRPr="00F30705">
        <w:rPr>
          <w:sz w:val="28"/>
          <w:szCs w:val="28"/>
        </w:rPr>
        <w:t xml:space="preserve">a mujeres </w:t>
      </w:r>
      <w:r w:rsidR="00ED0929" w:rsidRPr="00F30705">
        <w:rPr>
          <w:sz w:val="28"/>
          <w:szCs w:val="28"/>
        </w:rPr>
        <w:t>por cada cien mil habitantes</w:t>
      </w:r>
      <w:r w:rsidR="00ED448B" w:rsidRPr="00F30705">
        <w:rPr>
          <w:sz w:val="28"/>
          <w:szCs w:val="28"/>
        </w:rPr>
        <w:t xml:space="preserve"> femeninas</w:t>
      </w:r>
      <w:r w:rsidR="00ED0929" w:rsidRPr="00F30705">
        <w:rPr>
          <w:sz w:val="28"/>
          <w:szCs w:val="28"/>
        </w:rPr>
        <w:t>.</w:t>
      </w:r>
    </w:p>
    <w:p w:rsidR="00A61A32" w:rsidRPr="00F30705" w:rsidRDefault="00A61A32" w:rsidP="00A61A32">
      <w:pPr>
        <w:spacing w:line="360" w:lineRule="auto"/>
        <w:jc w:val="both"/>
        <w:rPr>
          <w:sz w:val="28"/>
          <w:szCs w:val="28"/>
        </w:rPr>
      </w:pPr>
    </w:p>
    <w:p w:rsidR="00A61A32" w:rsidRPr="00F30705" w:rsidRDefault="00B51898" w:rsidP="00A61A32">
      <w:pPr>
        <w:spacing w:line="360" w:lineRule="auto"/>
        <w:jc w:val="both"/>
        <w:rPr>
          <w:b/>
          <w:bCs/>
          <w:sz w:val="28"/>
          <w:szCs w:val="28"/>
        </w:rPr>
      </w:pPr>
      <w:r w:rsidRPr="00F30705">
        <w:rPr>
          <w:b/>
          <w:bCs/>
          <w:sz w:val="28"/>
          <w:szCs w:val="28"/>
        </w:rPr>
        <w:t>3</w:t>
      </w:r>
      <w:r w:rsidR="00A61A32" w:rsidRPr="00F30705">
        <w:rPr>
          <w:b/>
          <w:bCs/>
          <w:sz w:val="28"/>
          <w:szCs w:val="28"/>
        </w:rPr>
        <w:t>.2 Condena según sexo</w:t>
      </w:r>
    </w:p>
    <w:p w:rsidR="00A61A32" w:rsidRPr="00F30705" w:rsidRDefault="00A61A32" w:rsidP="00A61A32">
      <w:pPr>
        <w:spacing w:line="360" w:lineRule="auto"/>
        <w:jc w:val="both"/>
        <w:rPr>
          <w:sz w:val="28"/>
          <w:szCs w:val="28"/>
        </w:rPr>
      </w:pPr>
    </w:p>
    <w:p w:rsidR="00701585" w:rsidRPr="00F30705" w:rsidRDefault="00F00E15" w:rsidP="00701585">
      <w:pPr>
        <w:spacing w:line="360" w:lineRule="auto"/>
        <w:jc w:val="both"/>
        <w:rPr>
          <w:sz w:val="28"/>
          <w:szCs w:val="28"/>
        </w:rPr>
      </w:pPr>
      <w:r w:rsidRPr="00F30705">
        <w:rPr>
          <w:sz w:val="28"/>
          <w:szCs w:val="28"/>
        </w:rPr>
        <w:t>En cuanto a las cifras absolutas de condena entre hombres y mu</w:t>
      </w:r>
      <w:r w:rsidR="00011AE7" w:rsidRPr="00F30705">
        <w:rPr>
          <w:sz w:val="28"/>
          <w:szCs w:val="28"/>
        </w:rPr>
        <w:t>j</w:t>
      </w:r>
      <w:r w:rsidRPr="00F30705">
        <w:rPr>
          <w:sz w:val="28"/>
          <w:szCs w:val="28"/>
        </w:rPr>
        <w:t>eres se tiene que durante el 2015</w:t>
      </w:r>
      <w:r w:rsidR="00A61A32" w:rsidRPr="00F30705">
        <w:rPr>
          <w:sz w:val="28"/>
          <w:szCs w:val="28"/>
        </w:rPr>
        <w:t xml:space="preserve">, el total de </w:t>
      </w:r>
      <w:r w:rsidRPr="00F30705">
        <w:rPr>
          <w:sz w:val="28"/>
          <w:szCs w:val="28"/>
        </w:rPr>
        <w:t>hombres</w:t>
      </w:r>
      <w:r w:rsidR="00A61A32" w:rsidRPr="00F30705">
        <w:rPr>
          <w:sz w:val="28"/>
          <w:szCs w:val="28"/>
        </w:rPr>
        <w:t xml:space="preserve"> condenad</w:t>
      </w:r>
      <w:r w:rsidRPr="00F30705">
        <w:rPr>
          <w:sz w:val="28"/>
          <w:szCs w:val="28"/>
        </w:rPr>
        <w:t>o</w:t>
      </w:r>
      <w:r w:rsidR="00A61A32" w:rsidRPr="00F30705">
        <w:rPr>
          <w:sz w:val="28"/>
          <w:szCs w:val="28"/>
        </w:rPr>
        <w:t xml:space="preserve">s llega a </w:t>
      </w:r>
      <w:r w:rsidR="00A61A32" w:rsidRPr="00F30705">
        <w:rPr>
          <w:b/>
          <w:bCs/>
          <w:sz w:val="28"/>
          <w:szCs w:val="28"/>
        </w:rPr>
        <w:t>8</w:t>
      </w:r>
      <w:r w:rsidRPr="00F30705">
        <w:rPr>
          <w:b/>
          <w:bCs/>
          <w:sz w:val="28"/>
          <w:szCs w:val="28"/>
        </w:rPr>
        <w:t>.219</w:t>
      </w:r>
      <w:r w:rsidR="00A61A32" w:rsidRPr="00F30705">
        <w:rPr>
          <w:sz w:val="28"/>
          <w:szCs w:val="28"/>
        </w:rPr>
        <w:t xml:space="preserve">, sea </w:t>
      </w:r>
      <w:r w:rsidR="00A61A32" w:rsidRPr="00F30705">
        <w:rPr>
          <w:b/>
          <w:bCs/>
          <w:sz w:val="28"/>
          <w:szCs w:val="28"/>
        </w:rPr>
        <w:t>1</w:t>
      </w:r>
      <w:r w:rsidRPr="00F30705">
        <w:rPr>
          <w:b/>
          <w:bCs/>
          <w:sz w:val="28"/>
          <w:szCs w:val="28"/>
        </w:rPr>
        <w:t>36</w:t>
      </w:r>
      <w:r w:rsidR="00A61A32" w:rsidRPr="00F30705">
        <w:rPr>
          <w:sz w:val="28"/>
          <w:szCs w:val="28"/>
        </w:rPr>
        <w:t xml:space="preserve"> más que el año anterior, para un incremento relativo de </w:t>
      </w:r>
      <w:r w:rsidRPr="00F30705">
        <w:rPr>
          <w:sz w:val="28"/>
          <w:szCs w:val="28"/>
        </w:rPr>
        <w:t>casi un 2% (</w:t>
      </w:r>
      <w:r w:rsidRPr="00F30705">
        <w:rPr>
          <w:b/>
          <w:sz w:val="28"/>
          <w:szCs w:val="28"/>
        </w:rPr>
        <w:t>1,7%</w:t>
      </w:r>
      <w:r w:rsidRPr="00F30705">
        <w:rPr>
          <w:sz w:val="28"/>
          <w:szCs w:val="28"/>
        </w:rPr>
        <w:t xml:space="preserve">). </w:t>
      </w:r>
      <w:r w:rsidR="00A61A32" w:rsidRPr="00F30705">
        <w:rPr>
          <w:sz w:val="28"/>
          <w:szCs w:val="28"/>
        </w:rPr>
        <w:t xml:space="preserve">A su vez, </w:t>
      </w:r>
      <w:r w:rsidR="004A79FB" w:rsidRPr="00F30705">
        <w:rPr>
          <w:sz w:val="28"/>
          <w:szCs w:val="28"/>
        </w:rPr>
        <w:t>tal</w:t>
      </w:r>
      <w:r w:rsidR="00A61A32" w:rsidRPr="00F30705">
        <w:rPr>
          <w:sz w:val="28"/>
          <w:szCs w:val="28"/>
        </w:rPr>
        <w:t xml:space="preserve"> volumen de condena</w:t>
      </w:r>
      <w:r w:rsidR="004A79FB" w:rsidRPr="00F30705">
        <w:rPr>
          <w:sz w:val="28"/>
          <w:szCs w:val="28"/>
        </w:rPr>
        <w:t xml:space="preserve"> es</w:t>
      </w:r>
      <w:r w:rsidR="00A61A32" w:rsidRPr="00F30705">
        <w:rPr>
          <w:sz w:val="28"/>
          <w:szCs w:val="28"/>
        </w:rPr>
        <w:t xml:space="preserve"> el dato más alto de los últimos años. Por otro lado</w:t>
      </w:r>
      <w:r w:rsidR="004A79FB" w:rsidRPr="00F30705">
        <w:rPr>
          <w:sz w:val="28"/>
          <w:szCs w:val="28"/>
        </w:rPr>
        <w:t>, se</w:t>
      </w:r>
      <w:r w:rsidR="00A61A32" w:rsidRPr="00F30705">
        <w:rPr>
          <w:sz w:val="28"/>
          <w:szCs w:val="28"/>
        </w:rPr>
        <w:t xml:space="preserve"> conden</w:t>
      </w:r>
      <w:r w:rsidR="004A79FB" w:rsidRPr="00F30705">
        <w:rPr>
          <w:sz w:val="28"/>
          <w:szCs w:val="28"/>
        </w:rPr>
        <w:t xml:space="preserve">ó </w:t>
      </w:r>
      <w:r w:rsidR="004A79FB" w:rsidRPr="00F30705">
        <w:rPr>
          <w:b/>
          <w:sz w:val="28"/>
          <w:szCs w:val="28"/>
        </w:rPr>
        <w:t>652</w:t>
      </w:r>
      <w:r w:rsidR="004A79FB" w:rsidRPr="00F30705">
        <w:rPr>
          <w:sz w:val="28"/>
          <w:szCs w:val="28"/>
        </w:rPr>
        <w:t xml:space="preserve"> mueres en el 2015 cuando que un año antes fueron</w:t>
      </w:r>
      <w:r w:rsidR="00A61A32" w:rsidRPr="00F30705">
        <w:rPr>
          <w:sz w:val="28"/>
          <w:szCs w:val="28"/>
        </w:rPr>
        <w:t xml:space="preserve"> </w:t>
      </w:r>
      <w:r w:rsidR="00A61A32" w:rsidRPr="00F30705">
        <w:rPr>
          <w:b/>
          <w:bCs/>
          <w:sz w:val="28"/>
          <w:szCs w:val="28"/>
        </w:rPr>
        <w:t>745</w:t>
      </w:r>
      <w:r w:rsidR="00A61A32" w:rsidRPr="00F30705">
        <w:rPr>
          <w:sz w:val="28"/>
          <w:szCs w:val="28"/>
        </w:rPr>
        <w:t xml:space="preserve"> </w:t>
      </w:r>
      <w:r w:rsidR="004A79FB" w:rsidRPr="00F30705">
        <w:rPr>
          <w:sz w:val="28"/>
          <w:szCs w:val="28"/>
        </w:rPr>
        <w:t xml:space="preserve">lo que significa que </w:t>
      </w:r>
      <w:r w:rsidR="004A79FB" w:rsidRPr="00F30705">
        <w:rPr>
          <w:b/>
          <w:sz w:val="28"/>
          <w:szCs w:val="28"/>
        </w:rPr>
        <w:t>93</w:t>
      </w:r>
      <w:r w:rsidR="004A79FB" w:rsidRPr="00F30705">
        <w:rPr>
          <w:sz w:val="28"/>
          <w:szCs w:val="28"/>
        </w:rPr>
        <w:t xml:space="preserve"> condenas menos representan una baja relativa de poco más del </w:t>
      </w:r>
      <w:r w:rsidR="004A79FB" w:rsidRPr="00F30705">
        <w:rPr>
          <w:b/>
          <w:sz w:val="28"/>
          <w:szCs w:val="28"/>
        </w:rPr>
        <w:t>12%</w:t>
      </w:r>
      <w:r w:rsidR="004A79FB" w:rsidRPr="00F30705">
        <w:rPr>
          <w:sz w:val="28"/>
          <w:szCs w:val="28"/>
        </w:rPr>
        <w:t>.</w:t>
      </w:r>
      <w:r w:rsidR="00701585" w:rsidRPr="00F30705">
        <w:rPr>
          <w:sz w:val="28"/>
          <w:szCs w:val="28"/>
        </w:rPr>
        <w:t xml:space="preserve"> Estos patrones se derivan del gráfico </w:t>
      </w:r>
      <w:r w:rsidR="00415D2D">
        <w:rPr>
          <w:sz w:val="28"/>
          <w:szCs w:val="28"/>
        </w:rPr>
        <w:t>“</w:t>
      </w:r>
      <w:r w:rsidR="00701585" w:rsidRPr="00F30705">
        <w:rPr>
          <w:sz w:val="28"/>
          <w:szCs w:val="28"/>
        </w:rPr>
        <w:t>9</w:t>
      </w:r>
      <w:r w:rsidR="00415D2D">
        <w:rPr>
          <w:sz w:val="28"/>
          <w:szCs w:val="28"/>
        </w:rPr>
        <w:t>”</w:t>
      </w:r>
      <w:r w:rsidR="00701585" w:rsidRPr="00F30705">
        <w:rPr>
          <w:sz w:val="28"/>
          <w:szCs w:val="28"/>
        </w:rPr>
        <w:t xml:space="preserve"> anterior, en donde se despliega  </w:t>
      </w:r>
      <w:r w:rsidR="008F354F" w:rsidRPr="00F30705">
        <w:rPr>
          <w:sz w:val="28"/>
          <w:szCs w:val="28"/>
        </w:rPr>
        <w:t>los</w:t>
      </w:r>
      <w:r w:rsidR="00701585" w:rsidRPr="00F30705">
        <w:rPr>
          <w:sz w:val="28"/>
          <w:szCs w:val="28"/>
        </w:rPr>
        <w:t xml:space="preserve"> comportamiento</w:t>
      </w:r>
      <w:r w:rsidR="008F354F" w:rsidRPr="00F30705">
        <w:rPr>
          <w:sz w:val="28"/>
          <w:szCs w:val="28"/>
        </w:rPr>
        <w:t>s</w:t>
      </w:r>
      <w:r w:rsidR="00701585" w:rsidRPr="00F30705">
        <w:rPr>
          <w:sz w:val="28"/>
          <w:szCs w:val="28"/>
        </w:rPr>
        <w:t xml:space="preserve"> </w:t>
      </w:r>
      <w:r w:rsidR="008F354F" w:rsidRPr="00F30705">
        <w:rPr>
          <w:sz w:val="28"/>
          <w:szCs w:val="28"/>
        </w:rPr>
        <w:t>estadísticos a través de los años por sexo de la condena de personas.</w:t>
      </w:r>
    </w:p>
    <w:p w:rsidR="004A79FB" w:rsidRPr="00F30705" w:rsidRDefault="004A79FB" w:rsidP="00A61A32">
      <w:pPr>
        <w:spacing w:line="360" w:lineRule="auto"/>
        <w:jc w:val="both"/>
        <w:rPr>
          <w:sz w:val="28"/>
          <w:szCs w:val="28"/>
        </w:rPr>
      </w:pPr>
    </w:p>
    <w:p w:rsidR="004A79FB" w:rsidRPr="00F30705" w:rsidRDefault="004A79FB"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 xml:space="preserve">. </w:t>
      </w:r>
    </w:p>
    <w:p w:rsidR="002269ED" w:rsidRPr="00F30705" w:rsidRDefault="002269ED"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noProof/>
          <w:sz w:val="28"/>
          <w:szCs w:val="28"/>
          <w:lang w:eastAsia="es-CR"/>
        </w:rPr>
        <w:drawing>
          <wp:inline distT="0" distB="0" distL="0" distR="0">
            <wp:extent cx="5495290" cy="3348355"/>
            <wp:effectExtent l="19050" t="0" r="10160" b="4445"/>
            <wp:docPr id="40" name="Objeto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1A32" w:rsidRPr="00F30705" w:rsidRDefault="00A61A32" w:rsidP="00A61A32">
      <w:pPr>
        <w:spacing w:line="360" w:lineRule="auto"/>
        <w:jc w:val="both"/>
        <w:rPr>
          <w:sz w:val="28"/>
          <w:szCs w:val="28"/>
        </w:rPr>
      </w:pPr>
    </w:p>
    <w:p w:rsidR="00A61A32" w:rsidRPr="00F30705" w:rsidRDefault="00701585" w:rsidP="00A61A32">
      <w:pPr>
        <w:spacing w:line="360" w:lineRule="auto"/>
        <w:jc w:val="both"/>
        <w:rPr>
          <w:b/>
          <w:bCs/>
          <w:sz w:val="28"/>
          <w:szCs w:val="28"/>
          <w:u w:val="single"/>
        </w:rPr>
      </w:pPr>
      <w:r w:rsidRPr="00F30705">
        <w:rPr>
          <w:sz w:val="28"/>
          <w:szCs w:val="28"/>
        </w:rPr>
        <w:t xml:space="preserve">La condena masculina </w:t>
      </w:r>
      <w:r w:rsidR="008F354F" w:rsidRPr="00F30705">
        <w:rPr>
          <w:sz w:val="28"/>
          <w:szCs w:val="28"/>
        </w:rPr>
        <w:t xml:space="preserve">por volumen </w:t>
      </w:r>
      <w:r w:rsidRPr="00F30705">
        <w:rPr>
          <w:sz w:val="28"/>
          <w:szCs w:val="28"/>
        </w:rPr>
        <w:t xml:space="preserve">determina por su volumen la condena en general (sin distinción por sexo). </w:t>
      </w:r>
      <w:r w:rsidR="00BA2846" w:rsidRPr="00F30705">
        <w:rPr>
          <w:sz w:val="28"/>
          <w:szCs w:val="28"/>
        </w:rPr>
        <w:t>E</w:t>
      </w:r>
      <w:r w:rsidR="008F354F" w:rsidRPr="00F30705">
        <w:rPr>
          <w:sz w:val="28"/>
          <w:szCs w:val="28"/>
        </w:rPr>
        <w:t xml:space="preserve">sto, debido a que </w:t>
      </w:r>
      <w:r w:rsidR="00BA2846" w:rsidRPr="00F30705">
        <w:rPr>
          <w:sz w:val="28"/>
          <w:szCs w:val="28"/>
        </w:rPr>
        <w:t xml:space="preserve">el </w:t>
      </w:r>
      <w:r w:rsidR="00BA2846" w:rsidRPr="00F30705">
        <w:rPr>
          <w:b/>
          <w:bCs/>
          <w:sz w:val="28"/>
          <w:szCs w:val="28"/>
        </w:rPr>
        <w:t>93%</w:t>
      </w:r>
      <w:r w:rsidR="00BA2846" w:rsidRPr="00F30705">
        <w:rPr>
          <w:sz w:val="28"/>
          <w:szCs w:val="28"/>
        </w:rPr>
        <w:t xml:space="preserve"> de las condenas acontecen en hombres contra el 7</w:t>
      </w:r>
      <w:r w:rsidR="00BA2846" w:rsidRPr="00F30705">
        <w:rPr>
          <w:b/>
          <w:bCs/>
          <w:sz w:val="28"/>
          <w:szCs w:val="28"/>
        </w:rPr>
        <w:t>%</w:t>
      </w:r>
      <w:r w:rsidR="00BA2846" w:rsidRPr="00F30705">
        <w:rPr>
          <w:sz w:val="28"/>
          <w:szCs w:val="28"/>
        </w:rPr>
        <w:t xml:space="preserve"> de condena femenina como despliega en el siguiente gráfico.</w:t>
      </w:r>
    </w:p>
    <w:p w:rsidR="00A61A32" w:rsidRPr="00F30705" w:rsidRDefault="00A61A32" w:rsidP="00A61A32">
      <w:pPr>
        <w:spacing w:line="360" w:lineRule="auto"/>
        <w:jc w:val="both"/>
        <w:rPr>
          <w:b/>
          <w:bCs/>
        </w:rPr>
      </w:pPr>
      <w:r w:rsidRPr="00F30705">
        <w:rPr>
          <w:noProof/>
          <w:sz w:val="28"/>
          <w:szCs w:val="28"/>
          <w:lang w:eastAsia="es-CR"/>
        </w:rPr>
        <w:lastRenderedPageBreak/>
        <w:drawing>
          <wp:inline distT="0" distB="0" distL="0" distR="0">
            <wp:extent cx="5512435" cy="3566160"/>
            <wp:effectExtent l="19050" t="0" r="12065" b="0"/>
            <wp:docPr id="41" name="Objeto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p>
    <w:p w:rsidR="00A61A32" w:rsidRPr="00F30705" w:rsidRDefault="00B51898" w:rsidP="00A61A32">
      <w:pPr>
        <w:spacing w:line="360" w:lineRule="auto"/>
        <w:jc w:val="both"/>
        <w:rPr>
          <w:b/>
          <w:bCs/>
          <w:sz w:val="28"/>
          <w:szCs w:val="28"/>
        </w:rPr>
      </w:pPr>
      <w:r w:rsidRPr="00F30705">
        <w:rPr>
          <w:b/>
          <w:bCs/>
          <w:sz w:val="28"/>
          <w:szCs w:val="28"/>
        </w:rPr>
        <w:t>3</w:t>
      </w:r>
      <w:r w:rsidR="00A61A32" w:rsidRPr="00F30705">
        <w:rPr>
          <w:b/>
          <w:bCs/>
          <w:sz w:val="28"/>
          <w:szCs w:val="28"/>
        </w:rPr>
        <w:t xml:space="preserve">.3 </w:t>
      </w:r>
      <w:r w:rsidR="006B57A0" w:rsidRPr="00F30705">
        <w:rPr>
          <w:b/>
          <w:bCs/>
          <w:sz w:val="28"/>
          <w:szCs w:val="28"/>
        </w:rPr>
        <w:t>C</w:t>
      </w:r>
      <w:r w:rsidR="00A61A32" w:rsidRPr="00F30705">
        <w:rPr>
          <w:b/>
          <w:bCs/>
          <w:sz w:val="28"/>
          <w:szCs w:val="28"/>
        </w:rPr>
        <w:t>ondena según grupo de edad</w:t>
      </w:r>
    </w:p>
    <w:p w:rsidR="00A61A32" w:rsidRPr="00F30705" w:rsidRDefault="00A61A32" w:rsidP="00A61A32">
      <w:pPr>
        <w:jc w:val="both"/>
        <w:rPr>
          <w:sz w:val="28"/>
          <w:szCs w:val="28"/>
        </w:rPr>
      </w:pPr>
    </w:p>
    <w:p w:rsidR="00A61A32" w:rsidRDefault="006B57A0" w:rsidP="00A61A32">
      <w:pPr>
        <w:spacing w:line="360" w:lineRule="auto"/>
        <w:jc w:val="both"/>
        <w:rPr>
          <w:sz w:val="28"/>
          <w:szCs w:val="28"/>
        </w:rPr>
      </w:pPr>
      <w:r w:rsidRPr="00F30705">
        <w:rPr>
          <w:sz w:val="28"/>
          <w:szCs w:val="28"/>
        </w:rPr>
        <w:t xml:space="preserve">Si bien a escala total, se sigue una tendencia levemente creciente en el  </w:t>
      </w:r>
      <w:r w:rsidR="00A61A32" w:rsidRPr="00F30705">
        <w:rPr>
          <w:sz w:val="28"/>
          <w:szCs w:val="28"/>
        </w:rPr>
        <w:t xml:space="preserve">volumen </w:t>
      </w:r>
      <w:r w:rsidRPr="00F30705">
        <w:rPr>
          <w:sz w:val="28"/>
          <w:szCs w:val="28"/>
        </w:rPr>
        <w:t xml:space="preserve">anual </w:t>
      </w:r>
      <w:r w:rsidR="00A61A32" w:rsidRPr="00F30705">
        <w:rPr>
          <w:sz w:val="28"/>
          <w:szCs w:val="28"/>
        </w:rPr>
        <w:t>personas sentenciadas del 2013 al 2</w:t>
      </w:r>
      <w:r w:rsidRPr="00F30705">
        <w:rPr>
          <w:sz w:val="28"/>
          <w:szCs w:val="28"/>
        </w:rPr>
        <w:t>015, en este año se producen cambios disimiles en lo grupos etarios</w:t>
      </w:r>
      <w:r w:rsidR="00A61A32" w:rsidRPr="00F30705">
        <w:rPr>
          <w:sz w:val="28"/>
          <w:szCs w:val="28"/>
        </w:rPr>
        <w:t xml:space="preserve">.  </w:t>
      </w:r>
      <w:r w:rsidRPr="00F30705">
        <w:rPr>
          <w:sz w:val="28"/>
          <w:szCs w:val="28"/>
        </w:rPr>
        <w:t xml:space="preserve">Las disminuciones más importantes </w:t>
      </w:r>
      <w:r w:rsidR="00A61A32" w:rsidRPr="00F30705">
        <w:rPr>
          <w:sz w:val="28"/>
          <w:szCs w:val="28"/>
        </w:rPr>
        <w:t>ocurre</w:t>
      </w:r>
      <w:r w:rsidRPr="00F30705">
        <w:rPr>
          <w:sz w:val="28"/>
          <w:szCs w:val="28"/>
        </w:rPr>
        <w:t>n</w:t>
      </w:r>
      <w:r w:rsidR="00A61A32" w:rsidRPr="00F30705">
        <w:rPr>
          <w:sz w:val="28"/>
          <w:szCs w:val="28"/>
        </w:rPr>
        <w:t xml:space="preserve"> entre los grupos de edad “de 2</w:t>
      </w:r>
      <w:r w:rsidRPr="00F30705">
        <w:rPr>
          <w:sz w:val="28"/>
          <w:szCs w:val="28"/>
        </w:rPr>
        <w:t>0</w:t>
      </w:r>
      <w:r w:rsidR="00A61A32" w:rsidRPr="00F30705">
        <w:rPr>
          <w:sz w:val="28"/>
          <w:szCs w:val="28"/>
        </w:rPr>
        <w:t xml:space="preserve"> a 2</w:t>
      </w:r>
      <w:r w:rsidRPr="00F30705">
        <w:rPr>
          <w:sz w:val="28"/>
          <w:szCs w:val="28"/>
        </w:rPr>
        <w:t>4</w:t>
      </w:r>
      <w:r w:rsidR="00A61A32" w:rsidRPr="00F30705">
        <w:rPr>
          <w:sz w:val="28"/>
          <w:szCs w:val="28"/>
        </w:rPr>
        <w:t xml:space="preserve"> años” y “de 30 a 34 años”</w:t>
      </w:r>
      <w:r w:rsidR="00271ABB" w:rsidRPr="00F30705">
        <w:rPr>
          <w:sz w:val="28"/>
          <w:szCs w:val="28"/>
        </w:rPr>
        <w:t>;</w:t>
      </w:r>
      <w:r w:rsidR="00071F2C" w:rsidRPr="00F30705">
        <w:rPr>
          <w:sz w:val="28"/>
          <w:szCs w:val="28"/>
        </w:rPr>
        <w:t xml:space="preserve"> </w:t>
      </w:r>
      <w:r w:rsidRPr="00F30705">
        <w:rPr>
          <w:b/>
          <w:sz w:val="28"/>
          <w:szCs w:val="28"/>
        </w:rPr>
        <w:t>46</w:t>
      </w:r>
      <w:r w:rsidRPr="00F30705">
        <w:rPr>
          <w:sz w:val="28"/>
          <w:szCs w:val="28"/>
        </w:rPr>
        <w:t xml:space="preserve"> y </w:t>
      </w:r>
      <w:r w:rsidRPr="00F30705">
        <w:rPr>
          <w:b/>
          <w:sz w:val="28"/>
          <w:szCs w:val="28"/>
        </w:rPr>
        <w:t>71</w:t>
      </w:r>
      <w:r w:rsidRPr="00F30705">
        <w:rPr>
          <w:sz w:val="28"/>
          <w:szCs w:val="28"/>
        </w:rPr>
        <w:t xml:space="preserve"> condenas menos</w:t>
      </w:r>
      <w:r w:rsidR="00271ABB" w:rsidRPr="00F30705">
        <w:rPr>
          <w:sz w:val="28"/>
          <w:szCs w:val="28"/>
        </w:rPr>
        <w:t>, respectivamente. En contraste,</w:t>
      </w:r>
      <w:r w:rsidR="00A61A32" w:rsidRPr="00F30705">
        <w:rPr>
          <w:sz w:val="28"/>
          <w:szCs w:val="28"/>
        </w:rPr>
        <w:t xml:space="preserve"> </w:t>
      </w:r>
      <w:r w:rsidR="00271ABB" w:rsidRPr="00F30705">
        <w:rPr>
          <w:sz w:val="28"/>
          <w:szCs w:val="28"/>
        </w:rPr>
        <w:t>los aumentos más importantes acontecieron para las personas que tenían edades  “de 40 a 44 años” cumplidos (</w:t>
      </w:r>
      <w:r w:rsidR="00271ABB" w:rsidRPr="00F30705">
        <w:rPr>
          <w:b/>
          <w:sz w:val="28"/>
          <w:szCs w:val="28"/>
        </w:rPr>
        <w:t>55</w:t>
      </w:r>
      <w:r w:rsidR="00271ABB" w:rsidRPr="00F30705">
        <w:rPr>
          <w:sz w:val="28"/>
          <w:szCs w:val="28"/>
        </w:rPr>
        <w:t xml:space="preserve"> más) y “de 55 a 59 años” cumplidos (</w:t>
      </w:r>
      <w:r w:rsidR="00271ABB" w:rsidRPr="00F30705">
        <w:rPr>
          <w:b/>
          <w:sz w:val="28"/>
          <w:szCs w:val="28"/>
        </w:rPr>
        <w:t>39</w:t>
      </w:r>
      <w:r w:rsidR="00271ABB" w:rsidRPr="00F30705">
        <w:rPr>
          <w:sz w:val="28"/>
          <w:szCs w:val="28"/>
        </w:rPr>
        <w:t xml:space="preserve"> más)</w:t>
      </w:r>
      <w:r w:rsidR="00A61A32" w:rsidRPr="00F30705">
        <w:rPr>
          <w:sz w:val="28"/>
          <w:szCs w:val="28"/>
        </w:rPr>
        <w:t xml:space="preserve">. </w:t>
      </w:r>
    </w:p>
    <w:p w:rsidR="00BF2CCA" w:rsidRDefault="00BF2CCA" w:rsidP="00A61A32">
      <w:pPr>
        <w:spacing w:line="360" w:lineRule="auto"/>
        <w:jc w:val="both"/>
        <w:rPr>
          <w:sz w:val="28"/>
          <w:szCs w:val="28"/>
        </w:rPr>
      </w:pPr>
    </w:p>
    <w:p w:rsidR="00BF2CCA" w:rsidRPr="00F30705" w:rsidRDefault="00BF2CCA" w:rsidP="00A61A32">
      <w:pPr>
        <w:spacing w:line="360" w:lineRule="auto"/>
        <w:jc w:val="both"/>
        <w:rPr>
          <w:sz w:val="28"/>
          <w:szCs w:val="28"/>
        </w:rPr>
      </w:pPr>
    </w:p>
    <w:p w:rsidR="00A61A32" w:rsidRPr="00F30705" w:rsidRDefault="00A61A32" w:rsidP="00A61A32">
      <w:pPr>
        <w:spacing w:line="360" w:lineRule="auto"/>
        <w:jc w:val="both"/>
        <w:rPr>
          <w:b/>
          <w:bCs/>
        </w:rPr>
      </w:pPr>
    </w:p>
    <w:tbl>
      <w:tblPr>
        <w:tblW w:w="6680" w:type="dxa"/>
        <w:jc w:val="center"/>
        <w:tblCellMar>
          <w:left w:w="70" w:type="dxa"/>
          <w:right w:w="70" w:type="dxa"/>
        </w:tblCellMar>
        <w:tblLook w:val="04A0" w:firstRow="1" w:lastRow="0" w:firstColumn="1" w:lastColumn="0" w:noHBand="0" w:noVBand="1"/>
      </w:tblPr>
      <w:tblGrid>
        <w:gridCol w:w="1660"/>
        <w:gridCol w:w="880"/>
        <w:gridCol w:w="880"/>
        <w:gridCol w:w="880"/>
        <w:gridCol w:w="1220"/>
        <w:gridCol w:w="1160"/>
      </w:tblGrid>
      <w:tr w:rsidR="00264E1E" w:rsidRPr="00F30705" w:rsidTr="00264E1E">
        <w:trPr>
          <w:trHeight w:val="375"/>
          <w:jc w:val="center"/>
        </w:trPr>
        <w:tc>
          <w:tcPr>
            <w:tcW w:w="1660" w:type="dxa"/>
            <w:vMerge w:val="restart"/>
            <w:tcBorders>
              <w:top w:val="nil"/>
              <w:left w:val="nil"/>
              <w:bottom w:val="nil"/>
              <w:right w:val="nil"/>
            </w:tcBorders>
            <w:shd w:val="clear" w:color="auto" w:fill="auto"/>
            <w:vAlign w:val="center"/>
            <w:hideMark/>
          </w:tcPr>
          <w:p w:rsidR="00264E1E" w:rsidRPr="00F30705" w:rsidRDefault="00264E1E" w:rsidP="00264E1E">
            <w:pPr>
              <w:jc w:val="center"/>
              <w:rPr>
                <w:b/>
                <w:bCs/>
                <w:sz w:val="28"/>
                <w:szCs w:val="28"/>
                <w:u w:val="single"/>
                <w:lang w:eastAsia="es-CR"/>
              </w:rPr>
            </w:pPr>
            <w:r w:rsidRPr="00F30705">
              <w:rPr>
                <w:b/>
                <w:bCs/>
                <w:sz w:val="28"/>
                <w:szCs w:val="28"/>
                <w:u w:val="single"/>
                <w:lang w:eastAsia="es-CR"/>
              </w:rPr>
              <w:t>Grupos de edad</w:t>
            </w:r>
          </w:p>
        </w:tc>
        <w:tc>
          <w:tcPr>
            <w:tcW w:w="2640" w:type="dxa"/>
            <w:gridSpan w:val="3"/>
            <w:tcBorders>
              <w:top w:val="nil"/>
              <w:left w:val="nil"/>
              <w:bottom w:val="nil"/>
              <w:right w:val="double" w:sz="6" w:space="0" w:color="000000"/>
            </w:tcBorders>
            <w:shd w:val="clear" w:color="auto" w:fill="auto"/>
            <w:vAlign w:val="center"/>
            <w:hideMark/>
          </w:tcPr>
          <w:p w:rsidR="00264E1E" w:rsidRPr="00F30705" w:rsidRDefault="00264E1E" w:rsidP="00264E1E">
            <w:pPr>
              <w:jc w:val="center"/>
              <w:rPr>
                <w:b/>
                <w:bCs/>
                <w:sz w:val="28"/>
                <w:szCs w:val="28"/>
                <w:u w:val="single"/>
                <w:lang w:eastAsia="es-CR"/>
              </w:rPr>
            </w:pPr>
            <w:r w:rsidRPr="00F30705">
              <w:rPr>
                <w:b/>
                <w:bCs/>
                <w:sz w:val="28"/>
                <w:szCs w:val="28"/>
                <w:u w:val="single"/>
                <w:lang w:eastAsia="es-CR"/>
              </w:rPr>
              <w:t>Año</w:t>
            </w:r>
          </w:p>
        </w:tc>
        <w:tc>
          <w:tcPr>
            <w:tcW w:w="2380" w:type="dxa"/>
            <w:gridSpan w:val="2"/>
            <w:tcBorders>
              <w:top w:val="nil"/>
              <w:left w:val="nil"/>
              <w:bottom w:val="nil"/>
              <w:right w:val="nil"/>
            </w:tcBorders>
            <w:shd w:val="clear" w:color="auto" w:fill="auto"/>
            <w:vAlign w:val="center"/>
            <w:hideMark/>
          </w:tcPr>
          <w:p w:rsidR="00264E1E" w:rsidRPr="00F30705" w:rsidRDefault="00264E1E" w:rsidP="00264E1E">
            <w:pPr>
              <w:jc w:val="center"/>
              <w:rPr>
                <w:b/>
                <w:bCs/>
                <w:sz w:val="28"/>
                <w:szCs w:val="28"/>
                <w:u w:val="single"/>
                <w:lang w:eastAsia="es-CR"/>
              </w:rPr>
            </w:pPr>
            <w:r w:rsidRPr="00F30705">
              <w:rPr>
                <w:b/>
                <w:bCs/>
                <w:sz w:val="28"/>
                <w:szCs w:val="28"/>
                <w:u w:val="single"/>
                <w:lang w:eastAsia="es-CR"/>
              </w:rPr>
              <w:t>Variación 2014/2015</w:t>
            </w:r>
          </w:p>
        </w:tc>
      </w:tr>
      <w:tr w:rsidR="00264E1E" w:rsidRPr="00F30705" w:rsidTr="00264E1E">
        <w:trPr>
          <w:trHeight w:val="375"/>
          <w:jc w:val="center"/>
        </w:trPr>
        <w:tc>
          <w:tcPr>
            <w:tcW w:w="1660" w:type="dxa"/>
            <w:vMerge/>
            <w:tcBorders>
              <w:top w:val="nil"/>
              <w:left w:val="nil"/>
              <w:bottom w:val="nil"/>
              <w:right w:val="nil"/>
            </w:tcBorders>
            <w:vAlign w:val="center"/>
            <w:hideMark/>
          </w:tcPr>
          <w:p w:rsidR="00264E1E" w:rsidRPr="00F30705" w:rsidRDefault="00264E1E" w:rsidP="00264E1E">
            <w:pPr>
              <w:rPr>
                <w:b/>
                <w:bCs/>
                <w:sz w:val="28"/>
                <w:szCs w:val="28"/>
                <w:u w:val="single"/>
                <w:lang w:eastAsia="es-CR"/>
              </w:rPr>
            </w:pPr>
          </w:p>
        </w:tc>
        <w:tc>
          <w:tcPr>
            <w:tcW w:w="880" w:type="dxa"/>
            <w:tcBorders>
              <w:top w:val="nil"/>
              <w:left w:val="nil"/>
              <w:bottom w:val="nil"/>
              <w:right w:val="nil"/>
            </w:tcBorders>
            <w:shd w:val="clear" w:color="auto" w:fill="auto"/>
            <w:vAlign w:val="center"/>
            <w:hideMark/>
          </w:tcPr>
          <w:p w:rsidR="00264E1E" w:rsidRPr="00F30705" w:rsidRDefault="00264E1E" w:rsidP="00264E1E">
            <w:pPr>
              <w:jc w:val="center"/>
              <w:rPr>
                <w:b/>
                <w:bCs/>
                <w:sz w:val="28"/>
                <w:szCs w:val="28"/>
                <w:u w:val="single"/>
                <w:lang w:eastAsia="es-CR"/>
              </w:rPr>
            </w:pPr>
            <w:r w:rsidRPr="00F30705">
              <w:rPr>
                <w:b/>
                <w:bCs/>
                <w:sz w:val="28"/>
                <w:szCs w:val="28"/>
                <w:u w:val="single"/>
                <w:lang w:eastAsia="es-CR"/>
              </w:rPr>
              <w:t>2013</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b/>
                <w:bCs/>
                <w:sz w:val="28"/>
                <w:szCs w:val="28"/>
                <w:u w:val="single"/>
                <w:lang w:eastAsia="es-CR"/>
              </w:rPr>
            </w:pPr>
            <w:r w:rsidRPr="00F30705">
              <w:rPr>
                <w:b/>
                <w:bCs/>
                <w:sz w:val="28"/>
                <w:szCs w:val="28"/>
                <w:u w:val="single"/>
                <w:lang w:eastAsia="es-CR"/>
              </w:rPr>
              <w:t>2014</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b/>
                <w:bCs/>
                <w:sz w:val="28"/>
                <w:szCs w:val="28"/>
                <w:u w:val="single"/>
                <w:lang w:eastAsia="es-CR"/>
              </w:rPr>
            </w:pPr>
            <w:r w:rsidRPr="00F30705">
              <w:rPr>
                <w:b/>
                <w:bCs/>
                <w:sz w:val="28"/>
                <w:szCs w:val="28"/>
                <w:u w:val="single"/>
                <w:lang w:eastAsia="es-CR"/>
              </w:rPr>
              <w:t>2015</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center"/>
              <w:rPr>
                <w:b/>
                <w:bCs/>
                <w:sz w:val="28"/>
                <w:szCs w:val="28"/>
                <w:u w:val="single"/>
                <w:lang w:eastAsia="es-CR"/>
              </w:rPr>
            </w:pPr>
            <w:r w:rsidRPr="00F30705">
              <w:rPr>
                <w:b/>
                <w:bCs/>
                <w:sz w:val="28"/>
                <w:szCs w:val="28"/>
                <w:u w:val="single"/>
                <w:lang w:eastAsia="es-CR"/>
              </w:rPr>
              <w:t>Absoluto</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center"/>
              <w:rPr>
                <w:b/>
                <w:bCs/>
                <w:sz w:val="28"/>
                <w:szCs w:val="28"/>
                <w:u w:val="single"/>
                <w:lang w:eastAsia="es-CR"/>
              </w:rPr>
            </w:pPr>
            <w:r w:rsidRPr="00F30705">
              <w:rPr>
                <w:b/>
                <w:bCs/>
                <w:sz w:val="28"/>
                <w:szCs w:val="28"/>
                <w:u w:val="single"/>
                <w:lang w:eastAsia="es-CR"/>
              </w:rPr>
              <w:t>Relativo</w:t>
            </w:r>
          </w:p>
        </w:tc>
      </w:tr>
      <w:tr w:rsidR="00264E1E" w:rsidRPr="00F30705" w:rsidTr="00264E1E">
        <w:trPr>
          <w:trHeight w:val="82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b/>
                <w:bCs/>
                <w:sz w:val="28"/>
                <w:szCs w:val="28"/>
                <w:u w:val="double"/>
                <w:lang w:eastAsia="es-CR"/>
              </w:rPr>
            </w:pPr>
            <w:r w:rsidRPr="00F30705">
              <w:rPr>
                <w:b/>
                <w:bCs/>
                <w:sz w:val="28"/>
                <w:szCs w:val="28"/>
                <w:u w:val="double"/>
                <w:lang w:eastAsia="es-CR"/>
              </w:rPr>
              <w:t>Total</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b/>
                <w:bCs/>
                <w:sz w:val="28"/>
                <w:szCs w:val="28"/>
                <w:u w:val="double"/>
                <w:lang w:eastAsia="es-CR"/>
              </w:rPr>
            </w:pPr>
            <w:r w:rsidRPr="00F30705">
              <w:rPr>
                <w:b/>
                <w:bCs/>
                <w:sz w:val="28"/>
                <w:szCs w:val="28"/>
                <w:u w:val="double"/>
                <w:lang w:eastAsia="es-CR"/>
              </w:rPr>
              <w:t>8.777</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b/>
                <w:bCs/>
                <w:sz w:val="28"/>
                <w:szCs w:val="28"/>
                <w:u w:val="double"/>
                <w:lang w:eastAsia="es-CR"/>
              </w:rPr>
            </w:pPr>
            <w:r w:rsidRPr="00F30705">
              <w:rPr>
                <w:b/>
                <w:bCs/>
                <w:sz w:val="28"/>
                <w:szCs w:val="28"/>
                <w:u w:val="double"/>
                <w:lang w:eastAsia="es-CR"/>
              </w:rPr>
              <w:t>8.828</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b/>
                <w:bCs/>
                <w:sz w:val="28"/>
                <w:szCs w:val="28"/>
                <w:u w:val="double"/>
                <w:lang w:eastAsia="es-CR"/>
              </w:rPr>
            </w:pPr>
            <w:r w:rsidRPr="00F30705">
              <w:rPr>
                <w:b/>
                <w:bCs/>
                <w:sz w:val="28"/>
                <w:szCs w:val="28"/>
                <w:u w:val="double"/>
                <w:lang w:eastAsia="es-CR"/>
              </w:rPr>
              <w:t>8.871</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b/>
                <w:bCs/>
                <w:sz w:val="28"/>
                <w:szCs w:val="28"/>
                <w:u w:val="double"/>
                <w:lang w:eastAsia="es-CR"/>
              </w:rPr>
            </w:pPr>
            <w:r w:rsidRPr="00F30705">
              <w:rPr>
                <w:b/>
                <w:bCs/>
                <w:sz w:val="28"/>
                <w:szCs w:val="28"/>
                <w:u w:val="double"/>
                <w:lang w:eastAsia="es-CR"/>
              </w:rPr>
              <w:t>43</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b/>
                <w:bCs/>
                <w:sz w:val="28"/>
                <w:szCs w:val="28"/>
                <w:u w:val="double"/>
                <w:lang w:eastAsia="es-CR"/>
              </w:rPr>
            </w:pPr>
            <w:r w:rsidRPr="00F30705">
              <w:rPr>
                <w:b/>
                <w:bCs/>
                <w:sz w:val="28"/>
                <w:szCs w:val="28"/>
                <w:u w:val="double"/>
                <w:lang w:eastAsia="es-CR"/>
              </w:rPr>
              <w:t>0%</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18 a 19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396</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346</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348</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2</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20 a 24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1.733</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1.648</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1.602</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-46</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-3%</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25 a 29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1.950</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1.790</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1.813</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23</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30 a 34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1.439</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1.616</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1.545</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-71</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-4%</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35 a 39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958</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1.024</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1.045</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21</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2%</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40 a 44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695</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701</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756</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55</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8%</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45 a 49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544</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589</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579</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-10</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-2%</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50 a 54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458</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444</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463</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19</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4%</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55 a 59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308</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323</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362</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39</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12%</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60 a 64 años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138</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156</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173</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17</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11%</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65 y más</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158</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184</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185</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w:t>
            </w:r>
          </w:p>
        </w:tc>
      </w:tr>
      <w:tr w:rsidR="00264E1E" w:rsidRPr="00F30705" w:rsidTr="00264E1E">
        <w:trPr>
          <w:trHeight w:val="375"/>
          <w:jc w:val="center"/>
        </w:trPr>
        <w:tc>
          <w:tcPr>
            <w:tcW w:w="1660" w:type="dxa"/>
            <w:tcBorders>
              <w:top w:val="nil"/>
              <w:left w:val="nil"/>
              <w:bottom w:val="nil"/>
              <w:right w:val="nil"/>
            </w:tcBorders>
            <w:shd w:val="clear" w:color="auto" w:fill="auto"/>
            <w:vAlign w:val="center"/>
            <w:hideMark/>
          </w:tcPr>
          <w:p w:rsidR="00264E1E" w:rsidRPr="00F30705" w:rsidRDefault="00264E1E" w:rsidP="00264E1E">
            <w:pPr>
              <w:rPr>
                <w:sz w:val="28"/>
                <w:szCs w:val="28"/>
                <w:lang w:eastAsia="es-CR"/>
              </w:rPr>
            </w:pPr>
            <w:r w:rsidRPr="00F30705">
              <w:rPr>
                <w:sz w:val="28"/>
                <w:szCs w:val="28"/>
                <w:lang w:eastAsia="es-CR"/>
              </w:rPr>
              <w:t>Desconocido</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0</w:t>
            </w:r>
          </w:p>
        </w:tc>
        <w:tc>
          <w:tcPr>
            <w:tcW w:w="88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7</w:t>
            </w:r>
          </w:p>
        </w:tc>
        <w:tc>
          <w:tcPr>
            <w:tcW w:w="880" w:type="dxa"/>
            <w:tcBorders>
              <w:top w:val="nil"/>
              <w:left w:val="nil"/>
              <w:bottom w:val="nil"/>
              <w:right w:val="double" w:sz="6" w:space="0" w:color="auto"/>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0</w:t>
            </w:r>
          </w:p>
        </w:tc>
        <w:tc>
          <w:tcPr>
            <w:tcW w:w="122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-7</w:t>
            </w:r>
          </w:p>
        </w:tc>
        <w:tc>
          <w:tcPr>
            <w:tcW w:w="1160" w:type="dxa"/>
            <w:tcBorders>
              <w:top w:val="nil"/>
              <w:left w:val="nil"/>
              <w:bottom w:val="nil"/>
              <w:right w:val="nil"/>
            </w:tcBorders>
            <w:shd w:val="clear" w:color="auto" w:fill="auto"/>
            <w:vAlign w:val="center"/>
            <w:hideMark/>
          </w:tcPr>
          <w:p w:rsidR="00264E1E" w:rsidRPr="00F30705" w:rsidRDefault="00264E1E" w:rsidP="00264E1E">
            <w:pPr>
              <w:jc w:val="right"/>
              <w:rPr>
                <w:sz w:val="28"/>
                <w:szCs w:val="28"/>
                <w:lang w:eastAsia="es-CR"/>
              </w:rPr>
            </w:pPr>
            <w:r w:rsidRPr="00F30705">
              <w:rPr>
                <w:sz w:val="28"/>
                <w:szCs w:val="28"/>
                <w:lang w:eastAsia="es-CR"/>
              </w:rPr>
              <w:t>-1</w:t>
            </w:r>
          </w:p>
        </w:tc>
      </w:tr>
    </w:tbl>
    <w:p w:rsidR="00264E1E" w:rsidRPr="00F30705" w:rsidRDefault="00264E1E" w:rsidP="00A61A32">
      <w:pPr>
        <w:spacing w:line="360" w:lineRule="auto"/>
        <w:jc w:val="both"/>
        <w:rPr>
          <w:b/>
          <w:bCs/>
          <w:sz w:val="32"/>
          <w:szCs w:val="32"/>
          <w:u w:val="single"/>
        </w:rPr>
      </w:pPr>
    </w:p>
    <w:p w:rsidR="00264E1E" w:rsidRPr="00F30705" w:rsidRDefault="00264E1E" w:rsidP="00A61A32">
      <w:pPr>
        <w:spacing w:line="360" w:lineRule="auto"/>
        <w:jc w:val="both"/>
        <w:rPr>
          <w:b/>
          <w:bCs/>
          <w:sz w:val="32"/>
          <w:szCs w:val="32"/>
          <w:u w:val="single"/>
        </w:rPr>
      </w:pPr>
    </w:p>
    <w:p w:rsidR="00A61A32" w:rsidRPr="00F30705" w:rsidRDefault="00A61A32" w:rsidP="00A61A32">
      <w:pPr>
        <w:spacing w:line="360" w:lineRule="auto"/>
        <w:jc w:val="both"/>
        <w:rPr>
          <w:sz w:val="28"/>
          <w:szCs w:val="28"/>
        </w:rPr>
      </w:pPr>
      <w:r w:rsidRPr="00F30705">
        <w:rPr>
          <w:sz w:val="28"/>
          <w:szCs w:val="28"/>
        </w:rPr>
        <w:t xml:space="preserve">Por otro </w:t>
      </w:r>
      <w:r w:rsidR="00BF2CCA" w:rsidRPr="00F30705">
        <w:rPr>
          <w:sz w:val="28"/>
          <w:szCs w:val="28"/>
        </w:rPr>
        <w:t>lado,</w:t>
      </w:r>
      <w:r w:rsidRPr="00F30705">
        <w:rPr>
          <w:sz w:val="28"/>
          <w:szCs w:val="28"/>
        </w:rPr>
        <w:t xml:space="preserve"> y como </w:t>
      </w:r>
      <w:r w:rsidR="00BF2CCA">
        <w:rPr>
          <w:sz w:val="28"/>
          <w:szCs w:val="28"/>
        </w:rPr>
        <w:t xml:space="preserve">se </w:t>
      </w:r>
      <w:r w:rsidR="00BF2CCA" w:rsidRPr="00F30705">
        <w:rPr>
          <w:sz w:val="28"/>
          <w:szCs w:val="28"/>
        </w:rPr>
        <w:t>muestra</w:t>
      </w:r>
      <w:r w:rsidRPr="00F30705">
        <w:rPr>
          <w:sz w:val="28"/>
          <w:szCs w:val="28"/>
        </w:rPr>
        <w:t xml:space="preserve"> en el gráfico siguiente, casi tres quintas partes (</w:t>
      </w:r>
      <w:r w:rsidRPr="00F30705">
        <w:rPr>
          <w:b/>
          <w:bCs/>
          <w:sz w:val="28"/>
          <w:szCs w:val="28"/>
        </w:rPr>
        <w:t>5</w:t>
      </w:r>
      <w:r w:rsidR="00D94C9B" w:rsidRPr="00F30705">
        <w:rPr>
          <w:b/>
          <w:bCs/>
          <w:sz w:val="28"/>
          <w:szCs w:val="28"/>
        </w:rPr>
        <w:t>6</w:t>
      </w:r>
      <w:r w:rsidRPr="00F30705">
        <w:rPr>
          <w:b/>
          <w:bCs/>
          <w:sz w:val="28"/>
          <w:szCs w:val="28"/>
        </w:rPr>
        <w:t>%</w:t>
      </w:r>
      <w:r w:rsidRPr="00F30705">
        <w:rPr>
          <w:sz w:val="28"/>
          <w:szCs w:val="28"/>
        </w:rPr>
        <w:t>) de las condenas recaen en personas que tienen edades de 20 a 34 años.</w:t>
      </w:r>
    </w:p>
    <w:p w:rsidR="00A61A32" w:rsidRPr="00F30705" w:rsidRDefault="00A61A32" w:rsidP="00A61A32">
      <w:pPr>
        <w:spacing w:line="360" w:lineRule="auto"/>
        <w:jc w:val="both"/>
      </w:pPr>
      <w:r w:rsidRPr="00F30705">
        <w:rPr>
          <w:noProof/>
          <w:lang w:eastAsia="es-CR"/>
        </w:rPr>
        <w:lastRenderedPageBreak/>
        <w:drawing>
          <wp:inline distT="0" distB="0" distL="0" distR="0">
            <wp:extent cx="5732931" cy="4200808"/>
            <wp:effectExtent l="19050" t="0" r="20169" b="9242"/>
            <wp:docPr id="42" name="Objeto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6FCA" w:rsidRPr="00F30705" w:rsidRDefault="00936FCA" w:rsidP="00A61A32">
      <w:pPr>
        <w:spacing w:line="360" w:lineRule="auto"/>
        <w:jc w:val="both"/>
        <w:rPr>
          <w:b/>
          <w:bCs/>
          <w:sz w:val="28"/>
          <w:szCs w:val="28"/>
        </w:rPr>
      </w:pPr>
    </w:p>
    <w:p w:rsidR="00A61A32" w:rsidRPr="00F30705" w:rsidRDefault="00B51898" w:rsidP="00A61A32">
      <w:pPr>
        <w:spacing w:line="360" w:lineRule="auto"/>
        <w:jc w:val="both"/>
        <w:rPr>
          <w:b/>
          <w:bCs/>
          <w:sz w:val="28"/>
          <w:szCs w:val="28"/>
        </w:rPr>
      </w:pPr>
      <w:r w:rsidRPr="00F30705">
        <w:rPr>
          <w:b/>
          <w:bCs/>
          <w:sz w:val="28"/>
          <w:szCs w:val="28"/>
        </w:rPr>
        <w:t>3</w:t>
      </w:r>
      <w:r w:rsidR="00A61A32" w:rsidRPr="00F30705">
        <w:rPr>
          <w:b/>
          <w:bCs/>
          <w:sz w:val="28"/>
          <w:szCs w:val="28"/>
        </w:rPr>
        <w:t>.4 Personas condenadas por estado Civil</w:t>
      </w:r>
    </w:p>
    <w:p w:rsidR="00A61A32" w:rsidRPr="00F30705" w:rsidRDefault="00A61A32" w:rsidP="00A61A32">
      <w:pPr>
        <w:spacing w:line="360" w:lineRule="auto"/>
        <w:jc w:val="both"/>
        <w:rPr>
          <w:sz w:val="28"/>
          <w:szCs w:val="28"/>
        </w:rPr>
      </w:pPr>
    </w:p>
    <w:p w:rsidR="00A61A32" w:rsidRPr="00F30705" w:rsidRDefault="0099081D" w:rsidP="00A61A32">
      <w:pPr>
        <w:spacing w:line="360" w:lineRule="auto"/>
        <w:jc w:val="both"/>
        <w:rPr>
          <w:sz w:val="28"/>
          <w:szCs w:val="28"/>
        </w:rPr>
      </w:pPr>
      <w:r w:rsidRPr="00F30705">
        <w:rPr>
          <w:sz w:val="28"/>
          <w:szCs w:val="28"/>
        </w:rPr>
        <w:t xml:space="preserve">En el 2015 aumentan las personas condenas solteras y divorciadas mientras decrecen los montos asociados tanto a personas separadas como de las que se encontraban en uniones de hecho al ser condenadas. Durante este año se reportan </w:t>
      </w:r>
      <w:r w:rsidRPr="00F30705">
        <w:rPr>
          <w:b/>
          <w:sz w:val="28"/>
          <w:szCs w:val="28"/>
        </w:rPr>
        <w:t>5.234</w:t>
      </w:r>
      <w:r w:rsidRPr="00F30705">
        <w:rPr>
          <w:sz w:val="28"/>
          <w:szCs w:val="28"/>
        </w:rPr>
        <w:t xml:space="preserve"> personas condenada solteras, </w:t>
      </w:r>
      <w:r w:rsidRPr="00F30705">
        <w:rPr>
          <w:b/>
          <w:sz w:val="28"/>
          <w:szCs w:val="28"/>
        </w:rPr>
        <w:t>306</w:t>
      </w:r>
      <w:r w:rsidRPr="00F30705">
        <w:rPr>
          <w:sz w:val="28"/>
          <w:szCs w:val="28"/>
        </w:rPr>
        <w:t xml:space="preserve"> o </w:t>
      </w:r>
      <w:r w:rsidRPr="00F30705">
        <w:rPr>
          <w:b/>
          <w:sz w:val="28"/>
          <w:szCs w:val="28"/>
        </w:rPr>
        <w:t>6%</w:t>
      </w:r>
      <w:r w:rsidRPr="00F30705">
        <w:rPr>
          <w:sz w:val="28"/>
          <w:szCs w:val="28"/>
        </w:rPr>
        <w:t xml:space="preserve"> más que el 2014 mientras que las personas divorciadas sumaron </w:t>
      </w:r>
      <w:r w:rsidRPr="00F30705">
        <w:rPr>
          <w:b/>
          <w:sz w:val="28"/>
          <w:szCs w:val="28"/>
        </w:rPr>
        <w:t>101</w:t>
      </w:r>
      <w:r w:rsidRPr="00F30705">
        <w:rPr>
          <w:sz w:val="28"/>
          <w:szCs w:val="28"/>
        </w:rPr>
        <w:t xml:space="preserve"> más (</w:t>
      </w:r>
      <w:r w:rsidRPr="00F30705">
        <w:rPr>
          <w:b/>
          <w:sz w:val="28"/>
          <w:szCs w:val="28"/>
        </w:rPr>
        <w:t>21%</w:t>
      </w:r>
      <w:r w:rsidRPr="00F30705">
        <w:rPr>
          <w:sz w:val="28"/>
          <w:szCs w:val="28"/>
        </w:rPr>
        <w:t xml:space="preserve"> más) al dato del año inmediatamente anterior. En contraste, la cantidad de personas que se encontraban en unión de hecho al momento de recibir condena en el 2015 bajó a </w:t>
      </w:r>
      <w:r w:rsidRPr="00F30705">
        <w:rPr>
          <w:b/>
          <w:sz w:val="28"/>
          <w:szCs w:val="28"/>
        </w:rPr>
        <w:t>1.295</w:t>
      </w:r>
      <w:r w:rsidRPr="00F30705">
        <w:rPr>
          <w:sz w:val="28"/>
          <w:szCs w:val="28"/>
        </w:rPr>
        <w:t xml:space="preserve">, cuando que un año antes eran </w:t>
      </w:r>
      <w:r w:rsidRPr="00F30705">
        <w:rPr>
          <w:b/>
          <w:sz w:val="28"/>
          <w:szCs w:val="28"/>
        </w:rPr>
        <w:t>1.500</w:t>
      </w:r>
      <w:r w:rsidRPr="00F30705">
        <w:rPr>
          <w:sz w:val="28"/>
          <w:szCs w:val="28"/>
        </w:rPr>
        <w:t xml:space="preserve">; sea </w:t>
      </w:r>
      <w:r w:rsidRPr="00F30705">
        <w:rPr>
          <w:b/>
          <w:sz w:val="28"/>
          <w:szCs w:val="28"/>
        </w:rPr>
        <w:t>205</w:t>
      </w:r>
      <w:r w:rsidRPr="00F30705">
        <w:rPr>
          <w:sz w:val="28"/>
          <w:szCs w:val="28"/>
        </w:rPr>
        <w:t xml:space="preserve"> menos lo que significa </w:t>
      </w:r>
      <w:r w:rsidRPr="00F30705">
        <w:rPr>
          <w:sz w:val="28"/>
          <w:szCs w:val="28"/>
        </w:rPr>
        <w:lastRenderedPageBreak/>
        <w:t xml:space="preserve">una baja porcentual del </w:t>
      </w:r>
      <w:r w:rsidRPr="00F30705">
        <w:rPr>
          <w:b/>
          <w:sz w:val="28"/>
          <w:szCs w:val="28"/>
        </w:rPr>
        <w:t>14%</w:t>
      </w:r>
      <w:r w:rsidRPr="00F30705">
        <w:rPr>
          <w:sz w:val="28"/>
          <w:szCs w:val="28"/>
        </w:rPr>
        <w:t xml:space="preserve">; las personas condenadas y separadas fueron </w:t>
      </w:r>
      <w:r w:rsidRPr="00F30705">
        <w:rPr>
          <w:b/>
          <w:sz w:val="28"/>
          <w:szCs w:val="28"/>
        </w:rPr>
        <w:t>109</w:t>
      </w:r>
      <w:r w:rsidRPr="00F30705">
        <w:rPr>
          <w:sz w:val="28"/>
          <w:szCs w:val="28"/>
        </w:rPr>
        <w:t xml:space="preserve"> menos en este año respecto al inmediatamente anterior (</w:t>
      </w:r>
      <w:r w:rsidR="00730B2F" w:rsidRPr="00F30705">
        <w:rPr>
          <w:b/>
          <w:sz w:val="28"/>
          <w:szCs w:val="28"/>
        </w:rPr>
        <w:t>75</w:t>
      </w:r>
      <w:r w:rsidR="00730B2F" w:rsidRPr="00F30705">
        <w:rPr>
          <w:sz w:val="28"/>
          <w:szCs w:val="28"/>
        </w:rPr>
        <w:t xml:space="preserve"> vers</w:t>
      </w:r>
      <w:r w:rsidR="005948EF" w:rsidRPr="00F30705">
        <w:rPr>
          <w:sz w:val="28"/>
          <w:szCs w:val="28"/>
        </w:rPr>
        <w:t>us</w:t>
      </w:r>
      <w:r w:rsidR="00730B2F" w:rsidRPr="00F30705">
        <w:rPr>
          <w:sz w:val="28"/>
          <w:szCs w:val="28"/>
        </w:rPr>
        <w:t xml:space="preserve"> </w:t>
      </w:r>
      <w:r w:rsidR="00730B2F" w:rsidRPr="00F30705">
        <w:rPr>
          <w:b/>
          <w:sz w:val="28"/>
          <w:szCs w:val="28"/>
        </w:rPr>
        <w:t>184</w:t>
      </w:r>
      <w:r w:rsidR="00730B2F" w:rsidRPr="00F30705">
        <w:rPr>
          <w:sz w:val="28"/>
          <w:szCs w:val="28"/>
        </w:rPr>
        <w:t>)</w:t>
      </w:r>
      <w:r w:rsidRPr="00F30705">
        <w:rPr>
          <w:sz w:val="28"/>
          <w:szCs w:val="28"/>
        </w:rPr>
        <w:t>.</w:t>
      </w:r>
    </w:p>
    <w:p w:rsidR="0099081D" w:rsidRPr="00F30705" w:rsidRDefault="0099081D" w:rsidP="00A61A32">
      <w:pPr>
        <w:spacing w:line="360" w:lineRule="auto"/>
        <w:jc w:val="both"/>
        <w:rPr>
          <w:sz w:val="28"/>
          <w:szCs w:val="28"/>
        </w:rPr>
      </w:pPr>
    </w:p>
    <w:tbl>
      <w:tblPr>
        <w:tblW w:w="6840" w:type="dxa"/>
        <w:jc w:val="center"/>
        <w:tblCellMar>
          <w:left w:w="70" w:type="dxa"/>
          <w:right w:w="70" w:type="dxa"/>
        </w:tblCellMar>
        <w:tblLook w:val="04A0" w:firstRow="1" w:lastRow="0" w:firstColumn="1" w:lastColumn="0" w:noHBand="0" w:noVBand="1"/>
      </w:tblPr>
      <w:tblGrid>
        <w:gridCol w:w="2353"/>
        <w:gridCol w:w="718"/>
        <w:gridCol w:w="720"/>
        <w:gridCol w:w="720"/>
        <w:gridCol w:w="1173"/>
        <w:gridCol w:w="1156"/>
      </w:tblGrid>
      <w:tr w:rsidR="009521C8" w:rsidRPr="00F30705" w:rsidTr="009521C8">
        <w:trPr>
          <w:trHeight w:val="315"/>
          <w:jc w:val="center"/>
        </w:trPr>
        <w:tc>
          <w:tcPr>
            <w:tcW w:w="6840" w:type="dxa"/>
            <w:gridSpan w:val="6"/>
            <w:tcBorders>
              <w:top w:val="single" w:sz="4" w:space="0" w:color="auto"/>
              <w:left w:val="single" w:sz="4" w:space="0" w:color="auto"/>
              <w:bottom w:val="single" w:sz="4" w:space="0" w:color="auto"/>
              <w:right w:val="single" w:sz="4" w:space="0" w:color="000000"/>
            </w:tcBorders>
            <w:shd w:val="clear" w:color="000000" w:fill="FCD5B4"/>
            <w:vAlign w:val="center"/>
            <w:hideMark/>
          </w:tcPr>
          <w:p w:rsidR="009521C8" w:rsidRPr="00F30705" w:rsidRDefault="009521C8" w:rsidP="009521C8">
            <w:pPr>
              <w:jc w:val="center"/>
              <w:rPr>
                <w:b/>
                <w:bCs/>
                <w:sz w:val="24"/>
                <w:szCs w:val="24"/>
                <w:lang w:eastAsia="es-CR"/>
              </w:rPr>
            </w:pPr>
            <w:r w:rsidRPr="00F30705">
              <w:rPr>
                <w:b/>
                <w:bCs/>
                <w:sz w:val="24"/>
                <w:szCs w:val="24"/>
                <w:lang w:eastAsia="es-CR"/>
              </w:rPr>
              <w:t>Condenados según estado civil y por año desde 2013</w:t>
            </w:r>
          </w:p>
        </w:tc>
      </w:tr>
      <w:tr w:rsidR="009521C8" w:rsidRPr="00F30705" w:rsidTr="009521C8">
        <w:trPr>
          <w:trHeight w:val="315"/>
          <w:jc w:val="center"/>
        </w:trPr>
        <w:tc>
          <w:tcPr>
            <w:tcW w:w="2241" w:type="dxa"/>
            <w:vMerge w:val="restart"/>
            <w:tcBorders>
              <w:top w:val="nil"/>
              <w:left w:val="nil"/>
              <w:bottom w:val="nil"/>
              <w:right w:val="nil"/>
            </w:tcBorders>
            <w:shd w:val="clear" w:color="auto" w:fill="auto"/>
            <w:vAlign w:val="center"/>
            <w:hideMark/>
          </w:tcPr>
          <w:p w:rsidR="009521C8" w:rsidRPr="00F30705" w:rsidRDefault="009521C8" w:rsidP="009521C8">
            <w:pPr>
              <w:jc w:val="center"/>
              <w:rPr>
                <w:b/>
                <w:bCs/>
                <w:sz w:val="24"/>
                <w:szCs w:val="24"/>
                <w:u w:val="single"/>
                <w:lang w:eastAsia="es-CR"/>
              </w:rPr>
            </w:pPr>
            <w:r w:rsidRPr="00F30705">
              <w:rPr>
                <w:b/>
                <w:bCs/>
                <w:sz w:val="24"/>
                <w:szCs w:val="24"/>
                <w:u w:val="single"/>
                <w:lang w:eastAsia="es-CR"/>
              </w:rPr>
              <w:t>Estado Civil</w:t>
            </w:r>
          </w:p>
        </w:tc>
        <w:tc>
          <w:tcPr>
            <w:tcW w:w="2192" w:type="dxa"/>
            <w:gridSpan w:val="3"/>
            <w:tcBorders>
              <w:top w:val="single" w:sz="4" w:space="0" w:color="auto"/>
              <w:left w:val="nil"/>
              <w:bottom w:val="nil"/>
              <w:right w:val="double" w:sz="6" w:space="0" w:color="000000"/>
            </w:tcBorders>
            <w:shd w:val="clear" w:color="auto" w:fill="auto"/>
            <w:vAlign w:val="center"/>
            <w:hideMark/>
          </w:tcPr>
          <w:p w:rsidR="009521C8" w:rsidRPr="00F30705" w:rsidRDefault="009521C8" w:rsidP="009521C8">
            <w:pPr>
              <w:jc w:val="center"/>
              <w:rPr>
                <w:b/>
                <w:bCs/>
                <w:sz w:val="24"/>
                <w:szCs w:val="24"/>
                <w:u w:val="single"/>
                <w:lang w:eastAsia="es-CR"/>
              </w:rPr>
            </w:pPr>
            <w:r w:rsidRPr="00F30705">
              <w:rPr>
                <w:b/>
                <w:bCs/>
                <w:sz w:val="24"/>
                <w:szCs w:val="24"/>
                <w:u w:val="single"/>
                <w:lang w:eastAsia="es-CR"/>
              </w:rPr>
              <w:t>Año</w:t>
            </w:r>
          </w:p>
        </w:tc>
        <w:tc>
          <w:tcPr>
            <w:tcW w:w="2407" w:type="dxa"/>
            <w:gridSpan w:val="2"/>
            <w:tcBorders>
              <w:top w:val="nil"/>
              <w:left w:val="nil"/>
              <w:bottom w:val="nil"/>
              <w:right w:val="nil"/>
            </w:tcBorders>
            <w:shd w:val="clear" w:color="auto" w:fill="auto"/>
            <w:vAlign w:val="center"/>
            <w:hideMark/>
          </w:tcPr>
          <w:p w:rsidR="009521C8" w:rsidRPr="00F30705" w:rsidRDefault="009521C8" w:rsidP="009521C8">
            <w:pPr>
              <w:jc w:val="center"/>
              <w:rPr>
                <w:b/>
                <w:bCs/>
                <w:sz w:val="24"/>
                <w:szCs w:val="24"/>
                <w:u w:val="single"/>
                <w:lang w:eastAsia="es-CR"/>
              </w:rPr>
            </w:pPr>
            <w:r w:rsidRPr="00F30705">
              <w:rPr>
                <w:b/>
                <w:bCs/>
                <w:sz w:val="24"/>
                <w:szCs w:val="24"/>
                <w:u w:val="single"/>
                <w:lang w:eastAsia="es-CR"/>
              </w:rPr>
              <w:t>Variación 2014/2015</w:t>
            </w:r>
          </w:p>
        </w:tc>
      </w:tr>
      <w:tr w:rsidR="009521C8" w:rsidRPr="00F30705" w:rsidTr="009521C8">
        <w:trPr>
          <w:trHeight w:val="315"/>
          <w:jc w:val="center"/>
        </w:trPr>
        <w:tc>
          <w:tcPr>
            <w:tcW w:w="2241" w:type="dxa"/>
            <w:vMerge/>
            <w:tcBorders>
              <w:top w:val="nil"/>
              <w:left w:val="nil"/>
              <w:bottom w:val="nil"/>
              <w:right w:val="nil"/>
            </w:tcBorders>
            <w:vAlign w:val="center"/>
            <w:hideMark/>
          </w:tcPr>
          <w:p w:rsidR="009521C8" w:rsidRPr="00F30705" w:rsidRDefault="009521C8" w:rsidP="009521C8">
            <w:pPr>
              <w:rPr>
                <w:b/>
                <w:bCs/>
                <w:sz w:val="24"/>
                <w:szCs w:val="24"/>
                <w:u w:val="single"/>
                <w:lang w:eastAsia="es-CR"/>
              </w:rPr>
            </w:pPr>
          </w:p>
        </w:tc>
        <w:tc>
          <w:tcPr>
            <w:tcW w:w="730" w:type="dxa"/>
            <w:tcBorders>
              <w:top w:val="nil"/>
              <w:left w:val="nil"/>
              <w:bottom w:val="nil"/>
              <w:right w:val="nil"/>
            </w:tcBorders>
            <w:shd w:val="clear" w:color="auto" w:fill="auto"/>
            <w:vAlign w:val="center"/>
            <w:hideMark/>
          </w:tcPr>
          <w:p w:rsidR="009521C8" w:rsidRPr="00F30705" w:rsidRDefault="009521C8" w:rsidP="009521C8">
            <w:pPr>
              <w:jc w:val="center"/>
              <w:rPr>
                <w:b/>
                <w:bCs/>
                <w:sz w:val="24"/>
                <w:szCs w:val="24"/>
                <w:u w:val="single"/>
                <w:lang w:eastAsia="es-CR"/>
              </w:rPr>
            </w:pPr>
            <w:r w:rsidRPr="00F30705">
              <w:rPr>
                <w:b/>
                <w:bCs/>
                <w:sz w:val="24"/>
                <w:szCs w:val="24"/>
                <w:u w:val="single"/>
                <w:lang w:eastAsia="es-CR"/>
              </w:rPr>
              <w:t>2.013</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b/>
                <w:bCs/>
                <w:sz w:val="24"/>
                <w:szCs w:val="24"/>
                <w:u w:val="single"/>
                <w:lang w:eastAsia="es-CR"/>
              </w:rPr>
            </w:pPr>
            <w:r w:rsidRPr="00F30705">
              <w:rPr>
                <w:b/>
                <w:bCs/>
                <w:sz w:val="24"/>
                <w:szCs w:val="24"/>
                <w:u w:val="single"/>
                <w:lang w:eastAsia="es-CR"/>
              </w:rPr>
              <w:t>2.014</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b/>
                <w:bCs/>
                <w:sz w:val="24"/>
                <w:szCs w:val="24"/>
                <w:u w:val="single"/>
                <w:lang w:eastAsia="es-CR"/>
              </w:rPr>
            </w:pPr>
            <w:r w:rsidRPr="00F30705">
              <w:rPr>
                <w:b/>
                <w:bCs/>
                <w:sz w:val="24"/>
                <w:szCs w:val="24"/>
                <w:u w:val="single"/>
                <w:lang w:eastAsia="es-CR"/>
              </w:rPr>
              <w:t>2.015</w:t>
            </w:r>
          </w:p>
        </w:tc>
        <w:tc>
          <w:tcPr>
            <w:tcW w:w="1205" w:type="dxa"/>
            <w:tcBorders>
              <w:top w:val="nil"/>
              <w:left w:val="nil"/>
              <w:bottom w:val="nil"/>
              <w:right w:val="nil"/>
            </w:tcBorders>
            <w:shd w:val="clear" w:color="auto" w:fill="auto"/>
            <w:vAlign w:val="center"/>
            <w:hideMark/>
          </w:tcPr>
          <w:p w:rsidR="009521C8" w:rsidRPr="00F30705" w:rsidRDefault="009521C8" w:rsidP="009521C8">
            <w:pPr>
              <w:jc w:val="center"/>
              <w:rPr>
                <w:b/>
                <w:bCs/>
                <w:sz w:val="24"/>
                <w:szCs w:val="24"/>
                <w:u w:val="single"/>
                <w:lang w:eastAsia="es-CR"/>
              </w:rPr>
            </w:pPr>
            <w:r w:rsidRPr="00F30705">
              <w:rPr>
                <w:b/>
                <w:bCs/>
                <w:sz w:val="24"/>
                <w:szCs w:val="24"/>
                <w:u w:val="single"/>
                <w:lang w:eastAsia="es-CR"/>
              </w:rPr>
              <w:t>Absoluta</w:t>
            </w:r>
          </w:p>
        </w:tc>
        <w:tc>
          <w:tcPr>
            <w:tcW w:w="1202" w:type="dxa"/>
            <w:tcBorders>
              <w:top w:val="nil"/>
              <w:left w:val="nil"/>
              <w:bottom w:val="nil"/>
              <w:right w:val="nil"/>
            </w:tcBorders>
            <w:shd w:val="clear" w:color="auto" w:fill="auto"/>
            <w:vAlign w:val="center"/>
            <w:hideMark/>
          </w:tcPr>
          <w:p w:rsidR="009521C8" w:rsidRPr="00F30705" w:rsidRDefault="009521C8" w:rsidP="009521C8">
            <w:pPr>
              <w:jc w:val="center"/>
              <w:rPr>
                <w:b/>
                <w:bCs/>
                <w:sz w:val="24"/>
                <w:szCs w:val="24"/>
                <w:u w:val="single"/>
                <w:lang w:eastAsia="es-CR"/>
              </w:rPr>
            </w:pPr>
            <w:r w:rsidRPr="00F30705">
              <w:rPr>
                <w:b/>
                <w:bCs/>
                <w:sz w:val="24"/>
                <w:szCs w:val="24"/>
                <w:u w:val="single"/>
                <w:lang w:eastAsia="es-CR"/>
              </w:rPr>
              <w:t>Relativa</w:t>
            </w:r>
          </w:p>
        </w:tc>
      </w:tr>
      <w:tr w:rsidR="009521C8" w:rsidRPr="00F30705" w:rsidTr="009521C8">
        <w:trPr>
          <w:trHeight w:val="765"/>
          <w:jc w:val="center"/>
        </w:trPr>
        <w:tc>
          <w:tcPr>
            <w:tcW w:w="2241" w:type="dxa"/>
            <w:tcBorders>
              <w:top w:val="nil"/>
              <w:left w:val="nil"/>
              <w:bottom w:val="nil"/>
              <w:right w:val="nil"/>
            </w:tcBorders>
            <w:shd w:val="clear" w:color="auto" w:fill="auto"/>
            <w:vAlign w:val="center"/>
            <w:hideMark/>
          </w:tcPr>
          <w:p w:rsidR="009521C8" w:rsidRPr="00F30705" w:rsidRDefault="009521C8" w:rsidP="009521C8">
            <w:pPr>
              <w:rPr>
                <w:b/>
                <w:bCs/>
                <w:sz w:val="24"/>
                <w:szCs w:val="24"/>
                <w:lang w:eastAsia="es-CR"/>
              </w:rPr>
            </w:pPr>
            <w:r w:rsidRPr="00F30705">
              <w:rPr>
                <w:b/>
                <w:bCs/>
                <w:sz w:val="24"/>
                <w:szCs w:val="24"/>
                <w:lang w:eastAsia="es-CR"/>
              </w:rPr>
              <w:t>Total</w:t>
            </w:r>
          </w:p>
        </w:tc>
        <w:tc>
          <w:tcPr>
            <w:tcW w:w="730" w:type="dxa"/>
            <w:tcBorders>
              <w:top w:val="nil"/>
              <w:left w:val="nil"/>
              <w:bottom w:val="nil"/>
              <w:right w:val="nil"/>
            </w:tcBorders>
            <w:shd w:val="clear" w:color="auto" w:fill="auto"/>
            <w:vAlign w:val="center"/>
            <w:hideMark/>
          </w:tcPr>
          <w:p w:rsidR="009521C8" w:rsidRPr="00F30705" w:rsidRDefault="009521C8" w:rsidP="009521C8">
            <w:pPr>
              <w:jc w:val="right"/>
              <w:rPr>
                <w:b/>
                <w:bCs/>
                <w:sz w:val="24"/>
                <w:szCs w:val="24"/>
                <w:lang w:eastAsia="es-CR"/>
              </w:rPr>
            </w:pPr>
            <w:r w:rsidRPr="00F30705">
              <w:rPr>
                <w:b/>
                <w:bCs/>
                <w:sz w:val="24"/>
                <w:szCs w:val="24"/>
                <w:lang w:eastAsia="es-CR"/>
              </w:rPr>
              <w:t>8.777</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b/>
                <w:bCs/>
                <w:sz w:val="24"/>
                <w:szCs w:val="24"/>
                <w:lang w:eastAsia="es-CR"/>
              </w:rPr>
            </w:pPr>
            <w:r w:rsidRPr="00F30705">
              <w:rPr>
                <w:b/>
                <w:bCs/>
                <w:sz w:val="24"/>
                <w:szCs w:val="24"/>
                <w:lang w:eastAsia="es-CR"/>
              </w:rPr>
              <w:t>8.828</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b/>
                <w:bCs/>
                <w:sz w:val="24"/>
                <w:szCs w:val="24"/>
                <w:lang w:eastAsia="es-CR"/>
              </w:rPr>
            </w:pPr>
            <w:r w:rsidRPr="00F30705">
              <w:rPr>
                <w:b/>
                <w:bCs/>
                <w:sz w:val="24"/>
                <w:szCs w:val="24"/>
                <w:lang w:eastAsia="es-CR"/>
              </w:rPr>
              <w:t>8.871</w:t>
            </w:r>
          </w:p>
        </w:tc>
        <w:tc>
          <w:tcPr>
            <w:tcW w:w="1205"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b/>
                <w:bCs/>
                <w:sz w:val="24"/>
                <w:szCs w:val="24"/>
                <w:lang w:eastAsia="es-CR"/>
              </w:rPr>
            </w:pPr>
            <w:r w:rsidRPr="00F30705">
              <w:rPr>
                <w:b/>
                <w:bCs/>
                <w:sz w:val="24"/>
                <w:szCs w:val="24"/>
                <w:lang w:eastAsia="es-CR"/>
              </w:rPr>
              <w:t>43</w:t>
            </w:r>
          </w:p>
        </w:tc>
        <w:tc>
          <w:tcPr>
            <w:tcW w:w="1202"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b/>
                <w:bCs/>
                <w:sz w:val="24"/>
                <w:szCs w:val="24"/>
                <w:lang w:eastAsia="es-CR"/>
              </w:rPr>
            </w:pPr>
            <w:r w:rsidRPr="00F30705">
              <w:rPr>
                <w:b/>
                <w:bCs/>
                <w:sz w:val="24"/>
                <w:szCs w:val="24"/>
                <w:lang w:eastAsia="es-CR"/>
              </w:rPr>
              <w:t>0%</w:t>
            </w:r>
          </w:p>
        </w:tc>
      </w:tr>
      <w:tr w:rsidR="009521C8" w:rsidRPr="00F30705" w:rsidTr="009521C8">
        <w:trPr>
          <w:trHeight w:val="315"/>
          <w:jc w:val="center"/>
        </w:trPr>
        <w:tc>
          <w:tcPr>
            <w:tcW w:w="2241" w:type="dxa"/>
            <w:tcBorders>
              <w:top w:val="nil"/>
              <w:left w:val="nil"/>
              <w:bottom w:val="nil"/>
              <w:right w:val="nil"/>
            </w:tcBorders>
            <w:shd w:val="clear" w:color="auto" w:fill="auto"/>
            <w:vAlign w:val="center"/>
            <w:hideMark/>
          </w:tcPr>
          <w:p w:rsidR="009521C8" w:rsidRPr="00F30705" w:rsidRDefault="009521C8" w:rsidP="009521C8">
            <w:pPr>
              <w:rPr>
                <w:sz w:val="24"/>
                <w:szCs w:val="24"/>
                <w:lang w:eastAsia="es-CR"/>
              </w:rPr>
            </w:pPr>
            <w:r w:rsidRPr="00F30705">
              <w:rPr>
                <w:sz w:val="24"/>
                <w:szCs w:val="24"/>
                <w:lang w:eastAsia="es-CR"/>
              </w:rPr>
              <w:t>Soltera/Soltero</w:t>
            </w:r>
          </w:p>
        </w:tc>
        <w:tc>
          <w:tcPr>
            <w:tcW w:w="730"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5.041</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4.928</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5.234</w:t>
            </w:r>
          </w:p>
        </w:tc>
        <w:tc>
          <w:tcPr>
            <w:tcW w:w="1205"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306</w:t>
            </w:r>
          </w:p>
        </w:tc>
        <w:tc>
          <w:tcPr>
            <w:tcW w:w="1202"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6%</w:t>
            </w:r>
          </w:p>
        </w:tc>
      </w:tr>
      <w:tr w:rsidR="009521C8" w:rsidRPr="00F30705" w:rsidTr="009521C8">
        <w:trPr>
          <w:trHeight w:val="315"/>
          <w:jc w:val="center"/>
        </w:trPr>
        <w:tc>
          <w:tcPr>
            <w:tcW w:w="2241" w:type="dxa"/>
            <w:tcBorders>
              <w:top w:val="nil"/>
              <w:left w:val="nil"/>
              <w:bottom w:val="nil"/>
              <w:right w:val="nil"/>
            </w:tcBorders>
            <w:shd w:val="clear" w:color="auto" w:fill="auto"/>
            <w:vAlign w:val="center"/>
            <w:hideMark/>
          </w:tcPr>
          <w:p w:rsidR="009521C8" w:rsidRPr="00F30705" w:rsidRDefault="009521C8" w:rsidP="009521C8">
            <w:pPr>
              <w:rPr>
                <w:sz w:val="24"/>
                <w:szCs w:val="24"/>
                <w:lang w:eastAsia="es-CR"/>
              </w:rPr>
            </w:pPr>
            <w:r w:rsidRPr="00F30705">
              <w:rPr>
                <w:sz w:val="24"/>
                <w:szCs w:val="24"/>
                <w:lang w:eastAsia="es-CR"/>
              </w:rPr>
              <w:t>Casada/Casado</w:t>
            </w:r>
          </w:p>
        </w:tc>
        <w:tc>
          <w:tcPr>
            <w:tcW w:w="730"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1.557</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1.633</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1.606</w:t>
            </w:r>
          </w:p>
        </w:tc>
        <w:tc>
          <w:tcPr>
            <w:tcW w:w="1205"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-27</w:t>
            </w:r>
          </w:p>
        </w:tc>
        <w:tc>
          <w:tcPr>
            <w:tcW w:w="1202"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-2%</w:t>
            </w:r>
          </w:p>
        </w:tc>
      </w:tr>
      <w:tr w:rsidR="009521C8" w:rsidRPr="00F30705" w:rsidTr="009521C8">
        <w:trPr>
          <w:trHeight w:val="315"/>
          <w:jc w:val="center"/>
        </w:trPr>
        <w:tc>
          <w:tcPr>
            <w:tcW w:w="2241" w:type="dxa"/>
            <w:tcBorders>
              <w:top w:val="nil"/>
              <w:left w:val="nil"/>
              <w:bottom w:val="nil"/>
              <w:right w:val="nil"/>
            </w:tcBorders>
            <w:shd w:val="clear" w:color="auto" w:fill="auto"/>
            <w:vAlign w:val="center"/>
            <w:hideMark/>
          </w:tcPr>
          <w:p w:rsidR="009521C8" w:rsidRPr="00F30705" w:rsidRDefault="009521C8" w:rsidP="009521C8">
            <w:pPr>
              <w:rPr>
                <w:sz w:val="24"/>
                <w:szCs w:val="24"/>
                <w:lang w:eastAsia="es-CR"/>
              </w:rPr>
            </w:pPr>
            <w:r w:rsidRPr="00F30705">
              <w:rPr>
                <w:sz w:val="24"/>
                <w:szCs w:val="24"/>
                <w:lang w:eastAsia="es-CR"/>
              </w:rPr>
              <w:t>Divorciada/Divorciado</w:t>
            </w:r>
          </w:p>
        </w:tc>
        <w:tc>
          <w:tcPr>
            <w:tcW w:w="730"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503</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491</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592</w:t>
            </w:r>
          </w:p>
        </w:tc>
        <w:tc>
          <w:tcPr>
            <w:tcW w:w="1205"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101</w:t>
            </w:r>
          </w:p>
        </w:tc>
        <w:tc>
          <w:tcPr>
            <w:tcW w:w="1202"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21%</w:t>
            </w:r>
          </w:p>
        </w:tc>
      </w:tr>
      <w:tr w:rsidR="009521C8" w:rsidRPr="00F30705" w:rsidTr="009521C8">
        <w:trPr>
          <w:trHeight w:val="315"/>
          <w:jc w:val="center"/>
        </w:trPr>
        <w:tc>
          <w:tcPr>
            <w:tcW w:w="2241" w:type="dxa"/>
            <w:tcBorders>
              <w:top w:val="nil"/>
              <w:left w:val="nil"/>
              <w:bottom w:val="nil"/>
              <w:right w:val="nil"/>
            </w:tcBorders>
            <w:shd w:val="clear" w:color="auto" w:fill="auto"/>
            <w:vAlign w:val="center"/>
            <w:hideMark/>
          </w:tcPr>
          <w:p w:rsidR="009521C8" w:rsidRPr="00F30705" w:rsidRDefault="009521C8" w:rsidP="009521C8">
            <w:pPr>
              <w:rPr>
                <w:sz w:val="24"/>
                <w:szCs w:val="24"/>
                <w:lang w:eastAsia="es-CR"/>
              </w:rPr>
            </w:pPr>
            <w:r w:rsidRPr="00F30705">
              <w:rPr>
                <w:sz w:val="24"/>
                <w:szCs w:val="24"/>
                <w:lang w:eastAsia="es-CR"/>
              </w:rPr>
              <w:t>Separada/Separado</w:t>
            </w:r>
          </w:p>
        </w:tc>
        <w:tc>
          <w:tcPr>
            <w:tcW w:w="730"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61</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184</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75</w:t>
            </w:r>
          </w:p>
        </w:tc>
        <w:tc>
          <w:tcPr>
            <w:tcW w:w="1205"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-109</w:t>
            </w:r>
          </w:p>
        </w:tc>
        <w:tc>
          <w:tcPr>
            <w:tcW w:w="1202"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-59%</w:t>
            </w:r>
          </w:p>
        </w:tc>
      </w:tr>
      <w:tr w:rsidR="009521C8" w:rsidRPr="00F30705" w:rsidTr="009521C8">
        <w:trPr>
          <w:trHeight w:val="315"/>
          <w:jc w:val="center"/>
        </w:trPr>
        <w:tc>
          <w:tcPr>
            <w:tcW w:w="2241" w:type="dxa"/>
            <w:tcBorders>
              <w:top w:val="nil"/>
              <w:left w:val="nil"/>
              <w:bottom w:val="nil"/>
              <w:right w:val="nil"/>
            </w:tcBorders>
            <w:shd w:val="clear" w:color="auto" w:fill="auto"/>
            <w:vAlign w:val="center"/>
            <w:hideMark/>
          </w:tcPr>
          <w:p w:rsidR="009521C8" w:rsidRPr="00F30705" w:rsidRDefault="009521C8" w:rsidP="009521C8">
            <w:pPr>
              <w:rPr>
                <w:sz w:val="24"/>
                <w:szCs w:val="24"/>
                <w:lang w:eastAsia="es-CR"/>
              </w:rPr>
            </w:pPr>
            <w:r w:rsidRPr="00F30705">
              <w:rPr>
                <w:sz w:val="24"/>
                <w:szCs w:val="24"/>
                <w:lang w:eastAsia="es-CR"/>
              </w:rPr>
              <w:t>Viuda/Viudo</w:t>
            </w:r>
          </w:p>
        </w:tc>
        <w:tc>
          <w:tcPr>
            <w:tcW w:w="730"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78</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58</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69</w:t>
            </w:r>
          </w:p>
        </w:tc>
        <w:tc>
          <w:tcPr>
            <w:tcW w:w="1205"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11</w:t>
            </w:r>
          </w:p>
        </w:tc>
        <w:tc>
          <w:tcPr>
            <w:tcW w:w="1202"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19%</w:t>
            </w:r>
          </w:p>
        </w:tc>
      </w:tr>
      <w:tr w:rsidR="009521C8" w:rsidRPr="00F30705" w:rsidTr="009521C8">
        <w:trPr>
          <w:trHeight w:val="315"/>
          <w:jc w:val="center"/>
        </w:trPr>
        <w:tc>
          <w:tcPr>
            <w:tcW w:w="2241" w:type="dxa"/>
            <w:tcBorders>
              <w:top w:val="nil"/>
              <w:left w:val="nil"/>
              <w:bottom w:val="nil"/>
              <w:right w:val="nil"/>
            </w:tcBorders>
            <w:shd w:val="clear" w:color="auto" w:fill="auto"/>
            <w:vAlign w:val="center"/>
            <w:hideMark/>
          </w:tcPr>
          <w:p w:rsidR="009521C8" w:rsidRPr="00F30705" w:rsidRDefault="009521C8" w:rsidP="009521C8">
            <w:pPr>
              <w:rPr>
                <w:sz w:val="24"/>
                <w:szCs w:val="24"/>
                <w:lang w:eastAsia="es-CR"/>
              </w:rPr>
            </w:pPr>
            <w:r w:rsidRPr="00F30705">
              <w:rPr>
                <w:sz w:val="24"/>
                <w:szCs w:val="24"/>
                <w:lang w:eastAsia="es-CR"/>
              </w:rPr>
              <w:t>Unión de hecho</w:t>
            </w:r>
          </w:p>
        </w:tc>
        <w:tc>
          <w:tcPr>
            <w:tcW w:w="730"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1.537</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1.500</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1.295</w:t>
            </w:r>
          </w:p>
        </w:tc>
        <w:tc>
          <w:tcPr>
            <w:tcW w:w="1205"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-205</w:t>
            </w:r>
          </w:p>
        </w:tc>
        <w:tc>
          <w:tcPr>
            <w:tcW w:w="1202"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-14%</w:t>
            </w:r>
          </w:p>
        </w:tc>
      </w:tr>
      <w:tr w:rsidR="009521C8" w:rsidRPr="00F30705" w:rsidTr="009521C8">
        <w:trPr>
          <w:trHeight w:val="315"/>
          <w:jc w:val="center"/>
        </w:trPr>
        <w:tc>
          <w:tcPr>
            <w:tcW w:w="2241" w:type="dxa"/>
            <w:tcBorders>
              <w:top w:val="nil"/>
              <w:left w:val="nil"/>
              <w:bottom w:val="nil"/>
              <w:right w:val="nil"/>
            </w:tcBorders>
            <w:shd w:val="clear" w:color="auto" w:fill="auto"/>
            <w:vAlign w:val="center"/>
            <w:hideMark/>
          </w:tcPr>
          <w:p w:rsidR="009521C8" w:rsidRPr="00F30705" w:rsidRDefault="009521C8" w:rsidP="009521C8">
            <w:pPr>
              <w:rPr>
                <w:sz w:val="24"/>
                <w:szCs w:val="24"/>
                <w:lang w:eastAsia="es-CR"/>
              </w:rPr>
            </w:pPr>
            <w:r w:rsidRPr="00F30705">
              <w:rPr>
                <w:sz w:val="24"/>
                <w:szCs w:val="24"/>
                <w:lang w:eastAsia="es-CR"/>
              </w:rPr>
              <w:t>Desconocido</w:t>
            </w:r>
          </w:p>
        </w:tc>
        <w:tc>
          <w:tcPr>
            <w:tcW w:w="730"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0</w:t>
            </w:r>
          </w:p>
        </w:tc>
        <w:tc>
          <w:tcPr>
            <w:tcW w:w="731" w:type="dxa"/>
            <w:tcBorders>
              <w:top w:val="nil"/>
              <w:left w:val="nil"/>
              <w:bottom w:val="nil"/>
              <w:right w:val="nil"/>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34</w:t>
            </w:r>
          </w:p>
        </w:tc>
        <w:tc>
          <w:tcPr>
            <w:tcW w:w="731" w:type="dxa"/>
            <w:tcBorders>
              <w:top w:val="nil"/>
              <w:left w:val="nil"/>
              <w:bottom w:val="nil"/>
              <w:right w:val="double" w:sz="6" w:space="0" w:color="auto"/>
            </w:tcBorders>
            <w:shd w:val="clear" w:color="auto" w:fill="auto"/>
            <w:vAlign w:val="center"/>
            <w:hideMark/>
          </w:tcPr>
          <w:p w:rsidR="009521C8" w:rsidRPr="00F30705" w:rsidRDefault="009521C8" w:rsidP="009521C8">
            <w:pPr>
              <w:jc w:val="right"/>
              <w:rPr>
                <w:sz w:val="24"/>
                <w:szCs w:val="24"/>
                <w:lang w:eastAsia="es-CR"/>
              </w:rPr>
            </w:pPr>
            <w:r w:rsidRPr="00F30705">
              <w:rPr>
                <w:sz w:val="24"/>
                <w:szCs w:val="24"/>
                <w:lang w:eastAsia="es-CR"/>
              </w:rPr>
              <w:t>0</w:t>
            </w:r>
          </w:p>
        </w:tc>
        <w:tc>
          <w:tcPr>
            <w:tcW w:w="1205"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-34</w:t>
            </w:r>
          </w:p>
        </w:tc>
        <w:tc>
          <w:tcPr>
            <w:tcW w:w="1202" w:type="dxa"/>
            <w:tcBorders>
              <w:top w:val="nil"/>
              <w:left w:val="nil"/>
              <w:bottom w:val="nil"/>
              <w:right w:val="nil"/>
            </w:tcBorders>
            <w:shd w:val="clear" w:color="auto" w:fill="auto"/>
            <w:vAlign w:val="center"/>
            <w:hideMark/>
          </w:tcPr>
          <w:p w:rsidR="009521C8" w:rsidRPr="00F30705" w:rsidRDefault="009521C8" w:rsidP="00CC3EB7">
            <w:pPr>
              <w:ind w:left="-761" w:right="377"/>
              <w:jc w:val="right"/>
              <w:rPr>
                <w:sz w:val="24"/>
                <w:szCs w:val="24"/>
                <w:lang w:eastAsia="es-CR"/>
              </w:rPr>
            </w:pPr>
            <w:r w:rsidRPr="00F30705">
              <w:rPr>
                <w:sz w:val="24"/>
                <w:szCs w:val="24"/>
                <w:lang w:eastAsia="es-CR"/>
              </w:rPr>
              <w:t>NR.</w:t>
            </w:r>
          </w:p>
        </w:tc>
      </w:tr>
      <w:tr w:rsidR="009521C8" w:rsidRPr="00F30705" w:rsidTr="009521C8">
        <w:trPr>
          <w:trHeight w:val="255"/>
          <w:jc w:val="center"/>
        </w:trPr>
        <w:tc>
          <w:tcPr>
            <w:tcW w:w="6840" w:type="dxa"/>
            <w:gridSpan w:val="6"/>
            <w:tcBorders>
              <w:top w:val="nil"/>
              <w:left w:val="nil"/>
              <w:bottom w:val="nil"/>
              <w:right w:val="nil"/>
            </w:tcBorders>
            <w:shd w:val="clear" w:color="auto" w:fill="auto"/>
            <w:vAlign w:val="center"/>
            <w:hideMark/>
          </w:tcPr>
          <w:p w:rsidR="009521C8" w:rsidRPr="00F30705" w:rsidRDefault="009521C8" w:rsidP="009521C8">
            <w:pPr>
              <w:rPr>
                <w:lang w:eastAsia="es-CR"/>
              </w:rPr>
            </w:pPr>
            <w:r w:rsidRPr="00F30705">
              <w:rPr>
                <w:lang w:eastAsia="es-CR"/>
              </w:rPr>
              <w:t>NR: No se recomienda el cálculo por tener una base (2014) menor a 50</w:t>
            </w:r>
          </w:p>
        </w:tc>
      </w:tr>
    </w:tbl>
    <w:p w:rsidR="009521C8" w:rsidRPr="00F30705" w:rsidRDefault="009521C8" w:rsidP="00A61A32">
      <w:pPr>
        <w:spacing w:line="360" w:lineRule="auto"/>
        <w:jc w:val="both"/>
        <w:rPr>
          <w:sz w:val="28"/>
          <w:szCs w:val="28"/>
        </w:rPr>
      </w:pPr>
    </w:p>
    <w:p w:rsidR="00A61A32" w:rsidRPr="00F30705" w:rsidRDefault="00B51898" w:rsidP="00A61A32">
      <w:pPr>
        <w:spacing w:line="360" w:lineRule="auto"/>
        <w:jc w:val="both"/>
        <w:rPr>
          <w:b/>
          <w:bCs/>
          <w:sz w:val="28"/>
          <w:szCs w:val="28"/>
        </w:rPr>
      </w:pPr>
      <w:r w:rsidRPr="00F30705">
        <w:rPr>
          <w:b/>
          <w:bCs/>
          <w:sz w:val="28"/>
          <w:szCs w:val="28"/>
        </w:rPr>
        <w:t>3</w:t>
      </w:r>
      <w:r w:rsidR="00A61A32" w:rsidRPr="00F30705">
        <w:rPr>
          <w:b/>
          <w:bCs/>
          <w:sz w:val="28"/>
          <w:szCs w:val="28"/>
        </w:rPr>
        <w:t>.5 Condena por nacionalidad.</w:t>
      </w:r>
    </w:p>
    <w:p w:rsidR="00A61A32" w:rsidRPr="00F30705" w:rsidRDefault="00A61A32" w:rsidP="00A61A32">
      <w:pPr>
        <w:spacing w:line="360" w:lineRule="auto"/>
        <w:jc w:val="both"/>
        <w:rPr>
          <w:sz w:val="28"/>
          <w:szCs w:val="28"/>
        </w:rPr>
      </w:pPr>
    </w:p>
    <w:p w:rsidR="00A61A32" w:rsidRPr="00F30705" w:rsidRDefault="004A39C9" w:rsidP="00A61A32">
      <w:pPr>
        <w:spacing w:line="360" w:lineRule="auto"/>
        <w:jc w:val="both"/>
        <w:rPr>
          <w:sz w:val="28"/>
          <w:szCs w:val="28"/>
        </w:rPr>
      </w:pPr>
      <w:r w:rsidRPr="00F30705">
        <w:rPr>
          <w:sz w:val="28"/>
          <w:szCs w:val="28"/>
        </w:rPr>
        <w:t>Históricamente,</w:t>
      </w:r>
      <w:r w:rsidR="00A61A32" w:rsidRPr="00F30705">
        <w:rPr>
          <w:sz w:val="28"/>
          <w:szCs w:val="28"/>
        </w:rPr>
        <w:t xml:space="preserve"> la mayoría de las condenas dictadas en los tribunales de juicio es </w:t>
      </w:r>
      <w:r w:rsidRPr="00F30705">
        <w:rPr>
          <w:sz w:val="28"/>
          <w:szCs w:val="28"/>
        </w:rPr>
        <w:t>a</w:t>
      </w:r>
      <w:r w:rsidR="00A61A32" w:rsidRPr="00F30705">
        <w:rPr>
          <w:sz w:val="28"/>
          <w:szCs w:val="28"/>
        </w:rPr>
        <w:t xml:space="preserve"> costarricenses. De las </w:t>
      </w:r>
      <w:r w:rsidR="00A61A32" w:rsidRPr="00F30705">
        <w:rPr>
          <w:b/>
          <w:bCs/>
          <w:sz w:val="28"/>
          <w:szCs w:val="28"/>
        </w:rPr>
        <w:t>8.8</w:t>
      </w:r>
      <w:r w:rsidR="00652B1F" w:rsidRPr="00F30705">
        <w:rPr>
          <w:b/>
          <w:bCs/>
          <w:sz w:val="28"/>
          <w:szCs w:val="28"/>
        </w:rPr>
        <w:t>71</w:t>
      </w:r>
      <w:r w:rsidR="00A61A32" w:rsidRPr="00F30705">
        <w:rPr>
          <w:sz w:val="28"/>
          <w:szCs w:val="28"/>
        </w:rPr>
        <w:t xml:space="preserve"> condenas dictadas en el 201</w:t>
      </w:r>
      <w:r w:rsidR="00652B1F" w:rsidRPr="00F30705">
        <w:rPr>
          <w:sz w:val="28"/>
          <w:szCs w:val="28"/>
        </w:rPr>
        <w:t>5</w:t>
      </w:r>
      <w:r w:rsidR="00A61A32" w:rsidRPr="00F30705">
        <w:rPr>
          <w:sz w:val="28"/>
          <w:szCs w:val="28"/>
        </w:rPr>
        <w:t xml:space="preserve">, </w:t>
      </w:r>
      <w:r w:rsidR="00A61A32" w:rsidRPr="00F30705">
        <w:rPr>
          <w:b/>
          <w:bCs/>
          <w:sz w:val="28"/>
          <w:szCs w:val="28"/>
        </w:rPr>
        <w:t>7.</w:t>
      </w:r>
      <w:r w:rsidR="00652B1F" w:rsidRPr="00F30705">
        <w:rPr>
          <w:b/>
          <w:bCs/>
          <w:sz w:val="28"/>
          <w:szCs w:val="28"/>
        </w:rPr>
        <w:t>999</w:t>
      </w:r>
      <w:r w:rsidR="00A61A32" w:rsidRPr="00F30705">
        <w:rPr>
          <w:sz w:val="28"/>
          <w:szCs w:val="28"/>
        </w:rPr>
        <w:t xml:space="preserve"> lo fueron en nacionales, sea el </w:t>
      </w:r>
      <w:r w:rsidR="00652B1F" w:rsidRPr="00F30705">
        <w:rPr>
          <w:b/>
          <w:bCs/>
          <w:sz w:val="28"/>
          <w:szCs w:val="28"/>
        </w:rPr>
        <w:t>90</w:t>
      </w:r>
      <w:r w:rsidR="00A61A32" w:rsidRPr="00F30705">
        <w:rPr>
          <w:b/>
          <w:bCs/>
          <w:sz w:val="28"/>
          <w:szCs w:val="28"/>
        </w:rPr>
        <w:t>%</w:t>
      </w:r>
      <w:r w:rsidR="00A61A32" w:rsidRPr="00F30705">
        <w:rPr>
          <w:sz w:val="28"/>
          <w:szCs w:val="28"/>
        </w:rPr>
        <w:t xml:space="preserve"> o nueve de cada diez mientras que, el restante </w:t>
      </w:r>
      <w:r w:rsidR="00A61A32" w:rsidRPr="00F30705">
        <w:rPr>
          <w:b/>
          <w:bCs/>
          <w:sz w:val="28"/>
          <w:szCs w:val="28"/>
        </w:rPr>
        <w:t>1</w:t>
      </w:r>
      <w:r w:rsidR="00652B1F" w:rsidRPr="00F30705">
        <w:rPr>
          <w:b/>
          <w:bCs/>
          <w:sz w:val="28"/>
          <w:szCs w:val="28"/>
        </w:rPr>
        <w:t>0</w:t>
      </w:r>
      <w:r w:rsidR="00A61A32" w:rsidRPr="00F30705">
        <w:rPr>
          <w:b/>
          <w:bCs/>
          <w:sz w:val="28"/>
          <w:szCs w:val="28"/>
        </w:rPr>
        <w:t>%</w:t>
      </w:r>
      <w:r w:rsidR="00A61A32" w:rsidRPr="00F30705">
        <w:rPr>
          <w:sz w:val="28"/>
          <w:szCs w:val="28"/>
        </w:rPr>
        <w:t xml:space="preserve"> recae en personas de otras y variadas latitudes. Por otro lado, para este último grupo de personas condenadas se registra </w:t>
      </w:r>
      <w:r w:rsidR="00652B1F" w:rsidRPr="00F30705">
        <w:rPr>
          <w:sz w:val="28"/>
          <w:szCs w:val="28"/>
        </w:rPr>
        <w:t xml:space="preserve">un comportamiento decreciente de volumen respecto al universo de condena de los últimos tres años; del 2013 al 2014 la </w:t>
      </w:r>
      <w:r w:rsidR="00A61A32" w:rsidRPr="00F30705">
        <w:rPr>
          <w:sz w:val="28"/>
          <w:szCs w:val="28"/>
        </w:rPr>
        <w:t xml:space="preserve">reducción </w:t>
      </w:r>
      <w:r w:rsidR="00652B1F" w:rsidRPr="00F30705">
        <w:rPr>
          <w:sz w:val="28"/>
          <w:szCs w:val="28"/>
        </w:rPr>
        <w:t xml:space="preserve">fue </w:t>
      </w:r>
      <w:r w:rsidR="00A61A32" w:rsidRPr="00F30705">
        <w:rPr>
          <w:sz w:val="28"/>
          <w:szCs w:val="28"/>
        </w:rPr>
        <w:t xml:space="preserve">del </w:t>
      </w:r>
      <w:r w:rsidR="00A61A32" w:rsidRPr="00F30705">
        <w:rPr>
          <w:b/>
          <w:bCs/>
          <w:sz w:val="28"/>
          <w:szCs w:val="28"/>
        </w:rPr>
        <w:t>7%</w:t>
      </w:r>
      <w:r w:rsidR="00652B1F" w:rsidRPr="00F30705">
        <w:rPr>
          <w:b/>
          <w:bCs/>
          <w:sz w:val="28"/>
          <w:szCs w:val="28"/>
        </w:rPr>
        <w:t xml:space="preserve"> </w:t>
      </w:r>
      <w:r w:rsidR="00652B1F" w:rsidRPr="00F30705">
        <w:rPr>
          <w:bCs/>
          <w:sz w:val="28"/>
          <w:szCs w:val="28"/>
        </w:rPr>
        <w:t>y del 2014 al 2015 la reducción fue del</w:t>
      </w:r>
      <w:r w:rsidR="00652B1F" w:rsidRPr="00F30705">
        <w:rPr>
          <w:b/>
          <w:bCs/>
          <w:sz w:val="28"/>
          <w:szCs w:val="28"/>
        </w:rPr>
        <w:t xml:space="preserve"> 6%</w:t>
      </w:r>
      <w:r w:rsidR="00A61A32" w:rsidRPr="00F30705">
        <w:rPr>
          <w:sz w:val="28"/>
          <w:szCs w:val="28"/>
        </w:rPr>
        <w:t xml:space="preserve">. </w:t>
      </w:r>
    </w:p>
    <w:p w:rsidR="00696299" w:rsidRPr="00F30705" w:rsidRDefault="00696299" w:rsidP="00A61A32">
      <w:pPr>
        <w:spacing w:line="360" w:lineRule="auto"/>
        <w:jc w:val="both"/>
        <w:rPr>
          <w:b/>
          <w:bCs/>
          <w:sz w:val="24"/>
          <w:szCs w:val="24"/>
          <w:u w:val="single"/>
          <w:lang w:eastAsia="es-CR"/>
        </w:rPr>
      </w:pPr>
    </w:p>
    <w:tbl>
      <w:tblPr>
        <w:tblW w:w="6920" w:type="dxa"/>
        <w:jc w:val="center"/>
        <w:tblCellMar>
          <w:left w:w="70" w:type="dxa"/>
          <w:right w:w="70" w:type="dxa"/>
        </w:tblCellMar>
        <w:tblLook w:val="04A0" w:firstRow="1" w:lastRow="0" w:firstColumn="1" w:lastColumn="0" w:noHBand="0" w:noVBand="1"/>
      </w:tblPr>
      <w:tblGrid>
        <w:gridCol w:w="2107"/>
        <w:gridCol w:w="680"/>
        <w:gridCol w:w="680"/>
        <w:gridCol w:w="680"/>
        <w:gridCol w:w="1389"/>
        <w:gridCol w:w="1384"/>
      </w:tblGrid>
      <w:tr w:rsidR="00696299" w:rsidRPr="00F30705" w:rsidTr="00696299">
        <w:trPr>
          <w:trHeight w:val="375"/>
          <w:jc w:val="center"/>
        </w:trPr>
        <w:tc>
          <w:tcPr>
            <w:tcW w:w="2160" w:type="dxa"/>
            <w:vMerge w:val="restart"/>
            <w:tcBorders>
              <w:top w:val="nil"/>
              <w:left w:val="nil"/>
              <w:bottom w:val="nil"/>
              <w:right w:val="nil"/>
            </w:tcBorders>
            <w:shd w:val="clear" w:color="auto" w:fill="auto"/>
            <w:vAlign w:val="center"/>
            <w:hideMark/>
          </w:tcPr>
          <w:p w:rsidR="00696299" w:rsidRPr="00F30705" w:rsidRDefault="00696299" w:rsidP="00696299">
            <w:pPr>
              <w:jc w:val="center"/>
              <w:rPr>
                <w:b/>
                <w:bCs/>
                <w:sz w:val="24"/>
                <w:szCs w:val="24"/>
                <w:u w:val="single"/>
                <w:lang w:eastAsia="es-CR"/>
              </w:rPr>
            </w:pPr>
            <w:r w:rsidRPr="00F30705">
              <w:rPr>
                <w:b/>
                <w:bCs/>
                <w:sz w:val="24"/>
                <w:szCs w:val="24"/>
                <w:u w:val="single"/>
                <w:lang w:eastAsia="es-CR"/>
              </w:rPr>
              <w:t>Nacionalidad</w:t>
            </w:r>
          </w:p>
        </w:tc>
        <w:tc>
          <w:tcPr>
            <w:tcW w:w="1920" w:type="dxa"/>
            <w:gridSpan w:val="3"/>
            <w:tcBorders>
              <w:top w:val="nil"/>
              <w:left w:val="nil"/>
              <w:bottom w:val="nil"/>
              <w:right w:val="double" w:sz="6" w:space="0" w:color="000000"/>
            </w:tcBorders>
            <w:shd w:val="clear" w:color="auto" w:fill="auto"/>
            <w:vAlign w:val="center"/>
            <w:hideMark/>
          </w:tcPr>
          <w:p w:rsidR="00696299" w:rsidRPr="00F30705" w:rsidRDefault="00696299" w:rsidP="00696299">
            <w:pPr>
              <w:jc w:val="center"/>
              <w:rPr>
                <w:b/>
                <w:bCs/>
                <w:sz w:val="24"/>
                <w:szCs w:val="24"/>
                <w:u w:val="single"/>
                <w:lang w:eastAsia="es-CR"/>
              </w:rPr>
            </w:pPr>
            <w:r w:rsidRPr="00F30705">
              <w:rPr>
                <w:b/>
                <w:bCs/>
                <w:sz w:val="24"/>
                <w:szCs w:val="24"/>
                <w:u w:val="single"/>
                <w:lang w:eastAsia="es-CR"/>
              </w:rPr>
              <w:t>Año</w:t>
            </w:r>
          </w:p>
        </w:tc>
        <w:tc>
          <w:tcPr>
            <w:tcW w:w="2840" w:type="dxa"/>
            <w:gridSpan w:val="2"/>
            <w:tcBorders>
              <w:top w:val="nil"/>
              <w:left w:val="nil"/>
              <w:bottom w:val="nil"/>
              <w:right w:val="nil"/>
            </w:tcBorders>
            <w:shd w:val="clear" w:color="auto" w:fill="auto"/>
            <w:vAlign w:val="center"/>
            <w:hideMark/>
          </w:tcPr>
          <w:p w:rsidR="00696299" w:rsidRPr="00F30705" w:rsidRDefault="00696299" w:rsidP="00696299">
            <w:pPr>
              <w:jc w:val="center"/>
              <w:rPr>
                <w:b/>
                <w:bCs/>
                <w:sz w:val="24"/>
                <w:szCs w:val="24"/>
                <w:u w:val="single"/>
                <w:lang w:eastAsia="es-CR"/>
              </w:rPr>
            </w:pPr>
            <w:r w:rsidRPr="00F30705">
              <w:rPr>
                <w:b/>
                <w:bCs/>
                <w:sz w:val="24"/>
                <w:szCs w:val="24"/>
                <w:u w:val="single"/>
                <w:lang w:eastAsia="es-CR"/>
              </w:rPr>
              <w:t>Variación anual 2014/2015</w:t>
            </w:r>
          </w:p>
        </w:tc>
      </w:tr>
      <w:tr w:rsidR="00696299" w:rsidRPr="00F30705" w:rsidTr="00696299">
        <w:trPr>
          <w:trHeight w:val="315"/>
          <w:jc w:val="center"/>
        </w:trPr>
        <w:tc>
          <w:tcPr>
            <w:tcW w:w="2160" w:type="dxa"/>
            <w:vMerge/>
            <w:tcBorders>
              <w:top w:val="nil"/>
              <w:left w:val="nil"/>
              <w:bottom w:val="nil"/>
              <w:right w:val="nil"/>
            </w:tcBorders>
            <w:vAlign w:val="center"/>
            <w:hideMark/>
          </w:tcPr>
          <w:p w:rsidR="00696299" w:rsidRPr="00F30705" w:rsidRDefault="00696299" w:rsidP="00696299">
            <w:pPr>
              <w:rPr>
                <w:b/>
                <w:bCs/>
                <w:sz w:val="24"/>
                <w:szCs w:val="24"/>
                <w:u w:val="single"/>
                <w:lang w:eastAsia="es-CR"/>
              </w:rPr>
            </w:pPr>
          </w:p>
        </w:tc>
        <w:tc>
          <w:tcPr>
            <w:tcW w:w="640" w:type="dxa"/>
            <w:tcBorders>
              <w:top w:val="nil"/>
              <w:left w:val="nil"/>
              <w:bottom w:val="nil"/>
              <w:right w:val="nil"/>
            </w:tcBorders>
            <w:shd w:val="clear" w:color="auto" w:fill="auto"/>
            <w:vAlign w:val="center"/>
            <w:hideMark/>
          </w:tcPr>
          <w:p w:rsidR="00696299" w:rsidRPr="00F30705" w:rsidRDefault="00696299" w:rsidP="00696299">
            <w:pPr>
              <w:jc w:val="center"/>
              <w:rPr>
                <w:b/>
                <w:bCs/>
                <w:sz w:val="24"/>
                <w:szCs w:val="24"/>
                <w:u w:val="single"/>
                <w:lang w:eastAsia="es-CR"/>
              </w:rPr>
            </w:pPr>
            <w:r w:rsidRPr="00F30705">
              <w:rPr>
                <w:b/>
                <w:bCs/>
                <w:sz w:val="24"/>
                <w:szCs w:val="24"/>
                <w:u w:val="single"/>
                <w:lang w:eastAsia="es-CR"/>
              </w:rPr>
              <w:t>2013</w:t>
            </w:r>
          </w:p>
        </w:tc>
        <w:tc>
          <w:tcPr>
            <w:tcW w:w="640" w:type="dxa"/>
            <w:tcBorders>
              <w:top w:val="nil"/>
              <w:left w:val="nil"/>
              <w:bottom w:val="nil"/>
              <w:right w:val="nil"/>
            </w:tcBorders>
            <w:shd w:val="clear" w:color="auto" w:fill="auto"/>
            <w:vAlign w:val="center"/>
            <w:hideMark/>
          </w:tcPr>
          <w:p w:rsidR="00696299" w:rsidRPr="00F30705" w:rsidRDefault="00696299" w:rsidP="00696299">
            <w:pPr>
              <w:jc w:val="right"/>
              <w:rPr>
                <w:b/>
                <w:bCs/>
                <w:sz w:val="24"/>
                <w:szCs w:val="24"/>
                <w:u w:val="single"/>
                <w:lang w:eastAsia="es-CR"/>
              </w:rPr>
            </w:pPr>
            <w:r w:rsidRPr="00F30705">
              <w:rPr>
                <w:b/>
                <w:bCs/>
                <w:sz w:val="24"/>
                <w:szCs w:val="24"/>
                <w:u w:val="single"/>
                <w:lang w:eastAsia="es-CR"/>
              </w:rPr>
              <w:t>2014</w:t>
            </w:r>
          </w:p>
        </w:tc>
        <w:tc>
          <w:tcPr>
            <w:tcW w:w="640" w:type="dxa"/>
            <w:tcBorders>
              <w:top w:val="nil"/>
              <w:left w:val="nil"/>
              <w:bottom w:val="nil"/>
              <w:right w:val="double" w:sz="6" w:space="0" w:color="auto"/>
            </w:tcBorders>
            <w:shd w:val="clear" w:color="auto" w:fill="auto"/>
            <w:vAlign w:val="center"/>
            <w:hideMark/>
          </w:tcPr>
          <w:p w:rsidR="00696299" w:rsidRPr="00F30705" w:rsidRDefault="00696299" w:rsidP="00696299">
            <w:pPr>
              <w:jc w:val="right"/>
              <w:rPr>
                <w:b/>
                <w:bCs/>
                <w:sz w:val="24"/>
                <w:szCs w:val="24"/>
                <w:u w:val="single"/>
                <w:lang w:eastAsia="es-CR"/>
              </w:rPr>
            </w:pPr>
            <w:r w:rsidRPr="00F30705">
              <w:rPr>
                <w:b/>
                <w:bCs/>
                <w:sz w:val="24"/>
                <w:szCs w:val="24"/>
                <w:u w:val="single"/>
                <w:lang w:eastAsia="es-CR"/>
              </w:rPr>
              <w:t>2015</w:t>
            </w:r>
          </w:p>
        </w:tc>
        <w:tc>
          <w:tcPr>
            <w:tcW w:w="1420" w:type="dxa"/>
            <w:tcBorders>
              <w:top w:val="nil"/>
              <w:left w:val="nil"/>
              <w:bottom w:val="nil"/>
              <w:right w:val="nil"/>
            </w:tcBorders>
            <w:shd w:val="clear" w:color="auto" w:fill="auto"/>
            <w:vAlign w:val="center"/>
            <w:hideMark/>
          </w:tcPr>
          <w:p w:rsidR="00696299" w:rsidRPr="00F30705" w:rsidRDefault="00696299" w:rsidP="00696299">
            <w:pPr>
              <w:jc w:val="center"/>
              <w:rPr>
                <w:b/>
                <w:bCs/>
                <w:sz w:val="24"/>
                <w:szCs w:val="24"/>
                <w:u w:val="single"/>
                <w:lang w:eastAsia="es-CR"/>
              </w:rPr>
            </w:pPr>
            <w:r w:rsidRPr="00F30705">
              <w:rPr>
                <w:b/>
                <w:bCs/>
                <w:sz w:val="24"/>
                <w:szCs w:val="24"/>
                <w:u w:val="single"/>
                <w:lang w:eastAsia="es-CR"/>
              </w:rPr>
              <w:t xml:space="preserve">Absoluta </w:t>
            </w:r>
          </w:p>
        </w:tc>
        <w:tc>
          <w:tcPr>
            <w:tcW w:w="1420" w:type="dxa"/>
            <w:tcBorders>
              <w:top w:val="nil"/>
              <w:left w:val="nil"/>
              <w:bottom w:val="nil"/>
              <w:right w:val="nil"/>
            </w:tcBorders>
            <w:shd w:val="clear" w:color="auto" w:fill="auto"/>
            <w:vAlign w:val="center"/>
            <w:hideMark/>
          </w:tcPr>
          <w:p w:rsidR="00696299" w:rsidRPr="00F30705" w:rsidRDefault="00696299" w:rsidP="00696299">
            <w:pPr>
              <w:jc w:val="center"/>
              <w:rPr>
                <w:b/>
                <w:bCs/>
                <w:sz w:val="24"/>
                <w:szCs w:val="24"/>
                <w:u w:val="single"/>
                <w:lang w:eastAsia="es-CR"/>
              </w:rPr>
            </w:pPr>
            <w:r w:rsidRPr="00F30705">
              <w:rPr>
                <w:b/>
                <w:bCs/>
                <w:sz w:val="24"/>
                <w:szCs w:val="24"/>
                <w:u w:val="single"/>
                <w:lang w:eastAsia="es-CR"/>
              </w:rPr>
              <w:t>Relativa</w:t>
            </w:r>
          </w:p>
        </w:tc>
      </w:tr>
      <w:tr w:rsidR="00696299" w:rsidRPr="00F30705" w:rsidTr="00696299">
        <w:trPr>
          <w:trHeight w:val="630"/>
          <w:jc w:val="center"/>
        </w:trPr>
        <w:tc>
          <w:tcPr>
            <w:tcW w:w="2160" w:type="dxa"/>
            <w:tcBorders>
              <w:top w:val="nil"/>
              <w:left w:val="nil"/>
              <w:bottom w:val="nil"/>
              <w:right w:val="nil"/>
            </w:tcBorders>
            <w:shd w:val="clear" w:color="auto" w:fill="auto"/>
            <w:vAlign w:val="center"/>
            <w:hideMark/>
          </w:tcPr>
          <w:p w:rsidR="00696299" w:rsidRPr="00F30705" w:rsidRDefault="00696299" w:rsidP="00696299">
            <w:pPr>
              <w:rPr>
                <w:b/>
                <w:bCs/>
                <w:sz w:val="24"/>
                <w:szCs w:val="24"/>
                <w:lang w:eastAsia="es-CR"/>
              </w:rPr>
            </w:pPr>
            <w:r w:rsidRPr="00F30705">
              <w:rPr>
                <w:b/>
                <w:bCs/>
                <w:sz w:val="24"/>
                <w:szCs w:val="24"/>
                <w:lang w:eastAsia="es-CR"/>
              </w:rPr>
              <w:lastRenderedPageBreak/>
              <w:t>Total</w:t>
            </w:r>
          </w:p>
        </w:tc>
        <w:tc>
          <w:tcPr>
            <w:tcW w:w="640" w:type="dxa"/>
            <w:tcBorders>
              <w:top w:val="nil"/>
              <w:left w:val="nil"/>
              <w:bottom w:val="nil"/>
              <w:right w:val="nil"/>
            </w:tcBorders>
            <w:shd w:val="clear" w:color="auto" w:fill="auto"/>
            <w:vAlign w:val="center"/>
            <w:hideMark/>
          </w:tcPr>
          <w:p w:rsidR="00696299" w:rsidRPr="00F30705" w:rsidRDefault="00696299" w:rsidP="00696299">
            <w:pPr>
              <w:jc w:val="right"/>
              <w:rPr>
                <w:b/>
                <w:bCs/>
                <w:sz w:val="24"/>
                <w:szCs w:val="24"/>
                <w:lang w:eastAsia="es-CR"/>
              </w:rPr>
            </w:pPr>
            <w:r w:rsidRPr="00F30705">
              <w:rPr>
                <w:b/>
                <w:bCs/>
                <w:sz w:val="24"/>
                <w:szCs w:val="24"/>
                <w:lang w:eastAsia="es-CR"/>
              </w:rPr>
              <w:t>8.777</w:t>
            </w:r>
          </w:p>
        </w:tc>
        <w:tc>
          <w:tcPr>
            <w:tcW w:w="640" w:type="dxa"/>
            <w:tcBorders>
              <w:top w:val="nil"/>
              <w:left w:val="nil"/>
              <w:bottom w:val="nil"/>
              <w:right w:val="nil"/>
            </w:tcBorders>
            <w:shd w:val="clear" w:color="auto" w:fill="auto"/>
            <w:vAlign w:val="center"/>
            <w:hideMark/>
          </w:tcPr>
          <w:p w:rsidR="00696299" w:rsidRPr="00F30705" w:rsidRDefault="00696299" w:rsidP="00696299">
            <w:pPr>
              <w:jc w:val="right"/>
              <w:rPr>
                <w:b/>
                <w:bCs/>
                <w:sz w:val="24"/>
                <w:szCs w:val="24"/>
                <w:lang w:eastAsia="es-CR"/>
              </w:rPr>
            </w:pPr>
            <w:r w:rsidRPr="00F30705">
              <w:rPr>
                <w:b/>
                <w:bCs/>
                <w:sz w:val="24"/>
                <w:szCs w:val="24"/>
                <w:lang w:eastAsia="es-CR"/>
              </w:rPr>
              <w:t>8.828</w:t>
            </w:r>
          </w:p>
        </w:tc>
        <w:tc>
          <w:tcPr>
            <w:tcW w:w="640" w:type="dxa"/>
            <w:tcBorders>
              <w:top w:val="nil"/>
              <w:left w:val="nil"/>
              <w:bottom w:val="nil"/>
              <w:right w:val="double" w:sz="6" w:space="0" w:color="auto"/>
            </w:tcBorders>
            <w:shd w:val="clear" w:color="auto" w:fill="auto"/>
            <w:vAlign w:val="center"/>
            <w:hideMark/>
          </w:tcPr>
          <w:p w:rsidR="00696299" w:rsidRPr="00F30705" w:rsidRDefault="00696299" w:rsidP="00696299">
            <w:pPr>
              <w:jc w:val="right"/>
              <w:rPr>
                <w:b/>
                <w:bCs/>
                <w:sz w:val="24"/>
                <w:szCs w:val="24"/>
                <w:lang w:eastAsia="es-CR"/>
              </w:rPr>
            </w:pPr>
            <w:r w:rsidRPr="00F30705">
              <w:rPr>
                <w:b/>
                <w:bCs/>
                <w:sz w:val="24"/>
                <w:szCs w:val="24"/>
                <w:lang w:eastAsia="es-CR"/>
              </w:rPr>
              <w:t>8.871</w:t>
            </w:r>
          </w:p>
        </w:tc>
        <w:tc>
          <w:tcPr>
            <w:tcW w:w="1420" w:type="dxa"/>
            <w:tcBorders>
              <w:top w:val="nil"/>
              <w:left w:val="nil"/>
              <w:bottom w:val="nil"/>
              <w:right w:val="nil"/>
            </w:tcBorders>
            <w:shd w:val="clear" w:color="auto" w:fill="auto"/>
            <w:vAlign w:val="center"/>
            <w:hideMark/>
          </w:tcPr>
          <w:p w:rsidR="00696299" w:rsidRPr="00F30705" w:rsidRDefault="00696299" w:rsidP="00696299">
            <w:pPr>
              <w:ind w:right="429"/>
              <w:jc w:val="right"/>
              <w:rPr>
                <w:b/>
                <w:bCs/>
                <w:sz w:val="24"/>
                <w:szCs w:val="24"/>
                <w:lang w:eastAsia="es-CR"/>
              </w:rPr>
            </w:pPr>
            <w:r w:rsidRPr="00F30705">
              <w:rPr>
                <w:b/>
                <w:bCs/>
                <w:sz w:val="24"/>
                <w:szCs w:val="24"/>
                <w:lang w:eastAsia="es-CR"/>
              </w:rPr>
              <w:t>43</w:t>
            </w:r>
          </w:p>
        </w:tc>
        <w:tc>
          <w:tcPr>
            <w:tcW w:w="1420" w:type="dxa"/>
            <w:tcBorders>
              <w:top w:val="nil"/>
              <w:left w:val="nil"/>
              <w:bottom w:val="nil"/>
              <w:right w:val="nil"/>
            </w:tcBorders>
            <w:shd w:val="clear" w:color="auto" w:fill="auto"/>
            <w:vAlign w:val="center"/>
            <w:hideMark/>
          </w:tcPr>
          <w:p w:rsidR="00696299" w:rsidRPr="00F30705" w:rsidRDefault="00696299" w:rsidP="00696299">
            <w:pPr>
              <w:ind w:right="429"/>
              <w:jc w:val="right"/>
              <w:rPr>
                <w:b/>
                <w:bCs/>
                <w:sz w:val="24"/>
                <w:szCs w:val="24"/>
                <w:lang w:eastAsia="es-CR"/>
              </w:rPr>
            </w:pPr>
            <w:r w:rsidRPr="00F30705">
              <w:rPr>
                <w:b/>
                <w:bCs/>
                <w:sz w:val="24"/>
                <w:szCs w:val="24"/>
                <w:lang w:eastAsia="es-CR"/>
              </w:rPr>
              <w:t>0%</w:t>
            </w:r>
          </w:p>
        </w:tc>
      </w:tr>
      <w:tr w:rsidR="00696299" w:rsidRPr="00F30705" w:rsidTr="00696299">
        <w:trPr>
          <w:trHeight w:val="315"/>
          <w:jc w:val="center"/>
        </w:trPr>
        <w:tc>
          <w:tcPr>
            <w:tcW w:w="2160" w:type="dxa"/>
            <w:tcBorders>
              <w:top w:val="nil"/>
              <w:left w:val="nil"/>
              <w:bottom w:val="nil"/>
              <w:right w:val="nil"/>
            </w:tcBorders>
            <w:shd w:val="clear" w:color="auto" w:fill="auto"/>
            <w:vAlign w:val="center"/>
            <w:hideMark/>
          </w:tcPr>
          <w:p w:rsidR="00696299" w:rsidRPr="00F30705" w:rsidRDefault="00696299" w:rsidP="00696299">
            <w:pPr>
              <w:rPr>
                <w:sz w:val="24"/>
                <w:szCs w:val="24"/>
                <w:lang w:eastAsia="es-CR"/>
              </w:rPr>
            </w:pPr>
            <w:r w:rsidRPr="00F30705">
              <w:rPr>
                <w:sz w:val="24"/>
                <w:szCs w:val="24"/>
                <w:lang w:eastAsia="es-CR"/>
              </w:rPr>
              <w:t>Costarricenses</w:t>
            </w:r>
          </w:p>
        </w:tc>
        <w:tc>
          <w:tcPr>
            <w:tcW w:w="640" w:type="dxa"/>
            <w:tcBorders>
              <w:top w:val="nil"/>
              <w:left w:val="nil"/>
              <w:bottom w:val="nil"/>
              <w:right w:val="nil"/>
            </w:tcBorders>
            <w:shd w:val="clear" w:color="auto" w:fill="auto"/>
            <w:vAlign w:val="center"/>
            <w:hideMark/>
          </w:tcPr>
          <w:p w:rsidR="00696299" w:rsidRPr="00F30705" w:rsidRDefault="00696299" w:rsidP="00696299">
            <w:pPr>
              <w:jc w:val="right"/>
              <w:rPr>
                <w:sz w:val="24"/>
                <w:szCs w:val="24"/>
                <w:lang w:eastAsia="es-CR"/>
              </w:rPr>
            </w:pPr>
            <w:r w:rsidRPr="00F30705">
              <w:rPr>
                <w:sz w:val="24"/>
                <w:szCs w:val="24"/>
                <w:lang w:eastAsia="es-CR"/>
              </w:rPr>
              <w:t>7.774</w:t>
            </w:r>
          </w:p>
        </w:tc>
        <w:tc>
          <w:tcPr>
            <w:tcW w:w="640" w:type="dxa"/>
            <w:tcBorders>
              <w:top w:val="nil"/>
              <w:left w:val="nil"/>
              <w:bottom w:val="nil"/>
              <w:right w:val="nil"/>
            </w:tcBorders>
            <w:shd w:val="clear" w:color="auto" w:fill="auto"/>
            <w:vAlign w:val="center"/>
            <w:hideMark/>
          </w:tcPr>
          <w:p w:rsidR="00696299" w:rsidRPr="00F30705" w:rsidRDefault="00696299" w:rsidP="00696299">
            <w:pPr>
              <w:jc w:val="right"/>
              <w:rPr>
                <w:sz w:val="24"/>
                <w:szCs w:val="24"/>
                <w:lang w:eastAsia="es-CR"/>
              </w:rPr>
            </w:pPr>
            <w:r w:rsidRPr="00F30705">
              <w:rPr>
                <w:sz w:val="24"/>
                <w:szCs w:val="24"/>
                <w:lang w:eastAsia="es-CR"/>
              </w:rPr>
              <w:t>7.898</w:t>
            </w:r>
          </w:p>
        </w:tc>
        <w:tc>
          <w:tcPr>
            <w:tcW w:w="640" w:type="dxa"/>
            <w:tcBorders>
              <w:top w:val="nil"/>
              <w:left w:val="nil"/>
              <w:bottom w:val="nil"/>
              <w:right w:val="double" w:sz="6" w:space="0" w:color="auto"/>
            </w:tcBorders>
            <w:shd w:val="clear" w:color="auto" w:fill="auto"/>
            <w:vAlign w:val="center"/>
            <w:hideMark/>
          </w:tcPr>
          <w:p w:rsidR="00696299" w:rsidRPr="00F30705" w:rsidRDefault="00696299" w:rsidP="00696299">
            <w:pPr>
              <w:jc w:val="right"/>
              <w:rPr>
                <w:sz w:val="24"/>
                <w:szCs w:val="24"/>
                <w:lang w:eastAsia="es-CR"/>
              </w:rPr>
            </w:pPr>
            <w:r w:rsidRPr="00F30705">
              <w:rPr>
                <w:sz w:val="24"/>
                <w:szCs w:val="24"/>
                <w:lang w:eastAsia="es-CR"/>
              </w:rPr>
              <w:t>7.999</w:t>
            </w:r>
          </w:p>
        </w:tc>
        <w:tc>
          <w:tcPr>
            <w:tcW w:w="1420" w:type="dxa"/>
            <w:tcBorders>
              <w:top w:val="nil"/>
              <w:left w:val="nil"/>
              <w:bottom w:val="nil"/>
              <w:right w:val="nil"/>
            </w:tcBorders>
            <w:shd w:val="clear" w:color="auto" w:fill="auto"/>
            <w:vAlign w:val="center"/>
            <w:hideMark/>
          </w:tcPr>
          <w:p w:rsidR="00696299" w:rsidRPr="00F30705" w:rsidRDefault="00696299" w:rsidP="00696299">
            <w:pPr>
              <w:ind w:right="429"/>
              <w:jc w:val="right"/>
              <w:rPr>
                <w:sz w:val="24"/>
                <w:szCs w:val="24"/>
                <w:lang w:eastAsia="es-CR"/>
              </w:rPr>
            </w:pPr>
            <w:r w:rsidRPr="00F30705">
              <w:rPr>
                <w:sz w:val="24"/>
                <w:szCs w:val="24"/>
                <w:lang w:eastAsia="es-CR"/>
              </w:rPr>
              <w:t>101</w:t>
            </w:r>
          </w:p>
        </w:tc>
        <w:tc>
          <w:tcPr>
            <w:tcW w:w="1420" w:type="dxa"/>
            <w:tcBorders>
              <w:top w:val="nil"/>
              <w:left w:val="nil"/>
              <w:bottom w:val="nil"/>
              <w:right w:val="nil"/>
            </w:tcBorders>
            <w:shd w:val="clear" w:color="auto" w:fill="auto"/>
            <w:vAlign w:val="center"/>
            <w:hideMark/>
          </w:tcPr>
          <w:p w:rsidR="00696299" w:rsidRPr="00F30705" w:rsidRDefault="00696299" w:rsidP="00696299">
            <w:pPr>
              <w:ind w:right="429"/>
              <w:jc w:val="right"/>
              <w:rPr>
                <w:sz w:val="24"/>
                <w:szCs w:val="24"/>
                <w:lang w:eastAsia="es-CR"/>
              </w:rPr>
            </w:pPr>
            <w:r w:rsidRPr="00F30705">
              <w:rPr>
                <w:sz w:val="24"/>
                <w:szCs w:val="24"/>
                <w:lang w:eastAsia="es-CR"/>
              </w:rPr>
              <w:t>1%</w:t>
            </w:r>
          </w:p>
        </w:tc>
      </w:tr>
      <w:tr w:rsidR="00696299" w:rsidRPr="00F30705" w:rsidTr="00696299">
        <w:trPr>
          <w:trHeight w:val="315"/>
          <w:jc w:val="center"/>
        </w:trPr>
        <w:tc>
          <w:tcPr>
            <w:tcW w:w="2160" w:type="dxa"/>
            <w:tcBorders>
              <w:top w:val="nil"/>
              <w:left w:val="nil"/>
              <w:bottom w:val="nil"/>
              <w:right w:val="nil"/>
            </w:tcBorders>
            <w:shd w:val="clear" w:color="auto" w:fill="auto"/>
            <w:vAlign w:val="center"/>
            <w:hideMark/>
          </w:tcPr>
          <w:p w:rsidR="00696299" w:rsidRPr="00F30705" w:rsidRDefault="00696299" w:rsidP="00696299">
            <w:pPr>
              <w:rPr>
                <w:sz w:val="24"/>
                <w:szCs w:val="24"/>
                <w:lang w:eastAsia="es-CR"/>
              </w:rPr>
            </w:pPr>
            <w:r w:rsidRPr="00F30705">
              <w:rPr>
                <w:sz w:val="24"/>
                <w:szCs w:val="24"/>
                <w:lang w:eastAsia="es-CR"/>
              </w:rPr>
              <w:t>No costarricenses</w:t>
            </w:r>
          </w:p>
        </w:tc>
        <w:tc>
          <w:tcPr>
            <w:tcW w:w="640" w:type="dxa"/>
            <w:tcBorders>
              <w:top w:val="nil"/>
              <w:left w:val="nil"/>
              <w:bottom w:val="nil"/>
              <w:right w:val="nil"/>
            </w:tcBorders>
            <w:shd w:val="clear" w:color="auto" w:fill="auto"/>
            <w:vAlign w:val="center"/>
            <w:hideMark/>
          </w:tcPr>
          <w:p w:rsidR="00696299" w:rsidRPr="00F30705" w:rsidRDefault="00696299" w:rsidP="00696299">
            <w:pPr>
              <w:jc w:val="right"/>
              <w:rPr>
                <w:sz w:val="24"/>
                <w:szCs w:val="24"/>
                <w:lang w:eastAsia="es-CR"/>
              </w:rPr>
            </w:pPr>
            <w:r w:rsidRPr="00F30705">
              <w:rPr>
                <w:sz w:val="24"/>
                <w:szCs w:val="24"/>
                <w:lang w:eastAsia="es-CR"/>
              </w:rPr>
              <w:t>1.003</w:t>
            </w:r>
          </w:p>
        </w:tc>
        <w:tc>
          <w:tcPr>
            <w:tcW w:w="640" w:type="dxa"/>
            <w:tcBorders>
              <w:top w:val="nil"/>
              <w:left w:val="nil"/>
              <w:bottom w:val="nil"/>
              <w:right w:val="nil"/>
            </w:tcBorders>
            <w:shd w:val="clear" w:color="auto" w:fill="auto"/>
            <w:vAlign w:val="center"/>
            <w:hideMark/>
          </w:tcPr>
          <w:p w:rsidR="00696299" w:rsidRPr="00F30705" w:rsidRDefault="00696299" w:rsidP="00696299">
            <w:pPr>
              <w:jc w:val="right"/>
              <w:rPr>
                <w:sz w:val="24"/>
                <w:szCs w:val="24"/>
                <w:lang w:eastAsia="es-CR"/>
              </w:rPr>
            </w:pPr>
            <w:r w:rsidRPr="00F30705">
              <w:rPr>
                <w:sz w:val="24"/>
                <w:szCs w:val="24"/>
                <w:lang w:eastAsia="es-CR"/>
              </w:rPr>
              <w:t>930</w:t>
            </w:r>
          </w:p>
        </w:tc>
        <w:tc>
          <w:tcPr>
            <w:tcW w:w="640" w:type="dxa"/>
            <w:tcBorders>
              <w:top w:val="nil"/>
              <w:left w:val="nil"/>
              <w:bottom w:val="nil"/>
              <w:right w:val="double" w:sz="6" w:space="0" w:color="auto"/>
            </w:tcBorders>
            <w:shd w:val="clear" w:color="auto" w:fill="auto"/>
            <w:vAlign w:val="center"/>
            <w:hideMark/>
          </w:tcPr>
          <w:p w:rsidR="00696299" w:rsidRPr="00F30705" w:rsidRDefault="00696299" w:rsidP="00696299">
            <w:pPr>
              <w:jc w:val="right"/>
              <w:rPr>
                <w:sz w:val="24"/>
                <w:szCs w:val="24"/>
                <w:lang w:eastAsia="es-CR"/>
              </w:rPr>
            </w:pPr>
            <w:r w:rsidRPr="00F30705">
              <w:rPr>
                <w:sz w:val="24"/>
                <w:szCs w:val="24"/>
                <w:lang w:eastAsia="es-CR"/>
              </w:rPr>
              <w:t>872</w:t>
            </w:r>
          </w:p>
        </w:tc>
        <w:tc>
          <w:tcPr>
            <w:tcW w:w="1420" w:type="dxa"/>
            <w:tcBorders>
              <w:top w:val="nil"/>
              <w:left w:val="nil"/>
              <w:bottom w:val="nil"/>
              <w:right w:val="nil"/>
            </w:tcBorders>
            <w:shd w:val="clear" w:color="auto" w:fill="auto"/>
            <w:vAlign w:val="center"/>
            <w:hideMark/>
          </w:tcPr>
          <w:p w:rsidR="00696299" w:rsidRPr="00F30705" w:rsidRDefault="00696299" w:rsidP="00696299">
            <w:pPr>
              <w:ind w:right="429"/>
              <w:jc w:val="right"/>
              <w:rPr>
                <w:sz w:val="24"/>
                <w:szCs w:val="24"/>
                <w:lang w:eastAsia="es-CR"/>
              </w:rPr>
            </w:pPr>
            <w:r w:rsidRPr="00F30705">
              <w:rPr>
                <w:sz w:val="24"/>
                <w:szCs w:val="24"/>
                <w:lang w:eastAsia="es-CR"/>
              </w:rPr>
              <w:t>-58</w:t>
            </w:r>
          </w:p>
        </w:tc>
        <w:tc>
          <w:tcPr>
            <w:tcW w:w="1420" w:type="dxa"/>
            <w:tcBorders>
              <w:top w:val="nil"/>
              <w:left w:val="nil"/>
              <w:bottom w:val="nil"/>
              <w:right w:val="nil"/>
            </w:tcBorders>
            <w:shd w:val="clear" w:color="auto" w:fill="auto"/>
            <w:vAlign w:val="center"/>
            <w:hideMark/>
          </w:tcPr>
          <w:p w:rsidR="00696299" w:rsidRPr="00F30705" w:rsidRDefault="00696299" w:rsidP="00696299">
            <w:pPr>
              <w:ind w:right="429"/>
              <w:jc w:val="right"/>
              <w:rPr>
                <w:sz w:val="24"/>
                <w:szCs w:val="24"/>
                <w:lang w:eastAsia="es-CR"/>
              </w:rPr>
            </w:pPr>
            <w:r w:rsidRPr="00F30705">
              <w:rPr>
                <w:sz w:val="24"/>
                <w:szCs w:val="24"/>
                <w:lang w:eastAsia="es-CR"/>
              </w:rPr>
              <w:t>-6%</w:t>
            </w:r>
          </w:p>
        </w:tc>
      </w:tr>
    </w:tbl>
    <w:p w:rsidR="00696299" w:rsidRPr="00F30705" w:rsidRDefault="00696299" w:rsidP="00A61A32">
      <w:pPr>
        <w:spacing w:line="360" w:lineRule="auto"/>
        <w:jc w:val="both"/>
        <w:rPr>
          <w:sz w:val="28"/>
          <w:szCs w:val="28"/>
        </w:rPr>
      </w:pPr>
    </w:p>
    <w:p w:rsidR="00A61A32" w:rsidRPr="00F30705" w:rsidRDefault="00B51898" w:rsidP="00A61A32">
      <w:pPr>
        <w:spacing w:line="360" w:lineRule="auto"/>
        <w:jc w:val="both"/>
        <w:rPr>
          <w:b/>
          <w:bCs/>
          <w:sz w:val="28"/>
          <w:szCs w:val="28"/>
        </w:rPr>
      </w:pPr>
      <w:r w:rsidRPr="00F30705">
        <w:rPr>
          <w:b/>
          <w:bCs/>
          <w:sz w:val="28"/>
          <w:szCs w:val="28"/>
        </w:rPr>
        <w:t>3</w:t>
      </w:r>
      <w:r w:rsidR="00A61A32" w:rsidRPr="00F30705">
        <w:rPr>
          <w:b/>
          <w:bCs/>
          <w:sz w:val="28"/>
          <w:szCs w:val="28"/>
        </w:rPr>
        <w:t xml:space="preserve">.6 </w:t>
      </w:r>
      <w:r w:rsidR="004E5B86" w:rsidRPr="00F30705">
        <w:rPr>
          <w:b/>
          <w:bCs/>
          <w:sz w:val="28"/>
          <w:szCs w:val="28"/>
        </w:rPr>
        <w:t>Tipo de p</w:t>
      </w:r>
      <w:r w:rsidR="00A61A32" w:rsidRPr="00F30705">
        <w:rPr>
          <w:b/>
          <w:bCs/>
          <w:sz w:val="28"/>
          <w:szCs w:val="28"/>
        </w:rPr>
        <w:t>enas impuesta</w:t>
      </w:r>
      <w:r w:rsidR="004E5B86" w:rsidRPr="00F30705">
        <w:rPr>
          <w:b/>
          <w:bCs/>
          <w:sz w:val="28"/>
          <w:szCs w:val="28"/>
        </w:rPr>
        <w:t>.</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 xml:space="preserve">La prisión efectiva </w:t>
      </w:r>
      <w:r w:rsidR="00F935D3" w:rsidRPr="00F30705">
        <w:rPr>
          <w:sz w:val="28"/>
          <w:szCs w:val="28"/>
        </w:rPr>
        <w:t xml:space="preserve">sigue siendo </w:t>
      </w:r>
      <w:r w:rsidRPr="00F30705">
        <w:rPr>
          <w:sz w:val="28"/>
          <w:szCs w:val="28"/>
        </w:rPr>
        <w:t>el tipo de pena que más se dicta por los tribunales de juicio del país</w:t>
      </w:r>
      <w:r w:rsidR="0048735F" w:rsidRPr="00F30705">
        <w:rPr>
          <w:sz w:val="28"/>
          <w:szCs w:val="28"/>
        </w:rPr>
        <w:t>, ocupando el segundo lugar, en cuanto a frecuencia, la ejecución condicional</w:t>
      </w:r>
      <w:r w:rsidRPr="00F30705">
        <w:rPr>
          <w:sz w:val="28"/>
          <w:szCs w:val="28"/>
        </w:rPr>
        <w:t xml:space="preserve">. </w:t>
      </w:r>
      <w:r w:rsidR="005E22FE" w:rsidRPr="00F30705">
        <w:rPr>
          <w:sz w:val="28"/>
          <w:szCs w:val="28"/>
        </w:rPr>
        <w:t>Como se m</w:t>
      </w:r>
      <w:r w:rsidR="0048735F" w:rsidRPr="00F30705">
        <w:rPr>
          <w:sz w:val="28"/>
          <w:szCs w:val="28"/>
        </w:rPr>
        <w:t>uestra en la tabla siguiente como promedio anual poco más</w:t>
      </w:r>
      <w:r w:rsidRPr="00F30705">
        <w:rPr>
          <w:sz w:val="28"/>
          <w:szCs w:val="28"/>
        </w:rPr>
        <w:t xml:space="preserve"> de tres quintas partes (</w:t>
      </w:r>
      <w:r w:rsidRPr="00F30705">
        <w:rPr>
          <w:b/>
          <w:bCs/>
          <w:sz w:val="28"/>
          <w:szCs w:val="28"/>
        </w:rPr>
        <w:t>6</w:t>
      </w:r>
      <w:r w:rsidR="0048735F" w:rsidRPr="00F30705">
        <w:rPr>
          <w:b/>
          <w:bCs/>
          <w:sz w:val="28"/>
          <w:szCs w:val="28"/>
        </w:rPr>
        <w:t>3</w:t>
      </w:r>
      <w:r w:rsidRPr="00F30705">
        <w:rPr>
          <w:b/>
          <w:bCs/>
          <w:sz w:val="28"/>
          <w:szCs w:val="28"/>
        </w:rPr>
        <w:t>%</w:t>
      </w:r>
      <w:r w:rsidR="0048735F" w:rsidRPr="00F30705">
        <w:rPr>
          <w:b/>
          <w:bCs/>
          <w:sz w:val="28"/>
          <w:szCs w:val="28"/>
        </w:rPr>
        <w:t xml:space="preserve"> </w:t>
      </w:r>
      <w:r w:rsidR="0048735F" w:rsidRPr="00F30705">
        <w:rPr>
          <w:bCs/>
          <w:sz w:val="28"/>
          <w:szCs w:val="28"/>
        </w:rPr>
        <w:t xml:space="preserve">en el 2013 y  </w:t>
      </w:r>
      <w:r w:rsidR="0048735F" w:rsidRPr="00F30705">
        <w:rPr>
          <w:b/>
          <w:bCs/>
          <w:sz w:val="28"/>
          <w:szCs w:val="28"/>
        </w:rPr>
        <w:t xml:space="preserve">61% </w:t>
      </w:r>
      <w:r w:rsidR="0048735F" w:rsidRPr="00F30705">
        <w:rPr>
          <w:bCs/>
          <w:sz w:val="28"/>
          <w:szCs w:val="28"/>
        </w:rPr>
        <w:t>tanto en el 2014 y 2015</w:t>
      </w:r>
      <w:r w:rsidRPr="00F30705">
        <w:rPr>
          <w:sz w:val="28"/>
          <w:szCs w:val="28"/>
        </w:rPr>
        <w:t>) de las personas sometidas a juicio</w:t>
      </w:r>
      <w:r w:rsidR="0048735F" w:rsidRPr="00F30705">
        <w:rPr>
          <w:sz w:val="28"/>
          <w:szCs w:val="28"/>
        </w:rPr>
        <w:t xml:space="preserve"> y condenadas</w:t>
      </w:r>
      <w:r w:rsidRPr="00F30705">
        <w:rPr>
          <w:sz w:val="28"/>
          <w:szCs w:val="28"/>
        </w:rPr>
        <w:t xml:space="preserve"> recibieron pena de prisión. El segundo tipo de pena impuesta es la ejecución condicional que </w:t>
      </w:r>
      <w:r w:rsidR="0048735F" w:rsidRPr="00F30705">
        <w:rPr>
          <w:sz w:val="28"/>
          <w:szCs w:val="28"/>
        </w:rPr>
        <w:t>alcanza ser un tercio del total de penas dictadas como promedio anual desde el 2013. El resto de la tipolo</w:t>
      </w:r>
      <w:r w:rsidRPr="00F30705">
        <w:rPr>
          <w:sz w:val="28"/>
          <w:szCs w:val="28"/>
        </w:rPr>
        <w:t>gía se muestra en la siguiente tabla.</w:t>
      </w:r>
    </w:p>
    <w:p w:rsidR="00DC77C2" w:rsidRPr="00F30705" w:rsidRDefault="00A61A32" w:rsidP="0048735F">
      <w:pPr>
        <w:spacing w:line="360" w:lineRule="auto"/>
        <w:jc w:val="both"/>
        <w:rPr>
          <w:b/>
          <w:bCs/>
          <w:sz w:val="24"/>
          <w:szCs w:val="24"/>
          <w:u w:val="single"/>
          <w:lang w:eastAsia="es-CR"/>
        </w:rPr>
      </w:pPr>
      <w:r w:rsidRPr="00F30705">
        <w:rPr>
          <w:sz w:val="28"/>
          <w:szCs w:val="28"/>
        </w:rPr>
        <w:t xml:space="preserve">  </w:t>
      </w:r>
    </w:p>
    <w:tbl>
      <w:tblPr>
        <w:tblW w:w="6677" w:type="dxa"/>
        <w:jc w:val="center"/>
        <w:tblCellMar>
          <w:left w:w="70" w:type="dxa"/>
          <w:right w:w="70" w:type="dxa"/>
        </w:tblCellMar>
        <w:tblLook w:val="04A0" w:firstRow="1" w:lastRow="0" w:firstColumn="1" w:lastColumn="0" w:noHBand="0" w:noVBand="1"/>
      </w:tblPr>
      <w:tblGrid>
        <w:gridCol w:w="2306"/>
        <w:gridCol w:w="717"/>
        <w:gridCol w:w="717"/>
        <w:gridCol w:w="717"/>
        <w:gridCol w:w="740"/>
        <w:gridCol w:w="740"/>
        <w:gridCol w:w="740"/>
      </w:tblGrid>
      <w:tr w:rsidR="0048735F" w:rsidRPr="0048735F" w:rsidTr="0048735F">
        <w:trPr>
          <w:trHeight w:val="315"/>
          <w:jc w:val="center"/>
        </w:trPr>
        <w:tc>
          <w:tcPr>
            <w:tcW w:w="2306" w:type="dxa"/>
            <w:vMerge w:val="restart"/>
            <w:tcBorders>
              <w:top w:val="nil"/>
              <w:left w:val="nil"/>
              <w:bottom w:val="nil"/>
              <w:right w:val="nil"/>
            </w:tcBorders>
            <w:shd w:val="clear" w:color="auto" w:fill="auto"/>
            <w:vAlign w:val="center"/>
            <w:hideMark/>
          </w:tcPr>
          <w:p w:rsidR="0048735F" w:rsidRPr="0048735F" w:rsidRDefault="0048735F" w:rsidP="0048735F">
            <w:pPr>
              <w:jc w:val="center"/>
              <w:rPr>
                <w:b/>
                <w:bCs/>
                <w:color w:val="000000"/>
                <w:sz w:val="24"/>
                <w:szCs w:val="24"/>
                <w:u w:val="single"/>
                <w:lang w:eastAsia="es-CR"/>
              </w:rPr>
            </w:pPr>
            <w:r w:rsidRPr="0048735F">
              <w:rPr>
                <w:b/>
                <w:bCs/>
                <w:color w:val="000000"/>
                <w:sz w:val="24"/>
                <w:szCs w:val="24"/>
                <w:u w:val="single"/>
                <w:lang w:eastAsia="es-CR"/>
              </w:rPr>
              <w:t>Tipo de Pena</w:t>
            </w:r>
          </w:p>
        </w:tc>
        <w:tc>
          <w:tcPr>
            <w:tcW w:w="2151" w:type="dxa"/>
            <w:gridSpan w:val="3"/>
            <w:tcBorders>
              <w:top w:val="nil"/>
              <w:left w:val="nil"/>
              <w:bottom w:val="nil"/>
              <w:right w:val="double" w:sz="6" w:space="0" w:color="000000"/>
            </w:tcBorders>
            <w:shd w:val="clear" w:color="auto" w:fill="auto"/>
            <w:vAlign w:val="center"/>
            <w:hideMark/>
          </w:tcPr>
          <w:p w:rsidR="0048735F" w:rsidRPr="0048735F" w:rsidRDefault="0048735F" w:rsidP="0048735F">
            <w:pPr>
              <w:jc w:val="center"/>
              <w:rPr>
                <w:b/>
                <w:bCs/>
                <w:color w:val="000000"/>
                <w:sz w:val="24"/>
                <w:szCs w:val="24"/>
                <w:lang w:eastAsia="es-CR"/>
              </w:rPr>
            </w:pPr>
            <w:r w:rsidRPr="0048735F">
              <w:rPr>
                <w:b/>
                <w:bCs/>
                <w:color w:val="000000"/>
                <w:sz w:val="24"/>
                <w:szCs w:val="24"/>
                <w:lang w:eastAsia="es-CR"/>
              </w:rPr>
              <w:t>Año</w:t>
            </w:r>
          </w:p>
        </w:tc>
        <w:tc>
          <w:tcPr>
            <w:tcW w:w="1480" w:type="dxa"/>
            <w:gridSpan w:val="2"/>
            <w:tcBorders>
              <w:top w:val="nil"/>
              <w:left w:val="nil"/>
              <w:bottom w:val="nil"/>
              <w:right w:val="nil"/>
            </w:tcBorders>
            <w:shd w:val="clear" w:color="auto" w:fill="auto"/>
            <w:vAlign w:val="center"/>
            <w:hideMark/>
          </w:tcPr>
          <w:p w:rsidR="0048735F" w:rsidRPr="0048735F" w:rsidRDefault="0048735F" w:rsidP="0048735F">
            <w:pPr>
              <w:jc w:val="center"/>
              <w:rPr>
                <w:b/>
                <w:bCs/>
                <w:color w:val="000000"/>
                <w:sz w:val="24"/>
                <w:szCs w:val="24"/>
                <w:u w:val="single"/>
                <w:lang w:eastAsia="es-CR"/>
              </w:rPr>
            </w:pPr>
            <w:r w:rsidRPr="0048735F">
              <w:rPr>
                <w:b/>
                <w:bCs/>
                <w:color w:val="000000"/>
                <w:sz w:val="24"/>
                <w:szCs w:val="24"/>
                <w:u w:val="single"/>
                <w:lang w:eastAsia="es-CR"/>
              </w:rPr>
              <w:t>Porcentajes</w:t>
            </w:r>
          </w:p>
        </w:tc>
        <w:tc>
          <w:tcPr>
            <w:tcW w:w="740" w:type="dxa"/>
            <w:tcBorders>
              <w:top w:val="nil"/>
              <w:left w:val="nil"/>
              <w:bottom w:val="nil"/>
              <w:right w:val="nil"/>
            </w:tcBorders>
            <w:shd w:val="clear" w:color="auto" w:fill="auto"/>
            <w:vAlign w:val="center"/>
            <w:hideMark/>
          </w:tcPr>
          <w:p w:rsidR="0048735F" w:rsidRPr="0048735F" w:rsidRDefault="0048735F" w:rsidP="0048735F">
            <w:pPr>
              <w:rPr>
                <w:rFonts w:ascii="Calibri" w:hAnsi="Calibri"/>
                <w:color w:val="000000"/>
                <w:sz w:val="22"/>
                <w:szCs w:val="22"/>
                <w:lang w:eastAsia="es-CR"/>
              </w:rPr>
            </w:pPr>
          </w:p>
        </w:tc>
      </w:tr>
      <w:tr w:rsidR="0048735F" w:rsidRPr="0048735F" w:rsidTr="0048735F">
        <w:trPr>
          <w:trHeight w:val="315"/>
          <w:jc w:val="center"/>
        </w:trPr>
        <w:tc>
          <w:tcPr>
            <w:tcW w:w="2306" w:type="dxa"/>
            <w:vMerge/>
            <w:tcBorders>
              <w:top w:val="nil"/>
              <w:left w:val="nil"/>
              <w:bottom w:val="nil"/>
              <w:right w:val="nil"/>
            </w:tcBorders>
            <w:vAlign w:val="center"/>
            <w:hideMark/>
          </w:tcPr>
          <w:p w:rsidR="0048735F" w:rsidRPr="0048735F" w:rsidRDefault="0048735F" w:rsidP="0048735F">
            <w:pPr>
              <w:rPr>
                <w:b/>
                <w:bCs/>
                <w:color w:val="000000"/>
                <w:sz w:val="24"/>
                <w:szCs w:val="24"/>
                <w:u w:val="single"/>
                <w:lang w:eastAsia="es-CR"/>
              </w:rPr>
            </w:pPr>
          </w:p>
        </w:tc>
        <w:tc>
          <w:tcPr>
            <w:tcW w:w="717" w:type="dxa"/>
            <w:tcBorders>
              <w:top w:val="nil"/>
              <w:left w:val="nil"/>
              <w:bottom w:val="nil"/>
              <w:right w:val="nil"/>
            </w:tcBorders>
            <w:shd w:val="clear" w:color="auto" w:fill="auto"/>
            <w:vAlign w:val="center"/>
            <w:hideMark/>
          </w:tcPr>
          <w:p w:rsidR="0048735F" w:rsidRPr="0048735F" w:rsidRDefault="0048735F" w:rsidP="0048735F">
            <w:pPr>
              <w:jc w:val="center"/>
              <w:rPr>
                <w:b/>
                <w:bCs/>
                <w:color w:val="000000"/>
                <w:sz w:val="24"/>
                <w:szCs w:val="24"/>
                <w:u w:val="single"/>
                <w:lang w:eastAsia="es-CR"/>
              </w:rPr>
            </w:pPr>
            <w:r w:rsidRPr="0048735F">
              <w:rPr>
                <w:b/>
                <w:bCs/>
                <w:color w:val="000000"/>
                <w:sz w:val="24"/>
                <w:szCs w:val="24"/>
                <w:u w:val="single"/>
                <w:lang w:eastAsia="es-CR"/>
              </w:rPr>
              <w:t> 2013</w:t>
            </w:r>
          </w:p>
        </w:tc>
        <w:tc>
          <w:tcPr>
            <w:tcW w:w="717" w:type="dxa"/>
            <w:tcBorders>
              <w:top w:val="nil"/>
              <w:left w:val="nil"/>
              <w:bottom w:val="nil"/>
              <w:right w:val="nil"/>
            </w:tcBorders>
            <w:shd w:val="clear" w:color="auto" w:fill="auto"/>
            <w:vAlign w:val="center"/>
            <w:hideMark/>
          </w:tcPr>
          <w:p w:rsidR="0048735F" w:rsidRPr="0048735F" w:rsidRDefault="0048735F" w:rsidP="0048735F">
            <w:pPr>
              <w:jc w:val="center"/>
              <w:rPr>
                <w:b/>
                <w:bCs/>
                <w:color w:val="000000"/>
                <w:sz w:val="24"/>
                <w:szCs w:val="24"/>
                <w:u w:val="single"/>
                <w:lang w:eastAsia="es-CR"/>
              </w:rPr>
            </w:pPr>
            <w:r w:rsidRPr="0048735F">
              <w:rPr>
                <w:b/>
                <w:bCs/>
                <w:color w:val="000000"/>
                <w:sz w:val="24"/>
                <w:szCs w:val="24"/>
                <w:u w:val="single"/>
                <w:lang w:eastAsia="es-CR"/>
              </w:rPr>
              <w:t>2014</w:t>
            </w:r>
          </w:p>
        </w:tc>
        <w:tc>
          <w:tcPr>
            <w:tcW w:w="717" w:type="dxa"/>
            <w:tcBorders>
              <w:top w:val="nil"/>
              <w:left w:val="nil"/>
              <w:bottom w:val="nil"/>
              <w:right w:val="double" w:sz="6" w:space="0" w:color="auto"/>
            </w:tcBorders>
            <w:shd w:val="clear" w:color="auto" w:fill="auto"/>
            <w:vAlign w:val="center"/>
            <w:hideMark/>
          </w:tcPr>
          <w:p w:rsidR="0048735F" w:rsidRPr="0048735F" w:rsidRDefault="0048735F" w:rsidP="0048735F">
            <w:pPr>
              <w:jc w:val="center"/>
              <w:rPr>
                <w:b/>
                <w:bCs/>
                <w:color w:val="000000"/>
                <w:sz w:val="24"/>
                <w:szCs w:val="24"/>
                <w:u w:val="single"/>
                <w:lang w:eastAsia="es-CR"/>
              </w:rPr>
            </w:pPr>
            <w:r w:rsidRPr="0048735F">
              <w:rPr>
                <w:b/>
                <w:bCs/>
                <w:color w:val="000000"/>
                <w:sz w:val="24"/>
                <w:szCs w:val="24"/>
                <w:u w:val="single"/>
                <w:lang w:eastAsia="es-CR"/>
              </w:rPr>
              <w:t>2015</w:t>
            </w:r>
          </w:p>
        </w:tc>
        <w:tc>
          <w:tcPr>
            <w:tcW w:w="740" w:type="dxa"/>
            <w:tcBorders>
              <w:top w:val="nil"/>
              <w:left w:val="nil"/>
              <w:bottom w:val="nil"/>
              <w:right w:val="nil"/>
            </w:tcBorders>
            <w:shd w:val="clear" w:color="auto" w:fill="auto"/>
            <w:vAlign w:val="center"/>
            <w:hideMark/>
          </w:tcPr>
          <w:p w:rsidR="0048735F" w:rsidRPr="0048735F" w:rsidRDefault="0048735F" w:rsidP="0048735F">
            <w:pPr>
              <w:jc w:val="center"/>
              <w:rPr>
                <w:b/>
                <w:bCs/>
                <w:color w:val="000000"/>
                <w:sz w:val="24"/>
                <w:szCs w:val="24"/>
                <w:u w:val="single"/>
                <w:lang w:eastAsia="es-CR"/>
              </w:rPr>
            </w:pPr>
            <w:r w:rsidRPr="0048735F">
              <w:rPr>
                <w:b/>
                <w:bCs/>
                <w:color w:val="000000"/>
                <w:sz w:val="24"/>
                <w:szCs w:val="24"/>
                <w:u w:val="single"/>
                <w:lang w:eastAsia="es-CR"/>
              </w:rPr>
              <w:t> 2013</w:t>
            </w:r>
          </w:p>
        </w:tc>
        <w:tc>
          <w:tcPr>
            <w:tcW w:w="740" w:type="dxa"/>
            <w:tcBorders>
              <w:top w:val="nil"/>
              <w:left w:val="nil"/>
              <w:bottom w:val="nil"/>
              <w:right w:val="nil"/>
            </w:tcBorders>
            <w:shd w:val="clear" w:color="auto" w:fill="auto"/>
            <w:vAlign w:val="center"/>
            <w:hideMark/>
          </w:tcPr>
          <w:p w:rsidR="0048735F" w:rsidRPr="0048735F" w:rsidRDefault="0048735F" w:rsidP="0048735F">
            <w:pPr>
              <w:jc w:val="center"/>
              <w:rPr>
                <w:b/>
                <w:bCs/>
                <w:color w:val="000000"/>
                <w:sz w:val="24"/>
                <w:szCs w:val="24"/>
                <w:u w:val="single"/>
                <w:lang w:eastAsia="es-CR"/>
              </w:rPr>
            </w:pPr>
            <w:r w:rsidRPr="0048735F">
              <w:rPr>
                <w:b/>
                <w:bCs/>
                <w:color w:val="000000"/>
                <w:sz w:val="24"/>
                <w:szCs w:val="24"/>
                <w:u w:val="single"/>
                <w:lang w:eastAsia="es-CR"/>
              </w:rPr>
              <w:t>2014</w:t>
            </w:r>
          </w:p>
        </w:tc>
        <w:tc>
          <w:tcPr>
            <w:tcW w:w="740" w:type="dxa"/>
            <w:tcBorders>
              <w:top w:val="nil"/>
              <w:left w:val="nil"/>
              <w:bottom w:val="nil"/>
              <w:right w:val="nil"/>
            </w:tcBorders>
            <w:shd w:val="clear" w:color="auto" w:fill="auto"/>
            <w:vAlign w:val="center"/>
            <w:hideMark/>
          </w:tcPr>
          <w:p w:rsidR="0048735F" w:rsidRPr="0048735F" w:rsidRDefault="0048735F" w:rsidP="0048735F">
            <w:pPr>
              <w:jc w:val="center"/>
              <w:rPr>
                <w:b/>
                <w:bCs/>
                <w:color w:val="000000"/>
                <w:sz w:val="24"/>
                <w:szCs w:val="24"/>
                <w:u w:val="single"/>
                <w:lang w:eastAsia="es-CR"/>
              </w:rPr>
            </w:pPr>
            <w:r w:rsidRPr="0048735F">
              <w:rPr>
                <w:b/>
                <w:bCs/>
                <w:color w:val="000000"/>
                <w:sz w:val="24"/>
                <w:szCs w:val="24"/>
                <w:u w:val="single"/>
                <w:lang w:eastAsia="es-CR"/>
              </w:rPr>
              <w:t>2015</w:t>
            </w:r>
          </w:p>
        </w:tc>
      </w:tr>
      <w:tr w:rsidR="0048735F" w:rsidRPr="0048735F" w:rsidTr="0048735F">
        <w:trPr>
          <w:trHeight w:val="630"/>
          <w:jc w:val="center"/>
        </w:trPr>
        <w:tc>
          <w:tcPr>
            <w:tcW w:w="2306" w:type="dxa"/>
            <w:tcBorders>
              <w:top w:val="nil"/>
              <w:left w:val="nil"/>
              <w:bottom w:val="nil"/>
              <w:right w:val="nil"/>
            </w:tcBorders>
            <w:shd w:val="clear" w:color="auto" w:fill="auto"/>
            <w:vAlign w:val="center"/>
            <w:hideMark/>
          </w:tcPr>
          <w:p w:rsidR="0048735F" w:rsidRPr="0048735F" w:rsidRDefault="0048735F" w:rsidP="0048735F">
            <w:pPr>
              <w:rPr>
                <w:b/>
                <w:bCs/>
                <w:color w:val="000000"/>
                <w:sz w:val="24"/>
                <w:szCs w:val="24"/>
                <w:lang w:eastAsia="es-CR"/>
              </w:rPr>
            </w:pPr>
            <w:r w:rsidRPr="0048735F">
              <w:rPr>
                <w:b/>
                <w:bCs/>
                <w:color w:val="000000"/>
                <w:sz w:val="24"/>
                <w:szCs w:val="24"/>
                <w:lang w:eastAsia="es-CR"/>
              </w:rPr>
              <w:t>TOTAL</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b/>
                <w:bCs/>
                <w:color w:val="000000"/>
                <w:sz w:val="24"/>
                <w:szCs w:val="24"/>
                <w:lang w:eastAsia="es-CR"/>
              </w:rPr>
            </w:pPr>
            <w:r w:rsidRPr="0048735F">
              <w:rPr>
                <w:b/>
                <w:bCs/>
                <w:color w:val="000000"/>
                <w:sz w:val="24"/>
                <w:szCs w:val="24"/>
                <w:lang w:eastAsia="es-CR"/>
              </w:rPr>
              <w:t>8.777</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b/>
                <w:bCs/>
                <w:color w:val="000000"/>
                <w:sz w:val="24"/>
                <w:szCs w:val="24"/>
                <w:lang w:eastAsia="es-CR"/>
              </w:rPr>
            </w:pPr>
            <w:r w:rsidRPr="0048735F">
              <w:rPr>
                <w:b/>
                <w:bCs/>
                <w:color w:val="000000"/>
                <w:sz w:val="24"/>
                <w:szCs w:val="24"/>
                <w:lang w:eastAsia="es-CR"/>
              </w:rPr>
              <w:t>8.828</w:t>
            </w:r>
          </w:p>
        </w:tc>
        <w:tc>
          <w:tcPr>
            <w:tcW w:w="717" w:type="dxa"/>
            <w:tcBorders>
              <w:top w:val="nil"/>
              <w:left w:val="nil"/>
              <w:bottom w:val="nil"/>
              <w:right w:val="double" w:sz="6" w:space="0" w:color="auto"/>
            </w:tcBorders>
            <w:shd w:val="clear" w:color="auto" w:fill="auto"/>
            <w:vAlign w:val="center"/>
            <w:hideMark/>
          </w:tcPr>
          <w:p w:rsidR="0048735F" w:rsidRPr="0048735F" w:rsidRDefault="0048735F" w:rsidP="0048735F">
            <w:pPr>
              <w:jc w:val="right"/>
              <w:rPr>
                <w:b/>
                <w:bCs/>
                <w:color w:val="000000"/>
                <w:sz w:val="24"/>
                <w:szCs w:val="24"/>
                <w:lang w:eastAsia="es-CR"/>
              </w:rPr>
            </w:pPr>
            <w:r w:rsidRPr="0048735F">
              <w:rPr>
                <w:b/>
                <w:bCs/>
                <w:color w:val="000000"/>
                <w:sz w:val="24"/>
                <w:szCs w:val="24"/>
                <w:lang w:eastAsia="es-CR"/>
              </w:rPr>
              <w:t>8.871</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b/>
                <w:bCs/>
                <w:color w:val="000000"/>
                <w:sz w:val="24"/>
                <w:szCs w:val="24"/>
                <w:lang w:eastAsia="es-CR"/>
              </w:rPr>
            </w:pPr>
            <w:r w:rsidRPr="0048735F">
              <w:rPr>
                <w:b/>
                <w:bCs/>
                <w:color w:val="000000"/>
                <w:sz w:val="24"/>
                <w:szCs w:val="24"/>
                <w:lang w:eastAsia="es-CR"/>
              </w:rPr>
              <w:t>100%</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b/>
                <w:bCs/>
                <w:color w:val="000000"/>
                <w:sz w:val="24"/>
                <w:szCs w:val="24"/>
                <w:lang w:eastAsia="es-CR"/>
              </w:rPr>
            </w:pPr>
            <w:r w:rsidRPr="0048735F">
              <w:rPr>
                <w:b/>
                <w:bCs/>
                <w:color w:val="000000"/>
                <w:sz w:val="24"/>
                <w:szCs w:val="24"/>
                <w:lang w:eastAsia="es-CR"/>
              </w:rPr>
              <w:t>100%</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b/>
                <w:bCs/>
                <w:color w:val="000000"/>
                <w:sz w:val="24"/>
                <w:szCs w:val="24"/>
                <w:lang w:eastAsia="es-CR"/>
              </w:rPr>
            </w:pPr>
            <w:r w:rsidRPr="0048735F">
              <w:rPr>
                <w:b/>
                <w:bCs/>
                <w:color w:val="000000"/>
                <w:sz w:val="24"/>
                <w:szCs w:val="24"/>
                <w:lang w:eastAsia="es-CR"/>
              </w:rPr>
              <w:t>100%</w:t>
            </w:r>
          </w:p>
        </w:tc>
      </w:tr>
      <w:tr w:rsidR="0048735F" w:rsidRPr="0048735F" w:rsidTr="0048735F">
        <w:trPr>
          <w:trHeight w:val="315"/>
          <w:jc w:val="center"/>
        </w:trPr>
        <w:tc>
          <w:tcPr>
            <w:tcW w:w="2306" w:type="dxa"/>
            <w:tcBorders>
              <w:top w:val="nil"/>
              <w:left w:val="nil"/>
              <w:bottom w:val="nil"/>
              <w:right w:val="nil"/>
            </w:tcBorders>
            <w:shd w:val="clear" w:color="auto" w:fill="auto"/>
            <w:vAlign w:val="center"/>
            <w:hideMark/>
          </w:tcPr>
          <w:p w:rsidR="0048735F" w:rsidRPr="0048735F" w:rsidRDefault="0048735F" w:rsidP="0048735F">
            <w:pPr>
              <w:rPr>
                <w:color w:val="000000"/>
                <w:sz w:val="24"/>
                <w:szCs w:val="24"/>
                <w:lang w:eastAsia="es-CR"/>
              </w:rPr>
            </w:pPr>
            <w:r w:rsidRPr="0048735F">
              <w:rPr>
                <w:color w:val="000000"/>
                <w:sz w:val="24"/>
                <w:szCs w:val="24"/>
                <w:lang w:eastAsia="es-CR"/>
              </w:rPr>
              <w:t>Prisión efectiva</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5.492</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5.406</w:t>
            </w:r>
          </w:p>
        </w:tc>
        <w:tc>
          <w:tcPr>
            <w:tcW w:w="717" w:type="dxa"/>
            <w:tcBorders>
              <w:top w:val="nil"/>
              <w:left w:val="nil"/>
              <w:bottom w:val="nil"/>
              <w:right w:val="double" w:sz="6" w:space="0" w:color="auto"/>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5.433</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63%</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61%</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61%</w:t>
            </w:r>
          </w:p>
        </w:tc>
      </w:tr>
      <w:tr w:rsidR="0048735F" w:rsidRPr="0048735F" w:rsidTr="0048735F">
        <w:trPr>
          <w:trHeight w:val="315"/>
          <w:jc w:val="center"/>
        </w:trPr>
        <w:tc>
          <w:tcPr>
            <w:tcW w:w="2306" w:type="dxa"/>
            <w:tcBorders>
              <w:top w:val="nil"/>
              <w:left w:val="nil"/>
              <w:bottom w:val="nil"/>
              <w:right w:val="nil"/>
            </w:tcBorders>
            <w:shd w:val="clear" w:color="auto" w:fill="auto"/>
            <w:vAlign w:val="center"/>
            <w:hideMark/>
          </w:tcPr>
          <w:p w:rsidR="0048735F" w:rsidRPr="0048735F" w:rsidRDefault="0048735F" w:rsidP="0048735F">
            <w:pPr>
              <w:rPr>
                <w:color w:val="000000"/>
                <w:sz w:val="24"/>
                <w:szCs w:val="24"/>
                <w:lang w:eastAsia="es-CR"/>
              </w:rPr>
            </w:pPr>
            <w:r w:rsidRPr="0048735F">
              <w:rPr>
                <w:color w:val="000000"/>
                <w:sz w:val="24"/>
                <w:szCs w:val="24"/>
                <w:lang w:eastAsia="es-CR"/>
              </w:rPr>
              <w:t>Ejecución condicional</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2.962</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2.975</w:t>
            </w:r>
          </w:p>
        </w:tc>
        <w:tc>
          <w:tcPr>
            <w:tcW w:w="717" w:type="dxa"/>
            <w:tcBorders>
              <w:top w:val="nil"/>
              <w:left w:val="nil"/>
              <w:bottom w:val="nil"/>
              <w:right w:val="double" w:sz="6" w:space="0" w:color="auto"/>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2.968</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34%</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34%</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33%</w:t>
            </w:r>
          </w:p>
        </w:tc>
      </w:tr>
      <w:tr w:rsidR="0048735F" w:rsidRPr="0048735F" w:rsidTr="0048735F">
        <w:trPr>
          <w:trHeight w:val="315"/>
          <w:jc w:val="center"/>
        </w:trPr>
        <w:tc>
          <w:tcPr>
            <w:tcW w:w="2306" w:type="dxa"/>
            <w:tcBorders>
              <w:top w:val="nil"/>
              <w:left w:val="nil"/>
              <w:bottom w:val="nil"/>
              <w:right w:val="nil"/>
            </w:tcBorders>
            <w:shd w:val="clear" w:color="auto" w:fill="auto"/>
            <w:vAlign w:val="center"/>
            <w:hideMark/>
          </w:tcPr>
          <w:p w:rsidR="0048735F" w:rsidRPr="0048735F" w:rsidRDefault="0048735F" w:rsidP="0048735F">
            <w:pPr>
              <w:rPr>
                <w:color w:val="000000"/>
                <w:sz w:val="24"/>
                <w:szCs w:val="24"/>
                <w:lang w:eastAsia="es-CR"/>
              </w:rPr>
            </w:pPr>
            <w:r w:rsidRPr="0048735F">
              <w:rPr>
                <w:color w:val="000000"/>
                <w:sz w:val="24"/>
                <w:szCs w:val="24"/>
                <w:lang w:eastAsia="es-CR"/>
              </w:rPr>
              <w:t>Pena Alterna</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127</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196</w:t>
            </w:r>
          </w:p>
        </w:tc>
        <w:tc>
          <w:tcPr>
            <w:tcW w:w="717" w:type="dxa"/>
            <w:tcBorders>
              <w:top w:val="nil"/>
              <w:left w:val="nil"/>
              <w:bottom w:val="nil"/>
              <w:right w:val="double" w:sz="6" w:space="0" w:color="auto"/>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256</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2%</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3%</w:t>
            </w:r>
          </w:p>
        </w:tc>
      </w:tr>
      <w:tr w:rsidR="0048735F" w:rsidRPr="0048735F" w:rsidTr="0048735F">
        <w:trPr>
          <w:trHeight w:val="315"/>
          <w:jc w:val="center"/>
        </w:trPr>
        <w:tc>
          <w:tcPr>
            <w:tcW w:w="2306" w:type="dxa"/>
            <w:tcBorders>
              <w:top w:val="nil"/>
              <w:left w:val="nil"/>
              <w:bottom w:val="nil"/>
              <w:right w:val="nil"/>
            </w:tcBorders>
            <w:shd w:val="clear" w:color="auto" w:fill="auto"/>
            <w:vAlign w:val="center"/>
            <w:hideMark/>
          </w:tcPr>
          <w:p w:rsidR="0048735F" w:rsidRPr="0048735F" w:rsidRDefault="0048735F" w:rsidP="0048735F">
            <w:pPr>
              <w:rPr>
                <w:color w:val="000000"/>
                <w:sz w:val="24"/>
                <w:szCs w:val="24"/>
                <w:lang w:eastAsia="es-CR"/>
              </w:rPr>
            </w:pPr>
            <w:r w:rsidRPr="0048735F">
              <w:rPr>
                <w:color w:val="000000"/>
                <w:sz w:val="24"/>
                <w:szCs w:val="24"/>
                <w:lang w:eastAsia="es-CR"/>
              </w:rPr>
              <w:t>En días multa</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152</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164</w:t>
            </w:r>
          </w:p>
        </w:tc>
        <w:tc>
          <w:tcPr>
            <w:tcW w:w="717" w:type="dxa"/>
            <w:tcBorders>
              <w:top w:val="nil"/>
              <w:left w:val="nil"/>
              <w:bottom w:val="nil"/>
              <w:right w:val="double" w:sz="6" w:space="0" w:color="auto"/>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155</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2%</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2%</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2%</w:t>
            </w:r>
          </w:p>
        </w:tc>
      </w:tr>
      <w:tr w:rsidR="0048735F" w:rsidRPr="0048735F" w:rsidTr="0048735F">
        <w:trPr>
          <w:trHeight w:val="315"/>
          <w:jc w:val="center"/>
        </w:trPr>
        <w:tc>
          <w:tcPr>
            <w:tcW w:w="2306" w:type="dxa"/>
            <w:tcBorders>
              <w:top w:val="nil"/>
              <w:left w:val="nil"/>
              <w:bottom w:val="nil"/>
              <w:right w:val="nil"/>
            </w:tcBorders>
            <w:shd w:val="clear" w:color="auto" w:fill="auto"/>
            <w:vAlign w:val="center"/>
            <w:hideMark/>
          </w:tcPr>
          <w:p w:rsidR="0048735F" w:rsidRPr="0048735F" w:rsidRDefault="0048735F" w:rsidP="0048735F">
            <w:pPr>
              <w:rPr>
                <w:color w:val="000000"/>
                <w:sz w:val="24"/>
                <w:szCs w:val="24"/>
                <w:lang w:eastAsia="es-CR"/>
              </w:rPr>
            </w:pPr>
            <w:r w:rsidRPr="0048735F">
              <w:rPr>
                <w:color w:val="000000"/>
                <w:sz w:val="24"/>
                <w:szCs w:val="24"/>
                <w:lang w:eastAsia="es-CR"/>
              </w:rPr>
              <w:t>Medidas de Seguridad</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44</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87</w:t>
            </w:r>
          </w:p>
        </w:tc>
        <w:tc>
          <w:tcPr>
            <w:tcW w:w="717" w:type="dxa"/>
            <w:tcBorders>
              <w:top w:val="nil"/>
              <w:left w:val="nil"/>
              <w:bottom w:val="nil"/>
              <w:right w:val="double" w:sz="6" w:space="0" w:color="auto"/>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45</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w:t>
            </w:r>
          </w:p>
        </w:tc>
      </w:tr>
      <w:tr w:rsidR="0048735F" w:rsidRPr="0048735F" w:rsidTr="0048735F">
        <w:trPr>
          <w:trHeight w:val="315"/>
          <w:jc w:val="center"/>
        </w:trPr>
        <w:tc>
          <w:tcPr>
            <w:tcW w:w="2306" w:type="dxa"/>
            <w:tcBorders>
              <w:top w:val="nil"/>
              <w:left w:val="nil"/>
              <w:bottom w:val="nil"/>
              <w:right w:val="nil"/>
            </w:tcBorders>
            <w:shd w:val="clear" w:color="auto" w:fill="auto"/>
            <w:vAlign w:val="center"/>
            <w:hideMark/>
          </w:tcPr>
          <w:p w:rsidR="0048735F" w:rsidRPr="0048735F" w:rsidRDefault="0048735F" w:rsidP="0048735F">
            <w:pPr>
              <w:rPr>
                <w:color w:val="000000"/>
                <w:sz w:val="24"/>
                <w:szCs w:val="24"/>
                <w:lang w:eastAsia="es-CR"/>
              </w:rPr>
            </w:pPr>
            <w:r w:rsidRPr="0048735F">
              <w:rPr>
                <w:color w:val="000000"/>
                <w:sz w:val="24"/>
                <w:szCs w:val="24"/>
                <w:lang w:eastAsia="es-CR"/>
              </w:rPr>
              <w:t>Arresto Domiciliario</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0</w:t>
            </w:r>
          </w:p>
        </w:tc>
        <w:tc>
          <w:tcPr>
            <w:tcW w:w="717"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0</w:t>
            </w:r>
          </w:p>
        </w:tc>
        <w:tc>
          <w:tcPr>
            <w:tcW w:w="717" w:type="dxa"/>
            <w:tcBorders>
              <w:top w:val="nil"/>
              <w:left w:val="nil"/>
              <w:bottom w:val="nil"/>
              <w:right w:val="double" w:sz="6" w:space="0" w:color="auto"/>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14</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0%</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0%</w:t>
            </w:r>
          </w:p>
        </w:tc>
        <w:tc>
          <w:tcPr>
            <w:tcW w:w="740" w:type="dxa"/>
            <w:tcBorders>
              <w:top w:val="nil"/>
              <w:left w:val="nil"/>
              <w:bottom w:val="nil"/>
              <w:right w:val="nil"/>
            </w:tcBorders>
            <w:shd w:val="clear" w:color="auto" w:fill="auto"/>
            <w:vAlign w:val="center"/>
            <w:hideMark/>
          </w:tcPr>
          <w:p w:rsidR="0048735F" w:rsidRPr="0048735F" w:rsidRDefault="0048735F" w:rsidP="0048735F">
            <w:pPr>
              <w:jc w:val="right"/>
              <w:rPr>
                <w:color w:val="000000"/>
                <w:sz w:val="24"/>
                <w:szCs w:val="24"/>
                <w:lang w:eastAsia="es-CR"/>
              </w:rPr>
            </w:pPr>
            <w:r w:rsidRPr="0048735F">
              <w:rPr>
                <w:color w:val="000000"/>
                <w:sz w:val="24"/>
                <w:szCs w:val="24"/>
                <w:lang w:eastAsia="es-CR"/>
              </w:rPr>
              <w:t>0%</w:t>
            </w:r>
          </w:p>
        </w:tc>
      </w:tr>
    </w:tbl>
    <w:p w:rsidR="00C71FDF" w:rsidRPr="00F30705" w:rsidRDefault="00C71FDF" w:rsidP="0048735F">
      <w:pPr>
        <w:spacing w:line="360" w:lineRule="auto"/>
        <w:jc w:val="both"/>
        <w:rPr>
          <w:b/>
          <w:bCs/>
          <w:sz w:val="24"/>
          <w:szCs w:val="24"/>
          <w:u w:val="single"/>
          <w:lang w:eastAsia="es-CR"/>
        </w:rPr>
      </w:pPr>
    </w:p>
    <w:p w:rsidR="003852B0" w:rsidRPr="00F30705" w:rsidRDefault="00C71FDF" w:rsidP="0048735F">
      <w:pPr>
        <w:spacing w:line="360" w:lineRule="auto"/>
        <w:jc w:val="both"/>
        <w:rPr>
          <w:bCs/>
          <w:sz w:val="28"/>
          <w:szCs w:val="28"/>
          <w:lang w:eastAsia="es-CR"/>
        </w:rPr>
      </w:pPr>
      <w:r w:rsidRPr="00F30705">
        <w:rPr>
          <w:bCs/>
          <w:sz w:val="28"/>
          <w:szCs w:val="28"/>
          <w:lang w:eastAsia="es-CR"/>
        </w:rPr>
        <w:t xml:space="preserve">No obstante lo anterior, se presentan diferencias entre hombre y mujeres en lo que a tipo de pena se refiere. Para la mujeres </w:t>
      </w:r>
      <w:r w:rsidR="00BF2CCA" w:rsidRPr="00F30705">
        <w:rPr>
          <w:bCs/>
          <w:sz w:val="28"/>
          <w:szCs w:val="28"/>
          <w:lang w:eastAsia="es-CR"/>
        </w:rPr>
        <w:t>condenadas</w:t>
      </w:r>
      <w:r w:rsidRPr="00F30705">
        <w:rPr>
          <w:bCs/>
          <w:sz w:val="28"/>
          <w:szCs w:val="28"/>
          <w:lang w:eastAsia="es-CR"/>
        </w:rPr>
        <w:t xml:space="preserve"> es mayor la ejecución condicional es mayor mientras que la prisión preventiva es menor que en los </w:t>
      </w:r>
      <w:r w:rsidRPr="00F30705">
        <w:rPr>
          <w:bCs/>
          <w:sz w:val="28"/>
          <w:szCs w:val="28"/>
          <w:lang w:eastAsia="es-CR"/>
        </w:rPr>
        <w:lastRenderedPageBreak/>
        <w:t xml:space="preserve">hombres en términos proporcionales. Mientras los hombres reciben el </w:t>
      </w:r>
      <w:r w:rsidRPr="00F30705">
        <w:rPr>
          <w:b/>
          <w:bCs/>
          <w:sz w:val="28"/>
          <w:szCs w:val="28"/>
          <w:lang w:eastAsia="es-CR"/>
        </w:rPr>
        <w:t>62%</w:t>
      </w:r>
      <w:r w:rsidRPr="00F30705">
        <w:rPr>
          <w:bCs/>
          <w:sz w:val="28"/>
          <w:szCs w:val="28"/>
          <w:lang w:eastAsia="es-CR"/>
        </w:rPr>
        <w:t xml:space="preserve"> de las condenas a prisión efectiva en el grupo de las mujeres esta asignación es del </w:t>
      </w:r>
      <w:r w:rsidRPr="00F30705">
        <w:rPr>
          <w:b/>
          <w:bCs/>
          <w:sz w:val="28"/>
          <w:szCs w:val="28"/>
          <w:lang w:eastAsia="es-CR"/>
        </w:rPr>
        <w:t>51%</w:t>
      </w:r>
      <w:r w:rsidRPr="00F30705">
        <w:rPr>
          <w:bCs/>
          <w:sz w:val="28"/>
          <w:szCs w:val="28"/>
          <w:lang w:eastAsia="es-CR"/>
        </w:rPr>
        <w:t xml:space="preserve"> (</w:t>
      </w:r>
      <w:r w:rsidRPr="00F30705">
        <w:rPr>
          <w:b/>
          <w:bCs/>
          <w:sz w:val="28"/>
          <w:szCs w:val="28"/>
          <w:lang w:eastAsia="es-CR"/>
        </w:rPr>
        <w:t>11</w:t>
      </w:r>
      <w:r w:rsidRPr="00F30705">
        <w:rPr>
          <w:bCs/>
          <w:sz w:val="28"/>
          <w:szCs w:val="28"/>
          <w:lang w:eastAsia="es-CR"/>
        </w:rPr>
        <w:t xml:space="preserve"> puntos porcentuales menos). En </w:t>
      </w:r>
      <w:r w:rsidR="003852B0" w:rsidRPr="00F30705">
        <w:rPr>
          <w:bCs/>
          <w:sz w:val="28"/>
          <w:szCs w:val="28"/>
          <w:lang w:eastAsia="es-CR"/>
        </w:rPr>
        <w:t>el dictado</w:t>
      </w:r>
      <w:r w:rsidRPr="00F30705">
        <w:rPr>
          <w:bCs/>
          <w:sz w:val="28"/>
          <w:szCs w:val="28"/>
          <w:lang w:eastAsia="es-CR"/>
        </w:rPr>
        <w:t xml:space="preserve"> de</w:t>
      </w:r>
      <w:r w:rsidR="003852B0" w:rsidRPr="00F30705">
        <w:rPr>
          <w:bCs/>
          <w:sz w:val="28"/>
          <w:szCs w:val="28"/>
          <w:lang w:eastAsia="es-CR"/>
        </w:rPr>
        <w:t xml:space="preserve"> ejecuciones condicionales del total de mujeres condenadas el </w:t>
      </w:r>
      <w:r w:rsidR="003852B0" w:rsidRPr="00F30705">
        <w:rPr>
          <w:b/>
          <w:bCs/>
          <w:sz w:val="28"/>
          <w:szCs w:val="28"/>
          <w:lang w:eastAsia="es-CR"/>
        </w:rPr>
        <w:t>45%</w:t>
      </w:r>
      <w:r w:rsidR="003852B0" w:rsidRPr="00F30705">
        <w:rPr>
          <w:bCs/>
          <w:sz w:val="28"/>
          <w:szCs w:val="28"/>
          <w:lang w:eastAsia="es-CR"/>
        </w:rPr>
        <w:t xml:space="preserve"> reciben la ejecución condicional contra el </w:t>
      </w:r>
      <w:r w:rsidR="003852B0" w:rsidRPr="00F30705">
        <w:rPr>
          <w:b/>
          <w:bCs/>
          <w:sz w:val="28"/>
          <w:szCs w:val="28"/>
          <w:lang w:eastAsia="es-CR"/>
        </w:rPr>
        <w:t>33%</w:t>
      </w:r>
      <w:r w:rsidR="003852B0" w:rsidRPr="00F30705">
        <w:rPr>
          <w:bCs/>
          <w:sz w:val="28"/>
          <w:szCs w:val="28"/>
          <w:lang w:eastAsia="es-CR"/>
        </w:rPr>
        <w:t xml:space="preserve"> de los hombres.</w:t>
      </w:r>
    </w:p>
    <w:p w:rsidR="0048735F" w:rsidRPr="00F30705" w:rsidRDefault="00C71FDF" w:rsidP="0048735F">
      <w:pPr>
        <w:spacing w:line="360" w:lineRule="auto"/>
        <w:jc w:val="both"/>
        <w:rPr>
          <w:bCs/>
          <w:sz w:val="28"/>
          <w:szCs w:val="28"/>
          <w:lang w:eastAsia="es-CR"/>
        </w:rPr>
      </w:pPr>
      <w:r w:rsidRPr="00F30705">
        <w:rPr>
          <w:bCs/>
          <w:sz w:val="28"/>
          <w:szCs w:val="28"/>
          <w:lang w:eastAsia="es-CR"/>
        </w:rPr>
        <w:t xml:space="preserve"> </w:t>
      </w:r>
    </w:p>
    <w:tbl>
      <w:tblPr>
        <w:tblW w:w="6819" w:type="dxa"/>
        <w:jc w:val="center"/>
        <w:tblCellMar>
          <w:left w:w="70" w:type="dxa"/>
          <w:right w:w="70" w:type="dxa"/>
        </w:tblCellMar>
        <w:tblLook w:val="04A0" w:firstRow="1" w:lastRow="0" w:firstColumn="1" w:lastColumn="0" w:noHBand="0" w:noVBand="1"/>
      </w:tblPr>
      <w:tblGrid>
        <w:gridCol w:w="2659"/>
        <w:gridCol w:w="1087"/>
        <w:gridCol w:w="993"/>
        <w:gridCol w:w="1087"/>
        <w:gridCol w:w="993"/>
      </w:tblGrid>
      <w:tr w:rsidR="00C71FDF" w:rsidRPr="00F30705" w:rsidTr="008B482D">
        <w:trPr>
          <w:trHeight w:val="645"/>
          <w:jc w:val="center"/>
        </w:trPr>
        <w:tc>
          <w:tcPr>
            <w:tcW w:w="6819" w:type="dxa"/>
            <w:gridSpan w:val="5"/>
            <w:tcBorders>
              <w:top w:val="single" w:sz="4" w:space="0" w:color="auto"/>
              <w:left w:val="single" w:sz="4" w:space="0" w:color="auto"/>
              <w:bottom w:val="single" w:sz="4" w:space="0" w:color="auto"/>
              <w:right w:val="single" w:sz="4" w:space="0" w:color="000000"/>
            </w:tcBorders>
            <w:shd w:val="clear" w:color="000000" w:fill="C5D9F1"/>
            <w:vAlign w:val="center"/>
            <w:hideMark/>
          </w:tcPr>
          <w:p w:rsidR="00C71FDF" w:rsidRPr="00F30705" w:rsidRDefault="00C71FDF" w:rsidP="008B482D">
            <w:pPr>
              <w:jc w:val="center"/>
              <w:rPr>
                <w:b/>
                <w:bCs/>
                <w:sz w:val="24"/>
                <w:szCs w:val="24"/>
                <w:lang w:eastAsia="es-CR"/>
              </w:rPr>
            </w:pPr>
            <w:r w:rsidRPr="00F30705">
              <w:rPr>
                <w:b/>
                <w:bCs/>
                <w:sz w:val="24"/>
                <w:szCs w:val="24"/>
                <w:lang w:eastAsia="es-CR"/>
              </w:rPr>
              <w:t>Personas condenadas durante el 2015 según pena o medida impuesta y por sexo</w:t>
            </w:r>
          </w:p>
        </w:tc>
      </w:tr>
      <w:tr w:rsidR="00C71FDF" w:rsidRPr="00F30705" w:rsidTr="008B482D">
        <w:trPr>
          <w:trHeight w:val="315"/>
          <w:jc w:val="center"/>
        </w:trPr>
        <w:tc>
          <w:tcPr>
            <w:tcW w:w="2659" w:type="dxa"/>
            <w:vMerge w:val="restart"/>
            <w:tcBorders>
              <w:top w:val="nil"/>
              <w:left w:val="nil"/>
              <w:bottom w:val="nil"/>
              <w:right w:val="nil"/>
            </w:tcBorders>
            <w:shd w:val="clear" w:color="auto" w:fill="auto"/>
            <w:vAlign w:val="center"/>
            <w:hideMark/>
          </w:tcPr>
          <w:p w:rsidR="00C71FDF" w:rsidRPr="00F30705" w:rsidRDefault="00C71FDF" w:rsidP="008B482D">
            <w:pPr>
              <w:jc w:val="center"/>
              <w:rPr>
                <w:b/>
                <w:bCs/>
                <w:sz w:val="24"/>
                <w:szCs w:val="24"/>
                <w:u w:val="single"/>
                <w:lang w:eastAsia="es-CR"/>
              </w:rPr>
            </w:pPr>
            <w:r w:rsidRPr="00F30705">
              <w:rPr>
                <w:b/>
                <w:bCs/>
                <w:sz w:val="24"/>
                <w:szCs w:val="24"/>
                <w:u w:val="single"/>
                <w:lang w:eastAsia="es-CR"/>
              </w:rPr>
              <w:t>Resultado</w:t>
            </w:r>
          </w:p>
        </w:tc>
        <w:tc>
          <w:tcPr>
            <w:tcW w:w="2080" w:type="dxa"/>
            <w:gridSpan w:val="2"/>
            <w:tcBorders>
              <w:top w:val="nil"/>
              <w:left w:val="nil"/>
              <w:bottom w:val="nil"/>
              <w:right w:val="double" w:sz="6" w:space="0" w:color="000000"/>
            </w:tcBorders>
            <w:shd w:val="clear" w:color="auto" w:fill="auto"/>
            <w:vAlign w:val="center"/>
            <w:hideMark/>
          </w:tcPr>
          <w:p w:rsidR="00C71FDF" w:rsidRPr="00F30705" w:rsidRDefault="00C71FDF" w:rsidP="008B482D">
            <w:pPr>
              <w:jc w:val="center"/>
              <w:rPr>
                <w:b/>
                <w:bCs/>
                <w:sz w:val="24"/>
                <w:szCs w:val="24"/>
                <w:u w:val="single"/>
                <w:lang w:eastAsia="es-CR"/>
              </w:rPr>
            </w:pPr>
            <w:r w:rsidRPr="00F30705">
              <w:rPr>
                <w:b/>
                <w:bCs/>
                <w:sz w:val="24"/>
                <w:szCs w:val="24"/>
                <w:u w:val="single"/>
                <w:lang w:eastAsia="es-CR"/>
              </w:rPr>
              <w:t>Volumen absoluto</w:t>
            </w:r>
          </w:p>
        </w:tc>
        <w:tc>
          <w:tcPr>
            <w:tcW w:w="2080" w:type="dxa"/>
            <w:gridSpan w:val="2"/>
            <w:tcBorders>
              <w:top w:val="nil"/>
              <w:left w:val="nil"/>
              <w:bottom w:val="nil"/>
              <w:right w:val="nil"/>
            </w:tcBorders>
            <w:shd w:val="clear" w:color="auto" w:fill="auto"/>
            <w:vAlign w:val="center"/>
            <w:hideMark/>
          </w:tcPr>
          <w:p w:rsidR="00C71FDF" w:rsidRPr="00F30705" w:rsidRDefault="00C71FDF" w:rsidP="008B482D">
            <w:pPr>
              <w:jc w:val="center"/>
              <w:rPr>
                <w:b/>
                <w:bCs/>
                <w:sz w:val="24"/>
                <w:szCs w:val="24"/>
                <w:u w:val="single"/>
                <w:lang w:eastAsia="es-CR"/>
              </w:rPr>
            </w:pPr>
            <w:r w:rsidRPr="00F30705">
              <w:rPr>
                <w:b/>
                <w:bCs/>
                <w:sz w:val="24"/>
                <w:szCs w:val="24"/>
                <w:u w:val="single"/>
                <w:lang w:eastAsia="es-CR"/>
              </w:rPr>
              <w:t>Porcentajes</w:t>
            </w:r>
          </w:p>
        </w:tc>
      </w:tr>
      <w:tr w:rsidR="00C71FDF" w:rsidRPr="00F30705" w:rsidTr="008B482D">
        <w:trPr>
          <w:trHeight w:val="315"/>
          <w:jc w:val="center"/>
        </w:trPr>
        <w:tc>
          <w:tcPr>
            <w:tcW w:w="2659" w:type="dxa"/>
            <w:vMerge/>
            <w:tcBorders>
              <w:top w:val="nil"/>
              <w:left w:val="nil"/>
              <w:bottom w:val="nil"/>
              <w:right w:val="nil"/>
            </w:tcBorders>
            <w:vAlign w:val="center"/>
            <w:hideMark/>
          </w:tcPr>
          <w:p w:rsidR="00C71FDF" w:rsidRPr="00F30705" w:rsidRDefault="00C71FDF" w:rsidP="008B482D">
            <w:pPr>
              <w:rPr>
                <w:b/>
                <w:bCs/>
                <w:sz w:val="24"/>
                <w:szCs w:val="24"/>
                <w:u w:val="single"/>
                <w:lang w:eastAsia="es-CR"/>
              </w:rPr>
            </w:pPr>
          </w:p>
        </w:tc>
        <w:tc>
          <w:tcPr>
            <w:tcW w:w="1087" w:type="dxa"/>
            <w:tcBorders>
              <w:top w:val="nil"/>
              <w:left w:val="nil"/>
              <w:bottom w:val="nil"/>
              <w:right w:val="nil"/>
            </w:tcBorders>
            <w:shd w:val="clear" w:color="auto" w:fill="auto"/>
            <w:vAlign w:val="center"/>
            <w:hideMark/>
          </w:tcPr>
          <w:p w:rsidR="00C71FDF" w:rsidRPr="00F30705" w:rsidRDefault="00C71FDF" w:rsidP="008B482D">
            <w:pPr>
              <w:rPr>
                <w:b/>
                <w:bCs/>
                <w:sz w:val="24"/>
                <w:szCs w:val="24"/>
                <w:u w:val="single"/>
                <w:lang w:eastAsia="es-CR"/>
              </w:rPr>
            </w:pPr>
            <w:r w:rsidRPr="00F30705">
              <w:rPr>
                <w:b/>
                <w:bCs/>
                <w:sz w:val="24"/>
                <w:szCs w:val="24"/>
                <w:u w:val="single"/>
                <w:lang w:eastAsia="es-CR"/>
              </w:rPr>
              <w:t>Hombres</w:t>
            </w:r>
          </w:p>
        </w:tc>
        <w:tc>
          <w:tcPr>
            <w:tcW w:w="993" w:type="dxa"/>
            <w:tcBorders>
              <w:top w:val="nil"/>
              <w:left w:val="nil"/>
              <w:bottom w:val="nil"/>
              <w:right w:val="double" w:sz="6" w:space="0" w:color="auto"/>
            </w:tcBorders>
            <w:shd w:val="clear" w:color="auto" w:fill="auto"/>
            <w:vAlign w:val="center"/>
            <w:hideMark/>
          </w:tcPr>
          <w:p w:rsidR="00C71FDF" w:rsidRPr="00F30705" w:rsidRDefault="00C71FDF" w:rsidP="008B482D">
            <w:pPr>
              <w:rPr>
                <w:b/>
                <w:bCs/>
                <w:sz w:val="24"/>
                <w:szCs w:val="24"/>
                <w:u w:val="single"/>
                <w:lang w:eastAsia="es-CR"/>
              </w:rPr>
            </w:pPr>
            <w:r w:rsidRPr="00F30705">
              <w:rPr>
                <w:b/>
                <w:bCs/>
                <w:sz w:val="24"/>
                <w:szCs w:val="24"/>
                <w:u w:val="single"/>
                <w:lang w:eastAsia="es-CR"/>
              </w:rPr>
              <w:t>Mujeres</w:t>
            </w:r>
          </w:p>
        </w:tc>
        <w:tc>
          <w:tcPr>
            <w:tcW w:w="1087" w:type="dxa"/>
            <w:tcBorders>
              <w:top w:val="nil"/>
              <w:left w:val="nil"/>
              <w:bottom w:val="nil"/>
              <w:right w:val="nil"/>
            </w:tcBorders>
            <w:shd w:val="clear" w:color="auto" w:fill="auto"/>
            <w:vAlign w:val="center"/>
            <w:hideMark/>
          </w:tcPr>
          <w:p w:rsidR="00C71FDF" w:rsidRPr="00F30705" w:rsidRDefault="00C71FDF" w:rsidP="008B482D">
            <w:pPr>
              <w:rPr>
                <w:b/>
                <w:bCs/>
                <w:sz w:val="24"/>
                <w:szCs w:val="24"/>
                <w:u w:val="single"/>
                <w:lang w:eastAsia="es-CR"/>
              </w:rPr>
            </w:pPr>
            <w:r w:rsidRPr="00F30705">
              <w:rPr>
                <w:b/>
                <w:bCs/>
                <w:sz w:val="24"/>
                <w:szCs w:val="24"/>
                <w:u w:val="single"/>
                <w:lang w:eastAsia="es-CR"/>
              </w:rPr>
              <w:t>Hombres</w:t>
            </w:r>
          </w:p>
        </w:tc>
        <w:tc>
          <w:tcPr>
            <w:tcW w:w="993" w:type="dxa"/>
            <w:tcBorders>
              <w:top w:val="nil"/>
              <w:left w:val="nil"/>
              <w:bottom w:val="nil"/>
              <w:right w:val="nil"/>
            </w:tcBorders>
            <w:shd w:val="clear" w:color="auto" w:fill="auto"/>
            <w:vAlign w:val="center"/>
            <w:hideMark/>
          </w:tcPr>
          <w:p w:rsidR="00C71FDF" w:rsidRPr="00F30705" w:rsidRDefault="00C71FDF" w:rsidP="008B482D">
            <w:pPr>
              <w:rPr>
                <w:b/>
                <w:bCs/>
                <w:sz w:val="24"/>
                <w:szCs w:val="24"/>
                <w:u w:val="single"/>
                <w:lang w:eastAsia="es-CR"/>
              </w:rPr>
            </w:pPr>
            <w:r w:rsidRPr="00F30705">
              <w:rPr>
                <w:b/>
                <w:bCs/>
                <w:sz w:val="24"/>
                <w:szCs w:val="24"/>
                <w:u w:val="single"/>
                <w:lang w:eastAsia="es-CR"/>
              </w:rPr>
              <w:t>Mujeres</w:t>
            </w:r>
          </w:p>
        </w:tc>
      </w:tr>
      <w:tr w:rsidR="00C71FDF" w:rsidRPr="00F30705" w:rsidTr="008B482D">
        <w:trPr>
          <w:trHeight w:val="615"/>
          <w:jc w:val="center"/>
        </w:trPr>
        <w:tc>
          <w:tcPr>
            <w:tcW w:w="2659" w:type="dxa"/>
            <w:tcBorders>
              <w:top w:val="nil"/>
              <w:left w:val="nil"/>
              <w:bottom w:val="nil"/>
              <w:right w:val="nil"/>
            </w:tcBorders>
            <w:shd w:val="clear" w:color="auto" w:fill="auto"/>
            <w:vAlign w:val="center"/>
            <w:hideMark/>
          </w:tcPr>
          <w:p w:rsidR="00C71FDF" w:rsidRPr="00F30705" w:rsidRDefault="00C71FDF" w:rsidP="008B482D">
            <w:pPr>
              <w:jc w:val="center"/>
              <w:rPr>
                <w:b/>
                <w:bCs/>
                <w:sz w:val="24"/>
                <w:szCs w:val="24"/>
                <w:u w:val="double"/>
                <w:lang w:eastAsia="es-CR"/>
              </w:rPr>
            </w:pPr>
            <w:r w:rsidRPr="00F30705">
              <w:rPr>
                <w:b/>
                <w:bCs/>
                <w:sz w:val="24"/>
                <w:szCs w:val="24"/>
                <w:u w:val="double"/>
                <w:lang w:eastAsia="es-CR"/>
              </w:rPr>
              <w:t>TOTAL</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b/>
                <w:bCs/>
                <w:sz w:val="24"/>
                <w:szCs w:val="24"/>
                <w:u w:val="double"/>
                <w:lang w:eastAsia="es-CR"/>
              </w:rPr>
            </w:pPr>
            <w:r w:rsidRPr="00F30705">
              <w:rPr>
                <w:b/>
                <w:bCs/>
                <w:sz w:val="24"/>
                <w:szCs w:val="24"/>
                <w:u w:val="double"/>
                <w:lang w:eastAsia="es-CR"/>
              </w:rPr>
              <w:t>8206</w:t>
            </w:r>
          </w:p>
        </w:tc>
        <w:tc>
          <w:tcPr>
            <w:tcW w:w="993" w:type="dxa"/>
            <w:tcBorders>
              <w:top w:val="nil"/>
              <w:left w:val="nil"/>
              <w:bottom w:val="nil"/>
              <w:right w:val="double" w:sz="6" w:space="0" w:color="auto"/>
            </w:tcBorders>
            <w:shd w:val="clear" w:color="auto" w:fill="auto"/>
            <w:vAlign w:val="center"/>
            <w:hideMark/>
          </w:tcPr>
          <w:p w:rsidR="00C71FDF" w:rsidRPr="00F30705" w:rsidRDefault="00C71FDF" w:rsidP="008B482D">
            <w:pPr>
              <w:jc w:val="right"/>
              <w:rPr>
                <w:b/>
                <w:bCs/>
                <w:sz w:val="24"/>
                <w:szCs w:val="24"/>
                <w:u w:val="double"/>
                <w:lang w:eastAsia="es-CR"/>
              </w:rPr>
            </w:pPr>
            <w:r w:rsidRPr="00F30705">
              <w:rPr>
                <w:b/>
                <w:bCs/>
                <w:sz w:val="24"/>
                <w:szCs w:val="24"/>
                <w:u w:val="double"/>
                <w:lang w:eastAsia="es-CR"/>
              </w:rPr>
              <w:t>651</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b/>
                <w:bCs/>
                <w:sz w:val="24"/>
                <w:szCs w:val="24"/>
                <w:u w:val="double"/>
                <w:lang w:eastAsia="es-CR"/>
              </w:rPr>
            </w:pPr>
            <w:r w:rsidRPr="00F30705">
              <w:rPr>
                <w:b/>
                <w:bCs/>
                <w:sz w:val="24"/>
                <w:szCs w:val="24"/>
                <w:u w:val="double"/>
                <w:lang w:eastAsia="es-CR"/>
              </w:rPr>
              <w:t>100%</w:t>
            </w:r>
          </w:p>
        </w:tc>
        <w:tc>
          <w:tcPr>
            <w:tcW w:w="993" w:type="dxa"/>
            <w:tcBorders>
              <w:top w:val="nil"/>
              <w:left w:val="nil"/>
              <w:bottom w:val="nil"/>
              <w:right w:val="nil"/>
            </w:tcBorders>
            <w:shd w:val="clear" w:color="auto" w:fill="auto"/>
            <w:vAlign w:val="center"/>
            <w:hideMark/>
          </w:tcPr>
          <w:p w:rsidR="00C71FDF" w:rsidRPr="00F30705" w:rsidRDefault="00C71FDF" w:rsidP="008B482D">
            <w:pPr>
              <w:jc w:val="right"/>
              <w:rPr>
                <w:b/>
                <w:bCs/>
                <w:sz w:val="24"/>
                <w:szCs w:val="24"/>
                <w:u w:val="double"/>
                <w:lang w:eastAsia="es-CR"/>
              </w:rPr>
            </w:pPr>
            <w:r w:rsidRPr="00F30705">
              <w:rPr>
                <w:b/>
                <w:bCs/>
                <w:sz w:val="24"/>
                <w:szCs w:val="24"/>
                <w:u w:val="double"/>
                <w:lang w:eastAsia="es-CR"/>
              </w:rPr>
              <w:t>100%</w:t>
            </w:r>
          </w:p>
        </w:tc>
      </w:tr>
      <w:tr w:rsidR="00C71FDF" w:rsidRPr="00F30705" w:rsidTr="008B482D">
        <w:trPr>
          <w:trHeight w:val="315"/>
          <w:jc w:val="center"/>
        </w:trPr>
        <w:tc>
          <w:tcPr>
            <w:tcW w:w="2659" w:type="dxa"/>
            <w:tcBorders>
              <w:top w:val="nil"/>
              <w:left w:val="nil"/>
              <w:bottom w:val="nil"/>
              <w:right w:val="nil"/>
            </w:tcBorders>
            <w:shd w:val="clear" w:color="auto" w:fill="auto"/>
            <w:vAlign w:val="center"/>
            <w:hideMark/>
          </w:tcPr>
          <w:p w:rsidR="00C71FDF" w:rsidRPr="00F30705" w:rsidRDefault="00C71FDF" w:rsidP="008B482D">
            <w:pPr>
              <w:rPr>
                <w:sz w:val="24"/>
                <w:szCs w:val="24"/>
                <w:lang w:eastAsia="es-CR"/>
              </w:rPr>
            </w:pPr>
            <w:r w:rsidRPr="00F30705">
              <w:rPr>
                <w:sz w:val="24"/>
                <w:szCs w:val="24"/>
                <w:lang w:eastAsia="es-CR"/>
              </w:rPr>
              <w:t xml:space="preserve">Días multa </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137</w:t>
            </w:r>
          </w:p>
        </w:tc>
        <w:tc>
          <w:tcPr>
            <w:tcW w:w="993" w:type="dxa"/>
            <w:tcBorders>
              <w:top w:val="nil"/>
              <w:left w:val="nil"/>
              <w:bottom w:val="nil"/>
              <w:right w:val="double" w:sz="6" w:space="0" w:color="auto"/>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18</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2%</w:t>
            </w:r>
          </w:p>
        </w:tc>
        <w:tc>
          <w:tcPr>
            <w:tcW w:w="993"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3%</w:t>
            </w:r>
          </w:p>
        </w:tc>
      </w:tr>
      <w:tr w:rsidR="00C71FDF" w:rsidRPr="00F30705" w:rsidTr="008B482D">
        <w:trPr>
          <w:trHeight w:val="315"/>
          <w:jc w:val="center"/>
        </w:trPr>
        <w:tc>
          <w:tcPr>
            <w:tcW w:w="2659" w:type="dxa"/>
            <w:tcBorders>
              <w:top w:val="nil"/>
              <w:left w:val="nil"/>
              <w:bottom w:val="nil"/>
              <w:right w:val="nil"/>
            </w:tcBorders>
            <w:shd w:val="clear" w:color="auto" w:fill="auto"/>
            <w:vAlign w:val="center"/>
            <w:hideMark/>
          </w:tcPr>
          <w:p w:rsidR="00C71FDF" w:rsidRPr="00F30705" w:rsidRDefault="00C71FDF" w:rsidP="008B482D">
            <w:pPr>
              <w:rPr>
                <w:sz w:val="24"/>
                <w:szCs w:val="24"/>
                <w:lang w:eastAsia="es-CR"/>
              </w:rPr>
            </w:pPr>
            <w:r w:rsidRPr="00F30705">
              <w:rPr>
                <w:sz w:val="24"/>
                <w:szCs w:val="24"/>
                <w:lang w:eastAsia="es-CR"/>
              </w:rPr>
              <w:t>Prisión efectiva</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5099</w:t>
            </w:r>
          </w:p>
        </w:tc>
        <w:tc>
          <w:tcPr>
            <w:tcW w:w="993" w:type="dxa"/>
            <w:tcBorders>
              <w:top w:val="nil"/>
              <w:left w:val="nil"/>
              <w:bottom w:val="nil"/>
              <w:right w:val="double" w:sz="6" w:space="0" w:color="auto"/>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334</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62%</w:t>
            </w:r>
          </w:p>
        </w:tc>
        <w:tc>
          <w:tcPr>
            <w:tcW w:w="993"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51%</w:t>
            </w:r>
          </w:p>
        </w:tc>
      </w:tr>
      <w:tr w:rsidR="00C71FDF" w:rsidRPr="00F30705" w:rsidTr="008B482D">
        <w:trPr>
          <w:trHeight w:val="315"/>
          <w:jc w:val="center"/>
        </w:trPr>
        <w:tc>
          <w:tcPr>
            <w:tcW w:w="2659" w:type="dxa"/>
            <w:tcBorders>
              <w:top w:val="nil"/>
              <w:left w:val="nil"/>
              <w:bottom w:val="nil"/>
              <w:right w:val="nil"/>
            </w:tcBorders>
            <w:shd w:val="clear" w:color="auto" w:fill="auto"/>
            <w:vAlign w:val="center"/>
            <w:hideMark/>
          </w:tcPr>
          <w:p w:rsidR="00C71FDF" w:rsidRPr="00F30705" w:rsidRDefault="00C71FDF" w:rsidP="008B482D">
            <w:pPr>
              <w:rPr>
                <w:sz w:val="24"/>
                <w:szCs w:val="24"/>
                <w:lang w:eastAsia="es-CR"/>
              </w:rPr>
            </w:pPr>
            <w:r w:rsidRPr="00F30705">
              <w:rPr>
                <w:sz w:val="24"/>
                <w:szCs w:val="24"/>
                <w:lang w:eastAsia="es-CR"/>
              </w:rPr>
              <w:t xml:space="preserve">Ejecución  Condicional </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2678</w:t>
            </w:r>
          </w:p>
        </w:tc>
        <w:tc>
          <w:tcPr>
            <w:tcW w:w="993" w:type="dxa"/>
            <w:tcBorders>
              <w:top w:val="nil"/>
              <w:left w:val="nil"/>
              <w:bottom w:val="nil"/>
              <w:right w:val="double" w:sz="6" w:space="0" w:color="auto"/>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290</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33%</w:t>
            </w:r>
          </w:p>
        </w:tc>
        <w:tc>
          <w:tcPr>
            <w:tcW w:w="993"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45%</w:t>
            </w:r>
          </w:p>
        </w:tc>
      </w:tr>
      <w:tr w:rsidR="00C71FDF" w:rsidRPr="00F30705" w:rsidTr="008B482D">
        <w:trPr>
          <w:trHeight w:val="315"/>
          <w:jc w:val="center"/>
        </w:trPr>
        <w:tc>
          <w:tcPr>
            <w:tcW w:w="2659" w:type="dxa"/>
            <w:tcBorders>
              <w:top w:val="nil"/>
              <w:left w:val="nil"/>
              <w:bottom w:val="nil"/>
              <w:right w:val="nil"/>
            </w:tcBorders>
            <w:shd w:val="clear" w:color="auto" w:fill="auto"/>
            <w:vAlign w:val="center"/>
            <w:hideMark/>
          </w:tcPr>
          <w:p w:rsidR="00C71FDF" w:rsidRPr="00F30705" w:rsidRDefault="00C71FDF" w:rsidP="008B482D">
            <w:pPr>
              <w:rPr>
                <w:sz w:val="24"/>
                <w:szCs w:val="24"/>
                <w:lang w:eastAsia="es-CR"/>
              </w:rPr>
            </w:pPr>
            <w:r w:rsidRPr="00F30705">
              <w:rPr>
                <w:sz w:val="24"/>
                <w:szCs w:val="24"/>
                <w:lang w:eastAsia="es-CR"/>
              </w:rPr>
              <w:t xml:space="preserve">Medida de Seguridad </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42</w:t>
            </w:r>
          </w:p>
        </w:tc>
        <w:tc>
          <w:tcPr>
            <w:tcW w:w="993" w:type="dxa"/>
            <w:tcBorders>
              <w:top w:val="nil"/>
              <w:left w:val="nil"/>
              <w:bottom w:val="nil"/>
              <w:right w:val="double" w:sz="6" w:space="0" w:color="auto"/>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3</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1%</w:t>
            </w:r>
          </w:p>
        </w:tc>
        <w:tc>
          <w:tcPr>
            <w:tcW w:w="993"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0%</w:t>
            </w:r>
          </w:p>
        </w:tc>
      </w:tr>
      <w:tr w:rsidR="00C71FDF" w:rsidRPr="00F30705" w:rsidTr="008B482D">
        <w:trPr>
          <w:trHeight w:val="315"/>
          <w:jc w:val="center"/>
        </w:trPr>
        <w:tc>
          <w:tcPr>
            <w:tcW w:w="2659" w:type="dxa"/>
            <w:tcBorders>
              <w:top w:val="nil"/>
              <w:left w:val="nil"/>
              <w:bottom w:val="nil"/>
              <w:right w:val="nil"/>
            </w:tcBorders>
            <w:shd w:val="clear" w:color="auto" w:fill="auto"/>
            <w:vAlign w:val="center"/>
            <w:hideMark/>
          </w:tcPr>
          <w:p w:rsidR="00C71FDF" w:rsidRPr="00F30705" w:rsidRDefault="00C71FDF" w:rsidP="008B482D">
            <w:pPr>
              <w:rPr>
                <w:sz w:val="24"/>
                <w:szCs w:val="24"/>
                <w:lang w:eastAsia="es-CR"/>
              </w:rPr>
            </w:pPr>
            <w:r w:rsidRPr="00F30705">
              <w:rPr>
                <w:sz w:val="24"/>
                <w:szCs w:val="24"/>
                <w:lang w:eastAsia="es-CR"/>
              </w:rPr>
              <w:t xml:space="preserve">Pena  Alterna </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250</w:t>
            </w:r>
          </w:p>
        </w:tc>
        <w:tc>
          <w:tcPr>
            <w:tcW w:w="993" w:type="dxa"/>
            <w:tcBorders>
              <w:top w:val="nil"/>
              <w:left w:val="nil"/>
              <w:bottom w:val="nil"/>
              <w:right w:val="double" w:sz="6" w:space="0" w:color="auto"/>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6</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3%</w:t>
            </w:r>
          </w:p>
        </w:tc>
        <w:tc>
          <w:tcPr>
            <w:tcW w:w="993"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1%</w:t>
            </w:r>
          </w:p>
        </w:tc>
      </w:tr>
      <w:tr w:rsidR="00C71FDF" w:rsidRPr="00F30705" w:rsidTr="008B482D">
        <w:trPr>
          <w:trHeight w:val="315"/>
          <w:jc w:val="center"/>
        </w:trPr>
        <w:tc>
          <w:tcPr>
            <w:tcW w:w="2659" w:type="dxa"/>
            <w:tcBorders>
              <w:top w:val="nil"/>
              <w:left w:val="nil"/>
              <w:bottom w:val="nil"/>
              <w:right w:val="nil"/>
            </w:tcBorders>
            <w:shd w:val="clear" w:color="000000" w:fill="FFFFFF"/>
            <w:vAlign w:val="center"/>
            <w:hideMark/>
          </w:tcPr>
          <w:p w:rsidR="00C71FDF" w:rsidRPr="00F30705" w:rsidRDefault="00C71FDF" w:rsidP="008B482D">
            <w:pPr>
              <w:rPr>
                <w:sz w:val="24"/>
                <w:szCs w:val="24"/>
                <w:lang w:eastAsia="es-CR"/>
              </w:rPr>
            </w:pPr>
            <w:r w:rsidRPr="00F30705">
              <w:rPr>
                <w:sz w:val="24"/>
                <w:szCs w:val="24"/>
                <w:lang w:eastAsia="es-CR"/>
              </w:rPr>
              <w:t xml:space="preserve">Arresto Domiciliario </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13</w:t>
            </w:r>
          </w:p>
        </w:tc>
        <w:tc>
          <w:tcPr>
            <w:tcW w:w="993" w:type="dxa"/>
            <w:tcBorders>
              <w:top w:val="nil"/>
              <w:left w:val="nil"/>
              <w:bottom w:val="nil"/>
              <w:right w:val="double" w:sz="6" w:space="0" w:color="auto"/>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1</w:t>
            </w:r>
          </w:p>
        </w:tc>
        <w:tc>
          <w:tcPr>
            <w:tcW w:w="1087"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0%</w:t>
            </w:r>
          </w:p>
        </w:tc>
        <w:tc>
          <w:tcPr>
            <w:tcW w:w="993" w:type="dxa"/>
            <w:tcBorders>
              <w:top w:val="nil"/>
              <w:left w:val="nil"/>
              <w:bottom w:val="nil"/>
              <w:right w:val="nil"/>
            </w:tcBorders>
            <w:shd w:val="clear" w:color="auto" w:fill="auto"/>
            <w:vAlign w:val="center"/>
            <w:hideMark/>
          </w:tcPr>
          <w:p w:rsidR="00C71FDF" w:rsidRPr="00F30705" w:rsidRDefault="00C71FDF" w:rsidP="008B482D">
            <w:pPr>
              <w:jc w:val="right"/>
              <w:rPr>
                <w:sz w:val="24"/>
                <w:szCs w:val="24"/>
                <w:lang w:eastAsia="es-CR"/>
              </w:rPr>
            </w:pPr>
            <w:r w:rsidRPr="00F30705">
              <w:rPr>
                <w:sz w:val="24"/>
                <w:szCs w:val="24"/>
                <w:lang w:eastAsia="es-CR"/>
              </w:rPr>
              <w:t>0%</w:t>
            </w:r>
          </w:p>
        </w:tc>
      </w:tr>
    </w:tbl>
    <w:p w:rsidR="0048735F" w:rsidRPr="00F30705" w:rsidRDefault="0048735F" w:rsidP="0048735F">
      <w:pPr>
        <w:spacing w:line="360" w:lineRule="auto"/>
        <w:jc w:val="both"/>
        <w:rPr>
          <w:sz w:val="28"/>
          <w:szCs w:val="28"/>
        </w:rPr>
      </w:pPr>
    </w:p>
    <w:p w:rsidR="004E5B86" w:rsidRPr="00F30705" w:rsidRDefault="00B51898" w:rsidP="00A61A32">
      <w:pPr>
        <w:spacing w:line="360" w:lineRule="auto"/>
        <w:jc w:val="both"/>
        <w:rPr>
          <w:b/>
          <w:sz w:val="28"/>
          <w:szCs w:val="28"/>
        </w:rPr>
      </w:pPr>
      <w:r w:rsidRPr="00F30705">
        <w:rPr>
          <w:b/>
          <w:sz w:val="28"/>
          <w:szCs w:val="28"/>
        </w:rPr>
        <w:t>3</w:t>
      </w:r>
      <w:r w:rsidR="004E5B86" w:rsidRPr="00F30705">
        <w:rPr>
          <w:b/>
          <w:sz w:val="28"/>
          <w:szCs w:val="28"/>
        </w:rPr>
        <w:t>.7 Prisión efectiva</w:t>
      </w:r>
    </w:p>
    <w:p w:rsidR="004E5B86" w:rsidRPr="00F30705" w:rsidRDefault="004E5B86"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En el siguiente grafico se muestra el desglose de las penas ampliando la prisión efectiva de acuerdo con los grupos de años de prisión impuesta. Se nota que los pesos relativos de las penas de: “3 a 5 años” y de “5 a 7 años” son las mayores</w:t>
      </w:r>
      <w:r w:rsidR="00DF52BC" w:rsidRPr="00F30705">
        <w:rPr>
          <w:sz w:val="28"/>
          <w:szCs w:val="28"/>
        </w:rPr>
        <w:t xml:space="preserve"> con el </w:t>
      </w:r>
      <w:r w:rsidRPr="00F30705">
        <w:rPr>
          <w:b/>
          <w:bCs/>
          <w:sz w:val="28"/>
          <w:szCs w:val="28"/>
        </w:rPr>
        <w:t>1</w:t>
      </w:r>
      <w:r w:rsidR="00DF52BC" w:rsidRPr="00F30705">
        <w:rPr>
          <w:b/>
          <w:bCs/>
          <w:sz w:val="28"/>
          <w:szCs w:val="28"/>
        </w:rPr>
        <w:t>4%</w:t>
      </w:r>
      <w:r w:rsidRPr="00F30705">
        <w:rPr>
          <w:sz w:val="28"/>
          <w:szCs w:val="28"/>
        </w:rPr>
        <w:t xml:space="preserve"> y </w:t>
      </w:r>
      <w:r w:rsidR="00DF52BC" w:rsidRPr="00F30705">
        <w:rPr>
          <w:sz w:val="28"/>
          <w:szCs w:val="28"/>
        </w:rPr>
        <w:t xml:space="preserve">el </w:t>
      </w:r>
      <w:r w:rsidRPr="00F30705">
        <w:rPr>
          <w:b/>
          <w:bCs/>
          <w:sz w:val="28"/>
          <w:szCs w:val="28"/>
        </w:rPr>
        <w:t>1</w:t>
      </w:r>
      <w:r w:rsidR="00DF52BC" w:rsidRPr="00F30705">
        <w:rPr>
          <w:b/>
          <w:bCs/>
          <w:sz w:val="28"/>
          <w:szCs w:val="28"/>
        </w:rPr>
        <w:t>5</w:t>
      </w:r>
      <w:r w:rsidRPr="00F30705">
        <w:rPr>
          <w:b/>
          <w:bCs/>
          <w:sz w:val="28"/>
          <w:szCs w:val="28"/>
        </w:rPr>
        <w:t>%</w:t>
      </w:r>
      <w:r w:rsidRPr="00F30705">
        <w:rPr>
          <w:sz w:val="28"/>
          <w:szCs w:val="28"/>
        </w:rPr>
        <w:t xml:space="preserve"> de todo lo condenado en el 201</w:t>
      </w:r>
      <w:r w:rsidR="00DF52BC" w:rsidRPr="00F30705">
        <w:rPr>
          <w:sz w:val="28"/>
          <w:szCs w:val="28"/>
        </w:rPr>
        <w:t>5 (estos porcentajes son similares a los del 2014</w:t>
      </w:r>
      <w:r w:rsidRPr="00F30705">
        <w:rPr>
          <w:sz w:val="28"/>
          <w:szCs w:val="28"/>
        </w:rPr>
        <w:t>). Esto está en correlación con el tipo de delito mayormente sentenciado condenado que como se verá son los agrupados en el Título de Delito: Contra la Propiedad.</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noProof/>
          <w:lang w:eastAsia="es-CR"/>
        </w:rPr>
        <w:drawing>
          <wp:inline distT="0" distB="0" distL="0" distR="0">
            <wp:extent cx="5565995" cy="6512780"/>
            <wp:effectExtent l="38100" t="0" r="15655" b="2320"/>
            <wp:docPr id="43" name="Objeto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D4004" w:rsidRPr="00F30705" w:rsidRDefault="009D4004"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lastRenderedPageBreak/>
        <w:t>Existen diferencias por sexo en las penas recibidas por las personas condenadas</w:t>
      </w:r>
      <w:r w:rsidR="004E5B86" w:rsidRPr="00F30705">
        <w:rPr>
          <w:sz w:val="28"/>
          <w:szCs w:val="28"/>
        </w:rPr>
        <w:t xml:space="preserve"> durante el 2015</w:t>
      </w:r>
      <w:r w:rsidRPr="00F30705">
        <w:rPr>
          <w:sz w:val="28"/>
          <w:szCs w:val="28"/>
        </w:rPr>
        <w:t xml:space="preserve">. </w:t>
      </w:r>
      <w:r w:rsidR="004E5B86" w:rsidRPr="00F30705">
        <w:rPr>
          <w:sz w:val="28"/>
          <w:szCs w:val="28"/>
        </w:rPr>
        <w:t xml:space="preserve">Si bien son las penas de prisión dictadas de 3 a 7 años son las de mayor frecuencia tanto en hombres como en mujeres, en términos proporcionales tales condenas se presentan más en el grupo de mujeres que en las de hombres. Como se resalta en la tabla siguiente del total de hombres condenados a prisión efectiva el </w:t>
      </w:r>
      <w:r w:rsidR="004E5B86" w:rsidRPr="00F30705">
        <w:rPr>
          <w:b/>
          <w:sz w:val="28"/>
          <w:szCs w:val="28"/>
        </w:rPr>
        <w:t>58%</w:t>
      </w:r>
      <w:r w:rsidR="004E5B86" w:rsidRPr="00F30705">
        <w:rPr>
          <w:sz w:val="28"/>
          <w:szCs w:val="28"/>
        </w:rPr>
        <w:t xml:space="preserve"> (casi tres quintas partes) recibió condenas a cárcel de 3 a 7 años mientras que el porcentaje de mujeres condenadas de 3 a 7 años de prisión es del </w:t>
      </w:r>
      <w:r w:rsidR="004E5B86" w:rsidRPr="00F30705">
        <w:rPr>
          <w:b/>
          <w:sz w:val="28"/>
          <w:szCs w:val="28"/>
        </w:rPr>
        <w:t>65%</w:t>
      </w:r>
      <w:r w:rsidR="004E5B86" w:rsidRPr="00F30705">
        <w:rPr>
          <w:sz w:val="28"/>
          <w:szCs w:val="28"/>
        </w:rPr>
        <w:t xml:space="preserve"> (casi dos tercios) de las mujeres condenadas a prisión.</w:t>
      </w:r>
    </w:p>
    <w:p w:rsidR="00B43498" w:rsidRPr="00F30705" w:rsidRDefault="00B43498" w:rsidP="00A61A32">
      <w:pPr>
        <w:spacing w:line="360" w:lineRule="auto"/>
        <w:jc w:val="both"/>
        <w:rPr>
          <w:b/>
          <w:bCs/>
          <w:sz w:val="28"/>
          <w:szCs w:val="28"/>
          <w:u w:val="single"/>
        </w:rPr>
      </w:pPr>
    </w:p>
    <w:tbl>
      <w:tblPr>
        <w:tblW w:w="7857" w:type="dxa"/>
        <w:jc w:val="center"/>
        <w:tblCellMar>
          <w:left w:w="70" w:type="dxa"/>
          <w:right w:w="70" w:type="dxa"/>
        </w:tblCellMar>
        <w:tblLook w:val="04A0" w:firstRow="1" w:lastRow="0" w:firstColumn="1" w:lastColumn="0" w:noHBand="0" w:noVBand="1"/>
      </w:tblPr>
      <w:tblGrid>
        <w:gridCol w:w="2750"/>
        <w:gridCol w:w="1087"/>
        <w:gridCol w:w="993"/>
        <w:gridCol w:w="1000"/>
        <w:gridCol w:w="430"/>
        <w:gridCol w:w="1167"/>
        <w:gridCol w:w="430"/>
      </w:tblGrid>
      <w:tr w:rsidR="00294B6B" w:rsidRPr="00F30705" w:rsidTr="001E7514">
        <w:trPr>
          <w:trHeight w:val="315"/>
          <w:jc w:val="center"/>
        </w:trPr>
        <w:tc>
          <w:tcPr>
            <w:tcW w:w="7857" w:type="dxa"/>
            <w:gridSpan w:val="7"/>
            <w:tcBorders>
              <w:top w:val="single" w:sz="4" w:space="0" w:color="auto"/>
              <w:left w:val="single" w:sz="4" w:space="0" w:color="auto"/>
              <w:bottom w:val="single" w:sz="4" w:space="0" w:color="auto"/>
              <w:right w:val="single" w:sz="4" w:space="0" w:color="000000"/>
            </w:tcBorders>
            <w:shd w:val="clear" w:color="000000" w:fill="C5D9F1"/>
            <w:vAlign w:val="center"/>
            <w:hideMark/>
          </w:tcPr>
          <w:p w:rsidR="00294B6B" w:rsidRPr="00F30705" w:rsidRDefault="00294B6B" w:rsidP="00294B6B">
            <w:pPr>
              <w:jc w:val="center"/>
              <w:rPr>
                <w:sz w:val="24"/>
                <w:szCs w:val="24"/>
                <w:lang w:eastAsia="es-CR"/>
              </w:rPr>
            </w:pPr>
            <w:r w:rsidRPr="00F30705">
              <w:rPr>
                <w:b/>
                <w:bCs/>
                <w:sz w:val="24"/>
                <w:szCs w:val="24"/>
                <w:lang w:eastAsia="es-CR"/>
              </w:rPr>
              <w:t>Personas condenadas a prisión durante el 2015 según pena y por sexo</w:t>
            </w:r>
          </w:p>
        </w:tc>
      </w:tr>
      <w:tr w:rsidR="00B43498" w:rsidRPr="00F30705" w:rsidTr="00B43498">
        <w:trPr>
          <w:trHeight w:val="315"/>
          <w:jc w:val="center"/>
        </w:trPr>
        <w:tc>
          <w:tcPr>
            <w:tcW w:w="2750" w:type="dxa"/>
            <w:vMerge w:val="restart"/>
            <w:tcBorders>
              <w:top w:val="nil"/>
              <w:left w:val="nil"/>
              <w:bottom w:val="nil"/>
              <w:right w:val="nil"/>
            </w:tcBorders>
            <w:shd w:val="clear" w:color="auto" w:fill="auto"/>
            <w:vAlign w:val="center"/>
            <w:hideMark/>
          </w:tcPr>
          <w:p w:rsidR="00B43498" w:rsidRPr="00F30705" w:rsidRDefault="00B43498" w:rsidP="00B43498">
            <w:pPr>
              <w:jc w:val="center"/>
              <w:rPr>
                <w:b/>
                <w:bCs/>
                <w:sz w:val="24"/>
                <w:szCs w:val="24"/>
                <w:u w:val="single"/>
                <w:lang w:eastAsia="es-CR"/>
              </w:rPr>
            </w:pPr>
            <w:r w:rsidRPr="00F30705">
              <w:rPr>
                <w:b/>
                <w:bCs/>
                <w:sz w:val="24"/>
                <w:szCs w:val="24"/>
                <w:u w:val="single"/>
                <w:lang w:eastAsia="es-CR"/>
              </w:rPr>
              <w:t>Pena impuesta</w:t>
            </w:r>
          </w:p>
        </w:tc>
        <w:tc>
          <w:tcPr>
            <w:tcW w:w="2080" w:type="dxa"/>
            <w:gridSpan w:val="2"/>
            <w:tcBorders>
              <w:top w:val="single" w:sz="4" w:space="0" w:color="auto"/>
              <w:left w:val="nil"/>
              <w:bottom w:val="nil"/>
              <w:right w:val="double" w:sz="6" w:space="0" w:color="000000"/>
            </w:tcBorders>
            <w:shd w:val="clear" w:color="auto" w:fill="auto"/>
            <w:vAlign w:val="center"/>
            <w:hideMark/>
          </w:tcPr>
          <w:p w:rsidR="00B43498" w:rsidRPr="00F30705" w:rsidRDefault="00B43498" w:rsidP="00B43498">
            <w:pPr>
              <w:jc w:val="center"/>
              <w:rPr>
                <w:b/>
                <w:bCs/>
                <w:sz w:val="24"/>
                <w:szCs w:val="24"/>
                <w:u w:val="single"/>
                <w:lang w:eastAsia="es-CR"/>
              </w:rPr>
            </w:pPr>
            <w:r w:rsidRPr="00F30705">
              <w:rPr>
                <w:b/>
                <w:bCs/>
                <w:sz w:val="24"/>
                <w:szCs w:val="24"/>
                <w:u w:val="single"/>
                <w:lang w:eastAsia="es-CR"/>
              </w:rPr>
              <w:t>Volumen absoluto</w:t>
            </w:r>
          </w:p>
        </w:tc>
        <w:tc>
          <w:tcPr>
            <w:tcW w:w="2597" w:type="dxa"/>
            <w:gridSpan w:val="3"/>
            <w:tcBorders>
              <w:top w:val="single" w:sz="4" w:space="0" w:color="auto"/>
              <w:left w:val="nil"/>
              <w:bottom w:val="nil"/>
              <w:right w:val="nil"/>
            </w:tcBorders>
            <w:shd w:val="clear" w:color="auto" w:fill="auto"/>
            <w:vAlign w:val="center"/>
            <w:hideMark/>
          </w:tcPr>
          <w:p w:rsidR="00B43498" w:rsidRPr="00F30705" w:rsidRDefault="00B43498" w:rsidP="00B43498">
            <w:pPr>
              <w:jc w:val="center"/>
              <w:rPr>
                <w:b/>
                <w:bCs/>
                <w:sz w:val="24"/>
                <w:szCs w:val="24"/>
                <w:u w:val="single"/>
                <w:lang w:eastAsia="es-CR"/>
              </w:rPr>
            </w:pPr>
            <w:r w:rsidRPr="00F30705">
              <w:rPr>
                <w:b/>
                <w:bCs/>
                <w:sz w:val="24"/>
                <w:szCs w:val="24"/>
                <w:u w:val="single"/>
                <w:lang w:eastAsia="es-CR"/>
              </w:rPr>
              <w:t>Porcentajes</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vMerge/>
            <w:tcBorders>
              <w:top w:val="nil"/>
              <w:left w:val="nil"/>
              <w:bottom w:val="nil"/>
              <w:right w:val="nil"/>
            </w:tcBorders>
            <w:vAlign w:val="center"/>
            <w:hideMark/>
          </w:tcPr>
          <w:p w:rsidR="00B43498" w:rsidRPr="00F30705" w:rsidRDefault="00B43498" w:rsidP="00B43498">
            <w:pPr>
              <w:rPr>
                <w:b/>
                <w:bCs/>
                <w:sz w:val="24"/>
                <w:szCs w:val="24"/>
                <w:u w:val="single"/>
                <w:lang w:eastAsia="es-CR"/>
              </w:rPr>
            </w:pPr>
          </w:p>
        </w:tc>
        <w:tc>
          <w:tcPr>
            <w:tcW w:w="1087" w:type="dxa"/>
            <w:tcBorders>
              <w:top w:val="nil"/>
              <w:left w:val="nil"/>
              <w:bottom w:val="nil"/>
              <w:right w:val="nil"/>
            </w:tcBorders>
            <w:shd w:val="clear" w:color="auto" w:fill="auto"/>
            <w:vAlign w:val="center"/>
            <w:hideMark/>
          </w:tcPr>
          <w:p w:rsidR="00B43498" w:rsidRPr="00F30705" w:rsidRDefault="00B43498" w:rsidP="00B43498">
            <w:pPr>
              <w:jc w:val="center"/>
              <w:rPr>
                <w:b/>
                <w:bCs/>
                <w:sz w:val="24"/>
                <w:szCs w:val="24"/>
                <w:u w:val="single"/>
                <w:lang w:eastAsia="es-CR"/>
              </w:rPr>
            </w:pPr>
            <w:r w:rsidRPr="00F30705">
              <w:rPr>
                <w:b/>
                <w:bCs/>
                <w:sz w:val="24"/>
                <w:szCs w:val="24"/>
                <w:u w:val="single"/>
                <w:lang w:eastAsia="es-CR"/>
              </w:rPr>
              <w:t>Hombres</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jc w:val="center"/>
              <w:rPr>
                <w:b/>
                <w:bCs/>
                <w:sz w:val="24"/>
                <w:szCs w:val="24"/>
                <w:u w:val="single"/>
                <w:lang w:eastAsia="es-CR"/>
              </w:rPr>
            </w:pPr>
            <w:r w:rsidRPr="00F30705">
              <w:rPr>
                <w:b/>
                <w:bCs/>
                <w:sz w:val="24"/>
                <w:szCs w:val="24"/>
                <w:u w:val="single"/>
                <w:lang w:eastAsia="es-CR"/>
              </w:rPr>
              <w:t>Mujeres</w:t>
            </w:r>
          </w:p>
        </w:tc>
        <w:tc>
          <w:tcPr>
            <w:tcW w:w="1430" w:type="dxa"/>
            <w:gridSpan w:val="2"/>
            <w:tcBorders>
              <w:top w:val="nil"/>
              <w:left w:val="nil"/>
              <w:bottom w:val="nil"/>
              <w:right w:val="nil"/>
            </w:tcBorders>
            <w:shd w:val="clear" w:color="auto" w:fill="auto"/>
            <w:vAlign w:val="center"/>
            <w:hideMark/>
          </w:tcPr>
          <w:p w:rsidR="00B43498" w:rsidRPr="00F30705" w:rsidRDefault="00B43498" w:rsidP="00B43498">
            <w:pPr>
              <w:rPr>
                <w:b/>
                <w:bCs/>
                <w:sz w:val="24"/>
                <w:szCs w:val="24"/>
                <w:u w:val="single"/>
                <w:lang w:eastAsia="es-CR"/>
              </w:rPr>
            </w:pPr>
            <w:r w:rsidRPr="00F30705">
              <w:rPr>
                <w:b/>
                <w:bCs/>
                <w:sz w:val="24"/>
                <w:szCs w:val="24"/>
                <w:u w:val="single"/>
                <w:lang w:eastAsia="es-CR"/>
              </w:rPr>
              <w:t>Hombres</w:t>
            </w:r>
          </w:p>
        </w:tc>
        <w:tc>
          <w:tcPr>
            <w:tcW w:w="1597" w:type="dxa"/>
            <w:gridSpan w:val="2"/>
            <w:tcBorders>
              <w:top w:val="nil"/>
              <w:left w:val="nil"/>
              <w:bottom w:val="nil"/>
              <w:right w:val="nil"/>
            </w:tcBorders>
            <w:shd w:val="clear" w:color="auto" w:fill="auto"/>
            <w:vAlign w:val="center"/>
            <w:hideMark/>
          </w:tcPr>
          <w:p w:rsidR="00B43498" w:rsidRPr="00F30705" w:rsidRDefault="00B43498" w:rsidP="00B43498">
            <w:pPr>
              <w:jc w:val="center"/>
              <w:rPr>
                <w:b/>
                <w:bCs/>
                <w:sz w:val="24"/>
                <w:szCs w:val="24"/>
                <w:u w:val="single"/>
                <w:lang w:eastAsia="es-CR"/>
              </w:rPr>
            </w:pPr>
            <w:r w:rsidRPr="00F30705">
              <w:rPr>
                <w:b/>
                <w:bCs/>
                <w:sz w:val="24"/>
                <w:szCs w:val="24"/>
                <w:u w:val="single"/>
                <w:lang w:eastAsia="es-CR"/>
              </w:rPr>
              <w:t>Mujeres</w:t>
            </w:r>
          </w:p>
        </w:tc>
      </w:tr>
      <w:tr w:rsidR="00B43498" w:rsidRPr="00F30705" w:rsidTr="00B43498">
        <w:trPr>
          <w:trHeight w:val="6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b/>
                <w:bCs/>
                <w:sz w:val="24"/>
                <w:szCs w:val="24"/>
                <w:u w:val="single"/>
                <w:lang w:eastAsia="es-CR"/>
              </w:rPr>
            </w:pPr>
            <w:r w:rsidRPr="00F30705">
              <w:rPr>
                <w:b/>
                <w:bCs/>
                <w:sz w:val="24"/>
                <w:szCs w:val="24"/>
                <w:u w:val="single"/>
                <w:lang w:eastAsia="es-CR"/>
              </w:rPr>
              <w:t>Total prisión efectiva</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b/>
                <w:bCs/>
                <w:sz w:val="24"/>
                <w:szCs w:val="24"/>
                <w:u w:val="single"/>
                <w:lang w:eastAsia="es-CR"/>
              </w:rPr>
            </w:pPr>
            <w:r w:rsidRPr="00F30705">
              <w:rPr>
                <w:b/>
                <w:bCs/>
                <w:sz w:val="24"/>
                <w:szCs w:val="24"/>
                <w:u w:val="single"/>
                <w:lang w:eastAsia="es-CR"/>
              </w:rPr>
              <w:t>5.099</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b/>
                <w:bCs/>
                <w:sz w:val="24"/>
                <w:szCs w:val="24"/>
                <w:u w:val="single"/>
                <w:lang w:eastAsia="es-CR"/>
              </w:rPr>
            </w:pPr>
            <w:r w:rsidRPr="00F30705">
              <w:rPr>
                <w:b/>
                <w:bCs/>
                <w:sz w:val="24"/>
                <w:szCs w:val="24"/>
                <w:u w:val="single"/>
                <w:lang w:eastAsia="es-CR"/>
              </w:rPr>
              <w:t>334</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b/>
                <w:bCs/>
                <w:sz w:val="24"/>
                <w:szCs w:val="24"/>
                <w:u w:val="single"/>
                <w:lang w:eastAsia="es-CR"/>
              </w:rPr>
            </w:pPr>
            <w:r w:rsidRPr="00F30705">
              <w:rPr>
                <w:b/>
                <w:bCs/>
                <w:sz w:val="24"/>
                <w:szCs w:val="24"/>
                <w:u w:val="single"/>
                <w:lang w:eastAsia="es-CR"/>
              </w:rPr>
              <w:t>100%</w:t>
            </w:r>
          </w:p>
        </w:tc>
        <w:tc>
          <w:tcPr>
            <w:tcW w:w="430" w:type="dxa"/>
            <w:tcBorders>
              <w:top w:val="nil"/>
              <w:left w:val="nil"/>
              <w:bottom w:val="nil"/>
              <w:right w:val="nil"/>
            </w:tcBorders>
            <w:shd w:val="clear" w:color="auto" w:fill="auto"/>
            <w:vAlign w:val="center"/>
            <w:hideMark/>
          </w:tcPr>
          <w:p w:rsidR="00B43498" w:rsidRPr="00F30705" w:rsidRDefault="00B43498" w:rsidP="00B43498">
            <w:pPr>
              <w:rPr>
                <w:b/>
                <w:bCs/>
                <w:sz w:val="24"/>
                <w:szCs w:val="24"/>
                <w:u w:val="single"/>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b/>
                <w:bCs/>
                <w:sz w:val="24"/>
                <w:szCs w:val="24"/>
                <w:u w:val="single"/>
                <w:lang w:eastAsia="es-CR"/>
              </w:rPr>
            </w:pPr>
            <w:r w:rsidRPr="00F30705">
              <w:rPr>
                <w:b/>
                <w:bCs/>
                <w:sz w:val="24"/>
                <w:szCs w:val="24"/>
                <w:u w:val="single"/>
                <w:lang w:eastAsia="es-CR"/>
              </w:rPr>
              <w:t>100%</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Menos de 6 meses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712</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43</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14%</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13%</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6 meses a menos de 1 año</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371</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15</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7%</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4%</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1 a menos de 2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271</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18</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5%</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5%</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2 a menos de 3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128</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12</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3%</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4%</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3 a menos de 5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1.178</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61</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23%</w:t>
            </w:r>
          </w:p>
        </w:tc>
        <w:tc>
          <w:tcPr>
            <w:tcW w:w="430" w:type="dxa"/>
            <w:vMerge w:val="restart"/>
            <w:tcBorders>
              <w:top w:val="single" w:sz="4" w:space="0" w:color="auto"/>
              <w:left w:val="nil"/>
              <w:bottom w:val="single" w:sz="4" w:space="0" w:color="000000"/>
              <w:right w:val="single" w:sz="4" w:space="0" w:color="auto"/>
            </w:tcBorders>
            <w:shd w:val="clear" w:color="auto" w:fill="auto"/>
            <w:textDirection w:val="tbRl"/>
            <w:vAlign w:val="center"/>
            <w:hideMark/>
          </w:tcPr>
          <w:p w:rsidR="00B43498" w:rsidRPr="00F30705" w:rsidRDefault="00B43498" w:rsidP="00B43498">
            <w:pPr>
              <w:jc w:val="center"/>
              <w:rPr>
                <w:b/>
                <w:bCs/>
                <w:sz w:val="24"/>
                <w:szCs w:val="24"/>
                <w:lang w:eastAsia="es-CR"/>
              </w:rPr>
            </w:pPr>
            <w:r w:rsidRPr="00F30705">
              <w:rPr>
                <w:b/>
                <w:bCs/>
                <w:sz w:val="24"/>
                <w:szCs w:val="24"/>
                <w:lang w:eastAsia="es-CR"/>
              </w:rPr>
              <w:t>58%</w:t>
            </w: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18%</w:t>
            </w:r>
          </w:p>
        </w:tc>
        <w:tc>
          <w:tcPr>
            <w:tcW w:w="430" w:type="dxa"/>
            <w:vMerge w:val="restart"/>
            <w:tcBorders>
              <w:top w:val="single" w:sz="4" w:space="0" w:color="auto"/>
              <w:left w:val="nil"/>
              <w:bottom w:val="single" w:sz="4" w:space="0" w:color="000000"/>
              <w:right w:val="single" w:sz="4" w:space="0" w:color="auto"/>
            </w:tcBorders>
            <w:shd w:val="clear" w:color="auto" w:fill="auto"/>
            <w:textDirection w:val="tbRl"/>
            <w:vAlign w:val="center"/>
            <w:hideMark/>
          </w:tcPr>
          <w:p w:rsidR="00B43498" w:rsidRPr="00F30705" w:rsidRDefault="00B43498" w:rsidP="00B43498">
            <w:pPr>
              <w:jc w:val="center"/>
              <w:rPr>
                <w:b/>
                <w:bCs/>
                <w:sz w:val="24"/>
                <w:szCs w:val="24"/>
                <w:lang w:eastAsia="es-CR"/>
              </w:rPr>
            </w:pPr>
            <w:r w:rsidRPr="00F30705">
              <w:rPr>
                <w:b/>
                <w:bCs/>
                <w:sz w:val="24"/>
                <w:szCs w:val="24"/>
                <w:lang w:eastAsia="es-CR"/>
              </w:rPr>
              <w:t>64%</w:t>
            </w: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5 a menos de 7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1.190</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102</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23%</w:t>
            </w:r>
          </w:p>
        </w:tc>
        <w:tc>
          <w:tcPr>
            <w:tcW w:w="430" w:type="dxa"/>
            <w:vMerge/>
            <w:tcBorders>
              <w:top w:val="single" w:sz="4" w:space="0" w:color="auto"/>
              <w:left w:val="nil"/>
              <w:bottom w:val="single" w:sz="4" w:space="0" w:color="000000"/>
              <w:right w:val="single" w:sz="4" w:space="0" w:color="auto"/>
            </w:tcBorders>
            <w:vAlign w:val="center"/>
            <w:hideMark/>
          </w:tcPr>
          <w:p w:rsidR="00B43498" w:rsidRPr="00F30705" w:rsidRDefault="00B43498" w:rsidP="00B43498">
            <w:pPr>
              <w:rPr>
                <w:b/>
                <w:bCs/>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31%</w:t>
            </w:r>
          </w:p>
        </w:tc>
        <w:tc>
          <w:tcPr>
            <w:tcW w:w="430" w:type="dxa"/>
            <w:vMerge/>
            <w:tcBorders>
              <w:top w:val="single" w:sz="4" w:space="0" w:color="auto"/>
              <w:left w:val="nil"/>
              <w:bottom w:val="single" w:sz="4" w:space="0" w:color="000000"/>
              <w:right w:val="single" w:sz="4" w:space="0" w:color="auto"/>
            </w:tcBorders>
            <w:vAlign w:val="center"/>
            <w:hideMark/>
          </w:tcPr>
          <w:p w:rsidR="00B43498" w:rsidRPr="00F30705" w:rsidRDefault="00B43498" w:rsidP="00B43498">
            <w:pPr>
              <w:rPr>
                <w:b/>
                <w:bCs/>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7 a menos de 10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607</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51</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12%</w:t>
            </w:r>
          </w:p>
        </w:tc>
        <w:tc>
          <w:tcPr>
            <w:tcW w:w="430" w:type="dxa"/>
            <w:vMerge/>
            <w:tcBorders>
              <w:top w:val="single" w:sz="4" w:space="0" w:color="auto"/>
              <w:left w:val="nil"/>
              <w:bottom w:val="single" w:sz="4" w:space="0" w:color="000000"/>
              <w:right w:val="single" w:sz="4" w:space="0" w:color="auto"/>
            </w:tcBorders>
            <w:vAlign w:val="center"/>
            <w:hideMark/>
          </w:tcPr>
          <w:p w:rsidR="00B43498" w:rsidRPr="00F30705" w:rsidRDefault="00B43498" w:rsidP="00B43498">
            <w:pPr>
              <w:rPr>
                <w:b/>
                <w:bCs/>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15%</w:t>
            </w:r>
          </w:p>
        </w:tc>
        <w:tc>
          <w:tcPr>
            <w:tcW w:w="430" w:type="dxa"/>
            <w:vMerge/>
            <w:tcBorders>
              <w:top w:val="single" w:sz="4" w:space="0" w:color="auto"/>
              <w:left w:val="nil"/>
              <w:bottom w:val="single" w:sz="4" w:space="0" w:color="000000"/>
              <w:right w:val="single" w:sz="4" w:space="0" w:color="auto"/>
            </w:tcBorders>
            <w:vAlign w:val="center"/>
            <w:hideMark/>
          </w:tcPr>
          <w:p w:rsidR="00B43498" w:rsidRPr="00F30705" w:rsidRDefault="00B43498" w:rsidP="00B43498">
            <w:pPr>
              <w:rPr>
                <w:b/>
                <w:bCs/>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10 a menos de 15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339</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17</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7%</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5%</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15 a menos de 20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98</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5</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2%</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20 a menos de 25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61</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6</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2%</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25 a menos de 30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47</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1</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0%</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30 a menos de 35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41</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1</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0%</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35 a menos de 40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26</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2</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1%</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40 a menos de 45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12</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0</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0%</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0%</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r w:rsidR="00B43498" w:rsidRPr="00F30705" w:rsidTr="00B43498">
        <w:trPr>
          <w:trHeight w:val="315"/>
          <w:jc w:val="center"/>
        </w:trPr>
        <w:tc>
          <w:tcPr>
            <w:tcW w:w="275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r w:rsidRPr="00F30705">
              <w:rPr>
                <w:sz w:val="24"/>
                <w:szCs w:val="24"/>
                <w:lang w:eastAsia="es-CR"/>
              </w:rPr>
              <w:t>45 a 50 años</w:t>
            </w:r>
          </w:p>
        </w:tc>
        <w:tc>
          <w:tcPr>
            <w:tcW w:w="1087" w:type="dxa"/>
            <w:tcBorders>
              <w:top w:val="nil"/>
              <w:left w:val="nil"/>
              <w:bottom w:val="nil"/>
              <w:right w:val="nil"/>
            </w:tcBorders>
            <w:shd w:val="clear" w:color="auto" w:fill="auto"/>
            <w:vAlign w:val="center"/>
            <w:hideMark/>
          </w:tcPr>
          <w:p w:rsidR="00B43498" w:rsidRPr="00F30705" w:rsidRDefault="00B43498" w:rsidP="00B43498">
            <w:pPr>
              <w:ind w:left="-50" w:right="127"/>
              <w:jc w:val="right"/>
              <w:rPr>
                <w:sz w:val="24"/>
                <w:szCs w:val="24"/>
                <w:lang w:eastAsia="es-CR"/>
              </w:rPr>
            </w:pPr>
            <w:r w:rsidRPr="00F30705">
              <w:rPr>
                <w:sz w:val="24"/>
                <w:szCs w:val="24"/>
                <w:lang w:eastAsia="es-CR"/>
              </w:rPr>
              <w:t>18</w:t>
            </w:r>
          </w:p>
        </w:tc>
        <w:tc>
          <w:tcPr>
            <w:tcW w:w="993" w:type="dxa"/>
            <w:tcBorders>
              <w:top w:val="nil"/>
              <w:left w:val="nil"/>
              <w:bottom w:val="nil"/>
              <w:right w:val="double" w:sz="6" w:space="0" w:color="auto"/>
            </w:tcBorders>
            <w:shd w:val="clear" w:color="auto" w:fill="auto"/>
            <w:vAlign w:val="center"/>
            <w:hideMark/>
          </w:tcPr>
          <w:p w:rsidR="00B43498" w:rsidRPr="00F30705" w:rsidRDefault="00B43498" w:rsidP="00B43498">
            <w:pPr>
              <w:ind w:left="-287" w:right="289"/>
              <w:jc w:val="right"/>
              <w:rPr>
                <w:sz w:val="24"/>
                <w:szCs w:val="24"/>
                <w:lang w:eastAsia="es-CR"/>
              </w:rPr>
            </w:pPr>
            <w:r w:rsidRPr="00F30705">
              <w:rPr>
                <w:sz w:val="24"/>
                <w:szCs w:val="24"/>
                <w:lang w:eastAsia="es-CR"/>
              </w:rPr>
              <w:t>0</w:t>
            </w:r>
          </w:p>
        </w:tc>
        <w:tc>
          <w:tcPr>
            <w:tcW w:w="1000"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0%</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c>
          <w:tcPr>
            <w:tcW w:w="1167" w:type="dxa"/>
            <w:tcBorders>
              <w:top w:val="nil"/>
              <w:left w:val="nil"/>
              <w:bottom w:val="nil"/>
              <w:right w:val="nil"/>
            </w:tcBorders>
            <w:shd w:val="clear" w:color="auto" w:fill="auto"/>
            <w:vAlign w:val="center"/>
            <w:hideMark/>
          </w:tcPr>
          <w:p w:rsidR="00B43498" w:rsidRPr="00F30705" w:rsidRDefault="00B43498" w:rsidP="00B43498">
            <w:pPr>
              <w:jc w:val="right"/>
              <w:rPr>
                <w:sz w:val="24"/>
                <w:szCs w:val="24"/>
                <w:lang w:eastAsia="es-CR"/>
              </w:rPr>
            </w:pPr>
            <w:r w:rsidRPr="00F30705">
              <w:rPr>
                <w:sz w:val="24"/>
                <w:szCs w:val="24"/>
                <w:lang w:eastAsia="es-CR"/>
              </w:rPr>
              <w:t>0%</w:t>
            </w:r>
          </w:p>
        </w:tc>
        <w:tc>
          <w:tcPr>
            <w:tcW w:w="430" w:type="dxa"/>
            <w:tcBorders>
              <w:top w:val="nil"/>
              <w:left w:val="nil"/>
              <w:bottom w:val="nil"/>
              <w:right w:val="nil"/>
            </w:tcBorders>
            <w:shd w:val="clear" w:color="auto" w:fill="auto"/>
            <w:vAlign w:val="center"/>
            <w:hideMark/>
          </w:tcPr>
          <w:p w:rsidR="00B43498" w:rsidRPr="00F30705" w:rsidRDefault="00B43498" w:rsidP="00B43498">
            <w:pPr>
              <w:rPr>
                <w:sz w:val="24"/>
                <w:szCs w:val="24"/>
                <w:lang w:eastAsia="es-CR"/>
              </w:rPr>
            </w:pPr>
          </w:p>
        </w:tc>
      </w:tr>
    </w:tbl>
    <w:p w:rsidR="00B43498" w:rsidRPr="00F30705" w:rsidRDefault="00B43498" w:rsidP="00A61A32">
      <w:pPr>
        <w:spacing w:line="360" w:lineRule="auto"/>
        <w:jc w:val="both"/>
        <w:rPr>
          <w:b/>
          <w:bCs/>
          <w:sz w:val="24"/>
          <w:szCs w:val="24"/>
          <w:lang w:eastAsia="es-CR"/>
        </w:rPr>
      </w:pPr>
    </w:p>
    <w:p w:rsidR="00B43498" w:rsidRPr="00F30705" w:rsidRDefault="00B43498" w:rsidP="00A61A32">
      <w:pPr>
        <w:spacing w:line="360" w:lineRule="auto"/>
        <w:jc w:val="both"/>
        <w:rPr>
          <w:b/>
          <w:bCs/>
          <w:sz w:val="28"/>
          <w:szCs w:val="28"/>
          <w:u w:val="single"/>
        </w:rPr>
      </w:pPr>
    </w:p>
    <w:p w:rsidR="00A61A32" w:rsidRPr="00F30705" w:rsidRDefault="00B51898" w:rsidP="00A61A32">
      <w:pPr>
        <w:spacing w:line="360" w:lineRule="auto"/>
        <w:jc w:val="both"/>
        <w:rPr>
          <w:b/>
          <w:bCs/>
          <w:sz w:val="28"/>
          <w:szCs w:val="28"/>
        </w:rPr>
      </w:pPr>
      <w:r w:rsidRPr="00F30705">
        <w:rPr>
          <w:b/>
          <w:bCs/>
          <w:sz w:val="28"/>
          <w:szCs w:val="28"/>
        </w:rPr>
        <w:lastRenderedPageBreak/>
        <w:t>3</w:t>
      </w:r>
      <w:r w:rsidR="00A61A32" w:rsidRPr="00F30705">
        <w:rPr>
          <w:b/>
          <w:bCs/>
          <w:sz w:val="28"/>
          <w:szCs w:val="28"/>
        </w:rPr>
        <w:t>.</w:t>
      </w:r>
      <w:r w:rsidRPr="00F30705">
        <w:rPr>
          <w:b/>
          <w:bCs/>
          <w:sz w:val="28"/>
          <w:szCs w:val="28"/>
        </w:rPr>
        <w:t>8</w:t>
      </w:r>
      <w:r w:rsidR="00A61A32" w:rsidRPr="00F30705">
        <w:rPr>
          <w:b/>
          <w:bCs/>
          <w:sz w:val="28"/>
          <w:szCs w:val="28"/>
        </w:rPr>
        <w:t xml:space="preserve"> Condenados por </w:t>
      </w:r>
      <w:r w:rsidR="00BF2CCA" w:rsidRPr="00F30705">
        <w:rPr>
          <w:b/>
          <w:bCs/>
          <w:sz w:val="28"/>
          <w:szCs w:val="28"/>
        </w:rPr>
        <w:t>título</w:t>
      </w:r>
      <w:r w:rsidR="00A61A32" w:rsidRPr="00F30705">
        <w:rPr>
          <w:b/>
          <w:bCs/>
          <w:sz w:val="28"/>
          <w:szCs w:val="28"/>
        </w:rPr>
        <w:t xml:space="preserve"> de delito o Infracción de ley específica</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 xml:space="preserve">Como se </w:t>
      </w:r>
      <w:r w:rsidR="00554170" w:rsidRPr="00F30705">
        <w:rPr>
          <w:sz w:val="28"/>
          <w:szCs w:val="28"/>
        </w:rPr>
        <w:t xml:space="preserve">ha </w:t>
      </w:r>
      <w:r w:rsidRPr="00F30705">
        <w:rPr>
          <w:sz w:val="28"/>
          <w:szCs w:val="28"/>
        </w:rPr>
        <w:t xml:space="preserve">despliega de la tabla seguida, en Costa Rica la condena se dicta mayormente en delitos contra la propiedad. De las </w:t>
      </w:r>
      <w:r w:rsidRPr="00F30705">
        <w:rPr>
          <w:b/>
          <w:bCs/>
          <w:sz w:val="28"/>
          <w:szCs w:val="28"/>
        </w:rPr>
        <w:t>8.8</w:t>
      </w:r>
      <w:r w:rsidR="00554170" w:rsidRPr="00F30705">
        <w:rPr>
          <w:b/>
          <w:bCs/>
          <w:sz w:val="28"/>
          <w:szCs w:val="28"/>
        </w:rPr>
        <w:t>71</w:t>
      </w:r>
      <w:r w:rsidRPr="00F30705">
        <w:rPr>
          <w:sz w:val="28"/>
          <w:szCs w:val="28"/>
        </w:rPr>
        <w:t xml:space="preserve"> condenas, </w:t>
      </w:r>
      <w:r w:rsidR="00554170" w:rsidRPr="00F30705">
        <w:rPr>
          <w:sz w:val="28"/>
          <w:szCs w:val="28"/>
        </w:rPr>
        <w:t>3</w:t>
      </w:r>
      <w:r w:rsidRPr="00F30705">
        <w:rPr>
          <w:sz w:val="28"/>
          <w:szCs w:val="28"/>
        </w:rPr>
        <w:t>.</w:t>
      </w:r>
      <w:r w:rsidR="00554170" w:rsidRPr="00F30705">
        <w:rPr>
          <w:sz w:val="28"/>
          <w:szCs w:val="28"/>
        </w:rPr>
        <w:t>845</w:t>
      </w:r>
      <w:r w:rsidRPr="00F30705">
        <w:rPr>
          <w:sz w:val="28"/>
          <w:szCs w:val="28"/>
        </w:rPr>
        <w:t xml:space="preserve"> (sea el </w:t>
      </w:r>
      <w:r w:rsidRPr="00F30705">
        <w:rPr>
          <w:b/>
          <w:bCs/>
          <w:sz w:val="28"/>
          <w:szCs w:val="28"/>
        </w:rPr>
        <w:t>4</w:t>
      </w:r>
      <w:r w:rsidR="00554170" w:rsidRPr="00F30705">
        <w:rPr>
          <w:b/>
          <w:bCs/>
          <w:sz w:val="28"/>
          <w:szCs w:val="28"/>
        </w:rPr>
        <w:t>3</w:t>
      </w:r>
      <w:r w:rsidRPr="00F30705">
        <w:rPr>
          <w:b/>
          <w:bCs/>
          <w:sz w:val="28"/>
          <w:szCs w:val="28"/>
        </w:rPr>
        <w:t>%)</w:t>
      </w:r>
      <w:r w:rsidRPr="00F30705">
        <w:rPr>
          <w:sz w:val="28"/>
          <w:szCs w:val="28"/>
        </w:rPr>
        <w:t xml:space="preserve"> fueron casos en los que se cometieron delitos de esta naturaleza. Le siguen gran distancia y compartiendo el segundo lugar la Infracción a la Ley de Sicotrópicos y los delitos contra la vida</w:t>
      </w:r>
      <w:r w:rsidR="00554170" w:rsidRPr="00F30705">
        <w:rPr>
          <w:sz w:val="28"/>
          <w:szCs w:val="28"/>
        </w:rPr>
        <w:t xml:space="preserve"> con el </w:t>
      </w:r>
      <w:r w:rsidR="00554170" w:rsidRPr="00F30705">
        <w:rPr>
          <w:b/>
          <w:sz w:val="28"/>
          <w:szCs w:val="28"/>
        </w:rPr>
        <w:t>13%</w:t>
      </w:r>
      <w:r w:rsidR="00554170" w:rsidRPr="00F30705">
        <w:rPr>
          <w:sz w:val="28"/>
          <w:szCs w:val="28"/>
        </w:rPr>
        <w:t xml:space="preserve"> y </w:t>
      </w:r>
      <w:r w:rsidR="00554170" w:rsidRPr="00F30705">
        <w:rPr>
          <w:b/>
          <w:sz w:val="28"/>
          <w:szCs w:val="28"/>
        </w:rPr>
        <w:t>10%</w:t>
      </w:r>
      <w:r w:rsidR="00554170" w:rsidRPr="00F30705">
        <w:rPr>
          <w:sz w:val="28"/>
          <w:szCs w:val="28"/>
        </w:rPr>
        <w:t xml:space="preserve"> respectivamente</w:t>
      </w:r>
      <w:r w:rsidRPr="00F30705">
        <w:rPr>
          <w:sz w:val="28"/>
          <w:szCs w:val="28"/>
        </w:rPr>
        <w:t xml:space="preserve">. </w:t>
      </w:r>
    </w:p>
    <w:p w:rsidR="00A61A32" w:rsidRPr="00F30705" w:rsidRDefault="00A61A32" w:rsidP="00A61A32">
      <w:pPr>
        <w:spacing w:line="360" w:lineRule="auto"/>
        <w:jc w:val="both"/>
        <w:rPr>
          <w:b/>
          <w:bCs/>
          <w:sz w:val="28"/>
          <w:szCs w:val="28"/>
        </w:rPr>
      </w:pPr>
    </w:p>
    <w:p w:rsidR="00592204" w:rsidRPr="00F30705" w:rsidRDefault="00592204" w:rsidP="00A61A32">
      <w:pPr>
        <w:spacing w:line="360" w:lineRule="auto"/>
        <w:jc w:val="both"/>
        <w:rPr>
          <w:b/>
          <w:bCs/>
          <w:sz w:val="28"/>
          <w:szCs w:val="28"/>
        </w:rPr>
      </w:pPr>
    </w:p>
    <w:tbl>
      <w:tblPr>
        <w:tblW w:w="7220" w:type="dxa"/>
        <w:jc w:val="center"/>
        <w:tblCellMar>
          <w:left w:w="70" w:type="dxa"/>
          <w:right w:w="70" w:type="dxa"/>
        </w:tblCellMar>
        <w:tblLook w:val="04A0" w:firstRow="1" w:lastRow="0" w:firstColumn="1" w:lastColumn="0" w:noHBand="0" w:noVBand="1"/>
      </w:tblPr>
      <w:tblGrid>
        <w:gridCol w:w="4402"/>
        <w:gridCol w:w="738"/>
        <w:gridCol w:w="1087"/>
        <w:gridCol w:w="993"/>
      </w:tblGrid>
      <w:tr w:rsidR="008E0072" w:rsidRPr="00F30705" w:rsidTr="008E0072">
        <w:trPr>
          <w:trHeight w:val="945"/>
          <w:jc w:val="center"/>
        </w:trPr>
        <w:tc>
          <w:tcPr>
            <w:tcW w:w="7220"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8E0072" w:rsidRPr="00F30705" w:rsidRDefault="008E0072" w:rsidP="008E0072">
            <w:pPr>
              <w:jc w:val="center"/>
              <w:rPr>
                <w:b/>
                <w:bCs/>
                <w:sz w:val="28"/>
                <w:szCs w:val="28"/>
                <w:lang w:eastAsia="es-CR"/>
              </w:rPr>
            </w:pPr>
            <w:r w:rsidRPr="00F30705">
              <w:rPr>
                <w:b/>
                <w:bCs/>
                <w:sz w:val="28"/>
                <w:szCs w:val="28"/>
                <w:lang w:eastAsia="es-CR"/>
              </w:rPr>
              <w:t>Personas condenadas en el 2015 según titulo del</w:t>
            </w:r>
            <w:r w:rsidRPr="00F30705">
              <w:rPr>
                <w:b/>
                <w:bCs/>
                <w:sz w:val="28"/>
                <w:szCs w:val="28"/>
                <w:lang w:eastAsia="es-CR"/>
              </w:rPr>
              <w:br/>
              <w:t>delito o ley infringida y por sexo</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jc w:val="center"/>
              <w:rPr>
                <w:b/>
                <w:bCs/>
                <w:sz w:val="24"/>
                <w:szCs w:val="24"/>
                <w:u w:val="single"/>
                <w:lang w:eastAsia="es-CR"/>
              </w:rPr>
            </w:pPr>
            <w:r w:rsidRPr="00F30705">
              <w:rPr>
                <w:b/>
                <w:bCs/>
                <w:sz w:val="24"/>
                <w:szCs w:val="24"/>
                <w:u w:val="single"/>
                <w:lang w:eastAsia="es-CR"/>
              </w:rPr>
              <w:t>Titulo de delito o</w:t>
            </w:r>
          </w:p>
        </w:tc>
        <w:tc>
          <w:tcPr>
            <w:tcW w:w="740" w:type="dxa"/>
            <w:vMerge w:val="restart"/>
            <w:tcBorders>
              <w:top w:val="nil"/>
              <w:left w:val="nil"/>
              <w:bottom w:val="nil"/>
              <w:right w:val="nil"/>
            </w:tcBorders>
            <w:shd w:val="clear" w:color="auto" w:fill="auto"/>
            <w:vAlign w:val="center"/>
            <w:hideMark/>
          </w:tcPr>
          <w:p w:rsidR="008E0072" w:rsidRPr="00F30705" w:rsidRDefault="008E0072" w:rsidP="008E0072">
            <w:pPr>
              <w:jc w:val="center"/>
              <w:rPr>
                <w:b/>
                <w:bCs/>
                <w:sz w:val="24"/>
                <w:szCs w:val="24"/>
                <w:u w:val="single"/>
                <w:lang w:eastAsia="es-CR"/>
              </w:rPr>
            </w:pPr>
            <w:r w:rsidRPr="00F30705">
              <w:rPr>
                <w:b/>
                <w:bCs/>
                <w:sz w:val="24"/>
                <w:szCs w:val="24"/>
                <w:u w:val="single"/>
                <w:lang w:eastAsia="es-CR"/>
              </w:rPr>
              <w:t>Total</w:t>
            </w:r>
          </w:p>
        </w:tc>
        <w:tc>
          <w:tcPr>
            <w:tcW w:w="1980" w:type="dxa"/>
            <w:gridSpan w:val="2"/>
            <w:tcBorders>
              <w:top w:val="nil"/>
              <w:left w:val="nil"/>
              <w:bottom w:val="nil"/>
              <w:right w:val="nil"/>
            </w:tcBorders>
            <w:shd w:val="clear" w:color="auto" w:fill="auto"/>
            <w:vAlign w:val="center"/>
            <w:hideMark/>
          </w:tcPr>
          <w:p w:rsidR="008E0072" w:rsidRPr="00F30705" w:rsidRDefault="008E0072" w:rsidP="008E0072">
            <w:pPr>
              <w:jc w:val="center"/>
              <w:rPr>
                <w:b/>
                <w:bCs/>
                <w:sz w:val="24"/>
                <w:szCs w:val="24"/>
                <w:u w:val="single"/>
                <w:lang w:eastAsia="es-CR"/>
              </w:rPr>
            </w:pPr>
            <w:r w:rsidRPr="00F30705">
              <w:rPr>
                <w:b/>
                <w:bCs/>
                <w:sz w:val="24"/>
                <w:szCs w:val="24"/>
                <w:u w:val="single"/>
                <w:lang w:eastAsia="es-CR"/>
              </w:rPr>
              <w:t>Sexo</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jc w:val="center"/>
              <w:rPr>
                <w:b/>
                <w:bCs/>
                <w:sz w:val="24"/>
                <w:szCs w:val="24"/>
                <w:u w:val="single"/>
                <w:lang w:eastAsia="es-CR"/>
              </w:rPr>
            </w:pPr>
            <w:r w:rsidRPr="00F30705">
              <w:rPr>
                <w:b/>
                <w:bCs/>
                <w:sz w:val="24"/>
                <w:szCs w:val="24"/>
                <w:u w:val="single"/>
                <w:lang w:eastAsia="es-CR"/>
              </w:rPr>
              <w:t xml:space="preserve"> infracción de ley específica</w:t>
            </w:r>
          </w:p>
        </w:tc>
        <w:tc>
          <w:tcPr>
            <w:tcW w:w="740" w:type="dxa"/>
            <w:vMerge/>
            <w:tcBorders>
              <w:top w:val="nil"/>
              <w:left w:val="nil"/>
              <w:bottom w:val="nil"/>
              <w:right w:val="nil"/>
            </w:tcBorders>
            <w:vAlign w:val="center"/>
            <w:hideMark/>
          </w:tcPr>
          <w:p w:rsidR="008E0072" w:rsidRPr="00F30705" w:rsidRDefault="008E0072" w:rsidP="008E0072">
            <w:pPr>
              <w:rPr>
                <w:b/>
                <w:bCs/>
                <w:sz w:val="24"/>
                <w:szCs w:val="24"/>
                <w:u w:val="single"/>
                <w:lang w:eastAsia="es-CR"/>
              </w:rPr>
            </w:pPr>
          </w:p>
        </w:tc>
        <w:tc>
          <w:tcPr>
            <w:tcW w:w="1020" w:type="dxa"/>
            <w:tcBorders>
              <w:top w:val="nil"/>
              <w:left w:val="nil"/>
              <w:bottom w:val="nil"/>
              <w:right w:val="nil"/>
            </w:tcBorders>
            <w:shd w:val="clear" w:color="auto" w:fill="auto"/>
            <w:vAlign w:val="center"/>
            <w:hideMark/>
          </w:tcPr>
          <w:p w:rsidR="008E0072" w:rsidRPr="00F30705" w:rsidRDefault="008E0072" w:rsidP="008E0072">
            <w:pPr>
              <w:rPr>
                <w:b/>
                <w:bCs/>
                <w:sz w:val="24"/>
                <w:szCs w:val="24"/>
                <w:u w:val="single"/>
                <w:lang w:eastAsia="es-CR"/>
              </w:rPr>
            </w:pPr>
            <w:r w:rsidRPr="00F30705">
              <w:rPr>
                <w:b/>
                <w:bCs/>
                <w:sz w:val="24"/>
                <w:szCs w:val="24"/>
                <w:u w:val="single"/>
                <w:lang w:eastAsia="es-CR"/>
              </w:rPr>
              <w:t>Hombres</w:t>
            </w:r>
          </w:p>
        </w:tc>
        <w:tc>
          <w:tcPr>
            <w:tcW w:w="960" w:type="dxa"/>
            <w:tcBorders>
              <w:top w:val="nil"/>
              <w:left w:val="nil"/>
              <w:bottom w:val="nil"/>
              <w:right w:val="nil"/>
            </w:tcBorders>
            <w:shd w:val="clear" w:color="auto" w:fill="auto"/>
            <w:vAlign w:val="center"/>
            <w:hideMark/>
          </w:tcPr>
          <w:p w:rsidR="008E0072" w:rsidRPr="00F30705" w:rsidRDefault="008E0072" w:rsidP="008E0072">
            <w:pPr>
              <w:rPr>
                <w:b/>
                <w:bCs/>
                <w:sz w:val="24"/>
                <w:szCs w:val="24"/>
                <w:u w:val="single"/>
                <w:lang w:eastAsia="es-CR"/>
              </w:rPr>
            </w:pPr>
            <w:r w:rsidRPr="00F30705">
              <w:rPr>
                <w:b/>
                <w:bCs/>
                <w:sz w:val="24"/>
                <w:szCs w:val="24"/>
                <w:u w:val="single"/>
                <w:lang w:eastAsia="es-CR"/>
              </w:rPr>
              <w:t>Mujeres</w:t>
            </w:r>
          </w:p>
        </w:tc>
      </w:tr>
      <w:tr w:rsidR="008E0072" w:rsidRPr="00F30705" w:rsidTr="008E0072">
        <w:trPr>
          <w:trHeight w:val="660"/>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jc w:val="center"/>
              <w:rPr>
                <w:b/>
                <w:bCs/>
                <w:sz w:val="24"/>
                <w:szCs w:val="24"/>
                <w:u w:val="double"/>
                <w:lang w:eastAsia="es-CR"/>
              </w:rPr>
            </w:pPr>
            <w:r w:rsidRPr="00F30705">
              <w:rPr>
                <w:b/>
                <w:bCs/>
                <w:sz w:val="24"/>
                <w:szCs w:val="24"/>
                <w:u w:val="double"/>
                <w:lang w:eastAsia="es-CR"/>
              </w:rPr>
              <w:t>TOTAL</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b/>
                <w:bCs/>
                <w:sz w:val="24"/>
                <w:szCs w:val="24"/>
                <w:u w:val="double"/>
                <w:lang w:eastAsia="es-CR"/>
              </w:rPr>
            </w:pPr>
            <w:r w:rsidRPr="00F30705">
              <w:rPr>
                <w:b/>
                <w:bCs/>
                <w:sz w:val="24"/>
                <w:szCs w:val="24"/>
                <w:u w:val="double"/>
                <w:lang w:eastAsia="es-CR"/>
              </w:rPr>
              <w:t>8.871</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b/>
                <w:bCs/>
                <w:sz w:val="24"/>
                <w:szCs w:val="24"/>
                <w:u w:val="double"/>
                <w:lang w:eastAsia="es-CR"/>
              </w:rPr>
            </w:pPr>
            <w:r w:rsidRPr="00F30705">
              <w:rPr>
                <w:b/>
                <w:bCs/>
                <w:sz w:val="24"/>
                <w:szCs w:val="24"/>
                <w:u w:val="double"/>
                <w:lang w:eastAsia="es-CR"/>
              </w:rPr>
              <w:t>8.219</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b/>
                <w:bCs/>
                <w:sz w:val="24"/>
                <w:szCs w:val="24"/>
                <w:u w:val="double"/>
                <w:lang w:eastAsia="es-CR"/>
              </w:rPr>
            </w:pPr>
            <w:r w:rsidRPr="00F30705">
              <w:rPr>
                <w:b/>
                <w:bCs/>
                <w:sz w:val="24"/>
                <w:szCs w:val="24"/>
                <w:u w:val="double"/>
                <w:lang w:eastAsia="es-CR"/>
              </w:rPr>
              <w:t>652</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Vida</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904</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802</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102</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el Honor</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15</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10</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5</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Sexuales</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647</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633</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14</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familia</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6</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4</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Libertad</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84</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78</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6</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el Ámbito de la Intimidad</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58</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52</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6</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Propiedad</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3.845</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3.567</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278</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buena fé de los negocios</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Seguridad Común</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476</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460</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16</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tranquilidad pública</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0</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Autoridad Pública</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361</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328</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33</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Administración de Justicia</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51</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45</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6</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Los Deberes de la Función Pública</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28</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25</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Contra la Fé Pública</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142</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115</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27</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Inf. Ley de Sicotrópicos</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1133</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1004</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129</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Inf. Ley de Armas Y Explosivos</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372</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370</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2</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Inf. Ley Penal. Viol. Contra Mujer</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517</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517</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0</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lastRenderedPageBreak/>
              <w:t>Inf. Ley Forestal</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31</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30</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Inf. Ley Protección Adulto Mayor</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9</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8</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Inf. Lley conservación vida silvestre</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47</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46</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Inf. a otras leyes específicas</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139</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120</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19</w:t>
            </w:r>
          </w:p>
        </w:tc>
      </w:tr>
      <w:tr w:rsidR="008E0072" w:rsidRPr="00F30705" w:rsidTr="008E0072">
        <w:trPr>
          <w:trHeight w:val="315"/>
          <w:jc w:val="center"/>
        </w:trPr>
        <w:tc>
          <w:tcPr>
            <w:tcW w:w="4500" w:type="dxa"/>
            <w:tcBorders>
              <w:top w:val="nil"/>
              <w:left w:val="nil"/>
              <w:bottom w:val="nil"/>
              <w:right w:val="nil"/>
            </w:tcBorders>
            <w:shd w:val="clear" w:color="auto" w:fill="auto"/>
            <w:vAlign w:val="center"/>
            <w:hideMark/>
          </w:tcPr>
          <w:p w:rsidR="008E0072" w:rsidRPr="00F30705" w:rsidRDefault="008E0072" w:rsidP="008E0072">
            <w:pPr>
              <w:rPr>
                <w:sz w:val="24"/>
                <w:szCs w:val="24"/>
                <w:lang w:eastAsia="es-CR"/>
              </w:rPr>
            </w:pPr>
            <w:r w:rsidRPr="00F30705">
              <w:rPr>
                <w:sz w:val="24"/>
                <w:szCs w:val="24"/>
                <w:lang w:eastAsia="es-CR"/>
              </w:rPr>
              <w:t>Otros</w:t>
            </w:r>
          </w:p>
        </w:tc>
        <w:tc>
          <w:tcPr>
            <w:tcW w:w="74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w:t>
            </w:r>
          </w:p>
        </w:tc>
        <w:tc>
          <w:tcPr>
            <w:tcW w:w="102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1</w:t>
            </w:r>
          </w:p>
        </w:tc>
        <w:tc>
          <w:tcPr>
            <w:tcW w:w="960" w:type="dxa"/>
            <w:tcBorders>
              <w:top w:val="nil"/>
              <w:left w:val="nil"/>
              <w:bottom w:val="nil"/>
              <w:right w:val="nil"/>
            </w:tcBorders>
            <w:shd w:val="clear" w:color="auto" w:fill="auto"/>
            <w:vAlign w:val="center"/>
            <w:hideMark/>
          </w:tcPr>
          <w:p w:rsidR="008E0072" w:rsidRPr="00F30705" w:rsidRDefault="008E0072" w:rsidP="008E0072">
            <w:pPr>
              <w:jc w:val="right"/>
              <w:rPr>
                <w:sz w:val="24"/>
                <w:szCs w:val="24"/>
                <w:lang w:eastAsia="es-CR"/>
              </w:rPr>
            </w:pPr>
            <w:r w:rsidRPr="00F30705">
              <w:rPr>
                <w:sz w:val="24"/>
                <w:szCs w:val="24"/>
                <w:lang w:eastAsia="es-CR"/>
              </w:rPr>
              <w:t>0</w:t>
            </w:r>
          </w:p>
        </w:tc>
      </w:tr>
    </w:tbl>
    <w:p w:rsidR="00592204" w:rsidRPr="00F30705" w:rsidRDefault="00592204" w:rsidP="00A61A32">
      <w:pPr>
        <w:spacing w:line="360" w:lineRule="auto"/>
        <w:jc w:val="both"/>
        <w:rPr>
          <w:b/>
          <w:bCs/>
          <w:sz w:val="28"/>
          <w:szCs w:val="28"/>
        </w:rPr>
      </w:pPr>
    </w:p>
    <w:p w:rsidR="00A61A32" w:rsidRPr="00F30705" w:rsidRDefault="00A61A32" w:rsidP="00A61A32">
      <w:pPr>
        <w:spacing w:line="360" w:lineRule="auto"/>
        <w:jc w:val="both"/>
        <w:rPr>
          <w:sz w:val="28"/>
          <w:szCs w:val="28"/>
        </w:rPr>
      </w:pPr>
      <w:r w:rsidRPr="00F30705">
        <w:rPr>
          <w:sz w:val="28"/>
          <w:szCs w:val="28"/>
        </w:rPr>
        <w:t>Adicionalmente y forma gráfica se presenta a continuación la comparación de las distribuciones absolutas por sexo en cada Título de delito o ley infringida por las personas condenadas. No obstante, es el gr</w:t>
      </w:r>
      <w:r w:rsidR="00415D2D">
        <w:rPr>
          <w:sz w:val="28"/>
          <w:szCs w:val="28"/>
        </w:rPr>
        <w:t>á</w:t>
      </w:r>
      <w:r w:rsidRPr="00F30705">
        <w:rPr>
          <w:sz w:val="28"/>
          <w:szCs w:val="28"/>
        </w:rPr>
        <w:t xml:space="preserve">fico 13 siguiente el delimita mejor las diferencias por </w:t>
      </w:r>
      <w:r w:rsidR="00415D2D" w:rsidRPr="00F30705">
        <w:rPr>
          <w:sz w:val="28"/>
          <w:szCs w:val="28"/>
        </w:rPr>
        <w:t>género</w:t>
      </w:r>
      <w:r w:rsidRPr="00F30705">
        <w:rPr>
          <w:sz w:val="28"/>
          <w:szCs w:val="28"/>
        </w:rPr>
        <w:t>.</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ind w:left="142"/>
        <w:jc w:val="both"/>
        <w:rPr>
          <w:sz w:val="28"/>
          <w:szCs w:val="28"/>
        </w:rPr>
      </w:pPr>
      <w:r w:rsidRPr="00F30705">
        <w:rPr>
          <w:noProof/>
          <w:lang w:eastAsia="es-CR"/>
        </w:rPr>
        <w:drawing>
          <wp:inline distT="0" distB="0" distL="0" distR="0">
            <wp:extent cx="5647690" cy="4206240"/>
            <wp:effectExtent l="19050" t="0" r="10160" b="3810"/>
            <wp:docPr id="44" name="Objeto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61A32" w:rsidRPr="00F30705" w:rsidRDefault="00A61A32" w:rsidP="00A61A32">
      <w:pPr>
        <w:spacing w:line="360" w:lineRule="auto"/>
        <w:jc w:val="both"/>
        <w:rPr>
          <w:sz w:val="16"/>
          <w:szCs w:val="16"/>
        </w:rPr>
      </w:pPr>
      <w:r w:rsidRPr="00F30705">
        <w:rPr>
          <w:sz w:val="28"/>
          <w:szCs w:val="28"/>
        </w:rPr>
        <w:t>No existe una diferencia significativa entre los porcentajes de hombres y mujeres condenadas para lo</w:t>
      </w:r>
      <w:r w:rsidR="00554170" w:rsidRPr="00F30705">
        <w:rPr>
          <w:sz w:val="28"/>
          <w:szCs w:val="28"/>
        </w:rPr>
        <w:t>s</w:t>
      </w:r>
      <w:r w:rsidRPr="00F30705">
        <w:rPr>
          <w:sz w:val="28"/>
          <w:szCs w:val="28"/>
        </w:rPr>
        <w:t xml:space="preserve"> delitos contra la propiedad; </w:t>
      </w:r>
      <w:r w:rsidR="00554170" w:rsidRPr="00F30705">
        <w:rPr>
          <w:sz w:val="28"/>
          <w:szCs w:val="28"/>
        </w:rPr>
        <w:t xml:space="preserve">para hombres </w:t>
      </w:r>
      <w:r w:rsidR="00B64B56" w:rsidRPr="00F30705">
        <w:rPr>
          <w:sz w:val="28"/>
          <w:szCs w:val="28"/>
        </w:rPr>
        <w:t>y</w:t>
      </w:r>
      <w:r w:rsidR="00554170" w:rsidRPr="00F30705">
        <w:rPr>
          <w:sz w:val="28"/>
          <w:szCs w:val="28"/>
        </w:rPr>
        <w:t xml:space="preserve"> </w:t>
      </w:r>
      <w:r w:rsidR="00554170" w:rsidRPr="00F30705">
        <w:rPr>
          <w:sz w:val="28"/>
          <w:szCs w:val="28"/>
        </w:rPr>
        <w:lastRenderedPageBreak/>
        <w:t>mujeres</w:t>
      </w:r>
      <w:r w:rsidR="00B64B56" w:rsidRPr="00F30705">
        <w:rPr>
          <w:sz w:val="28"/>
          <w:szCs w:val="28"/>
        </w:rPr>
        <w:t>,</w:t>
      </w:r>
      <w:r w:rsidR="00554170" w:rsidRPr="00F30705">
        <w:rPr>
          <w:sz w:val="28"/>
          <w:szCs w:val="28"/>
        </w:rPr>
        <w:t xml:space="preserve"> </w:t>
      </w:r>
      <w:r w:rsidRPr="00F30705">
        <w:rPr>
          <w:sz w:val="28"/>
          <w:szCs w:val="28"/>
        </w:rPr>
        <w:t xml:space="preserve">el </w:t>
      </w:r>
      <w:r w:rsidR="00B64B56" w:rsidRPr="00F30705">
        <w:rPr>
          <w:b/>
          <w:bCs/>
          <w:sz w:val="28"/>
          <w:szCs w:val="28"/>
        </w:rPr>
        <w:t>porcentaje</w:t>
      </w:r>
      <w:r w:rsidRPr="00F30705">
        <w:rPr>
          <w:sz w:val="28"/>
          <w:szCs w:val="28"/>
        </w:rPr>
        <w:t xml:space="preserve"> de </w:t>
      </w:r>
      <w:r w:rsidR="00554170" w:rsidRPr="00F30705">
        <w:rPr>
          <w:sz w:val="28"/>
          <w:szCs w:val="28"/>
        </w:rPr>
        <w:t>las condenas</w:t>
      </w:r>
      <w:r w:rsidRPr="00F30705">
        <w:rPr>
          <w:sz w:val="28"/>
          <w:szCs w:val="28"/>
        </w:rPr>
        <w:t xml:space="preserve"> fue por cometer alguno de los indicados bajo este T</w:t>
      </w:r>
      <w:r w:rsidR="00554170" w:rsidRPr="00F30705">
        <w:rPr>
          <w:sz w:val="28"/>
          <w:szCs w:val="28"/>
        </w:rPr>
        <w:t>í</w:t>
      </w:r>
      <w:r w:rsidRPr="00F30705">
        <w:rPr>
          <w:sz w:val="28"/>
          <w:szCs w:val="28"/>
        </w:rPr>
        <w:t>tulo de Delito</w:t>
      </w:r>
      <w:r w:rsidR="00B64B56" w:rsidRPr="00F30705">
        <w:rPr>
          <w:sz w:val="28"/>
          <w:szCs w:val="28"/>
        </w:rPr>
        <w:t xml:space="preserve"> es similar (</w:t>
      </w:r>
      <w:r w:rsidR="00B64B56" w:rsidRPr="00F30705">
        <w:rPr>
          <w:b/>
          <w:sz w:val="28"/>
          <w:szCs w:val="28"/>
        </w:rPr>
        <w:t>43%</w:t>
      </w:r>
      <w:r w:rsidR="00B64B56" w:rsidRPr="00F30705">
        <w:rPr>
          <w:sz w:val="28"/>
          <w:szCs w:val="28"/>
        </w:rPr>
        <w:t xml:space="preserve"> para hombre y </w:t>
      </w:r>
      <w:r w:rsidR="00B64B56" w:rsidRPr="00F30705">
        <w:rPr>
          <w:b/>
          <w:sz w:val="28"/>
          <w:szCs w:val="28"/>
        </w:rPr>
        <w:t>42%</w:t>
      </w:r>
      <w:r w:rsidR="00B64B56" w:rsidRPr="00F30705">
        <w:rPr>
          <w:sz w:val="28"/>
          <w:szCs w:val="28"/>
        </w:rPr>
        <w:t xml:space="preserve"> para mujeres)</w:t>
      </w:r>
      <w:r w:rsidRPr="00F30705">
        <w:rPr>
          <w:sz w:val="28"/>
          <w:szCs w:val="28"/>
        </w:rPr>
        <w:t>. Pero la proporción de mujeres condenadas por Infracción a la Ley de Sicotrópicos es mayor que en hombres (</w:t>
      </w:r>
      <w:r w:rsidRPr="00F30705">
        <w:rPr>
          <w:b/>
          <w:bCs/>
          <w:sz w:val="28"/>
          <w:szCs w:val="28"/>
        </w:rPr>
        <w:t>2</w:t>
      </w:r>
      <w:r w:rsidR="00ED5E88" w:rsidRPr="00F30705">
        <w:rPr>
          <w:b/>
          <w:bCs/>
          <w:sz w:val="28"/>
          <w:szCs w:val="28"/>
        </w:rPr>
        <w:t>0</w:t>
      </w:r>
      <w:r w:rsidRPr="00F30705">
        <w:rPr>
          <w:b/>
          <w:bCs/>
          <w:sz w:val="28"/>
          <w:szCs w:val="28"/>
        </w:rPr>
        <w:t>%</w:t>
      </w:r>
      <w:r w:rsidRPr="00F30705">
        <w:rPr>
          <w:sz w:val="28"/>
          <w:szCs w:val="28"/>
        </w:rPr>
        <w:t xml:space="preserve"> contra </w:t>
      </w:r>
      <w:r w:rsidRPr="00F30705">
        <w:rPr>
          <w:b/>
          <w:bCs/>
          <w:sz w:val="28"/>
          <w:szCs w:val="28"/>
        </w:rPr>
        <w:t>1</w:t>
      </w:r>
      <w:r w:rsidR="00ED5E88" w:rsidRPr="00F30705">
        <w:rPr>
          <w:b/>
          <w:bCs/>
          <w:sz w:val="28"/>
          <w:szCs w:val="28"/>
        </w:rPr>
        <w:t>2</w:t>
      </w:r>
      <w:r w:rsidRPr="00F30705">
        <w:rPr>
          <w:b/>
          <w:bCs/>
          <w:sz w:val="28"/>
          <w:szCs w:val="28"/>
        </w:rPr>
        <w:t>%</w:t>
      </w:r>
      <w:r w:rsidRPr="00F30705">
        <w:rPr>
          <w:sz w:val="28"/>
          <w:szCs w:val="28"/>
        </w:rPr>
        <w:t xml:space="preserve">). También es importante </w:t>
      </w:r>
      <w:r w:rsidR="00ED5E88" w:rsidRPr="00F30705">
        <w:rPr>
          <w:sz w:val="28"/>
          <w:szCs w:val="28"/>
        </w:rPr>
        <w:t>la diferencia la proporción de</w:t>
      </w:r>
      <w:r w:rsidRPr="00F30705">
        <w:rPr>
          <w:sz w:val="28"/>
          <w:szCs w:val="28"/>
        </w:rPr>
        <w:t xml:space="preserve"> condena </w:t>
      </w:r>
      <w:r w:rsidR="00ED5E88" w:rsidRPr="00F30705">
        <w:rPr>
          <w:sz w:val="28"/>
          <w:szCs w:val="28"/>
        </w:rPr>
        <w:t xml:space="preserve">entre </w:t>
      </w:r>
      <w:r w:rsidRPr="00F30705">
        <w:rPr>
          <w:sz w:val="28"/>
          <w:szCs w:val="28"/>
        </w:rPr>
        <w:t>hombres</w:t>
      </w:r>
      <w:r w:rsidR="00ED5E88" w:rsidRPr="00F30705">
        <w:rPr>
          <w:sz w:val="28"/>
          <w:szCs w:val="28"/>
        </w:rPr>
        <w:t xml:space="preserve"> (</w:t>
      </w:r>
      <w:r w:rsidR="00ED5E88" w:rsidRPr="00F30705">
        <w:rPr>
          <w:b/>
          <w:sz w:val="28"/>
          <w:szCs w:val="28"/>
        </w:rPr>
        <w:t>10%</w:t>
      </w:r>
      <w:r w:rsidR="00ED5E88" w:rsidRPr="00F30705">
        <w:rPr>
          <w:sz w:val="28"/>
          <w:szCs w:val="28"/>
        </w:rPr>
        <w:t>) y mujeres (</w:t>
      </w:r>
      <w:r w:rsidR="00ED5E88" w:rsidRPr="00F30705">
        <w:rPr>
          <w:b/>
          <w:sz w:val="28"/>
          <w:szCs w:val="28"/>
        </w:rPr>
        <w:t>16%</w:t>
      </w:r>
      <w:r w:rsidR="00ED5E88" w:rsidRPr="00F30705">
        <w:rPr>
          <w:sz w:val="28"/>
          <w:szCs w:val="28"/>
        </w:rPr>
        <w:t>)</w:t>
      </w:r>
      <w:r w:rsidRPr="00F30705">
        <w:rPr>
          <w:sz w:val="28"/>
          <w:szCs w:val="28"/>
        </w:rPr>
        <w:t xml:space="preserve"> por cometer delitos </w:t>
      </w:r>
      <w:r w:rsidR="00ED5E88" w:rsidRPr="00F30705">
        <w:rPr>
          <w:sz w:val="28"/>
          <w:szCs w:val="28"/>
        </w:rPr>
        <w:t xml:space="preserve">contra la vida. </w:t>
      </w:r>
      <w:r w:rsidRPr="00F30705">
        <w:rPr>
          <w:sz w:val="28"/>
          <w:szCs w:val="28"/>
        </w:rPr>
        <w:t xml:space="preserve"> </w:t>
      </w:r>
      <w:r w:rsidRPr="00F30705">
        <w:rPr>
          <w:sz w:val="28"/>
          <w:szCs w:val="28"/>
        </w:rPr>
        <w:br w:type="page"/>
      </w:r>
    </w:p>
    <w:tbl>
      <w:tblPr>
        <w:tblStyle w:val="Tablaconcuadrcula"/>
        <w:tblW w:w="0" w:type="auto"/>
        <w:tblInd w:w="38" w:type="dxa"/>
        <w:tblBorders>
          <w:insideH w:val="none" w:sz="0" w:space="0" w:color="auto"/>
          <w:insideV w:val="none" w:sz="0" w:space="0" w:color="auto"/>
        </w:tblBorders>
        <w:tblLook w:val="01E0" w:firstRow="1" w:lastRow="1" w:firstColumn="1" w:lastColumn="1" w:noHBand="0" w:noVBand="0"/>
      </w:tblPr>
      <w:tblGrid>
        <w:gridCol w:w="4396"/>
        <w:gridCol w:w="4396"/>
      </w:tblGrid>
      <w:tr w:rsidR="00A61A32" w:rsidRPr="00F30705" w:rsidTr="00A61A32">
        <w:tc>
          <w:tcPr>
            <w:tcW w:w="9018" w:type="dxa"/>
            <w:gridSpan w:val="2"/>
            <w:tcBorders>
              <w:top w:val="single" w:sz="4" w:space="0" w:color="auto"/>
            </w:tcBorders>
          </w:tcPr>
          <w:p w:rsidR="00A61A32" w:rsidRPr="00F30705" w:rsidRDefault="00A61A32" w:rsidP="00A61A32">
            <w:pPr>
              <w:jc w:val="center"/>
              <w:rPr>
                <w:rFonts w:ascii="Book Antiqua" w:hAnsi="Book Antiqua" w:cs="Book Antiqua"/>
                <w:bCs/>
                <w:noProof/>
                <w:sz w:val="24"/>
                <w:szCs w:val="24"/>
                <w:lang w:eastAsia="es-CR"/>
              </w:rPr>
            </w:pPr>
            <w:r w:rsidRPr="00F30705">
              <w:rPr>
                <w:rFonts w:ascii="Book Antiqua" w:hAnsi="Book Antiqua" w:cs="Book Antiqua"/>
                <w:bCs/>
                <w:noProof/>
                <w:sz w:val="24"/>
                <w:szCs w:val="24"/>
                <w:lang w:eastAsia="es-CR"/>
              </w:rPr>
              <w:lastRenderedPageBreak/>
              <w:t>Gráfico N° 13</w:t>
            </w:r>
          </w:p>
          <w:p w:rsidR="00A61A32" w:rsidRPr="00F30705" w:rsidRDefault="00A61A32" w:rsidP="00A61A32">
            <w:pPr>
              <w:jc w:val="center"/>
              <w:rPr>
                <w:rFonts w:ascii="Book Antiqua" w:hAnsi="Book Antiqua" w:cs="Book Antiqua"/>
                <w:b/>
                <w:noProof/>
                <w:sz w:val="24"/>
                <w:szCs w:val="24"/>
                <w:lang w:eastAsia="es-CR"/>
              </w:rPr>
            </w:pPr>
            <w:r w:rsidRPr="00F30705">
              <w:rPr>
                <w:rFonts w:ascii="Book Antiqua" w:hAnsi="Book Antiqua" w:cs="Book Antiqua"/>
                <w:b/>
                <w:noProof/>
                <w:sz w:val="24"/>
                <w:szCs w:val="24"/>
                <w:lang w:eastAsia="es-CR"/>
              </w:rPr>
              <w:t>Distribuciones porcentuales del volumen de personas condenadas según sexo y por Título de delitos o ley infringida durante el 201</w:t>
            </w:r>
            <w:r w:rsidR="00743496" w:rsidRPr="00F30705">
              <w:rPr>
                <w:rFonts w:ascii="Book Antiqua" w:hAnsi="Book Antiqua" w:cs="Book Antiqua"/>
                <w:b/>
                <w:noProof/>
                <w:sz w:val="24"/>
                <w:szCs w:val="24"/>
                <w:lang w:eastAsia="es-CR"/>
              </w:rPr>
              <w:t>5</w:t>
            </w:r>
            <w:r w:rsidRPr="00F30705">
              <w:rPr>
                <w:rFonts w:ascii="Book Antiqua" w:hAnsi="Book Antiqua" w:cs="Book Antiqua"/>
                <w:b/>
                <w:noProof/>
                <w:sz w:val="24"/>
                <w:szCs w:val="24"/>
                <w:lang w:eastAsia="es-CR"/>
              </w:rPr>
              <w:t xml:space="preserve"> </w:t>
            </w:r>
          </w:p>
          <w:p w:rsidR="00A61A32" w:rsidRPr="00F30705" w:rsidRDefault="00A61A32" w:rsidP="00A61A32">
            <w:pPr>
              <w:jc w:val="center"/>
              <w:rPr>
                <w:rFonts w:ascii="Book Antiqua" w:hAnsi="Book Antiqua" w:cs="Book Antiqua"/>
                <w:noProof/>
                <w:sz w:val="16"/>
                <w:szCs w:val="16"/>
                <w:lang w:eastAsia="es-CR"/>
              </w:rPr>
            </w:pPr>
          </w:p>
        </w:tc>
      </w:tr>
      <w:tr w:rsidR="00A61A32" w:rsidRPr="00F30705" w:rsidTr="00A61A32">
        <w:tc>
          <w:tcPr>
            <w:tcW w:w="9018" w:type="dxa"/>
            <w:gridSpan w:val="2"/>
            <w:tcBorders>
              <w:top w:val="nil"/>
              <w:bottom w:val="nil"/>
            </w:tcBorders>
          </w:tcPr>
          <w:p w:rsidR="00A61A32" w:rsidRPr="00F30705" w:rsidRDefault="00A61A32" w:rsidP="00A61A32">
            <w:pPr>
              <w:spacing w:line="360" w:lineRule="auto"/>
              <w:jc w:val="center"/>
              <w:rPr>
                <w:rFonts w:ascii="Book Antiqua" w:hAnsi="Book Antiqua" w:cs="Book Antiqua"/>
                <w:noProof/>
                <w:lang w:eastAsia="es-CR"/>
              </w:rPr>
            </w:pPr>
            <w:r w:rsidRPr="00F30705">
              <w:rPr>
                <w:rFonts w:ascii="Book Antiqua" w:hAnsi="Book Antiqua" w:cs="Book Antiqua"/>
                <w:noProof/>
                <w:lang w:eastAsia="es-CR"/>
              </w:rPr>
              <w:drawing>
                <wp:inline distT="0" distB="0" distL="0" distR="0">
                  <wp:extent cx="4297680" cy="2917371"/>
                  <wp:effectExtent l="0" t="0" r="0" b="0"/>
                  <wp:docPr id="45" name="Objeto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A61A32" w:rsidRPr="00F30705" w:rsidTr="00A61A32">
        <w:tc>
          <w:tcPr>
            <w:tcW w:w="4509" w:type="dxa"/>
            <w:tcBorders>
              <w:top w:val="nil"/>
              <w:bottom w:val="nil"/>
              <w:right w:val="single" w:sz="4" w:space="0" w:color="auto"/>
            </w:tcBorders>
          </w:tcPr>
          <w:p w:rsidR="00A61A32" w:rsidRPr="00F30705" w:rsidRDefault="00A61A32" w:rsidP="00A61A32">
            <w:pPr>
              <w:spacing w:line="360" w:lineRule="auto"/>
              <w:jc w:val="center"/>
              <w:rPr>
                <w:rFonts w:ascii="Book Antiqua" w:hAnsi="Book Antiqua" w:cs="Book Antiqua"/>
                <w:noProof/>
                <w:lang w:eastAsia="es-CR"/>
              </w:rPr>
            </w:pPr>
            <w:r w:rsidRPr="00F30705">
              <w:rPr>
                <w:rFonts w:ascii="Book Antiqua" w:hAnsi="Book Antiqua" w:cs="Book Antiqua"/>
                <w:noProof/>
                <w:lang w:eastAsia="es-CR"/>
              </w:rPr>
              <w:drawing>
                <wp:inline distT="0" distB="0" distL="0" distR="0">
                  <wp:extent cx="2721610" cy="3374390"/>
                  <wp:effectExtent l="0" t="0" r="0" b="0"/>
                  <wp:docPr id="46" name="Objeto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509" w:type="dxa"/>
            <w:tcBorders>
              <w:left w:val="single" w:sz="4" w:space="0" w:color="auto"/>
            </w:tcBorders>
          </w:tcPr>
          <w:p w:rsidR="00A61A32" w:rsidRPr="00F30705" w:rsidRDefault="00A61A32" w:rsidP="00A61A32">
            <w:pPr>
              <w:spacing w:line="360" w:lineRule="auto"/>
              <w:jc w:val="center"/>
              <w:rPr>
                <w:rFonts w:ascii="Book Antiqua" w:hAnsi="Book Antiqua" w:cs="Book Antiqua"/>
                <w:noProof/>
                <w:lang w:eastAsia="es-CR"/>
              </w:rPr>
            </w:pPr>
            <w:r w:rsidRPr="00F30705">
              <w:rPr>
                <w:rFonts w:ascii="Book Antiqua" w:hAnsi="Book Antiqua" w:cs="Book Antiqua"/>
                <w:noProof/>
                <w:lang w:eastAsia="es-CR"/>
              </w:rPr>
              <w:drawing>
                <wp:inline distT="0" distB="0" distL="0" distR="0">
                  <wp:extent cx="2721610" cy="3374390"/>
                  <wp:effectExtent l="0" t="0" r="0" b="0"/>
                  <wp:docPr id="47" name="Objeto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A61A32" w:rsidRPr="00F30705" w:rsidTr="00A61A32">
        <w:tblPrEx>
          <w:tblBorders>
            <w:insideH w:val="single" w:sz="4" w:space="0" w:color="auto"/>
            <w:insideV w:val="single" w:sz="4" w:space="0" w:color="auto"/>
          </w:tblBorders>
        </w:tblPrEx>
        <w:trPr>
          <w:trHeight w:val="146"/>
        </w:trPr>
        <w:tc>
          <w:tcPr>
            <w:tcW w:w="9018" w:type="dxa"/>
            <w:gridSpan w:val="2"/>
          </w:tcPr>
          <w:p w:rsidR="00A61A32" w:rsidRPr="00F30705" w:rsidRDefault="00A61A32" w:rsidP="00A61A32">
            <w:pPr>
              <w:rPr>
                <w:noProof/>
                <w:sz w:val="16"/>
                <w:szCs w:val="16"/>
                <w:lang w:eastAsia="es-CR"/>
              </w:rPr>
            </w:pPr>
            <w:r w:rsidRPr="00F30705">
              <w:rPr>
                <w:noProof/>
                <w:sz w:val="16"/>
                <w:szCs w:val="16"/>
                <w:lang w:eastAsia="es-CR"/>
              </w:rPr>
              <w:t xml:space="preserve">                                                                                                                                                                                                                                                                                                                                                                                                                                                                                                                                                                                                                                                                                                                                                                                                                                                                                                                                                                                                                                                                                                                                                                                                                                                                                                                                                                                                                                                                                                                                                                                                                      </w:t>
            </w:r>
            <w:r w:rsidR="00F62367" w:rsidRPr="00F30705">
              <w:rPr>
                <w:noProof/>
                <w:sz w:val="16"/>
                <w:szCs w:val="16"/>
                <w:lang w:eastAsia="es-CR"/>
              </w:rPr>
              <w:t xml:space="preserve">                            </w:t>
            </w:r>
            <w:r w:rsidRPr="00F30705">
              <w:rPr>
                <w:noProof/>
                <w:sz w:val="16"/>
                <w:szCs w:val="16"/>
                <w:lang w:eastAsia="es-CR"/>
              </w:rPr>
              <w:t>Elaborado por: Sección de Estadística, Departamento de Planificación</w:t>
            </w:r>
          </w:p>
        </w:tc>
      </w:tr>
    </w:tbl>
    <w:p w:rsidR="00A61A32" w:rsidRPr="00F30705" w:rsidRDefault="00A61A32" w:rsidP="00A61A32">
      <w:pPr>
        <w:spacing w:line="360" w:lineRule="auto"/>
        <w:jc w:val="both"/>
        <w:rPr>
          <w:sz w:val="28"/>
          <w:szCs w:val="28"/>
        </w:rPr>
      </w:pPr>
    </w:p>
    <w:p w:rsidR="00A61A32" w:rsidRPr="00F30705" w:rsidRDefault="00B51898" w:rsidP="00A61A32">
      <w:pPr>
        <w:spacing w:line="360" w:lineRule="auto"/>
        <w:jc w:val="both"/>
        <w:rPr>
          <w:b/>
          <w:bCs/>
          <w:sz w:val="28"/>
          <w:szCs w:val="28"/>
        </w:rPr>
      </w:pPr>
      <w:r w:rsidRPr="00F30705">
        <w:rPr>
          <w:b/>
          <w:bCs/>
          <w:sz w:val="28"/>
          <w:szCs w:val="28"/>
        </w:rPr>
        <w:lastRenderedPageBreak/>
        <w:t>3</w:t>
      </w:r>
      <w:r w:rsidR="00A61A32" w:rsidRPr="00F30705">
        <w:rPr>
          <w:b/>
          <w:bCs/>
          <w:sz w:val="28"/>
          <w:szCs w:val="28"/>
        </w:rPr>
        <w:t>.</w:t>
      </w:r>
      <w:r w:rsidRPr="00F30705">
        <w:rPr>
          <w:b/>
          <w:bCs/>
          <w:sz w:val="28"/>
          <w:szCs w:val="28"/>
        </w:rPr>
        <w:t>9</w:t>
      </w:r>
      <w:r w:rsidR="00A61A32" w:rsidRPr="00F30705">
        <w:rPr>
          <w:b/>
          <w:bCs/>
          <w:sz w:val="28"/>
          <w:szCs w:val="28"/>
        </w:rPr>
        <w:t xml:space="preserve"> Distribución de los Tribunales según grado en que se condena.</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 xml:space="preserve">Se indicó anteriormente que </w:t>
      </w:r>
      <w:r w:rsidR="009B3708" w:rsidRPr="00F30705">
        <w:rPr>
          <w:sz w:val="28"/>
          <w:szCs w:val="28"/>
        </w:rPr>
        <w:t>poco más</w:t>
      </w:r>
      <w:r w:rsidRPr="00F30705">
        <w:rPr>
          <w:sz w:val="28"/>
          <w:szCs w:val="28"/>
        </w:rPr>
        <w:t xml:space="preserve"> de dos tercios de las personas sentenciadas son condenadas. No obstante, tal proporcionalidad no se cumple para todos los despachos. Así, en los Tribunales de flagrancia el porcentaje de condena es mayor que en tribunales de juicio regulares. La cantidad de despachos según el porcentaje de condenatorias se desglosa en el siguiente recuadro. Se puede notar que ha ocurrido algunas cambios del 201</w:t>
      </w:r>
      <w:r w:rsidR="009B0970" w:rsidRPr="00F30705">
        <w:rPr>
          <w:sz w:val="28"/>
          <w:szCs w:val="28"/>
        </w:rPr>
        <w:t>4</w:t>
      </w:r>
      <w:r w:rsidRPr="00F30705">
        <w:rPr>
          <w:sz w:val="28"/>
          <w:szCs w:val="28"/>
        </w:rPr>
        <w:t xml:space="preserve"> y el 201</w:t>
      </w:r>
      <w:r w:rsidR="009B0970" w:rsidRPr="00F30705">
        <w:rPr>
          <w:sz w:val="28"/>
          <w:szCs w:val="28"/>
        </w:rPr>
        <w:t>5</w:t>
      </w:r>
      <w:r w:rsidRPr="00F30705">
        <w:rPr>
          <w:sz w:val="28"/>
          <w:szCs w:val="28"/>
        </w:rPr>
        <w:t xml:space="preserve">; </w:t>
      </w:r>
      <w:r w:rsidR="009B0970" w:rsidRPr="00F30705">
        <w:rPr>
          <w:sz w:val="28"/>
          <w:szCs w:val="28"/>
        </w:rPr>
        <w:t xml:space="preserve">en el grupo de tribunales penales “ordinarios” se produce una redistribución aumentando la cantidad de estos despachos que dictan condena de 60% al 69% de sus sentencias dictadas pues en el 2015 son 16 cuando que un año antes eran solo 7. En los tribunales de flagrancia no ocurren diferencias el distribución de los despachos por grado de condena. </w:t>
      </w:r>
    </w:p>
    <w:p w:rsidR="003F3305" w:rsidRPr="00F30705" w:rsidRDefault="003F3305" w:rsidP="00A61A32">
      <w:pPr>
        <w:spacing w:line="360" w:lineRule="auto"/>
        <w:jc w:val="both"/>
        <w:rPr>
          <w:sz w:val="28"/>
          <w:szCs w:val="28"/>
        </w:rPr>
      </w:pPr>
    </w:p>
    <w:tbl>
      <w:tblPr>
        <w:tblW w:w="6660" w:type="dxa"/>
        <w:jc w:val="center"/>
        <w:tblCellMar>
          <w:left w:w="70" w:type="dxa"/>
          <w:right w:w="70" w:type="dxa"/>
        </w:tblCellMar>
        <w:tblLook w:val="04A0" w:firstRow="1" w:lastRow="0" w:firstColumn="1" w:lastColumn="0" w:noHBand="0" w:noVBand="1"/>
      </w:tblPr>
      <w:tblGrid>
        <w:gridCol w:w="3220"/>
        <w:gridCol w:w="1720"/>
        <w:gridCol w:w="1720"/>
      </w:tblGrid>
      <w:tr w:rsidR="00972BE9" w:rsidRPr="00F30705" w:rsidTr="00972BE9">
        <w:trPr>
          <w:trHeight w:val="375"/>
          <w:jc w:val="center"/>
        </w:trPr>
        <w:tc>
          <w:tcPr>
            <w:tcW w:w="6660" w:type="dxa"/>
            <w:gridSpan w:val="3"/>
            <w:tcBorders>
              <w:top w:val="single" w:sz="4" w:space="0" w:color="auto"/>
              <w:left w:val="single" w:sz="4" w:space="0" w:color="auto"/>
              <w:bottom w:val="single" w:sz="4" w:space="0" w:color="auto"/>
              <w:right w:val="single" w:sz="4" w:space="0" w:color="000000"/>
            </w:tcBorders>
            <w:shd w:val="clear" w:color="000000" w:fill="DBE5F1"/>
            <w:vAlign w:val="center"/>
            <w:hideMark/>
          </w:tcPr>
          <w:p w:rsidR="00972BE9" w:rsidRPr="00F30705" w:rsidRDefault="00972BE9" w:rsidP="00972BE9">
            <w:pPr>
              <w:jc w:val="center"/>
              <w:rPr>
                <w:b/>
                <w:bCs/>
                <w:sz w:val="28"/>
                <w:szCs w:val="28"/>
                <w:lang w:eastAsia="es-CR"/>
              </w:rPr>
            </w:pPr>
            <w:r w:rsidRPr="00F30705">
              <w:rPr>
                <w:b/>
                <w:bCs/>
                <w:sz w:val="28"/>
                <w:szCs w:val="28"/>
                <w:lang w:eastAsia="es-CR"/>
              </w:rPr>
              <w:t>Distribución de los Tribunales por grado de condena</w:t>
            </w:r>
          </w:p>
        </w:tc>
      </w:tr>
      <w:tr w:rsidR="00972BE9" w:rsidRPr="00F30705" w:rsidTr="00972BE9">
        <w:trPr>
          <w:trHeight w:val="315"/>
          <w:jc w:val="center"/>
        </w:trPr>
        <w:tc>
          <w:tcPr>
            <w:tcW w:w="3220" w:type="dxa"/>
            <w:vMerge w:val="restart"/>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single"/>
                <w:lang w:eastAsia="es-CR"/>
              </w:rPr>
            </w:pPr>
            <w:r w:rsidRPr="00F30705">
              <w:rPr>
                <w:b/>
                <w:bCs/>
                <w:sz w:val="24"/>
                <w:szCs w:val="24"/>
                <w:u w:val="single"/>
                <w:lang w:eastAsia="es-CR"/>
              </w:rPr>
              <w:t>Intervalo Porcentual de condenatorias</w:t>
            </w:r>
          </w:p>
        </w:tc>
        <w:tc>
          <w:tcPr>
            <w:tcW w:w="3440" w:type="dxa"/>
            <w:gridSpan w:val="2"/>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single"/>
                <w:lang w:eastAsia="es-CR"/>
              </w:rPr>
            </w:pPr>
            <w:r w:rsidRPr="00F30705">
              <w:rPr>
                <w:b/>
                <w:bCs/>
                <w:sz w:val="24"/>
                <w:szCs w:val="24"/>
                <w:u w:val="single"/>
                <w:lang w:eastAsia="es-CR"/>
              </w:rPr>
              <w:t>Cantidad de despachos</w:t>
            </w:r>
          </w:p>
        </w:tc>
      </w:tr>
      <w:tr w:rsidR="00972BE9" w:rsidRPr="00F30705" w:rsidTr="00972BE9">
        <w:trPr>
          <w:trHeight w:val="315"/>
          <w:jc w:val="center"/>
        </w:trPr>
        <w:tc>
          <w:tcPr>
            <w:tcW w:w="3220" w:type="dxa"/>
            <w:vMerge/>
            <w:tcBorders>
              <w:top w:val="nil"/>
              <w:left w:val="nil"/>
              <w:bottom w:val="nil"/>
              <w:right w:val="nil"/>
            </w:tcBorders>
            <w:vAlign w:val="center"/>
            <w:hideMark/>
          </w:tcPr>
          <w:p w:rsidR="00972BE9" w:rsidRPr="00F30705" w:rsidRDefault="00972BE9" w:rsidP="00972BE9">
            <w:pPr>
              <w:rPr>
                <w:b/>
                <w:bCs/>
                <w:sz w:val="24"/>
                <w:szCs w:val="24"/>
                <w:u w:val="single"/>
                <w:lang w:eastAsia="es-CR"/>
              </w:rPr>
            </w:pPr>
          </w:p>
        </w:tc>
        <w:tc>
          <w:tcPr>
            <w:tcW w:w="1720" w:type="dxa"/>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single"/>
                <w:lang w:eastAsia="es-CR"/>
              </w:rPr>
            </w:pPr>
            <w:r w:rsidRPr="00F30705">
              <w:rPr>
                <w:b/>
                <w:bCs/>
                <w:sz w:val="24"/>
                <w:szCs w:val="24"/>
                <w:u w:val="single"/>
                <w:lang w:eastAsia="es-CR"/>
              </w:rPr>
              <w:t>2014</w:t>
            </w:r>
          </w:p>
        </w:tc>
        <w:tc>
          <w:tcPr>
            <w:tcW w:w="1720" w:type="dxa"/>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single"/>
                <w:lang w:eastAsia="es-CR"/>
              </w:rPr>
            </w:pPr>
            <w:r w:rsidRPr="00F30705">
              <w:rPr>
                <w:b/>
                <w:bCs/>
                <w:sz w:val="24"/>
                <w:szCs w:val="24"/>
                <w:u w:val="single"/>
                <w:lang w:eastAsia="es-CR"/>
              </w:rPr>
              <w:t>2015</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single"/>
                <w:lang w:eastAsia="es-CR"/>
              </w:rPr>
            </w:pPr>
          </w:p>
        </w:tc>
        <w:tc>
          <w:tcPr>
            <w:tcW w:w="1720" w:type="dxa"/>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single"/>
                <w:lang w:eastAsia="es-CR"/>
              </w:rPr>
            </w:pPr>
          </w:p>
        </w:tc>
        <w:tc>
          <w:tcPr>
            <w:tcW w:w="1720" w:type="dxa"/>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single"/>
                <w:lang w:eastAsia="es-CR"/>
              </w:rPr>
            </w:pPr>
          </w:p>
        </w:tc>
      </w:tr>
      <w:tr w:rsidR="00972BE9" w:rsidRPr="00F30705" w:rsidTr="00972BE9">
        <w:trPr>
          <w:trHeight w:val="435"/>
          <w:jc w:val="center"/>
        </w:trPr>
        <w:tc>
          <w:tcPr>
            <w:tcW w:w="6660" w:type="dxa"/>
            <w:gridSpan w:val="3"/>
            <w:tcBorders>
              <w:top w:val="nil"/>
              <w:left w:val="nil"/>
              <w:bottom w:val="nil"/>
              <w:right w:val="nil"/>
            </w:tcBorders>
            <w:shd w:val="clear" w:color="000000" w:fill="FFC000"/>
            <w:vAlign w:val="center"/>
            <w:hideMark/>
          </w:tcPr>
          <w:p w:rsidR="00972BE9" w:rsidRPr="00F30705" w:rsidRDefault="00972BE9" w:rsidP="00972BE9">
            <w:pPr>
              <w:jc w:val="center"/>
              <w:rPr>
                <w:b/>
                <w:bCs/>
                <w:sz w:val="24"/>
                <w:szCs w:val="24"/>
                <w:u w:val="single"/>
                <w:lang w:eastAsia="es-CR"/>
              </w:rPr>
            </w:pPr>
            <w:r w:rsidRPr="00F30705">
              <w:rPr>
                <w:b/>
                <w:bCs/>
                <w:sz w:val="24"/>
                <w:szCs w:val="24"/>
                <w:u w:val="single"/>
                <w:lang w:eastAsia="es-CR"/>
              </w:rPr>
              <w:t>Tribunales penal no especiliazados en flagrancia</w:t>
            </w:r>
          </w:p>
        </w:tc>
      </w:tr>
      <w:tr w:rsidR="00972BE9" w:rsidRPr="00F30705" w:rsidTr="00972BE9">
        <w:trPr>
          <w:trHeight w:val="49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double"/>
                <w:lang w:eastAsia="es-CR"/>
              </w:rPr>
            </w:pPr>
            <w:r w:rsidRPr="00F30705">
              <w:rPr>
                <w:b/>
                <w:bCs/>
                <w:sz w:val="24"/>
                <w:szCs w:val="24"/>
                <w:u w:val="double"/>
                <w:lang w:eastAsia="es-CR"/>
              </w:rPr>
              <w:t>TOTAL</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b/>
                <w:bCs/>
                <w:sz w:val="24"/>
                <w:szCs w:val="24"/>
                <w:u w:val="double"/>
                <w:lang w:eastAsia="es-CR"/>
              </w:rPr>
            </w:pPr>
            <w:r w:rsidRPr="00F30705">
              <w:rPr>
                <w:b/>
                <w:bCs/>
                <w:sz w:val="24"/>
                <w:szCs w:val="24"/>
                <w:u w:val="double"/>
                <w:lang w:eastAsia="es-CR"/>
              </w:rPr>
              <w:t>25</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b/>
                <w:bCs/>
                <w:sz w:val="24"/>
                <w:szCs w:val="24"/>
                <w:u w:val="double"/>
                <w:lang w:eastAsia="es-CR"/>
              </w:rPr>
            </w:pPr>
            <w:r w:rsidRPr="00F30705">
              <w:rPr>
                <w:b/>
                <w:bCs/>
                <w:sz w:val="24"/>
                <w:szCs w:val="24"/>
                <w:u w:val="double"/>
                <w:lang w:eastAsia="es-CR"/>
              </w:rPr>
              <w:t>25</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both"/>
              <w:rPr>
                <w:sz w:val="24"/>
                <w:szCs w:val="24"/>
                <w:lang w:eastAsia="es-CR"/>
              </w:rPr>
            </w:pPr>
            <w:r w:rsidRPr="00F30705">
              <w:rPr>
                <w:sz w:val="24"/>
                <w:szCs w:val="24"/>
                <w:lang w:eastAsia="es-CR"/>
              </w:rPr>
              <w:t>De 80% a 89,9%</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0</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1</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both"/>
              <w:rPr>
                <w:sz w:val="24"/>
                <w:szCs w:val="24"/>
                <w:lang w:eastAsia="es-CR"/>
              </w:rPr>
            </w:pPr>
            <w:r w:rsidRPr="00F30705">
              <w:rPr>
                <w:sz w:val="24"/>
                <w:szCs w:val="24"/>
                <w:lang w:eastAsia="es-CR"/>
              </w:rPr>
              <w:t>De 70% a 79,9%</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7</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2</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both"/>
              <w:rPr>
                <w:sz w:val="24"/>
                <w:szCs w:val="24"/>
                <w:lang w:eastAsia="es-CR"/>
              </w:rPr>
            </w:pPr>
            <w:r w:rsidRPr="00F30705">
              <w:rPr>
                <w:sz w:val="24"/>
                <w:szCs w:val="24"/>
                <w:lang w:eastAsia="es-CR"/>
              </w:rPr>
              <w:t>De 60% a 69,9%</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7</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16</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both"/>
              <w:rPr>
                <w:sz w:val="24"/>
                <w:szCs w:val="24"/>
                <w:lang w:eastAsia="es-CR"/>
              </w:rPr>
            </w:pPr>
            <w:r w:rsidRPr="00F30705">
              <w:rPr>
                <w:sz w:val="24"/>
                <w:szCs w:val="24"/>
                <w:lang w:eastAsia="es-CR"/>
              </w:rPr>
              <w:t>De 50% a 59,9%</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9</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5</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both"/>
              <w:rPr>
                <w:sz w:val="24"/>
                <w:szCs w:val="24"/>
                <w:lang w:eastAsia="es-CR"/>
              </w:rPr>
            </w:pPr>
            <w:r w:rsidRPr="00F30705">
              <w:rPr>
                <w:sz w:val="24"/>
                <w:szCs w:val="24"/>
                <w:lang w:eastAsia="es-CR"/>
              </w:rPr>
              <w:t>Menos de 50%</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2</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1</w:t>
            </w:r>
          </w:p>
        </w:tc>
      </w:tr>
      <w:tr w:rsidR="00972BE9" w:rsidRPr="00F30705" w:rsidTr="00972BE9">
        <w:trPr>
          <w:trHeight w:val="435"/>
          <w:jc w:val="center"/>
        </w:trPr>
        <w:tc>
          <w:tcPr>
            <w:tcW w:w="6660" w:type="dxa"/>
            <w:gridSpan w:val="3"/>
            <w:tcBorders>
              <w:top w:val="nil"/>
              <w:left w:val="nil"/>
              <w:bottom w:val="nil"/>
              <w:right w:val="nil"/>
            </w:tcBorders>
            <w:shd w:val="clear" w:color="000000" w:fill="FFC000"/>
            <w:vAlign w:val="center"/>
            <w:hideMark/>
          </w:tcPr>
          <w:p w:rsidR="00972BE9" w:rsidRPr="00F30705" w:rsidRDefault="00972BE9" w:rsidP="00972BE9">
            <w:pPr>
              <w:jc w:val="center"/>
              <w:rPr>
                <w:b/>
                <w:bCs/>
                <w:sz w:val="24"/>
                <w:szCs w:val="24"/>
                <w:lang w:eastAsia="es-CR"/>
              </w:rPr>
            </w:pPr>
            <w:r w:rsidRPr="00F30705">
              <w:rPr>
                <w:b/>
                <w:bCs/>
                <w:sz w:val="24"/>
                <w:szCs w:val="24"/>
                <w:lang w:eastAsia="es-CR"/>
              </w:rPr>
              <w:t>Tribunales de flagrancia</w:t>
            </w:r>
          </w:p>
        </w:tc>
      </w:tr>
      <w:tr w:rsidR="00972BE9" w:rsidRPr="00F30705" w:rsidTr="00972BE9">
        <w:trPr>
          <w:trHeight w:val="480"/>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center"/>
              <w:rPr>
                <w:b/>
                <w:bCs/>
                <w:sz w:val="24"/>
                <w:szCs w:val="24"/>
                <w:u w:val="double"/>
                <w:lang w:eastAsia="es-CR"/>
              </w:rPr>
            </w:pPr>
            <w:r w:rsidRPr="00F30705">
              <w:rPr>
                <w:b/>
                <w:bCs/>
                <w:sz w:val="24"/>
                <w:szCs w:val="24"/>
                <w:u w:val="double"/>
                <w:lang w:eastAsia="es-CR"/>
              </w:rPr>
              <w:t>TOTAL</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b/>
                <w:bCs/>
                <w:sz w:val="24"/>
                <w:szCs w:val="24"/>
                <w:u w:val="double"/>
                <w:lang w:eastAsia="es-CR"/>
              </w:rPr>
            </w:pPr>
            <w:r w:rsidRPr="00F30705">
              <w:rPr>
                <w:b/>
                <w:bCs/>
                <w:sz w:val="24"/>
                <w:szCs w:val="24"/>
                <w:u w:val="double"/>
                <w:lang w:eastAsia="es-CR"/>
              </w:rPr>
              <w:t>14</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b/>
                <w:bCs/>
                <w:sz w:val="24"/>
                <w:szCs w:val="24"/>
                <w:u w:val="double"/>
                <w:lang w:eastAsia="es-CR"/>
              </w:rPr>
            </w:pPr>
            <w:r w:rsidRPr="00F30705">
              <w:rPr>
                <w:b/>
                <w:bCs/>
                <w:sz w:val="24"/>
                <w:szCs w:val="24"/>
                <w:u w:val="double"/>
                <w:lang w:eastAsia="es-CR"/>
              </w:rPr>
              <w:t>14</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both"/>
              <w:rPr>
                <w:sz w:val="24"/>
                <w:szCs w:val="24"/>
                <w:lang w:eastAsia="es-CR"/>
              </w:rPr>
            </w:pPr>
            <w:r w:rsidRPr="00F30705">
              <w:rPr>
                <w:sz w:val="24"/>
                <w:szCs w:val="24"/>
                <w:lang w:eastAsia="es-CR"/>
              </w:rPr>
              <w:t>90% o más</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3</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5</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both"/>
              <w:rPr>
                <w:sz w:val="24"/>
                <w:szCs w:val="24"/>
                <w:lang w:eastAsia="es-CR"/>
              </w:rPr>
            </w:pPr>
            <w:r w:rsidRPr="00F30705">
              <w:rPr>
                <w:sz w:val="24"/>
                <w:szCs w:val="24"/>
                <w:lang w:eastAsia="es-CR"/>
              </w:rPr>
              <w:lastRenderedPageBreak/>
              <w:t>De 80% a 89,9%</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7</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7</w:t>
            </w:r>
          </w:p>
        </w:tc>
      </w:tr>
      <w:tr w:rsidR="00972BE9" w:rsidRPr="00F30705" w:rsidTr="00972BE9">
        <w:trPr>
          <w:trHeight w:val="315"/>
          <w:jc w:val="center"/>
        </w:trPr>
        <w:tc>
          <w:tcPr>
            <w:tcW w:w="3220" w:type="dxa"/>
            <w:tcBorders>
              <w:top w:val="nil"/>
              <w:left w:val="nil"/>
              <w:bottom w:val="nil"/>
              <w:right w:val="nil"/>
            </w:tcBorders>
            <w:shd w:val="clear" w:color="auto" w:fill="auto"/>
            <w:vAlign w:val="center"/>
            <w:hideMark/>
          </w:tcPr>
          <w:p w:rsidR="00972BE9" w:rsidRPr="00F30705" w:rsidRDefault="00972BE9" w:rsidP="00972BE9">
            <w:pPr>
              <w:jc w:val="both"/>
              <w:rPr>
                <w:sz w:val="24"/>
                <w:szCs w:val="24"/>
                <w:lang w:eastAsia="es-CR"/>
              </w:rPr>
            </w:pPr>
            <w:r w:rsidRPr="00F30705">
              <w:rPr>
                <w:sz w:val="24"/>
                <w:szCs w:val="24"/>
                <w:lang w:eastAsia="es-CR"/>
              </w:rPr>
              <w:t>De 70% a 79,9%</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4</w:t>
            </w:r>
          </w:p>
        </w:tc>
        <w:tc>
          <w:tcPr>
            <w:tcW w:w="1720" w:type="dxa"/>
            <w:tcBorders>
              <w:top w:val="nil"/>
              <w:left w:val="nil"/>
              <w:bottom w:val="nil"/>
              <w:right w:val="nil"/>
            </w:tcBorders>
            <w:shd w:val="clear" w:color="auto" w:fill="auto"/>
            <w:vAlign w:val="center"/>
            <w:hideMark/>
          </w:tcPr>
          <w:p w:rsidR="00972BE9" w:rsidRPr="00F30705" w:rsidRDefault="00972BE9" w:rsidP="009B0970">
            <w:pPr>
              <w:ind w:right="573"/>
              <w:jc w:val="right"/>
              <w:rPr>
                <w:sz w:val="24"/>
                <w:szCs w:val="24"/>
                <w:lang w:eastAsia="es-CR"/>
              </w:rPr>
            </w:pPr>
            <w:r w:rsidRPr="00F30705">
              <w:rPr>
                <w:sz w:val="24"/>
                <w:szCs w:val="24"/>
                <w:lang w:eastAsia="es-CR"/>
              </w:rPr>
              <w:t>2</w:t>
            </w:r>
          </w:p>
        </w:tc>
      </w:tr>
    </w:tbl>
    <w:p w:rsidR="00972BE9" w:rsidRPr="00F30705" w:rsidRDefault="00972BE9" w:rsidP="00A61A32">
      <w:pPr>
        <w:spacing w:line="360" w:lineRule="auto"/>
        <w:jc w:val="both"/>
        <w:rPr>
          <w:sz w:val="28"/>
          <w:szCs w:val="28"/>
        </w:rPr>
      </w:pPr>
    </w:p>
    <w:p w:rsidR="00A61A32" w:rsidRPr="00F30705" w:rsidRDefault="00A61A32" w:rsidP="00A61A32">
      <w:pPr>
        <w:spacing w:line="360" w:lineRule="auto"/>
        <w:jc w:val="both"/>
        <w:rPr>
          <w:sz w:val="28"/>
          <w:szCs w:val="28"/>
        </w:rPr>
      </w:pPr>
    </w:p>
    <w:p w:rsidR="00A61A32" w:rsidRPr="00F30705" w:rsidRDefault="00B51898" w:rsidP="00B51898">
      <w:pPr>
        <w:spacing w:line="360" w:lineRule="auto"/>
        <w:jc w:val="both"/>
        <w:rPr>
          <w:sz w:val="28"/>
          <w:szCs w:val="28"/>
        </w:rPr>
      </w:pPr>
      <w:r w:rsidRPr="00F30705">
        <w:rPr>
          <w:b/>
          <w:bCs/>
          <w:sz w:val="28"/>
          <w:szCs w:val="28"/>
        </w:rPr>
        <w:t xml:space="preserve">IV. </w:t>
      </w:r>
      <w:r w:rsidR="00A61A32" w:rsidRPr="00F30705">
        <w:rPr>
          <w:b/>
          <w:bCs/>
          <w:sz w:val="28"/>
          <w:szCs w:val="28"/>
        </w:rPr>
        <w:t>Personas Absueltas</w:t>
      </w:r>
      <w:r w:rsidR="00A61A32" w:rsidRPr="00F30705">
        <w:rPr>
          <w:sz w:val="28"/>
          <w:szCs w:val="28"/>
        </w:rPr>
        <w:t xml:space="preserve"> </w:t>
      </w:r>
    </w:p>
    <w:p w:rsidR="00A61A32" w:rsidRPr="00F30705" w:rsidRDefault="00A61A32" w:rsidP="00A61A32">
      <w:pPr>
        <w:spacing w:line="360" w:lineRule="auto"/>
        <w:jc w:val="both"/>
        <w:rPr>
          <w:sz w:val="28"/>
          <w:szCs w:val="28"/>
        </w:rPr>
      </w:pPr>
    </w:p>
    <w:p w:rsidR="00A61A32" w:rsidRPr="00F30705" w:rsidRDefault="00B51898" w:rsidP="00A61A32">
      <w:pPr>
        <w:spacing w:line="360" w:lineRule="auto"/>
        <w:jc w:val="both"/>
        <w:rPr>
          <w:b/>
          <w:bCs/>
          <w:sz w:val="28"/>
          <w:szCs w:val="28"/>
        </w:rPr>
      </w:pPr>
      <w:r w:rsidRPr="00F30705">
        <w:rPr>
          <w:b/>
          <w:bCs/>
          <w:sz w:val="28"/>
          <w:szCs w:val="28"/>
        </w:rPr>
        <w:t>4</w:t>
      </w:r>
      <w:r w:rsidR="00A61A32" w:rsidRPr="00F30705">
        <w:rPr>
          <w:b/>
          <w:bCs/>
          <w:sz w:val="28"/>
          <w:szCs w:val="28"/>
        </w:rPr>
        <w:t>.1 Tasas de absolutoria</w:t>
      </w:r>
    </w:p>
    <w:p w:rsidR="00A61A32" w:rsidRPr="00F30705" w:rsidRDefault="00A61A32" w:rsidP="00A61A32">
      <w:pPr>
        <w:spacing w:line="360" w:lineRule="auto"/>
        <w:jc w:val="both"/>
      </w:pPr>
    </w:p>
    <w:p w:rsidR="00A61A32" w:rsidRPr="00F30705" w:rsidRDefault="00A61A32" w:rsidP="00A61A32">
      <w:pPr>
        <w:spacing w:line="360" w:lineRule="auto"/>
        <w:jc w:val="both"/>
        <w:rPr>
          <w:sz w:val="28"/>
          <w:szCs w:val="28"/>
        </w:rPr>
      </w:pPr>
      <w:r w:rsidRPr="00F30705">
        <w:rPr>
          <w:sz w:val="28"/>
          <w:szCs w:val="28"/>
        </w:rPr>
        <w:t xml:space="preserve">La “Tasa Bruta de absolutoria” es un indicador estadístico con el cual se relaciona el volumen de sentencias absolutorias con la población. Es útil para realizar comparaciones internacionales y su cálculo en el tiempo permite observar la evolución o desarrollo de este tipo de sentencia. </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Las tasas específicas de absolutoria se obtienen por sexo de las personas sentenciadas debido a que existen diferencias de magnitud importantes. En este apartado se muestra la “Tasa de absolutoria masculina” y la “Tasa de absolutoria femenina”; se contrastan las cifras de absueltos con la población masculina la obtener la primera mencionada y se relaciona el volumen de mujeres absueltas entre la población femenina.</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pPr>
      <w:r w:rsidRPr="00F30705">
        <w:rPr>
          <w:sz w:val="28"/>
          <w:szCs w:val="28"/>
        </w:rPr>
        <w:t xml:space="preserve">A continuación se presentan los resultados de las tasas indicadas que están amplificadas por 100 mil habitantes. </w:t>
      </w:r>
      <w:r w:rsidR="00532173" w:rsidRPr="00F30705">
        <w:rPr>
          <w:sz w:val="28"/>
          <w:szCs w:val="28"/>
        </w:rPr>
        <w:t xml:space="preserve">En el 2015 </w:t>
      </w:r>
      <w:r w:rsidRPr="00F30705">
        <w:rPr>
          <w:sz w:val="28"/>
          <w:szCs w:val="28"/>
        </w:rPr>
        <w:t xml:space="preserve">la Tasa Bruta de Absolutoria </w:t>
      </w:r>
      <w:r w:rsidR="00610BC5" w:rsidRPr="00F30705">
        <w:rPr>
          <w:sz w:val="28"/>
          <w:szCs w:val="28"/>
        </w:rPr>
        <w:t>(</w:t>
      </w:r>
      <w:r w:rsidR="00610BC5" w:rsidRPr="00F30705">
        <w:rPr>
          <w:b/>
          <w:sz w:val="28"/>
          <w:szCs w:val="28"/>
        </w:rPr>
        <w:t>85</w:t>
      </w:r>
      <w:r w:rsidR="00610BC5" w:rsidRPr="00F30705">
        <w:rPr>
          <w:sz w:val="28"/>
          <w:szCs w:val="28"/>
        </w:rPr>
        <w:t xml:space="preserve"> personas absueltas por cada 100 mil habitantes) s</w:t>
      </w:r>
      <w:r w:rsidRPr="00F30705">
        <w:rPr>
          <w:sz w:val="28"/>
          <w:szCs w:val="28"/>
        </w:rPr>
        <w:t xml:space="preserve">e separa de </w:t>
      </w:r>
      <w:r w:rsidR="00532173" w:rsidRPr="00F30705">
        <w:rPr>
          <w:sz w:val="28"/>
          <w:szCs w:val="28"/>
        </w:rPr>
        <w:t>la relativa estabilidad del periodo 2013-2014 para regresar a los niveles del 2011 y años anteriores.</w:t>
      </w:r>
      <w:r w:rsidR="00610BC5" w:rsidRPr="00F30705">
        <w:rPr>
          <w:sz w:val="28"/>
          <w:szCs w:val="28"/>
        </w:rPr>
        <w:t xml:space="preserve"> Tal comportamiento, también se reproduce en las tasas de absolutoria calculadas para cada sexo guardando las diferencias de magnitud. </w:t>
      </w:r>
    </w:p>
    <w:tbl>
      <w:tblPr>
        <w:tblW w:w="7760" w:type="dxa"/>
        <w:jc w:val="center"/>
        <w:tblCellMar>
          <w:left w:w="70" w:type="dxa"/>
          <w:right w:w="70" w:type="dxa"/>
        </w:tblCellMar>
        <w:tblLook w:val="04A0" w:firstRow="1" w:lastRow="0" w:firstColumn="1" w:lastColumn="0" w:noHBand="0" w:noVBand="1"/>
      </w:tblPr>
      <w:tblGrid>
        <w:gridCol w:w="880"/>
        <w:gridCol w:w="2040"/>
        <w:gridCol w:w="2420"/>
        <w:gridCol w:w="2420"/>
      </w:tblGrid>
      <w:tr w:rsidR="00F12D7E" w:rsidRPr="00F30705" w:rsidTr="00F12D7E">
        <w:trPr>
          <w:trHeight w:val="375"/>
          <w:jc w:val="center"/>
        </w:trPr>
        <w:tc>
          <w:tcPr>
            <w:tcW w:w="7760" w:type="dxa"/>
            <w:gridSpan w:val="4"/>
            <w:tcBorders>
              <w:top w:val="single" w:sz="4" w:space="0" w:color="auto"/>
              <w:left w:val="single" w:sz="4" w:space="0" w:color="auto"/>
              <w:bottom w:val="single" w:sz="4" w:space="0" w:color="auto"/>
              <w:right w:val="single" w:sz="4" w:space="0" w:color="000000"/>
            </w:tcBorders>
            <w:shd w:val="clear" w:color="000000" w:fill="FCD5B4"/>
            <w:vAlign w:val="center"/>
            <w:hideMark/>
          </w:tcPr>
          <w:p w:rsidR="00F12D7E" w:rsidRPr="00F30705" w:rsidRDefault="00F12D7E" w:rsidP="00F12D7E">
            <w:pPr>
              <w:jc w:val="center"/>
              <w:rPr>
                <w:b/>
                <w:bCs/>
                <w:sz w:val="28"/>
                <w:szCs w:val="28"/>
                <w:u w:val="single"/>
                <w:lang w:eastAsia="es-CR"/>
              </w:rPr>
            </w:pPr>
            <w:r w:rsidRPr="00F30705">
              <w:rPr>
                <w:b/>
                <w:bCs/>
                <w:sz w:val="28"/>
                <w:szCs w:val="28"/>
                <w:u w:val="single"/>
                <w:lang w:eastAsia="es-CR"/>
              </w:rPr>
              <w:lastRenderedPageBreak/>
              <w:t>Tasas de absolutoria por cada 100 mil habitantes</w:t>
            </w:r>
          </w:p>
        </w:tc>
      </w:tr>
      <w:tr w:rsidR="00F12D7E" w:rsidRPr="00F30705" w:rsidTr="00F12D7E">
        <w:trPr>
          <w:trHeight w:val="1125"/>
          <w:jc w:val="center"/>
        </w:trPr>
        <w:tc>
          <w:tcPr>
            <w:tcW w:w="880" w:type="dxa"/>
            <w:tcBorders>
              <w:top w:val="nil"/>
              <w:left w:val="nil"/>
              <w:bottom w:val="nil"/>
              <w:right w:val="nil"/>
            </w:tcBorders>
            <w:shd w:val="clear" w:color="auto" w:fill="auto"/>
            <w:vAlign w:val="center"/>
            <w:hideMark/>
          </w:tcPr>
          <w:p w:rsidR="00F12D7E" w:rsidRPr="00F30705" w:rsidRDefault="00F12D7E" w:rsidP="00F12D7E">
            <w:pPr>
              <w:jc w:val="center"/>
              <w:rPr>
                <w:b/>
                <w:bCs/>
                <w:sz w:val="28"/>
                <w:szCs w:val="28"/>
                <w:u w:val="single"/>
                <w:lang w:eastAsia="es-CR"/>
              </w:rPr>
            </w:pPr>
            <w:r w:rsidRPr="00F30705">
              <w:rPr>
                <w:b/>
                <w:bCs/>
                <w:sz w:val="28"/>
                <w:szCs w:val="28"/>
                <w:u w:val="single"/>
                <w:lang w:eastAsia="es-CR"/>
              </w:rPr>
              <w:t>Año</w:t>
            </w:r>
          </w:p>
        </w:tc>
        <w:tc>
          <w:tcPr>
            <w:tcW w:w="2040" w:type="dxa"/>
            <w:tcBorders>
              <w:top w:val="nil"/>
              <w:left w:val="nil"/>
              <w:bottom w:val="nil"/>
              <w:right w:val="nil"/>
            </w:tcBorders>
            <w:shd w:val="clear" w:color="auto" w:fill="auto"/>
            <w:vAlign w:val="center"/>
            <w:hideMark/>
          </w:tcPr>
          <w:p w:rsidR="00F12D7E" w:rsidRPr="00F30705" w:rsidRDefault="00F12D7E" w:rsidP="00F12D7E">
            <w:pPr>
              <w:jc w:val="center"/>
              <w:rPr>
                <w:b/>
                <w:bCs/>
                <w:sz w:val="28"/>
                <w:szCs w:val="28"/>
                <w:u w:val="single"/>
                <w:lang w:eastAsia="es-CR"/>
              </w:rPr>
            </w:pPr>
            <w:r w:rsidRPr="00F30705">
              <w:rPr>
                <w:b/>
                <w:bCs/>
                <w:sz w:val="28"/>
                <w:szCs w:val="28"/>
                <w:u w:val="single"/>
                <w:lang w:eastAsia="es-CR"/>
              </w:rPr>
              <w:t>Tasa bruta de</w:t>
            </w:r>
            <w:r w:rsidRPr="00F30705">
              <w:rPr>
                <w:b/>
                <w:bCs/>
                <w:sz w:val="28"/>
                <w:szCs w:val="28"/>
                <w:u w:val="single"/>
                <w:lang w:eastAsia="es-CR"/>
              </w:rPr>
              <w:br/>
              <w:t>absolutoria</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b/>
                <w:bCs/>
                <w:sz w:val="28"/>
                <w:szCs w:val="28"/>
                <w:u w:val="single"/>
                <w:lang w:eastAsia="es-CR"/>
              </w:rPr>
            </w:pPr>
            <w:r w:rsidRPr="00F30705">
              <w:rPr>
                <w:b/>
                <w:bCs/>
                <w:sz w:val="28"/>
                <w:szCs w:val="28"/>
                <w:u w:val="single"/>
                <w:lang w:eastAsia="es-CR"/>
              </w:rPr>
              <w:t>Tasa de absolutoria</w:t>
            </w:r>
            <w:r w:rsidRPr="00F30705">
              <w:rPr>
                <w:b/>
                <w:bCs/>
                <w:sz w:val="28"/>
                <w:szCs w:val="28"/>
                <w:u w:val="single"/>
                <w:lang w:eastAsia="es-CR"/>
              </w:rPr>
              <w:br/>
              <w:t>masculina</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b/>
                <w:bCs/>
                <w:sz w:val="28"/>
                <w:szCs w:val="28"/>
                <w:u w:val="single"/>
                <w:lang w:eastAsia="es-CR"/>
              </w:rPr>
            </w:pPr>
            <w:r w:rsidRPr="00F30705">
              <w:rPr>
                <w:b/>
                <w:bCs/>
                <w:sz w:val="28"/>
                <w:szCs w:val="28"/>
                <w:u w:val="single"/>
                <w:lang w:eastAsia="es-CR"/>
              </w:rPr>
              <w:t xml:space="preserve">Tasa de Abolutoria </w:t>
            </w:r>
            <w:r w:rsidRPr="00F30705">
              <w:rPr>
                <w:b/>
                <w:bCs/>
                <w:sz w:val="28"/>
                <w:szCs w:val="28"/>
                <w:u w:val="single"/>
                <w:lang w:eastAsia="es-CR"/>
              </w:rPr>
              <w:br/>
              <w:t>femenina</w:t>
            </w:r>
          </w:p>
        </w:tc>
      </w:tr>
      <w:tr w:rsidR="00F12D7E" w:rsidRPr="00F30705" w:rsidTr="00F12D7E">
        <w:trPr>
          <w:trHeight w:val="375"/>
          <w:jc w:val="center"/>
        </w:trPr>
        <w:tc>
          <w:tcPr>
            <w:tcW w:w="88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2009</w:t>
            </w:r>
          </w:p>
        </w:tc>
        <w:tc>
          <w:tcPr>
            <w:tcW w:w="204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86</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151</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20</w:t>
            </w:r>
          </w:p>
        </w:tc>
      </w:tr>
      <w:tr w:rsidR="00F12D7E" w:rsidRPr="00F30705" w:rsidTr="00F12D7E">
        <w:trPr>
          <w:trHeight w:val="375"/>
          <w:jc w:val="center"/>
        </w:trPr>
        <w:tc>
          <w:tcPr>
            <w:tcW w:w="88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2010</w:t>
            </w:r>
          </w:p>
        </w:tc>
        <w:tc>
          <w:tcPr>
            <w:tcW w:w="204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85</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148</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21</w:t>
            </w:r>
          </w:p>
        </w:tc>
      </w:tr>
      <w:tr w:rsidR="00F12D7E" w:rsidRPr="00F30705" w:rsidTr="00F12D7E">
        <w:trPr>
          <w:trHeight w:val="375"/>
          <w:jc w:val="center"/>
        </w:trPr>
        <w:tc>
          <w:tcPr>
            <w:tcW w:w="88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2011</w:t>
            </w:r>
          </w:p>
        </w:tc>
        <w:tc>
          <w:tcPr>
            <w:tcW w:w="204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85</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148</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21</w:t>
            </w:r>
          </w:p>
        </w:tc>
      </w:tr>
      <w:tr w:rsidR="00F12D7E" w:rsidRPr="00F30705" w:rsidTr="00F12D7E">
        <w:trPr>
          <w:trHeight w:val="375"/>
          <w:jc w:val="center"/>
        </w:trPr>
        <w:tc>
          <w:tcPr>
            <w:tcW w:w="88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2012</w:t>
            </w:r>
          </w:p>
        </w:tc>
        <w:tc>
          <w:tcPr>
            <w:tcW w:w="204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91</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160</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21</w:t>
            </w:r>
          </w:p>
        </w:tc>
      </w:tr>
      <w:tr w:rsidR="00F12D7E" w:rsidRPr="00F30705" w:rsidTr="00F12D7E">
        <w:trPr>
          <w:trHeight w:val="375"/>
          <w:jc w:val="center"/>
        </w:trPr>
        <w:tc>
          <w:tcPr>
            <w:tcW w:w="88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2013</w:t>
            </w:r>
          </w:p>
        </w:tc>
        <w:tc>
          <w:tcPr>
            <w:tcW w:w="204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95</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166</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24</w:t>
            </w:r>
          </w:p>
        </w:tc>
      </w:tr>
      <w:tr w:rsidR="00F12D7E" w:rsidRPr="00F30705" w:rsidTr="00F12D7E">
        <w:trPr>
          <w:trHeight w:val="375"/>
          <w:jc w:val="center"/>
        </w:trPr>
        <w:tc>
          <w:tcPr>
            <w:tcW w:w="88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2014</w:t>
            </w:r>
          </w:p>
        </w:tc>
        <w:tc>
          <w:tcPr>
            <w:tcW w:w="204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95</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167</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22</w:t>
            </w:r>
          </w:p>
        </w:tc>
      </w:tr>
      <w:tr w:rsidR="00F12D7E" w:rsidRPr="00F30705" w:rsidTr="00F12D7E">
        <w:trPr>
          <w:trHeight w:val="375"/>
          <w:jc w:val="center"/>
        </w:trPr>
        <w:tc>
          <w:tcPr>
            <w:tcW w:w="88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2015</w:t>
            </w:r>
          </w:p>
        </w:tc>
        <w:tc>
          <w:tcPr>
            <w:tcW w:w="204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85</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147</w:t>
            </w:r>
          </w:p>
        </w:tc>
        <w:tc>
          <w:tcPr>
            <w:tcW w:w="2420" w:type="dxa"/>
            <w:tcBorders>
              <w:top w:val="nil"/>
              <w:left w:val="nil"/>
              <w:bottom w:val="nil"/>
              <w:right w:val="nil"/>
            </w:tcBorders>
            <w:shd w:val="clear" w:color="auto" w:fill="auto"/>
            <w:vAlign w:val="center"/>
            <w:hideMark/>
          </w:tcPr>
          <w:p w:rsidR="00F12D7E" w:rsidRPr="00F30705" w:rsidRDefault="00F12D7E" w:rsidP="00F12D7E">
            <w:pPr>
              <w:jc w:val="center"/>
              <w:rPr>
                <w:sz w:val="28"/>
                <w:szCs w:val="28"/>
                <w:lang w:eastAsia="es-CR"/>
              </w:rPr>
            </w:pPr>
            <w:r w:rsidRPr="00F30705">
              <w:rPr>
                <w:sz w:val="28"/>
                <w:szCs w:val="28"/>
                <w:lang w:eastAsia="es-CR"/>
              </w:rPr>
              <w:t>21</w:t>
            </w:r>
          </w:p>
        </w:tc>
      </w:tr>
    </w:tbl>
    <w:p w:rsidR="00F12D7E" w:rsidRPr="00F30705" w:rsidRDefault="00F12D7E" w:rsidP="00A61A32">
      <w:pPr>
        <w:spacing w:line="360" w:lineRule="auto"/>
        <w:jc w:val="both"/>
      </w:pPr>
    </w:p>
    <w:p w:rsidR="00A61A32" w:rsidRPr="00F30705" w:rsidRDefault="00B51898" w:rsidP="00A61A32">
      <w:pPr>
        <w:spacing w:line="360" w:lineRule="auto"/>
        <w:jc w:val="both"/>
        <w:rPr>
          <w:b/>
          <w:bCs/>
          <w:sz w:val="28"/>
          <w:szCs w:val="28"/>
        </w:rPr>
      </w:pPr>
      <w:r w:rsidRPr="00F30705">
        <w:rPr>
          <w:b/>
          <w:bCs/>
          <w:sz w:val="28"/>
          <w:szCs w:val="28"/>
        </w:rPr>
        <w:t>4</w:t>
      </w:r>
      <w:r w:rsidR="00A61A32" w:rsidRPr="00F30705">
        <w:rPr>
          <w:b/>
          <w:bCs/>
          <w:sz w:val="28"/>
          <w:szCs w:val="28"/>
        </w:rPr>
        <w:t>.2 Absolutoria por grupos de edad</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En las siguientes tablas estadísticas se despliegan las distribuciones para los dos últimos años de las personas absueltas según nivel de adultez y el otro por grupo de edad cumplida.</w:t>
      </w:r>
    </w:p>
    <w:p w:rsidR="00A61A32" w:rsidRPr="00F30705" w:rsidRDefault="00A61A32" w:rsidP="00A61A32">
      <w:pPr>
        <w:spacing w:line="360" w:lineRule="auto"/>
        <w:jc w:val="both"/>
        <w:rPr>
          <w:sz w:val="28"/>
          <w:szCs w:val="28"/>
        </w:rPr>
      </w:pPr>
      <w:r w:rsidRPr="00F30705">
        <w:rPr>
          <w:sz w:val="28"/>
          <w:szCs w:val="28"/>
        </w:rPr>
        <w:t xml:space="preserve"> </w:t>
      </w:r>
    </w:p>
    <w:p w:rsidR="00A61A32" w:rsidRPr="00F30705" w:rsidRDefault="00A61A32" w:rsidP="00A61A32">
      <w:pPr>
        <w:spacing w:line="360" w:lineRule="auto"/>
        <w:jc w:val="both"/>
        <w:rPr>
          <w:sz w:val="28"/>
          <w:szCs w:val="28"/>
        </w:rPr>
      </w:pPr>
      <w:r w:rsidRPr="00F30705">
        <w:rPr>
          <w:sz w:val="28"/>
          <w:szCs w:val="28"/>
        </w:rPr>
        <w:t xml:space="preserve">La forma estadística, asumida por la absolutoria por nivel de adultez o por grupos de edad, está en función de la forma como se distribuyen las personas sentenciadas en general. Así, </w:t>
      </w:r>
      <w:r w:rsidR="00FC03A1" w:rsidRPr="00F30705">
        <w:rPr>
          <w:sz w:val="28"/>
          <w:szCs w:val="28"/>
        </w:rPr>
        <w:t xml:space="preserve">históricamente cerca de la mitad de las absolutorias se dan en personas que se encuentra en adultez temprana esto es de 18 a 34 años de edad (en el 2014 </w:t>
      </w:r>
      <w:r w:rsidRPr="00F30705">
        <w:rPr>
          <w:sz w:val="28"/>
          <w:szCs w:val="28"/>
        </w:rPr>
        <w:t xml:space="preserve">el </w:t>
      </w:r>
      <w:r w:rsidRPr="00F30705">
        <w:rPr>
          <w:b/>
          <w:bCs/>
          <w:sz w:val="28"/>
          <w:szCs w:val="28"/>
        </w:rPr>
        <w:t>51%</w:t>
      </w:r>
      <w:r w:rsidR="00FC03A1" w:rsidRPr="00F30705">
        <w:rPr>
          <w:b/>
          <w:bCs/>
          <w:sz w:val="28"/>
          <w:szCs w:val="28"/>
        </w:rPr>
        <w:t xml:space="preserve"> </w:t>
      </w:r>
      <w:r w:rsidR="00FC03A1" w:rsidRPr="00F30705">
        <w:rPr>
          <w:bCs/>
          <w:sz w:val="28"/>
          <w:szCs w:val="28"/>
        </w:rPr>
        <w:t>y en el 2015 el</w:t>
      </w:r>
      <w:r w:rsidR="00FC03A1" w:rsidRPr="00F30705">
        <w:rPr>
          <w:b/>
          <w:bCs/>
          <w:sz w:val="28"/>
          <w:szCs w:val="28"/>
        </w:rPr>
        <w:t xml:space="preserve"> 49%</w:t>
      </w:r>
      <w:r w:rsidRPr="00F30705">
        <w:rPr>
          <w:bCs/>
          <w:sz w:val="28"/>
          <w:szCs w:val="28"/>
        </w:rPr>
        <w:t>)</w:t>
      </w:r>
      <w:r w:rsidRPr="00F30705">
        <w:rPr>
          <w:sz w:val="28"/>
          <w:szCs w:val="28"/>
        </w:rPr>
        <w:t xml:space="preserve">, mientras que </w:t>
      </w:r>
      <w:r w:rsidR="00FC03A1" w:rsidRPr="00F30705">
        <w:rPr>
          <w:sz w:val="28"/>
          <w:szCs w:val="28"/>
        </w:rPr>
        <w:t>las</w:t>
      </w:r>
      <w:r w:rsidRPr="00F30705">
        <w:rPr>
          <w:sz w:val="28"/>
          <w:szCs w:val="28"/>
        </w:rPr>
        <w:t xml:space="preserve"> personas </w:t>
      </w:r>
      <w:r w:rsidR="00FC03A1" w:rsidRPr="00F30705">
        <w:rPr>
          <w:sz w:val="28"/>
          <w:szCs w:val="28"/>
        </w:rPr>
        <w:t xml:space="preserve">absueltas </w:t>
      </w:r>
      <w:r w:rsidRPr="00F30705">
        <w:rPr>
          <w:sz w:val="28"/>
          <w:szCs w:val="28"/>
        </w:rPr>
        <w:t xml:space="preserve">con edades cumplidas de 35 y hasta 64 años de edad </w:t>
      </w:r>
      <w:r w:rsidR="00FC03A1" w:rsidRPr="00F30705">
        <w:rPr>
          <w:sz w:val="28"/>
          <w:szCs w:val="28"/>
        </w:rPr>
        <w:t xml:space="preserve">aumentan en proporción (del </w:t>
      </w:r>
      <w:r w:rsidR="00FC03A1" w:rsidRPr="00F30705">
        <w:rPr>
          <w:b/>
          <w:sz w:val="28"/>
          <w:szCs w:val="28"/>
        </w:rPr>
        <w:t>43%</w:t>
      </w:r>
      <w:r w:rsidR="00FC03A1" w:rsidRPr="00F30705">
        <w:rPr>
          <w:sz w:val="28"/>
          <w:szCs w:val="28"/>
        </w:rPr>
        <w:t xml:space="preserve"> en el 2014 al </w:t>
      </w:r>
      <w:r w:rsidR="00FC03A1" w:rsidRPr="00F30705">
        <w:rPr>
          <w:b/>
          <w:sz w:val="28"/>
          <w:szCs w:val="28"/>
        </w:rPr>
        <w:t>47%</w:t>
      </w:r>
      <w:r w:rsidR="00FC03A1" w:rsidRPr="00F30705">
        <w:rPr>
          <w:sz w:val="28"/>
          <w:szCs w:val="28"/>
        </w:rPr>
        <w:t xml:space="preserve"> en el 2015) a la vez que disminuye el peso relativo de las personas absueltas de personas en adultez mayor, del </w:t>
      </w:r>
      <w:r w:rsidRPr="00F30705">
        <w:rPr>
          <w:sz w:val="28"/>
          <w:szCs w:val="28"/>
        </w:rPr>
        <w:t xml:space="preserve"> </w:t>
      </w:r>
      <w:r w:rsidRPr="00F30705">
        <w:rPr>
          <w:b/>
          <w:bCs/>
          <w:sz w:val="28"/>
          <w:szCs w:val="28"/>
        </w:rPr>
        <w:t>6%</w:t>
      </w:r>
      <w:r w:rsidRPr="00F30705">
        <w:rPr>
          <w:sz w:val="28"/>
          <w:szCs w:val="28"/>
        </w:rPr>
        <w:t xml:space="preserve"> </w:t>
      </w:r>
      <w:r w:rsidR="00FC03A1" w:rsidRPr="00F30705">
        <w:rPr>
          <w:sz w:val="28"/>
          <w:szCs w:val="28"/>
        </w:rPr>
        <w:t xml:space="preserve">en el 2014 al </w:t>
      </w:r>
      <w:r w:rsidR="00FC03A1" w:rsidRPr="00F30705">
        <w:rPr>
          <w:b/>
          <w:sz w:val="28"/>
          <w:szCs w:val="28"/>
        </w:rPr>
        <w:t>4%</w:t>
      </w:r>
      <w:r w:rsidR="00FC03A1" w:rsidRPr="00F30705">
        <w:rPr>
          <w:sz w:val="28"/>
          <w:szCs w:val="28"/>
        </w:rPr>
        <w:t xml:space="preserve"> de este año.</w:t>
      </w:r>
    </w:p>
    <w:p w:rsidR="00F12D7E" w:rsidRPr="00F30705" w:rsidRDefault="00F12D7E" w:rsidP="00A61A32">
      <w:pPr>
        <w:spacing w:line="360" w:lineRule="auto"/>
        <w:jc w:val="both"/>
        <w:rPr>
          <w:b/>
          <w:bCs/>
          <w:sz w:val="28"/>
          <w:szCs w:val="28"/>
          <w:lang w:eastAsia="es-CR"/>
        </w:rPr>
      </w:pPr>
    </w:p>
    <w:tbl>
      <w:tblPr>
        <w:tblW w:w="5264" w:type="dxa"/>
        <w:jc w:val="center"/>
        <w:tblCellMar>
          <w:left w:w="70" w:type="dxa"/>
          <w:right w:w="70" w:type="dxa"/>
        </w:tblCellMar>
        <w:tblLook w:val="04A0" w:firstRow="1" w:lastRow="0" w:firstColumn="1" w:lastColumn="0" w:noHBand="0" w:noVBand="1"/>
      </w:tblPr>
      <w:tblGrid>
        <w:gridCol w:w="1984"/>
        <w:gridCol w:w="820"/>
        <w:gridCol w:w="820"/>
        <w:gridCol w:w="820"/>
        <w:gridCol w:w="820"/>
      </w:tblGrid>
      <w:tr w:rsidR="00254DA4" w:rsidRPr="00F30705" w:rsidTr="00254DA4">
        <w:trPr>
          <w:trHeight w:val="690"/>
          <w:jc w:val="center"/>
        </w:trPr>
        <w:tc>
          <w:tcPr>
            <w:tcW w:w="5264" w:type="dxa"/>
            <w:gridSpan w:val="5"/>
            <w:tcBorders>
              <w:top w:val="single" w:sz="4" w:space="0" w:color="auto"/>
              <w:left w:val="single" w:sz="4" w:space="0" w:color="auto"/>
              <w:bottom w:val="single" w:sz="4" w:space="0" w:color="auto"/>
              <w:right w:val="single" w:sz="4" w:space="0" w:color="000000"/>
            </w:tcBorders>
            <w:shd w:val="clear" w:color="000000" w:fill="FFC000"/>
            <w:vAlign w:val="center"/>
            <w:hideMark/>
          </w:tcPr>
          <w:p w:rsidR="00254DA4" w:rsidRPr="00F30705" w:rsidRDefault="00254DA4" w:rsidP="00254DA4">
            <w:pPr>
              <w:jc w:val="center"/>
              <w:rPr>
                <w:sz w:val="24"/>
                <w:szCs w:val="24"/>
                <w:lang w:eastAsia="es-CR"/>
              </w:rPr>
            </w:pPr>
            <w:r w:rsidRPr="00F30705">
              <w:rPr>
                <w:b/>
                <w:bCs/>
                <w:sz w:val="28"/>
                <w:szCs w:val="28"/>
                <w:lang w:eastAsia="es-CR"/>
              </w:rPr>
              <w:t>Personas absueltas por nivel de adultez</w:t>
            </w:r>
            <w:r w:rsidRPr="00F30705">
              <w:rPr>
                <w:sz w:val="24"/>
                <w:szCs w:val="24"/>
                <w:lang w:eastAsia="es-CR"/>
              </w:rPr>
              <w:br/>
              <w:t>(cifras absolutas y relativas)</w:t>
            </w:r>
          </w:p>
        </w:tc>
      </w:tr>
      <w:tr w:rsidR="00254DA4" w:rsidRPr="00F30705" w:rsidTr="00254DA4">
        <w:trPr>
          <w:trHeight w:val="375"/>
          <w:jc w:val="center"/>
        </w:trPr>
        <w:tc>
          <w:tcPr>
            <w:tcW w:w="1984" w:type="dxa"/>
            <w:vMerge w:val="restart"/>
            <w:tcBorders>
              <w:top w:val="nil"/>
              <w:left w:val="nil"/>
              <w:bottom w:val="nil"/>
              <w:right w:val="nil"/>
            </w:tcBorders>
            <w:shd w:val="clear" w:color="auto" w:fill="auto"/>
            <w:vAlign w:val="center"/>
            <w:hideMark/>
          </w:tcPr>
          <w:p w:rsidR="00254DA4" w:rsidRPr="00F30705" w:rsidRDefault="00254DA4" w:rsidP="00254DA4">
            <w:pPr>
              <w:jc w:val="center"/>
              <w:rPr>
                <w:b/>
                <w:bCs/>
                <w:sz w:val="24"/>
                <w:szCs w:val="24"/>
                <w:u w:val="single"/>
                <w:lang w:eastAsia="es-CR"/>
              </w:rPr>
            </w:pPr>
            <w:r w:rsidRPr="00F30705">
              <w:rPr>
                <w:b/>
                <w:bCs/>
                <w:sz w:val="24"/>
                <w:szCs w:val="24"/>
                <w:u w:val="single"/>
                <w:lang w:eastAsia="es-CR"/>
              </w:rPr>
              <w:t>Nivel de adultez</w:t>
            </w:r>
          </w:p>
        </w:tc>
        <w:tc>
          <w:tcPr>
            <w:tcW w:w="1640" w:type="dxa"/>
            <w:gridSpan w:val="2"/>
            <w:tcBorders>
              <w:top w:val="nil"/>
              <w:left w:val="nil"/>
              <w:bottom w:val="nil"/>
              <w:right w:val="double" w:sz="6" w:space="0" w:color="000000"/>
            </w:tcBorders>
            <w:shd w:val="clear" w:color="auto" w:fill="auto"/>
            <w:vAlign w:val="center"/>
            <w:hideMark/>
          </w:tcPr>
          <w:p w:rsidR="00254DA4" w:rsidRPr="00F30705" w:rsidRDefault="00254DA4" w:rsidP="00254DA4">
            <w:pPr>
              <w:jc w:val="center"/>
              <w:rPr>
                <w:b/>
                <w:bCs/>
                <w:sz w:val="24"/>
                <w:szCs w:val="24"/>
                <w:u w:val="single"/>
                <w:lang w:eastAsia="es-CR"/>
              </w:rPr>
            </w:pPr>
            <w:r w:rsidRPr="00F30705">
              <w:rPr>
                <w:b/>
                <w:bCs/>
                <w:sz w:val="24"/>
                <w:szCs w:val="24"/>
                <w:u w:val="single"/>
                <w:lang w:eastAsia="es-CR"/>
              </w:rPr>
              <w:t>Absolutos</w:t>
            </w:r>
          </w:p>
        </w:tc>
        <w:tc>
          <w:tcPr>
            <w:tcW w:w="1640" w:type="dxa"/>
            <w:gridSpan w:val="2"/>
            <w:tcBorders>
              <w:top w:val="nil"/>
              <w:left w:val="nil"/>
              <w:bottom w:val="nil"/>
              <w:right w:val="nil"/>
            </w:tcBorders>
            <w:shd w:val="clear" w:color="auto" w:fill="auto"/>
            <w:vAlign w:val="center"/>
            <w:hideMark/>
          </w:tcPr>
          <w:p w:rsidR="00254DA4" w:rsidRPr="00F30705" w:rsidRDefault="00254DA4" w:rsidP="00254DA4">
            <w:pPr>
              <w:jc w:val="center"/>
              <w:rPr>
                <w:b/>
                <w:bCs/>
                <w:sz w:val="24"/>
                <w:szCs w:val="24"/>
                <w:u w:val="single"/>
                <w:lang w:eastAsia="es-CR"/>
              </w:rPr>
            </w:pPr>
            <w:r w:rsidRPr="00F30705">
              <w:rPr>
                <w:b/>
                <w:bCs/>
                <w:sz w:val="24"/>
                <w:szCs w:val="24"/>
                <w:u w:val="single"/>
                <w:lang w:eastAsia="es-CR"/>
              </w:rPr>
              <w:t>Porcentajes</w:t>
            </w:r>
          </w:p>
        </w:tc>
      </w:tr>
      <w:tr w:rsidR="00254DA4" w:rsidRPr="00F30705" w:rsidTr="00254DA4">
        <w:trPr>
          <w:trHeight w:val="315"/>
          <w:jc w:val="center"/>
        </w:trPr>
        <w:tc>
          <w:tcPr>
            <w:tcW w:w="1984" w:type="dxa"/>
            <w:vMerge/>
            <w:tcBorders>
              <w:top w:val="nil"/>
              <w:left w:val="nil"/>
              <w:bottom w:val="nil"/>
              <w:right w:val="nil"/>
            </w:tcBorders>
            <w:vAlign w:val="center"/>
            <w:hideMark/>
          </w:tcPr>
          <w:p w:rsidR="00254DA4" w:rsidRPr="00F30705" w:rsidRDefault="00254DA4" w:rsidP="00254DA4">
            <w:pPr>
              <w:rPr>
                <w:b/>
                <w:bCs/>
                <w:sz w:val="24"/>
                <w:szCs w:val="24"/>
                <w:u w:val="single"/>
                <w:lang w:eastAsia="es-CR"/>
              </w:rPr>
            </w:pP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b/>
                <w:bCs/>
                <w:sz w:val="24"/>
                <w:szCs w:val="24"/>
                <w:u w:val="single"/>
                <w:lang w:eastAsia="es-CR"/>
              </w:rPr>
            </w:pPr>
            <w:r w:rsidRPr="00F30705">
              <w:rPr>
                <w:b/>
                <w:bCs/>
                <w:sz w:val="24"/>
                <w:szCs w:val="24"/>
                <w:u w:val="single"/>
                <w:lang w:eastAsia="es-CR"/>
              </w:rPr>
              <w:t>2014</w:t>
            </w:r>
          </w:p>
        </w:tc>
        <w:tc>
          <w:tcPr>
            <w:tcW w:w="820" w:type="dxa"/>
            <w:tcBorders>
              <w:top w:val="nil"/>
              <w:left w:val="nil"/>
              <w:bottom w:val="nil"/>
              <w:right w:val="double" w:sz="6" w:space="0" w:color="auto"/>
            </w:tcBorders>
            <w:shd w:val="clear" w:color="auto" w:fill="auto"/>
            <w:vAlign w:val="center"/>
            <w:hideMark/>
          </w:tcPr>
          <w:p w:rsidR="00254DA4" w:rsidRPr="00F30705" w:rsidRDefault="00254DA4" w:rsidP="00FC03A1">
            <w:pPr>
              <w:jc w:val="right"/>
              <w:rPr>
                <w:b/>
                <w:bCs/>
                <w:sz w:val="24"/>
                <w:szCs w:val="24"/>
                <w:u w:val="single"/>
                <w:lang w:eastAsia="es-CR"/>
              </w:rPr>
            </w:pPr>
            <w:r w:rsidRPr="00F30705">
              <w:rPr>
                <w:b/>
                <w:bCs/>
                <w:sz w:val="24"/>
                <w:szCs w:val="24"/>
                <w:u w:val="single"/>
                <w:lang w:eastAsia="es-CR"/>
              </w:rPr>
              <w:t>201</w:t>
            </w:r>
            <w:r w:rsidR="00FC03A1" w:rsidRPr="00F30705">
              <w:rPr>
                <w:b/>
                <w:bCs/>
                <w:sz w:val="24"/>
                <w:szCs w:val="24"/>
                <w:u w:val="single"/>
                <w:lang w:eastAsia="es-CR"/>
              </w:rPr>
              <w:t>5</w:t>
            </w:r>
          </w:p>
        </w:tc>
        <w:tc>
          <w:tcPr>
            <w:tcW w:w="820" w:type="dxa"/>
            <w:tcBorders>
              <w:top w:val="nil"/>
              <w:left w:val="nil"/>
              <w:bottom w:val="nil"/>
              <w:right w:val="nil"/>
            </w:tcBorders>
            <w:shd w:val="clear" w:color="auto" w:fill="auto"/>
            <w:vAlign w:val="center"/>
            <w:hideMark/>
          </w:tcPr>
          <w:p w:rsidR="00254DA4" w:rsidRPr="00F30705" w:rsidRDefault="00254DA4" w:rsidP="00FC03A1">
            <w:pPr>
              <w:jc w:val="right"/>
              <w:rPr>
                <w:b/>
                <w:bCs/>
                <w:sz w:val="24"/>
                <w:szCs w:val="24"/>
                <w:u w:val="single"/>
                <w:lang w:eastAsia="es-CR"/>
              </w:rPr>
            </w:pPr>
            <w:r w:rsidRPr="00F30705">
              <w:rPr>
                <w:b/>
                <w:bCs/>
                <w:sz w:val="24"/>
                <w:szCs w:val="24"/>
                <w:u w:val="single"/>
                <w:lang w:eastAsia="es-CR"/>
              </w:rPr>
              <w:t>201</w:t>
            </w:r>
            <w:r w:rsidR="00FC03A1" w:rsidRPr="00F30705">
              <w:rPr>
                <w:b/>
                <w:bCs/>
                <w:sz w:val="24"/>
                <w:szCs w:val="24"/>
                <w:u w:val="single"/>
                <w:lang w:eastAsia="es-CR"/>
              </w:rPr>
              <w:t>4</w:t>
            </w:r>
          </w:p>
        </w:tc>
        <w:tc>
          <w:tcPr>
            <w:tcW w:w="820" w:type="dxa"/>
            <w:tcBorders>
              <w:top w:val="nil"/>
              <w:left w:val="nil"/>
              <w:bottom w:val="nil"/>
              <w:right w:val="nil"/>
            </w:tcBorders>
            <w:shd w:val="clear" w:color="auto" w:fill="auto"/>
            <w:vAlign w:val="center"/>
            <w:hideMark/>
          </w:tcPr>
          <w:p w:rsidR="00254DA4" w:rsidRPr="00F30705" w:rsidRDefault="00254DA4" w:rsidP="00FC03A1">
            <w:pPr>
              <w:jc w:val="right"/>
              <w:rPr>
                <w:b/>
                <w:bCs/>
                <w:sz w:val="24"/>
                <w:szCs w:val="24"/>
                <w:u w:val="single"/>
                <w:lang w:eastAsia="es-CR"/>
              </w:rPr>
            </w:pPr>
            <w:r w:rsidRPr="00F30705">
              <w:rPr>
                <w:b/>
                <w:bCs/>
                <w:sz w:val="24"/>
                <w:szCs w:val="24"/>
                <w:u w:val="single"/>
                <w:lang w:eastAsia="es-CR"/>
              </w:rPr>
              <w:t>201</w:t>
            </w:r>
            <w:r w:rsidR="00FC03A1" w:rsidRPr="00F30705">
              <w:rPr>
                <w:b/>
                <w:bCs/>
                <w:sz w:val="24"/>
                <w:szCs w:val="24"/>
                <w:u w:val="single"/>
                <w:lang w:eastAsia="es-CR"/>
              </w:rPr>
              <w:t>5</w:t>
            </w:r>
          </w:p>
        </w:tc>
      </w:tr>
      <w:tr w:rsidR="00254DA4" w:rsidRPr="00F30705" w:rsidTr="00254DA4">
        <w:trPr>
          <w:trHeight w:val="735"/>
          <w:jc w:val="center"/>
        </w:trPr>
        <w:tc>
          <w:tcPr>
            <w:tcW w:w="1984" w:type="dxa"/>
            <w:tcBorders>
              <w:top w:val="nil"/>
              <w:left w:val="nil"/>
              <w:bottom w:val="nil"/>
              <w:right w:val="nil"/>
            </w:tcBorders>
            <w:shd w:val="clear" w:color="auto" w:fill="auto"/>
            <w:vAlign w:val="center"/>
            <w:hideMark/>
          </w:tcPr>
          <w:p w:rsidR="00254DA4" w:rsidRPr="00F30705" w:rsidRDefault="00254DA4" w:rsidP="00254DA4">
            <w:pPr>
              <w:jc w:val="center"/>
              <w:rPr>
                <w:b/>
                <w:bCs/>
                <w:sz w:val="24"/>
                <w:szCs w:val="24"/>
                <w:u w:val="double"/>
                <w:lang w:eastAsia="es-CR"/>
              </w:rPr>
            </w:pPr>
            <w:r w:rsidRPr="00F30705">
              <w:rPr>
                <w:b/>
                <w:bCs/>
                <w:sz w:val="24"/>
                <w:szCs w:val="24"/>
                <w:u w:val="double"/>
                <w:lang w:eastAsia="es-CR"/>
              </w:rPr>
              <w:t>TOTAL</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b/>
                <w:bCs/>
                <w:sz w:val="24"/>
                <w:szCs w:val="24"/>
                <w:u w:val="double"/>
                <w:lang w:eastAsia="es-CR"/>
              </w:rPr>
            </w:pPr>
            <w:r w:rsidRPr="00F30705">
              <w:rPr>
                <w:b/>
                <w:bCs/>
                <w:sz w:val="24"/>
                <w:szCs w:val="24"/>
                <w:u w:val="double"/>
                <w:lang w:eastAsia="es-CR"/>
              </w:rPr>
              <w:t>4532</w:t>
            </w:r>
          </w:p>
        </w:tc>
        <w:tc>
          <w:tcPr>
            <w:tcW w:w="820" w:type="dxa"/>
            <w:tcBorders>
              <w:top w:val="nil"/>
              <w:left w:val="nil"/>
              <w:bottom w:val="nil"/>
              <w:right w:val="double" w:sz="6" w:space="0" w:color="auto"/>
            </w:tcBorders>
            <w:shd w:val="clear" w:color="auto" w:fill="auto"/>
            <w:vAlign w:val="center"/>
            <w:hideMark/>
          </w:tcPr>
          <w:p w:rsidR="00254DA4" w:rsidRPr="00F30705" w:rsidRDefault="00254DA4" w:rsidP="00254DA4">
            <w:pPr>
              <w:jc w:val="right"/>
              <w:rPr>
                <w:b/>
                <w:bCs/>
                <w:sz w:val="24"/>
                <w:szCs w:val="24"/>
                <w:u w:val="double"/>
                <w:lang w:eastAsia="es-CR"/>
              </w:rPr>
            </w:pPr>
            <w:r w:rsidRPr="00F30705">
              <w:rPr>
                <w:b/>
                <w:bCs/>
                <w:sz w:val="24"/>
                <w:szCs w:val="24"/>
                <w:u w:val="double"/>
                <w:lang w:eastAsia="es-CR"/>
              </w:rPr>
              <w:t>4095</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b/>
                <w:bCs/>
                <w:sz w:val="24"/>
                <w:szCs w:val="24"/>
                <w:u w:val="double"/>
                <w:lang w:eastAsia="es-CR"/>
              </w:rPr>
            </w:pPr>
            <w:r w:rsidRPr="00F30705">
              <w:rPr>
                <w:b/>
                <w:bCs/>
                <w:sz w:val="24"/>
                <w:szCs w:val="24"/>
                <w:u w:val="double"/>
                <w:lang w:eastAsia="es-CR"/>
              </w:rPr>
              <w:t>100%</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b/>
                <w:bCs/>
                <w:sz w:val="24"/>
                <w:szCs w:val="24"/>
                <w:u w:val="double"/>
                <w:lang w:eastAsia="es-CR"/>
              </w:rPr>
            </w:pPr>
            <w:r w:rsidRPr="00F30705">
              <w:rPr>
                <w:b/>
                <w:bCs/>
                <w:sz w:val="24"/>
                <w:szCs w:val="24"/>
                <w:u w:val="double"/>
                <w:lang w:eastAsia="es-CR"/>
              </w:rPr>
              <w:t>100%</w:t>
            </w:r>
          </w:p>
        </w:tc>
      </w:tr>
      <w:tr w:rsidR="00254DA4" w:rsidRPr="00F30705" w:rsidTr="00254DA4">
        <w:trPr>
          <w:trHeight w:val="315"/>
          <w:jc w:val="center"/>
        </w:trPr>
        <w:tc>
          <w:tcPr>
            <w:tcW w:w="1984"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Adultez temprana</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2289</w:t>
            </w:r>
          </w:p>
        </w:tc>
        <w:tc>
          <w:tcPr>
            <w:tcW w:w="820" w:type="dxa"/>
            <w:tcBorders>
              <w:top w:val="nil"/>
              <w:left w:val="nil"/>
              <w:bottom w:val="nil"/>
              <w:right w:val="double" w:sz="6" w:space="0" w:color="auto"/>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2.013</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51%</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49%</w:t>
            </w:r>
          </w:p>
        </w:tc>
      </w:tr>
      <w:tr w:rsidR="00254DA4" w:rsidRPr="00F30705" w:rsidTr="00254DA4">
        <w:trPr>
          <w:trHeight w:val="315"/>
          <w:jc w:val="center"/>
        </w:trPr>
        <w:tc>
          <w:tcPr>
            <w:tcW w:w="1984"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Adultez</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1949</w:t>
            </w:r>
          </w:p>
        </w:tc>
        <w:tc>
          <w:tcPr>
            <w:tcW w:w="820" w:type="dxa"/>
            <w:tcBorders>
              <w:top w:val="nil"/>
              <w:left w:val="nil"/>
              <w:bottom w:val="nil"/>
              <w:right w:val="double" w:sz="6" w:space="0" w:color="auto"/>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1.908</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43%</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47%</w:t>
            </w:r>
          </w:p>
        </w:tc>
      </w:tr>
      <w:tr w:rsidR="00254DA4" w:rsidRPr="00F30705" w:rsidTr="00254DA4">
        <w:trPr>
          <w:trHeight w:val="315"/>
          <w:jc w:val="center"/>
        </w:trPr>
        <w:tc>
          <w:tcPr>
            <w:tcW w:w="1984"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Adultez mayor</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289</w:t>
            </w:r>
          </w:p>
        </w:tc>
        <w:tc>
          <w:tcPr>
            <w:tcW w:w="820" w:type="dxa"/>
            <w:tcBorders>
              <w:top w:val="nil"/>
              <w:left w:val="nil"/>
              <w:bottom w:val="nil"/>
              <w:right w:val="double" w:sz="6" w:space="0" w:color="auto"/>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174</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6%</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4%</w:t>
            </w:r>
          </w:p>
        </w:tc>
      </w:tr>
      <w:tr w:rsidR="00254DA4" w:rsidRPr="00F30705" w:rsidTr="00254DA4">
        <w:trPr>
          <w:trHeight w:val="315"/>
          <w:jc w:val="center"/>
        </w:trPr>
        <w:tc>
          <w:tcPr>
            <w:tcW w:w="1984"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Ignorado</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5</w:t>
            </w:r>
          </w:p>
        </w:tc>
        <w:tc>
          <w:tcPr>
            <w:tcW w:w="820" w:type="dxa"/>
            <w:tcBorders>
              <w:top w:val="nil"/>
              <w:left w:val="nil"/>
              <w:bottom w:val="nil"/>
              <w:right w:val="double" w:sz="6" w:space="0" w:color="auto"/>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0</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0%</w:t>
            </w:r>
          </w:p>
        </w:tc>
        <w:tc>
          <w:tcPr>
            <w:tcW w:w="820"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0%</w:t>
            </w:r>
          </w:p>
        </w:tc>
      </w:tr>
    </w:tbl>
    <w:p w:rsidR="00254DA4" w:rsidRPr="00F30705" w:rsidRDefault="00254DA4" w:rsidP="00A61A32">
      <w:pPr>
        <w:spacing w:line="360" w:lineRule="auto"/>
        <w:jc w:val="both"/>
        <w:rPr>
          <w:bCs/>
          <w:sz w:val="28"/>
          <w:szCs w:val="28"/>
          <w:lang w:eastAsia="es-CR"/>
        </w:rPr>
      </w:pPr>
    </w:p>
    <w:p w:rsidR="00254DA4" w:rsidRPr="00F30705" w:rsidRDefault="005530D7" w:rsidP="00A61A32">
      <w:pPr>
        <w:spacing w:line="360" w:lineRule="auto"/>
        <w:jc w:val="both"/>
        <w:rPr>
          <w:b/>
          <w:bCs/>
          <w:sz w:val="28"/>
          <w:szCs w:val="28"/>
          <w:lang w:eastAsia="es-CR"/>
        </w:rPr>
      </w:pPr>
      <w:r w:rsidRPr="00F30705">
        <w:rPr>
          <w:bCs/>
          <w:sz w:val="28"/>
          <w:szCs w:val="28"/>
          <w:lang w:eastAsia="es-CR"/>
        </w:rPr>
        <w:t>En la siguiente tabla</w:t>
      </w:r>
      <w:r w:rsidR="00E126F5" w:rsidRPr="00F30705">
        <w:rPr>
          <w:bCs/>
          <w:sz w:val="28"/>
          <w:szCs w:val="28"/>
          <w:lang w:eastAsia="es-CR"/>
        </w:rPr>
        <w:t>,</w:t>
      </w:r>
      <w:r w:rsidRPr="00F30705">
        <w:rPr>
          <w:bCs/>
          <w:sz w:val="28"/>
          <w:szCs w:val="28"/>
          <w:lang w:eastAsia="es-CR"/>
        </w:rPr>
        <w:t xml:space="preserve"> se presenta los cambios absolutos de las personas absueltas para cada grupo de edad y se puede apreciar que la reducción general en el volumen de absolutorias (de</w:t>
      </w:r>
      <w:r w:rsidRPr="00F30705">
        <w:rPr>
          <w:b/>
          <w:bCs/>
          <w:sz w:val="28"/>
          <w:szCs w:val="28"/>
          <w:lang w:eastAsia="es-CR"/>
        </w:rPr>
        <w:t xml:space="preserve"> 4.532 </w:t>
      </w:r>
      <w:r w:rsidRPr="00F30705">
        <w:rPr>
          <w:bCs/>
          <w:sz w:val="28"/>
          <w:szCs w:val="28"/>
          <w:lang w:eastAsia="es-CR"/>
        </w:rPr>
        <w:t>en el 2014 a</w:t>
      </w:r>
      <w:r w:rsidRPr="00F30705">
        <w:rPr>
          <w:b/>
          <w:bCs/>
          <w:sz w:val="28"/>
          <w:szCs w:val="28"/>
          <w:lang w:eastAsia="es-CR"/>
        </w:rPr>
        <w:t xml:space="preserve"> 4.095 </w:t>
      </w:r>
      <w:r w:rsidRPr="00F30705">
        <w:rPr>
          <w:bCs/>
          <w:sz w:val="28"/>
          <w:szCs w:val="28"/>
          <w:lang w:eastAsia="es-CR"/>
        </w:rPr>
        <w:t>en el 2015; esto es</w:t>
      </w:r>
      <w:r w:rsidRPr="00F30705">
        <w:rPr>
          <w:b/>
          <w:bCs/>
          <w:sz w:val="28"/>
          <w:szCs w:val="28"/>
          <w:lang w:eastAsia="es-CR"/>
        </w:rPr>
        <w:t xml:space="preserve"> 10% </w:t>
      </w:r>
      <w:r w:rsidRPr="00F30705">
        <w:rPr>
          <w:bCs/>
          <w:sz w:val="28"/>
          <w:szCs w:val="28"/>
          <w:lang w:eastAsia="es-CR"/>
        </w:rPr>
        <w:t xml:space="preserve">menos) se da en casi toda la estructura por edad pero con diferentes magnitudes relativas. </w:t>
      </w:r>
    </w:p>
    <w:p w:rsidR="00254DA4" w:rsidRPr="00F30705" w:rsidRDefault="00254DA4" w:rsidP="00A61A32">
      <w:pPr>
        <w:spacing w:line="360" w:lineRule="auto"/>
        <w:jc w:val="both"/>
        <w:rPr>
          <w:b/>
          <w:bCs/>
          <w:sz w:val="28"/>
          <w:szCs w:val="28"/>
          <w:lang w:eastAsia="es-CR"/>
        </w:rPr>
      </w:pPr>
    </w:p>
    <w:tbl>
      <w:tblPr>
        <w:tblW w:w="5508" w:type="dxa"/>
        <w:jc w:val="center"/>
        <w:tblCellMar>
          <w:left w:w="70" w:type="dxa"/>
          <w:right w:w="70" w:type="dxa"/>
        </w:tblCellMar>
        <w:tblLook w:val="04A0" w:firstRow="1" w:lastRow="0" w:firstColumn="1" w:lastColumn="0" w:noHBand="0" w:noVBand="1"/>
      </w:tblPr>
      <w:tblGrid>
        <w:gridCol w:w="2021"/>
        <w:gridCol w:w="716"/>
        <w:gridCol w:w="716"/>
        <w:gridCol w:w="1061"/>
        <w:gridCol w:w="994"/>
      </w:tblGrid>
      <w:tr w:rsidR="00254DA4" w:rsidRPr="00F30705" w:rsidTr="00254DA4">
        <w:trPr>
          <w:trHeight w:val="780"/>
          <w:jc w:val="center"/>
        </w:trPr>
        <w:tc>
          <w:tcPr>
            <w:tcW w:w="5508" w:type="dxa"/>
            <w:gridSpan w:val="5"/>
            <w:tcBorders>
              <w:top w:val="single" w:sz="4" w:space="0" w:color="auto"/>
              <w:left w:val="single" w:sz="4" w:space="0" w:color="auto"/>
              <w:bottom w:val="single" w:sz="4" w:space="0" w:color="auto"/>
              <w:right w:val="single" w:sz="4" w:space="0" w:color="000000"/>
            </w:tcBorders>
            <w:shd w:val="clear" w:color="000000" w:fill="FFC000"/>
            <w:vAlign w:val="center"/>
            <w:hideMark/>
          </w:tcPr>
          <w:p w:rsidR="00254DA4" w:rsidRPr="00F30705" w:rsidRDefault="00254DA4" w:rsidP="00254DA4">
            <w:pPr>
              <w:jc w:val="center"/>
              <w:rPr>
                <w:sz w:val="24"/>
                <w:szCs w:val="24"/>
                <w:lang w:eastAsia="es-CR"/>
              </w:rPr>
            </w:pPr>
            <w:r w:rsidRPr="00F30705">
              <w:rPr>
                <w:b/>
                <w:bCs/>
                <w:sz w:val="28"/>
                <w:szCs w:val="28"/>
                <w:lang w:eastAsia="es-CR"/>
              </w:rPr>
              <w:t>Personas absueltas por grupos de edad</w:t>
            </w:r>
            <w:r w:rsidRPr="00F30705">
              <w:rPr>
                <w:sz w:val="24"/>
                <w:szCs w:val="24"/>
                <w:lang w:eastAsia="es-CR"/>
              </w:rPr>
              <w:br/>
              <w:t>(cifras absolutas y relativas)</w:t>
            </w:r>
          </w:p>
        </w:tc>
      </w:tr>
      <w:tr w:rsidR="00254DA4" w:rsidRPr="00F30705" w:rsidTr="00254DA4">
        <w:trPr>
          <w:trHeight w:val="330"/>
          <w:jc w:val="center"/>
        </w:trPr>
        <w:tc>
          <w:tcPr>
            <w:tcW w:w="2021" w:type="dxa"/>
            <w:vMerge w:val="restart"/>
            <w:tcBorders>
              <w:top w:val="nil"/>
              <w:left w:val="nil"/>
              <w:bottom w:val="nil"/>
              <w:right w:val="nil"/>
            </w:tcBorders>
            <w:shd w:val="clear" w:color="auto" w:fill="auto"/>
            <w:vAlign w:val="center"/>
            <w:hideMark/>
          </w:tcPr>
          <w:p w:rsidR="00254DA4" w:rsidRPr="00F30705" w:rsidRDefault="00254DA4" w:rsidP="00254DA4">
            <w:pPr>
              <w:jc w:val="center"/>
              <w:rPr>
                <w:sz w:val="24"/>
                <w:szCs w:val="24"/>
                <w:lang w:eastAsia="es-CR"/>
              </w:rPr>
            </w:pPr>
            <w:r w:rsidRPr="00F30705">
              <w:rPr>
                <w:sz w:val="24"/>
                <w:szCs w:val="24"/>
                <w:lang w:eastAsia="es-CR"/>
              </w:rPr>
              <w:t xml:space="preserve">  </w:t>
            </w:r>
            <w:r w:rsidRPr="00F30705">
              <w:rPr>
                <w:b/>
                <w:bCs/>
                <w:sz w:val="24"/>
                <w:szCs w:val="24"/>
                <w:u w:val="single"/>
                <w:lang w:eastAsia="es-CR"/>
              </w:rPr>
              <w:t>Grupos de edad</w:t>
            </w:r>
          </w:p>
        </w:tc>
        <w:tc>
          <w:tcPr>
            <w:tcW w:w="1432" w:type="dxa"/>
            <w:gridSpan w:val="2"/>
            <w:tcBorders>
              <w:top w:val="single" w:sz="4" w:space="0" w:color="auto"/>
              <w:left w:val="nil"/>
              <w:bottom w:val="single" w:sz="8" w:space="0" w:color="auto"/>
              <w:right w:val="double" w:sz="6" w:space="0" w:color="000000"/>
            </w:tcBorders>
            <w:shd w:val="clear" w:color="auto" w:fill="auto"/>
            <w:vAlign w:val="center"/>
            <w:hideMark/>
          </w:tcPr>
          <w:p w:rsidR="00254DA4" w:rsidRPr="00F30705" w:rsidRDefault="00254DA4" w:rsidP="00254DA4">
            <w:pPr>
              <w:jc w:val="center"/>
              <w:rPr>
                <w:b/>
                <w:bCs/>
                <w:sz w:val="24"/>
                <w:szCs w:val="24"/>
                <w:lang w:eastAsia="es-CR"/>
              </w:rPr>
            </w:pPr>
            <w:r w:rsidRPr="00F30705">
              <w:rPr>
                <w:b/>
                <w:bCs/>
                <w:sz w:val="24"/>
                <w:szCs w:val="24"/>
                <w:lang w:eastAsia="es-CR"/>
              </w:rPr>
              <w:t>Año</w:t>
            </w:r>
          </w:p>
        </w:tc>
        <w:tc>
          <w:tcPr>
            <w:tcW w:w="2055" w:type="dxa"/>
            <w:gridSpan w:val="2"/>
            <w:tcBorders>
              <w:top w:val="nil"/>
              <w:left w:val="nil"/>
              <w:bottom w:val="single" w:sz="8" w:space="0" w:color="auto"/>
              <w:right w:val="nil"/>
            </w:tcBorders>
            <w:shd w:val="clear" w:color="auto" w:fill="auto"/>
            <w:vAlign w:val="center"/>
            <w:hideMark/>
          </w:tcPr>
          <w:p w:rsidR="00254DA4" w:rsidRPr="00F30705" w:rsidRDefault="00254DA4" w:rsidP="00254DA4">
            <w:pPr>
              <w:jc w:val="center"/>
              <w:rPr>
                <w:b/>
                <w:bCs/>
                <w:sz w:val="24"/>
                <w:szCs w:val="24"/>
                <w:lang w:eastAsia="es-CR"/>
              </w:rPr>
            </w:pPr>
            <w:r w:rsidRPr="00F30705">
              <w:rPr>
                <w:b/>
                <w:bCs/>
                <w:sz w:val="24"/>
                <w:szCs w:val="24"/>
                <w:lang w:eastAsia="es-CR"/>
              </w:rPr>
              <w:t>Variación anual</w:t>
            </w:r>
          </w:p>
        </w:tc>
      </w:tr>
      <w:tr w:rsidR="00254DA4" w:rsidRPr="00F30705" w:rsidTr="00254DA4">
        <w:trPr>
          <w:trHeight w:val="315"/>
          <w:jc w:val="center"/>
        </w:trPr>
        <w:tc>
          <w:tcPr>
            <w:tcW w:w="2021" w:type="dxa"/>
            <w:vMerge/>
            <w:tcBorders>
              <w:top w:val="nil"/>
              <w:left w:val="nil"/>
              <w:bottom w:val="nil"/>
              <w:right w:val="nil"/>
            </w:tcBorders>
            <w:vAlign w:val="center"/>
            <w:hideMark/>
          </w:tcPr>
          <w:p w:rsidR="00254DA4" w:rsidRPr="00F30705" w:rsidRDefault="00254DA4" w:rsidP="00254DA4">
            <w:pPr>
              <w:rPr>
                <w:sz w:val="24"/>
                <w:szCs w:val="24"/>
                <w:lang w:eastAsia="es-CR"/>
              </w:rPr>
            </w:pPr>
          </w:p>
        </w:tc>
        <w:tc>
          <w:tcPr>
            <w:tcW w:w="716" w:type="dxa"/>
            <w:tcBorders>
              <w:top w:val="nil"/>
              <w:left w:val="nil"/>
              <w:bottom w:val="nil"/>
              <w:right w:val="nil"/>
            </w:tcBorders>
            <w:shd w:val="clear" w:color="auto" w:fill="auto"/>
            <w:vAlign w:val="center"/>
            <w:hideMark/>
          </w:tcPr>
          <w:p w:rsidR="00254DA4" w:rsidRPr="00F30705" w:rsidRDefault="00254DA4" w:rsidP="00254DA4">
            <w:pPr>
              <w:jc w:val="center"/>
              <w:rPr>
                <w:b/>
                <w:bCs/>
                <w:sz w:val="24"/>
                <w:szCs w:val="24"/>
                <w:u w:val="single"/>
                <w:lang w:eastAsia="es-CR"/>
              </w:rPr>
            </w:pPr>
            <w:r w:rsidRPr="00F30705">
              <w:rPr>
                <w:b/>
                <w:bCs/>
                <w:sz w:val="24"/>
                <w:szCs w:val="24"/>
                <w:u w:val="single"/>
                <w:lang w:eastAsia="es-CR"/>
              </w:rPr>
              <w:t>2014</w:t>
            </w:r>
          </w:p>
        </w:tc>
        <w:tc>
          <w:tcPr>
            <w:tcW w:w="716" w:type="dxa"/>
            <w:tcBorders>
              <w:top w:val="nil"/>
              <w:left w:val="nil"/>
              <w:bottom w:val="nil"/>
              <w:right w:val="double" w:sz="6" w:space="0" w:color="auto"/>
            </w:tcBorders>
            <w:shd w:val="clear" w:color="auto" w:fill="auto"/>
            <w:vAlign w:val="center"/>
            <w:hideMark/>
          </w:tcPr>
          <w:p w:rsidR="00254DA4" w:rsidRPr="00F30705" w:rsidRDefault="00254DA4" w:rsidP="00254DA4">
            <w:pPr>
              <w:jc w:val="center"/>
              <w:rPr>
                <w:b/>
                <w:bCs/>
                <w:sz w:val="24"/>
                <w:szCs w:val="24"/>
                <w:u w:val="single"/>
                <w:lang w:eastAsia="es-CR"/>
              </w:rPr>
            </w:pPr>
            <w:r w:rsidRPr="00F30705">
              <w:rPr>
                <w:b/>
                <w:bCs/>
                <w:sz w:val="24"/>
                <w:szCs w:val="24"/>
                <w:u w:val="single"/>
                <w:lang w:eastAsia="es-CR"/>
              </w:rPr>
              <w:t>2015</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center"/>
              <w:rPr>
                <w:b/>
                <w:bCs/>
                <w:sz w:val="24"/>
                <w:szCs w:val="24"/>
                <w:u w:val="single"/>
                <w:lang w:eastAsia="es-CR"/>
              </w:rPr>
            </w:pPr>
            <w:r w:rsidRPr="00F30705">
              <w:rPr>
                <w:b/>
                <w:bCs/>
                <w:sz w:val="24"/>
                <w:szCs w:val="24"/>
                <w:u w:val="single"/>
                <w:lang w:eastAsia="es-CR"/>
              </w:rPr>
              <w:t>Absoluta</w:t>
            </w:r>
          </w:p>
        </w:tc>
        <w:tc>
          <w:tcPr>
            <w:tcW w:w="994" w:type="dxa"/>
            <w:tcBorders>
              <w:top w:val="nil"/>
              <w:left w:val="nil"/>
              <w:bottom w:val="nil"/>
              <w:right w:val="nil"/>
            </w:tcBorders>
            <w:shd w:val="clear" w:color="auto" w:fill="auto"/>
            <w:vAlign w:val="center"/>
            <w:hideMark/>
          </w:tcPr>
          <w:p w:rsidR="00254DA4" w:rsidRPr="00F30705" w:rsidRDefault="00254DA4" w:rsidP="00254DA4">
            <w:pPr>
              <w:jc w:val="center"/>
              <w:rPr>
                <w:b/>
                <w:bCs/>
                <w:sz w:val="24"/>
                <w:szCs w:val="24"/>
                <w:u w:val="single"/>
                <w:lang w:eastAsia="es-CR"/>
              </w:rPr>
            </w:pPr>
            <w:r w:rsidRPr="00F30705">
              <w:rPr>
                <w:b/>
                <w:bCs/>
                <w:sz w:val="24"/>
                <w:szCs w:val="24"/>
                <w:u w:val="single"/>
                <w:lang w:eastAsia="es-CR"/>
              </w:rPr>
              <w:t>Relativa</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jc w:val="center"/>
              <w:rPr>
                <w:b/>
                <w:bCs/>
                <w:sz w:val="24"/>
                <w:szCs w:val="24"/>
                <w:u w:val="double"/>
                <w:lang w:eastAsia="es-CR"/>
              </w:rPr>
            </w:pPr>
            <w:r w:rsidRPr="00F30705">
              <w:rPr>
                <w:b/>
                <w:bCs/>
                <w:sz w:val="24"/>
                <w:szCs w:val="24"/>
                <w:u w:val="double"/>
                <w:lang w:eastAsia="es-CR"/>
              </w:rPr>
              <w:t>Total</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b/>
                <w:bCs/>
                <w:sz w:val="24"/>
                <w:szCs w:val="24"/>
                <w:u w:val="double"/>
                <w:lang w:eastAsia="es-CR"/>
              </w:rPr>
            </w:pPr>
            <w:r w:rsidRPr="00F30705">
              <w:rPr>
                <w:b/>
                <w:bCs/>
                <w:sz w:val="24"/>
                <w:szCs w:val="24"/>
                <w:u w:val="double"/>
                <w:lang w:eastAsia="es-CR"/>
              </w:rPr>
              <w:t>4.532</w:t>
            </w:r>
          </w:p>
        </w:tc>
        <w:tc>
          <w:tcPr>
            <w:tcW w:w="716" w:type="dxa"/>
            <w:tcBorders>
              <w:top w:val="nil"/>
              <w:left w:val="nil"/>
              <w:bottom w:val="nil"/>
              <w:right w:val="double" w:sz="6" w:space="0" w:color="auto"/>
            </w:tcBorders>
            <w:shd w:val="clear" w:color="auto" w:fill="auto"/>
            <w:vAlign w:val="center"/>
            <w:hideMark/>
          </w:tcPr>
          <w:p w:rsidR="00254DA4" w:rsidRPr="00F30705" w:rsidRDefault="00254DA4" w:rsidP="00254DA4">
            <w:pPr>
              <w:jc w:val="right"/>
              <w:rPr>
                <w:b/>
                <w:bCs/>
                <w:sz w:val="24"/>
                <w:szCs w:val="24"/>
                <w:u w:val="double"/>
                <w:lang w:eastAsia="es-CR"/>
              </w:rPr>
            </w:pPr>
            <w:r w:rsidRPr="00F30705">
              <w:rPr>
                <w:b/>
                <w:bCs/>
                <w:sz w:val="24"/>
                <w:szCs w:val="24"/>
                <w:u w:val="double"/>
                <w:lang w:eastAsia="es-CR"/>
              </w:rPr>
              <w:t>4.095</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b/>
                <w:bCs/>
                <w:sz w:val="24"/>
                <w:szCs w:val="24"/>
                <w:u w:val="double"/>
                <w:lang w:eastAsia="es-CR"/>
              </w:rPr>
            </w:pPr>
            <w:r w:rsidRPr="00F30705">
              <w:rPr>
                <w:b/>
                <w:bCs/>
                <w:sz w:val="24"/>
                <w:szCs w:val="24"/>
                <w:u w:val="double"/>
                <w:lang w:eastAsia="es-CR"/>
              </w:rPr>
              <w:t>-437</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b/>
                <w:bCs/>
                <w:sz w:val="24"/>
                <w:szCs w:val="24"/>
                <w:u w:val="double"/>
                <w:lang w:eastAsia="es-CR"/>
              </w:rPr>
            </w:pPr>
            <w:r w:rsidRPr="00F30705">
              <w:rPr>
                <w:b/>
                <w:bCs/>
                <w:sz w:val="24"/>
                <w:szCs w:val="24"/>
                <w:u w:val="double"/>
                <w:lang w:eastAsia="es-CR"/>
              </w:rPr>
              <w:t>-10%</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Menos de 20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73</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55</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-18</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-25%</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20 a 24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597</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521</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-76</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-13%</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25 a 29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887</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760</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-127</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-14%</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30 a 34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732</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677</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-55</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-8%</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35 a 39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560</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520</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-40</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-7%</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40 a 44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439</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385</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-54</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-12%</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45 a 49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383</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384</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0%</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50 a 54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319</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287</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-32</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-10%</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55 a 59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248</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203</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-45</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-18%</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lastRenderedPageBreak/>
              <w:t>60 a 64 años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131</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129</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-2</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-2%</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65 años y más</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158</w:t>
            </w:r>
          </w:p>
        </w:tc>
        <w:tc>
          <w:tcPr>
            <w:tcW w:w="716" w:type="dxa"/>
            <w:tcBorders>
              <w:top w:val="nil"/>
              <w:left w:val="nil"/>
              <w:bottom w:val="nil"/>
              <w:right w:val="double" w:sz="6" w:space="0" w:color="auto"/>
            </w:tcBorders>
            <w:shd w:val="clear" w:color="000000" w:fill="FFFFFF"/>
            <w:vAlign w:val="center"/>
            <w:hideMark/>
          </w:tcPr>
          <w:p w:rsidR="00254DA4" w:rsidRPr="00F30705" w:rsidRDefault="00254DA4" w:rsidP="00254DA4">
            <w:pPr>
              <w:jc w:val="right"/>
              <w:rPr>
                <w:sz w:val="24"/>
                <w:szCs w:val="24"/>
                <w:lang w:eastAsia="es-CR"/>
              </w:rPr>
            </w:pPr>
            <w:r w:rsidRPr="00F30705">
              <w:rPr>
                <w:sz w:val="24"/>
                <w:szCs w:val="24"/>
                <w:lang w:eastAsia="es-CR"/>
              </w:rPr>
              <w:t>174</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16</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10%</w:t>
            </w:r>
          </w:p>
        </w:tc>
      </w:tr>
      <w:tr w:rsidR="00254DA4" w:rsidRPr="00F30705" w:rsidTr="00254DA4">
        <w:trPr>
          <w:trHeight w:val="315"/>
          <w:jc w:val="center"/>
        </w:trPr>
        <w:tc>
          <w:tcPr>
            <w:tcW w:w="2021" w:type="dxa"/>
            <w:tcBorders>
              <w:top w:val="nil"/>
              <w:left w:val="nil"/>
              <w:bottom w:val="nil"/>
              <w:right w:val="nil"/>
            </w:tcBorders>
            <w:shd w:val="clear" w:color="auto" w:fill="auto"/>
            <w:vAlign w:val="center"/>
            <w:hideMark/>
          </w:tcPr>
          <w:p w:rsidR="00254DA4" w:rsidRPr="00F30705" w:rsidRDefault="00254DA4" w:rsidP="00254DA4">
            <w:pPr>
              <w:rPr>
                <w:sz w:val="24"/>
                <w:szCs w:val="24"/>
                <w:lang w:eastAsia="es-CR"/>
              </w:rPr>
            </w:pPr>
            <w:r w:rsidRPr="00F30705">
              <w:rPr>
                <w:sz w:val="24"/>
                <w:szCs w:val="24"/>
                <w:lang w:eastAsia="es-CR"/>
              </w:rPr>
              <w:t>Ignorado</w:t>
            </w:r>
          </w:p>
        </w:tc>
        <w:tc>
          <w:tcPr>
            <w:tcW w:w="716"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5</w:t>
            </w:r>
          </w:p>
        </w:tc>
        <w:tc>
          <w:tcPr>
            <w:tcW w:w="716" w:type="dxa"/>
            <w:tcBorders>
              <w:top w:val="nil"/>
              <w:left w:val="nil"/>
              <w:bottom w:val="nil"/>
              <w:right w:val="double" w:sz="6" w:space="0" w:color="auto"/>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0</w:t>
            </w:r>
          </w:p>
        </w:tc>
        <w:tc>
          <w:tcPr>
            <w:tcW w:w="1061"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-5</w:t>
            </w:r>
          </w:p>
        </w:tc>
        <w:tc>
          <w:tcPr>
            <w:tcW w:w="994" w:type="dxa"/>
            <w:tcBorders>
              <w:top w:val="nil"/>
              <w:left w:val="nil"/>
              <w:bottom w:val="nil"/>
              <w:right w:val="nil"/>
            </w:tcBorders>
            <w:shd w:val="clear" w:color="auto" w:fill="auto"/>
            <w:vAlign w:val="center"/>
            <w:hideMark/>
          </w:tcPr>
          <w:p w:rsidR="00254DA4" w:rsidRPr="00F30705" w:rsidRDefault="00254DA4" w:rsidP="00254DA4">
            <w:pPr>
              <w:jc w:val="right"/>
              <w:rPr>
                <w:sz w:val="24"/>
                <w:szCs w:val="24"/>
                <w:lang w:eastAsia="es-CR"/>
              </w:rPr>
            </w:pPr>
            <w:r w:rsidRPr="00F30705">
              <w:rPr>
                <w:sz w:val="24"/>
                <w:szCs w:val="24"/>
                <w:lang w:eastAsia="es-CR"/>
              </w:rPr>
              <w:t>N.A.</w:t>
            </w:r>
          </w:p>
        </w:tc>
      </w:tr>
      <w:tr w:rsidR="00254DA4" w:rsidRPr="00F30705" w:rsidTr="00254DA4">
        <w:trPr>
          <w:trHeight w:val="315"/>
          <w:jc w:val="center"/>
        </w:trPr>
        <w:tc>
          <w:tcPr>
            <w:tcW w:w="5508" w:type="dxa"/>
            <w:gridSpan w:val="5"/>
            <w:tcBorders>
              <w:top w:val="nil"/>
              <w:left w:val="nil"/>
              <w:bottom w:val="nil"/>
              <w:right w:val="nil"/>
            </w:tcBorders>
            <w:shd w:val="clear" w:color="auto" w:fill="auto"/>
            <w:vAlign w:val="center"/>
            <w:hideMark/>
          </w:tcPr>
          <w:p w:rsidR="00254DA4" w:rsidRPr="00F30705" w:rsidRDefault="00254DA4" w:rsidP="00254DA4">
            <w:pPr>
              <w:rPr>
                <w:sz w:val="16"/>
                <w:szCs w:val="16"/>
                <w:lang w:eastAsia="es-CR"/>
              </w:rPr>
            </w:pPr>
            <w:r w:rsidRPr="00F30705">
              <w:rPr>
                <w:sz w:val="16"/>
                <w:szCs w:val="16"/>
                <w:lang w:eastAsia="es-CR"/>
              </w:rPr>
              <w:t>N.A. No aplica el cálculo</w:t>
            </w:r>
          </w:p>
        </w:tc>
      </w:tr>
    </w:tbl>
    <w:p w:rsidR="00254DA4" w:rsidRPr="00F30705" w:rsidRDefault="00254DA4" w:rsidP="00A61A32">
      <w:pPr>
        <w:spacing w:line="360" w:lineRule="auto"/>
        <w:jc w:val="both"/>
        <w:rPr>
          <w:b/>
          <w:bCs/>
          <w:sz w:val="28"/>
          <w:szCs w:val="28"/>
          <w:lang w:eastAsia="es-CR"/>
        </w:rPr>
      </w:pPr>
    </w:p>
    <w:p w:rsidR="00A61A32" w:rsidRPr="00F30705" w:rsidRDefault="00B51898" w:rsidP="00A61A32">
      <w:pPr>
        <w:spacing w:line="360" w:lineRule="auto"/>
        <w:jc w:val="both"/>
        <w:rPr>
          <w:b/>
          <w:bCs/>
          <w:sz w:val="28"/>
          <w:szCs w:val="28"/>
        </w:rPr>
      </w:pPr>
      <w:r w:rsidRPr="00F30705">
        <w:rPr>
          <w:b/>
          <w:bCs/>
          <w:sz w:val="28"/>
          <w:szCs w:val="28"/>
        </w:rPr>
        <w:t>4</w:t>
      </w:r>
      <w:r w:rsidR="00A61A32" w:rsidRPr="00F30705">
        <w:rPr>
          <w:b/>
          <w:bCs/>
          <w:sz w:val="28"/>
          <w:szCs w:val="28"/>
        </w:rPr>
        <w:t>.3 Absolutorias según estado civil</w:t>
      </w:r>
    </w:p>
    <w:p w:rsidR="00A61A32" w:rsidRPr="00F30705" w:rsidRDefault="00A61A32" w:rsidP="00A61A32">
      <w:pPr>
        <w:spacing w:line="360" w:lineRule="auto"/>
        <w:jc w:val="both"/>
        <w:rPr>
          <w:sz w:val="28"/>
          <w:szCs w:val="28"/>
        </w:rPr>
      </w:pPr>
    </w:p>
    <w:p w:rsidR="00A61A32" w:rsidRPr="00F30705" w:rsidRDefault="00A61A32" w:rsidP="00A61A32">
      <w:pPr>
        <w:spacing w:line="360" w:lineRule="auto"/>
        <w:jc w:val="both"/>
        <w:rPr>
          <w:sz w:val="28"/>
          <w:szCs w:val="28"/>
        </w:rPr>
      </w:pPr>
      <w:r w:rsidRPr="00F30705">
        <w:rPr>
          <w:sz w:val="28"/>
          <w:szCs w:val="28"/>
        </w:rPr>
        <w:t xml:space="preserve">Una alta proporción de las personas absueltas se encontraba en estado de soltería </w:t>
      </w:r>
      <w:r w:rsidR="004F38C5" w:rsidRPr="00F30705">
        <w:rPr>
          <w:sz w:val="28"/>
          <w:szCs w:val="28"/>
        </w:rPr>
        <w:t xml:space="preserve">seguidas por </w:t>
      </w:r>
      <w:r w:rsidRPr="00F30705">
        <w:rPr>
          <w:sz w:val="28"/>
          <w:szCs w:val="28"/>
        </w:rPr>
        <w:t>algún tipo de unión (de hecho o de derecho)</w:t>
      </w:r>
      <w:r w:rsidR="004F38C5" w:rsidRPr="00F30705">
        <w:rPr>
          <w:sz w:val="28"/>
          <w:szCs w:val="28"/>
        </w:rPr>
        <w:t xml:space="preserve"> durante el 2015</w:t>
      </w:r>
      <w:r w:rsidRPr="00F30705">
        <w:rPr>
          <w:sz w:val="28"/>
          <w:szCs w:val="28"/>
        </w:rPr>
        <w:t xml:space="preserve">. Las personas solteras absueltas son el </w:t>
      </w:r>
      <w:r w:rsidRPr="00F30705">
        <w:rPr>
          <w:b/>
          <w:bCs/>
          <w:sz w:val="28"/>
          <w:szCs w:val="28"/>
        </w:rPr>
        <w:t>4</w:t>
      </w:r>
      <w:r w:rsidR="004F38C5" w:rsidRPr="00F30705">
        <w:rPr>
          <w:b/>
          <w:bCs/>
          <w:sz w:val="28"/>
          <w:szCs w:val="28"/>
        </w:rPr>
        <w:t>9</w:t>
      </w:r>
      <w:r w:rsidRPr="00F30705">
        <w:rPr>
          <w:b/>
          <w:bCs/>
          <w:sz w:val="28"/>
          <w:szCs w:val="28"/>
        </w:rPr>
        <w:t>%</w:t>
      </w:r>
      <w:r w:rsidRPr="00F30705">
        <w:rPr>
          <w:sz w:val="28"/>
          <w:szCs w:val="28"/>
        </w:rPr>
        <w:t xml:space="preserve"> y ocupan el primer lugar en cuanto a peso relativo. Le siguen las personas casadas con el </w:t>
      </w:r>
      <w:r w:rsidRPr="00F30705">
        <w:rPr>
          <w:b/>
          <w:bCs/>
          <w:sz w:val="28"/>
          <w:szCs w:val="28"/>
        </w:rPr>
        <w:t>26%</w:t>
      </w:r>
      <w:r w:rsidRPr="00F30705">
        <w:rPr>
          <w:sz w:val="28"/>
          <w:szCs w:val="28"/>
        </w:rPr>
        <w:t xml:space="preserve"> y las que se encuentra en uniones de hecho con el </w:t>
      </w:r>
      <w:r w:rsidRPr="00F30705">
        <w:rPr>
          <w:b/>
          <w:bCs/>
          <w:sz w:val="28"/>
          <w:szCs w:val="28"/>
        </w:rPr>
        <w:t>1</w:t>
      </w:r>
      <w:r w:rsidR="004F38C5" w:rsidRPr="00F30705">
        <w:rPr>
          <w:b/>
          <w:bCs/>
          <w:sz w:val="28"/>
          <w:szCs w:val="28"/>
        </w:rPr>
        <w:t>5</w:t>
      </w:r>
      <w:r w:rsidRPr="00F30705">
        <w:rPr>
          <w:b/>
          <w:bCs/>
          <w:sz w:val="28"/>
          <w:szCs w:val="28"/>
        </w:rPr>
        <w:t>%</w:t>
      </w:r>
      <w:r w:rsidRPr="00F30705">
        <w:rPr>
          <w:sz w:val="28"/>
          <w:szCs w:val="28"/>
        </w:rPr>
        <w:t>; estas dos categorías juntas son tantas como las solteras (</w:t>
      </w:r>
      <w:r w:rsidRPr="00F30705">
        <w:rPr>
          <w:b/>
          <w:bCs/>
          <w:sz w:val="28"/>
          <w:szCs w:val="28"/>
        </w:rPr>
        <w:t>4</w:t>
      </w:r>
      <w:r w:rsidR="004F38C5" w:rsidRPr="00F30705">
        <w:rPr>
          <w:b/>
          <w:bCs/>
          <w:sz w:val="28"/>
          <w:szCs w:val="28"/>
        </w:rPr>
        <w:t>1</w:t>
      </w:r>
      <w:r w:rsidRPr="00F30705">
        <w:rPr>
          <w:b/>
          <w:bCs/>
          <w:sz w:val="28"/>
          <w:szCs w:val="28"/>
        </w:rPr>
        <w:t>%</w:t>
      </w:r>
      <w:r w:rsidRPr="00F30705">
        <w:rPr>
          <w:sz w:val="28"/>
          <w:szCs w:val="28"/>
        </w:rPr>
        <w:t>).  Estos patrones y para el resto de la tipología por estado civil se muestra en la siguiente tabla.</w:t>
      </w:r>
    </w:p>
    <w:p w:rsidR="007B4210" w:rsidRPr="00F30705" w:rsidRDefault="00A61A32" w:rsidP="007B4210">
      <w:pPr>
        <w:spacing w:line="360" w:lineRule="auto"/>
        <w:jc w:val="both"/>
        <w:rPr>
          <w:b/>
          <w:bCs/>
        </w:rPr>
      </w:pPr>
      <w:r w:rsidRPr="00F30705">
        <w:t xml:space="preserve">  </w:t>
      </w:r>
    </w:p>
    <w:tbl>
      <w:tblPr>
        <w:tblW w:w="6140" w:type="dxa"/>
        <w:jc w:val="center"/>
        <w:tblCellMar>
          <w:left w:w="70" w:type="dxa"/>
          <w:right w:w="70" w:type="dxa"/>
        </w:tblCellMar>
        <w:tblLook w:val="04A0" w:firstRow="1" w:lastRow="0" w:firstColumn="1" w:lastColumn="0" w:noHBand="0" w:noVBand="1"/>
      </w:tblPr>
      <w:tblGrid>
        <w:gridCol w:w="2353"/>
        <w:gridCol w:w="1891"/>
        <w:gridCol w:w="1896"/>
      </w:tblGrid>
      <w:tr w:rsidR="007B4210" w:rsidRPr="00F30705" w:rsidTr="007B4210">
        <w:trPr>
          <w:trHeight w:val="315"/>
          <w:jc w:val="center"/>
        </w:trPr>
        <w:tc>
          <w:tcPr>
            <w:tcW w:w="6140"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7B4210" w:rsidRPr="00F30705" w:rsidRDefault="007B4210" w:rsidP="007B4210">
            <w:pPr>
              <w:jc w:val="center"/>
              <w:rPr>
                <w:b/>
                <w:bCs/>
                <w:sz w:val="24"/>
                <w:szCs w:val="24"/>
                <w:lang w:eastAsia="es-CR"/>
              </w:rPr>
            </w:pPr>
            <w:r w:rsidRPr="00F30705">
              <w:rPr>
                <w:b/>
                <w:bCs/>
                <w:sz w:val="24"/>
                <w:szCs w:val="24"/>
                <w:lang w:eastAsia="es-CR"/>
              </w:rPr>
              <w:t>Distribución según estado civil de las personas absueltas</w:t>
            </w:r>
          </w:p>
        </w:tc>
      </w:tr>
      <w:tr w:rsidR="007B4210" w:rsidRPr="00F30705" w:rsidTr="007B4210">
        <w:trPr>
          <w:trHeight w:val="315"/>
          <w:jc w:val="center"/>
        </w:trPr>
        <w:tc>
          <w:tcPr>
            <w:tcW w:w="2227" w:type="dxa"/>
            <w:tcBorders>
              <w:top w:val="single" w:sz="4" w:space="0" w:color="auto"/>
              <w:left w:val="nil"/>
              <w:bottom w:val="nil"/>
              <w:right w:val="nil"/>
            </w:tcBorders>
            <w:shd w:val="clear" w:color="auto" w:fill="auto"/>
            <w:vAlign w:val="center"/>
            <w:hideMark/>
          </w:tcPr>
          <w:p w:rsidR="007B4210" w:rsidRPr="00F30705" w:rsidRDefault="007B4210" w:rsidP="007B4210">
            <w:pPr>
              <w:jc w:val="center"/>
              <w:rPr>
                <w:b/>
                <w:bCs/>
                <w:sz w:val="24"/>
                <w:szCs w:val="24"/>
                <w:u w:val="single"/>
                <w:lang w:eastAsia="es-CR"/>
              </w:rPr>
            </w:pPr>
            <w:r w:rsidRPr="00F30705">
              <w:rPr>
                <w:b/>
                <w:bCs/>
                <w:sz w:val="24"/>
                <w:szCs w:val="24"/>
                <w:u w:val="single"/>
                <w:lang w:eastAsia="es-CR"/>
              </w:rPr>
              <w:t>Estado Civil</w:t>
            </w:r>
          </w:p>
        </w:tc>
        <w:tc>
          <w:tcPr>
            <w:tcW w:w="1956" w:type="dxa"/>
            <w:tcBorders>
              <w:top w:val="single" w:sz="4" w:space="0" w:color="auto"/>
              <w:left w:val="nil"/>
              <w:bottom w:val="nil"/>
              <w:right w:val="nil"/>
            </w:tcBorders>
            <w:shd w:val="clear" w:color="auto" w:fill="auto"/>
            <w:vAlign w:val="center"/>
            <w:hideMark/>
          </w:tcPr>
          <w:p w:rsidR="007B4210" w:rsidRPr="00F30705" w:rsidRDefault="007B4210" w:rsidP="007B4210">
            <w:pPr>
              <w:jc w:val="center"/>
              <w:rPr>
                <w:b/>
                <w:bCs/>
                <w:sz w:val="24"/>
                <w:szCs w:val="24"/>
                <w:u w:val="single"/>
                <w:lang w:eastAsia="es-CR"/>
              </w:rPr>
            </w:pPr>
            <w:r w:rsidRPr="00F30705">
              <w:rPr>
                <w:b/>
                <w:bCs/>
                <w:sz w:val="24"/>
                <w:szCs w:val="24"/>
                <w:u w:val="single"/>
                <w:lang w:eastAsia="es-CR"/>
              </w:rPr>
              <w:t>Cantidades</w:t>
            </w:r>
          </w:p>
        </w:tc>
        <w:tc>
          <w:tcPr>
            <w:tcW w:w="1957" w:type="dxa"/>
            <w:tcBorders>
              <w:top w:val="single" w:sz="4" w:space="0" w:color="auto"/>
              <w:left w:val="nil"/>
              <w:bottom w:val="nil"/>
              <w:right w:val="nil"/>
            </w:tcBorders>
            <w:shd w:val="clear" w:color="auto" w:fill="auto"/>
            <w:vAlign w:val="center"/>
            <w:hideMark/>
          </w:tcPr>
          <w:p w:rsidR="007B4210" w:rsidRPr="00F30705" w:rsidRDefault="007B4210" w:rsidP="007B4210">
            <w:pPr>
              <w:jc w:val="center"/>
              <w:rPr>
                <w:b/>
                <w:bCs/>
                <w:sz w:val="24"/>
                <w:szCs w:val="24"/>
                <w:u w:val="single"/>
                <w:lang w:eastAsia="es-CR"/>
              </w:rPr>
            </w:pPr>
            <w:r w:rsidRPr="00F30705">
              <w:rPr>
                <w:b/>
                <w:bCs/>
                <w:sz w:val="24"/>
                <w:szCs w:val="24"/>
                <w:u w:val="single"/>
                <w:lang w:eastAsia="es-CR"/>
              </w:rPr>
              <w:t>Porcentajes</w:t>
            </w:r>
          </w:p>
        </w:tc>
      </w:tr>
      <w:tr w:rsidR="007B4210" w:rsidRPr="00F30705" w:rsidTr="007B4210">
        <w:trPr>
          <w:trHeight w:val="735"/>
          <w:jc w:val="center"/>
        </w:trPr>
        <w:tc>
          <w:tcPr>
            <w:tcW w:w="2227" w:type="dxa"/>
            <w:tcBorders>
              <w:top w:val="nil"/>
              <w:left w:val="nil"/>
              <w:bottom w:val="nil"/>
              <w:right w:val="nil"/>
            </w:tcBorders>
            <w:shd w:val="clear" w:color="auto" w:fill="auto"/>
            <w:vAlign w:val="center"/>
            <w:hideMark/>
          </w:tcPr>
          <w:p w:rsidR="007B4210" w:rsidRPr="00F30705" w:rsidRDefault="007B4210" w:rsidP="007B4210">
            <w:pPr>
              <w:jc w:val="center"/>
              <w:rPr>
                <w:b/>
                <w:bCs/>
                <w:sz w:val="24"/>
                <w:szCs w:val="24"/>
                <w:lang w:eastAsia="es-CR"/>
              </w:rPr>
            </w:pPr>
            <w:r w:rsidRPr="00F30705">
              <w:rPr>
                <w:b/>
                <w:bCs/>
                <w:sz w:val="24"/>
                <w:szCs w:val="24"/>
                <w:lang w:eastAsia="es-CR"/>
              </w:rPr>
              <w:t>Total</w:t>
            </w:r>
          </w:p>
        </w:tc>
        <w:tc>
          <w:tcPr>
            <w:tcW w:w="1956" w:type="dxa"/>
            <w:tcBorders>
              <w:top w:val="nil"/>
              <w:left w:val="nil"/>
              <w:bottom w:val="nil"/>
              <w:right w:val="nil"/>
            </w:tcBorders>
            <w:shd w:val="clear" w:color="auto" w:fill="auto"/>
            <w:vAlign w:val="center"/>
            <w:hideMark/>
          </w:tcPr>
          <w:p w:rsidR="007B4210" w:rsidRPr="00F30705" w:rsidRDefault="007B4210" w:rsidP="007B4210">
            <w:pPr>
              <w:jc w:val="right"/>
              <w:rPr>
                <w:b/>
                <w:bCs/>
                <w:sz w:val="24"/>
                <w:szCs w:val="24"/>
                <w:lang w:eastAsia="es-CR"/>
              </w:rPr>
            </w:pPr>
            <w:r w:rsidRPr="00F30705">
              <w:rPr>
                <w:b/>
                <w:bCs/>
                <w:sz w:val="24"/>
                <w:szCs w:val="24"/>
                <w:lang w:eastAsia="es-CR"/>
              </w:rPr>
              <w:t>4.095</w:t>
            </w:r>
          </w:p>
        </w:tc>
        <w:tc>
          <w:tcPr>
            <w:tcW w:w="1957" w:type="dxa"/>
            <w:tcBorders>
              <w:top w:val="nil"/>
              <w:left w:val="nil"/>
              <w:bottom w:val="nil"/>
              <w:right w:val="nil"/>
            </w:tcBorders>
            <w:shd w:val="clear" w:color="auto" w:fill="auto"/>
            <w:vAlign w:val="center"/>
            <w:hideMark/>
          </w:tcPr>
          <w:p w:rsidR="007B4210" w:rsidRPr="00F30705" w:rsidRDefault="007B4210" w:rsidP="007B4210">
            <w:pPr>
              <w:jc w:val="right"/>
              <w:rPr>
                <w:b/>
                <w:bCs/>
                <w:sz w:val="24"/>
                <w:szCs w:val="24"/>
                <w:lang w:eastAsia="es-CR"/>
              </w:rPr>
            </w:pPr>
            <w:r w:rsidRPr="00F30705">
              <w:rPr>
                <w:b/>
                <w:bCs/>
                <w:sz w:val="24"/>
                <w:szCs w:val="24"/>
                <w:lang w:eastAsia="es-CR"/>
              </w:rPr>
              <w:t>100%</w:t>
            </w:r>
          </w:p>
        </w:tc>
      </w:tr>
      <w:tr w:rsidR="007B4210" w:rsidRPr="00F30705" w:rsidTr="007B4210">
        <w:trPr>
          <w:trHeight w:val="315"/>
          <w:jc w:val="center"/>
        </w:trPr>
        <w:tc>
          <w:tcPr>
            <w:tcW w:w="2227" w:type="dxa"/>
            <w:tcBorders>
              <w:top w:val="nil"/>
              <w:left w:val="nil"/>
              <w:bottom w:val="nil"/>
              <w:right w:val="nil"/>
            </w:tcBorders>
            <w:shd w:val="clear" w:color="auto" w:fill="auto"/>
            <w:vAlign w:val="center"/>
            <w:hideMark/>
          </w:tcPr>
          <w:p w:rsidR="007B4210" w:rsidRPr="00F30705" w:rsidRDefault="007B4210" w:rsidP="007B4210">
            <w:pPr>
              <w:rPr>
                <w:sz w:val="24"/>
                <w:szCs w:val="24"/>
                <w:lang w:eastAsia="es-CR"/>
              </w:rPr>
            </w:pPr>
            <w:r w:rsidRPr="00F30705">
              <w:rPr>
                <w:sz w:val="24"/>
                <w:szCs w:val="24"/>
                <w:lang w:eastAsia="es-CR"/>
              </w:rPr>
              <w:t>Soltera/Soltero</w:t>
            </w:r>
          </w:p>
        </w:tc>
        <w:tc>
          <w:tcPr>
            <w:tcW w:w="1956"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2.001</w:t>
            </w:r>
          </w:p>
        </w:tc>
        <w:tc>
          <w:tcPr>
            <w:tcW w:w="1957"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49%</w:t>
            </w:r>
          </w:p>
        </w:tc>
      </w:tr>
      <w:tr w:rsidR="007B4210" w:rsidRPr="00F30705" w:rsidTr="007B4210">
        <w:trPr>
          <w:trHeight w:val="315"/>
          <w:jc w:val="center"/>
        </w:trPr>
        <w:tc>
          <w:tcPr>
            <w:tcW w:w="2227" w:type="dxa"/>
            <w:tcBorders>
              <w:top w:val="nil"/>
              <w:left w:val="nil"/>
              <w:bottom w:val="nil"/>
              <w:right w:val="nil"/>
            </w:tcBorders>
            <w:shd w:val="clear" w:color="auto" w:fill="auto"/>
            <w:vAlign w:val="center"/>
            <w:hideMark/>
          </w:tcPr>
          <w:p w:rsidR="007B4210" w:rsidRPr="00F30705" w:rsidRDefault="007B4210" w:rsidP="007B4210">
            <w:pPr>
              <w:rPr>
                <w:sz w:val="24"/>
                <w:szCs w:val="24"/>
                <w:lang w:eastAsia="es-CR"/>
              </w:rPr>
            </w:pPr>
            <w:r w:rsidRPr="00F30705">
              <w:rPr>
                <w:sz w:val="24"/>
                <w:szCs w:val="24"/>
                <w:lang w:eastAsia="es-CR"/>
              </w:rPr>
              <w:t>Casada/Casado</w:t>
            </w:r>
          </w:p>
        </w:tc>
        <w:tc>
          <w:tcPr>
            <w:tcW w:w="1956"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1.047</w:t>
            </w:r>
          </w:p>
        </w:tc>
        <w:tc>
          <w:tcPr>
            <w:tcW w:w="1957"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26%</w:t>
            </w:r>
          </w:p>
        </w:tc>
      </w:tr>
      <w:tr w:rsidR="007B4210" w:rsidRPr="00F30705" w:rsidTr="007B4210">
        <w:trPr>
          <w:trHeight w:val="315"/>
          <w:jc w:val="center"/>
        </w:trPr>
        <w:tc>
          <w:tcPr>
            <w:tcW w:w="2227" w:type="dxa"/>
            <w:tcBorders>
              <w:top w:val="nil"/>
              <w:left w:val="nil"/>
              <w:bottom w:val="nil"/>
              <w:right w:val="nil"/>
            </w:tcBorders>
            <w:shd w:val="clear" w:color="auto" w:fill="auto"/>
            <w:vAlign w:val="center"/>
            <w:hideMark/>
          </w:tcPr>
          <w:p w:rsidR="007B4210" w:rsidRPr="00F30705" w:rsidRDefault="007B4210" w:rsidP="007B4210">
            <w:pPr>
              <w:rPr>
                <w:sz w:val="24"/>
                <w:szCs w:val="24"/>
                <w:lang w:eastAsia="es-CR"/>
              </w:rPr>
            </w:pPr>
            <w:r w:rsidRPr="00F30705">
              <w:rPr>
                <w:sz w:val="24"/>
                <w:szCs w:val="24"/>
                <w:lang w:eastAsia="es-CR"/>
              </w:rPr>
              <w:t>Unión de hecho</w:t>
            </w:r>
          </w:p>
        </w:tc>
        <w:tc>
          <w:tcPr>
            <w:tcW w:w="1956"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634</w:t>
            </w:r>
          </w:p>
        </w:tc>
        <w:tc>
          <w:tcPr>
            <w:tcW w:w="1957"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15%</w:t>
            </w:r>
          </w:p>
        </w:tc>
      </w:tr>
      <w:tr w:rsidR="007B4210" w:rsidRPr="00F30705" w:rsidTr="007B4210">
        <w:trPr>
          <w:trHeight w:val="315"/>
          <w:jc w:val="center"/>
        </w:trPr>
        <w:tc>
          <w:tcPr>
            <w:tcW w:w="2227" w:type="dxa"/>
            <w:tcBorders>
              <w:top w:val="nil"/>
              <w:left w:val="nil"/>
              <w:bottom w:val="nil"/>
              <w:right w:val="nil"/>
            </w:tcBorders>
            <w:shd w:val="clear" w:color="auto" w:fill="auto"/>
            <w:vAlign w:val="center"/>
            <w:hideMark/>
          </w:tcPr>
          <w:p w:rsidR="007B4210" w:rsidRPr="00F30705" w:rsidRDefault="007B4210" w:rsidP="007B4210">
            <w:pPr>
              <w:rPr>
                <w:sz w:val="24"/>
                <w:szCs w:val="24"/>
                <w:lang w:eastAsia="es-CR"/>
              </w:rPr>
            </w:pPr>
            <w:r w:rsidRPr="00F30705">
              <w:rPr>
                <w:sz w:val="24"/>
                <w:szCs w:val="24"/>
                <w:lang w:eastAsia="es-CR"/>
              </w:rPr>
              <w:t>Divorciada/Divorciado</w:t>
            </w:r>
          </w:p>
        </w:tc>
        <w:tc>
          <w:tcPr>
            <w:tcW w:w="1956"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313</w:t>
            </w:r>
          </w:p>
        </w:tc>
        <w:tc>
          <w:tcPr>
            <w:tcW w:w="1957"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8%</w:t>
            </w:r>
          </w:p>
        </w:tc>
      </w:tr>
      <w:tr w:rsidR="007B4210" w:rsidRPr="00F30705" w:rsidTr="007B4210">
        <w:trPr>
          <w:trHeight w:val="315"/>
          <w:jc w:val="center"/>
        </w:trPr>
        <w:tc>
          <w:tcPr>
            <w:tcW w:w="2227" w:type="dxa"/>
            <w:tcBorders>
              <w:top w:val="nil"/>
              <w:left w:val="nil"/>
              <w:bottom w:val="nil"/>
              <w:right w:val="nil"/>
            </w:tcBorders>
            <w:shd w:val="clear" w:color="auto" w:fill="auto"/>
            <w:vAlign w:val="center"/>
            <w:hideMark/>
          </w:tcPr>
          <w:p w:rsidR="007B4210" w:rsidRPr="00F30705" w:rsidRDefault="007B4210" w:rsidP="007B4210">
            <w:pPr>
              <w:rPr>
                <w:sz w:val="24"/>
                <w:szCs w:val="24"/>
                <w:lang w:eastAsia="es-CR"/>
              </w:rPr>
            </w:pPr>
            <w:r w:rsidRPr="00F30705">
              <w:rPr>
                <w:sz w:val="24"/>
                <w:szCs w:val="24"/>
                <w:lang w:eastAsia="es-CR"/>
              </w:rPr>
              <w:t>Separada/Separado</w:t>
            </w:r>
          </w:p>
        </w:tc>
        <w:tc>
          <w:tcPr>
            <w:tcW w:w="1956"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41</w:t>
            </w:r>
          </w:p>
        </w:tc>
        <w:tc>
          <w:tcPr>
            <w:tcW w:w="1957"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1%</w:t>
            </w:r>
          </w:p>
        </w:tc>
      </w:tr>
      <w:tr w:rsidR="007B4210" w:rsidRPr="00F30705" w:rsidTr="007B4210">
        <w:trPr>
          <w:trHeight w:val="315"/>
          <w:jc w:val="center"/>
        </w:trPr>
        <w:tc>
          <w:tcPr>
            <w:tcW w:w="2227" w:type="dxa"/>
            <w:tcBorders>
              <w:top w:val="nil"/>
              <w:left w:val="nil"/>
              <w:bottom w:val="nil"/>
              <w:right w:val="nil"/>
            </w:tcBorders>
            <w:shd w:val="clear" w:color="auto" w:fill="auto"/>
            <w:vAlign w:val="center"/>
            <w:hideMark/>
          </w:tcPr>
          <w:p w:rsidR="007B4210" w:rsidRPr="00F30705" w:rsidRDefault="007B4210" w:rsidP="007B4210">
            <w:pPr>
              <w:rPr>
                <w:sz w:val="24"/>
                <w:szCs w:val="24"/>
                <w:lang w:eastAsia="es-CR"/>
              </w:rPr>
            </w:pPr>
            <w:r w:rsidRPr="00F30705">
              <w:rPr>
                <w:sz w:val="24"/>
                <w:szCs w:val="24"/>
                <w:lang w:eastAsia="es-CR"/>
              </w:rPr>
              <w:t>Viuda/Viudo</w:t>
            </w:r>
          </w:p>
        </w:tc>
        <w:tc>
          <w:tcPr>
            <w:tcW w:w="1956"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59</w:t>
            </w:r>
          </w:p>
        </w:tc>
        <w:tc>
          <w:tcPr>
            <w:tcW w:w="1957" w:type="dxa"/>
            <w:tcBorders>
              <w:top w:val="nil"/>
              <w:left w:val="nil"/>
              <w:bottom w:val="nil"/>
              <w:right w:val="nil"/>
            </w:tcBorders>
            <w:shd w:val="clear" w:color="auto" w:fill="auto"/>
            <w:vAlign w:val="center"/>
            <w:hideMark/>
          </w:tcPr>
          <w:p w:rsidR="007B4210" w:rsidRPr="00F30705" w:rsidRDefault="007B4210" w:rsidP="007B4210">
            <w:pPr>
              <w:jc w:val="right"/>
              <w:rPr>
                <w:sz w:val="24"/>
                <w:szCs w:val="24"/>
                <w:lang w:eastAsia="es-CR"/>
              </w:rPr>
            </w:pPr>
            <w:r w:rsidRPr="00F30705">
              <w:rPr>
                <w:sz w:val="24"/>
                <w:szCs w:val="24"/>
                <w:lang w:eastAsia="es-CR"/>
              </w:rPr>
              <w:t>1%</w:t>
            </w:r>
          </w:p>
        </w:tc>
      </w:tr>
    </w:tbl>
    <w:p w:rsidR="007B4210" w:rsidRPr="00F30705" w:rsidRDefault="007B4210" w:rsidP="007B4210">
      <w:pPr>
        <w:spacing w:line="360" w:lineRule="auto"/>
        <w:jc w:val="both"/>
        <w:rPr>
          <w:b/>
          <w:bCs/>
        </w:rPr>
      </w:pPr>
    </w:p>
    <w:p w:rsidR="007B4210" w:rsidRPr="00F30705" w:rsidRDefault="007B4210" w:rsidP="007B4210">
      <w:pPr>
        <w:spacing w:line="360" w:lineRule="auto"/>
        <w:jc w:val="both"/>
        <w:rPr>
          <w:b/>
          <w:bCs/>
        </w:rPr>
      </w:pPr>
    </w:p>
    <w:p w:rsidR="00A61A32" w:rsidRPr="00F30705" w:rsidRDefault="00B51898" w:rsidP="007B4210">
      <w:pPr>
        <w:spacing w:line="360" w:lineRule="auto"/>
        <w:jc w:val="both"/>
        <w:rPr>
          <w:b/>
          <w:bCs/>
          <w:sz w:val="28"/>
          <w:szCs w:val="28"/>
        </w:rPr>
      </w:pPr>
      <w:r w:rsidRPr="00F30705">
        <w:rPr>
          <w:b/>
          <w:bCs/>
          <w:sz w:val="28"/>
          <w:szCs w:val="28"/>
        </w:rPr>
        <w:t>4</w:t>
      </w:r>
      <w:r w:rsidR="00A61A32" w:rsidRPr="00F30705">
        <w:rPr>
          <w:b/>
          <w:bCs/>
          <w:sz w:val="28"/>
          <w:szCs w:val="28"/>
        </w:rPr>
        <w:t>.4 Absolutoria por título de delito o ley infringida.</w:t>
      </w:r>
    </w:p>
    <w:p w:rsidR="00A61A32" w:rsidRPr="00F30705" w:rsidRDefault="00A61A32" w:rsidP="00A61A32">
      <w:pPr>
        <w:spacing w:line="360" w:lineRule="auto"/>
        <w:jc w:val="both"/>
        <w:rPr>
          <w:b/>
          <w:bCs/>
        </w:rPr>
      </w:pPr>
    </w:p>
    <w:p w:rsidR="00A61A32" w:rsidRPr="00F30705" w:rsidRDefault="00A61A32" w:rsidP="00A61A32">
      <w:pPr>
        <w:spacing w:line="360" w:lineRule="auto"/>
        <w:jc w:val="both"/>
        <w:rPr>
          <w:sz w:val="28"/>
          <w:szCs w:val="28"/>
        </w:rPr>
      </w:pPr>
      <w:r w:rsidRPr="00F30705">
        <w:rPr>
          <w:sz w:val="28"/>
          <w:szCs w:val="28"/>
        </w:rPr>
        <w:lastRenderedPageBreak/>
        <w:t>Como en el 201</w:t>
      </w:r>
      <w:r w:rsidR="00B31FCD" w:rsidRPr="00F30705">
        <w:rPr>
          <w:sz w:val="28"/>
          <w:szCs w:val="28"/>
        </w:rPr>
        <w:t>3 y 2014</w:t>
      </w:r>
      <w:r w:rsidRPr="00F30705">
        <w:rPr>
          <w:sz w:val="28"/>
          <w:szCs w:val="28"/>
        </w:rPr>
        <w:t xml:space="preserve"> en este año, el título de delito con más peso relativo por el cual las personas fueron absueltas es contra la propiedad.  Este tipo de delito </w:t>
      </w:r>
      <w:r w:rsidR="00B31FCD" w:rsidRPr="00F30705">
        <w:rPr>
          <w:sz w:val="28"/>
          <w:szCs w:val="28"/>
        </w:rPr>
        <w:t xml:space="preserve">fue del </w:t>
      </w:r>
      <w:r w:rsidR="00B31FCD" w:rsidRPr="00F30705">
        <w:rPr>
          <w:b/>
          <w:sz w:val="28"/>
          <w:szCs w:val="28"/>
        </w:rPr>
        <w:t>35%</w:t>
      </w:r>
      <w:r w:rsidR="00B31FCD" w:rsidRPr="00F30705">
        <w:rPr>
          <w:sz w:val="28"/>
          <w:szCs w:val="28"/>
        </w:rPr>
        <w:t xml:space="preserve"> en el 2013, d</w:t>
      </w:r>
      <w:r w:rsidRPr="00F30705">
        <w:rPr>
          <w:sz w:val="28"/>
          <w:szCs w:val="28"/>
        </w:rPr>
        <w:t xml:space="preserve">el </w:t>
      </w:r>
      <w:r w:rsidRPr="00F30705">
        <w:rPr>
          <w:b/>
          <w:bCs/>
          <w:sz w:val="28"/>
          <w:szCs w:val="28"/>
        </w:rPr>
        <w:t>36%</w:t>
      </w:r>
      <w:r w:rsidR="00B31FCD" w:rsidRPr="00F30705">
        <w:rPr>
          <w:b/>
          <w:bCs/>
          <w:sz w:val="28"/>
          <w:szCs w:val="28"/>
        </w:rPr>
        <w:t xml:space="preserve"> </w:t>
      </w:r>
      <w:r w:rsidR="00B31FCD" w:rsidRPr="00F30705">
        <w:rPr>
          <w:bCs/>
          <w:sz w:val="28"/>
          <w:szCs w:val="28"/>
        </w:rPr>
        <w:t>en el 2014 y del</w:t>
      </w:r>
      <w:r w:rsidR="00B31FCD" w:rsidRPr="00F30705">
        <w:rPr>
          <w:b/>
          <w:bCs/>
          <w:sz w:val="28"/>
          <w:szCs w:val="28"/>
        </w:rPr>
        <w:t xml:space="preserve"> 34% </w:t>
      </w:r>
      <w:r w:rsidR="00B31FCD" w:rsidRPr="00F30705">
        <w:rPr>
          <w:bCs/>
          <w:sz w:val="28"/>
          <w:szCs w:val="28"/>
        </w:rPr>
        <w:t>en el 2015</w:t>
      </w:r>
      <w:r w:rsidRPr="00F30705">
        <w:rPr>
          <w:sz w:val="28"/>
          <w:szCs w:val="28"/>
        </w:rPr>
        <w:t xml:space="preserve">; no obstante, existen otros no menos importantes como lo son los delitos contra la vida y los sexuales, cuya participación es de </w:t>
      </w:r>
      <w:r w:rsidR="00B31FCD" w:rsidRPr="00F30705">
        <w:rPr>
          <w:b/>
          <w:bCs/>
          <w:sz w:val="28"/>
          <w:szCs w:val="28"/>
        </w:rPr>
        <w:t>13</w:t>
      </w:r>
      <w:r w:rsidRPr="00F30705">
        <w:rPr>
          <w:b/>
          <w:bCs/>
          <w:sz w:val="28"/>
          <w:szCs w:val="28"/>
        </w:rPr>
        <w:t>%</w:t>
      </w:r>
      <w:r w:rsidRPr="00F30705">
        <w:rPr>
          <w:sz w:val="28"/>
          <w:szCs w:val="28"/>
        </w:rPr>
        <w:t xml:space="preserve"> </w:t>
      </w:r>
      <w:r w:rsidR="00B31FCD" w:rsidRPr="00F30705">
        <w:rPr>
          <w:sz w:val="28"/>
          <w:szCs w:val="28"/>
        </w:rPr>
        <w:t>cada uno</w:t>
      </w:r>
      <w:r w:rsidRPr="00F30705">
        <w:rPr>
          <w:sz w:val="28"/>
          <w:szCs w:val="28"/>
        </w:rPr>
        <w:t xml:space="preserve"> en </w:t>
      </w:r>
      <w:r w:rsidR="00B31FCD" w:rsidRPr="00F30705">
        <w:rPr>
          <w:sz w:val="28"/>
          <w:szCs w:val="28"/>
        </w:rPr>
        <w:t>este año</w:t>
      </w:r>
      <w:r w:rsidRPr="00F30705">
        <w:rPr>
          <w:sz w:val="28"/>
          <w:szCs w:val="28"/>
        </w:rPr>
        <w:t xml:space="preserve">. La distribución </w:t>
      </w:r>
      <w:r w:rsidR="00DC014C" w:rsidRPr="00F30705">
        <w:rPr>
          <w:sz w:val="28"/>
          <w:szCs w:val="28"/>
        </w:rPr>
        <w:t xml:space="preserve">absoluta </w:t>
      </w:r>
      <w:r w:rsidRPr="00F30705">
        <w:rPr>
          <w:sz w:val="28"/>
          <w:szCs w:val="28"/>
        </w:rPr>
        <w:t>de otros grupos de delito puede consultarse en el siguiente recuadro</w:t>
      </w:r>
      <w:r w:rsidR="00DC014C" w:rsidRPr="00F30705">
        <w:rPr>
          <w:sz w:val="28"/>
          <w:szCs w:val="28"/>
        </w:rPr>
        <w:t xml:space="preserve"> donde además se muestra los cambio acaecidos del 2014 al 2015</w:t>
      </w:r>
      <w:r w:rsidRPr="00F30705">
        <w:rPr>
          <w:sz w:val="28"/>
          <w:szCs w:val="28"/>
        </w:rPr>
        <w:t xml:space="preserve">.  </w:t>
      </w:r>
    </w:p>
    <w:p w:rsidR="00A61A32" w:rsidRPr="00F30705" w:rsidRDefault="00A61A32" w:rsidP="00A61A32">
      <w:pPr>
        <w:spacing w:line="360" w:lineRule="auto"/>
        <w:jc w:val="both"/>
        <w:rPr>
          <w:b/>
          <w:bCs/>
          <w:sz w:val="28"/>
          <w:szCs w:val="28"/>
          <w:u w:val="single"/>
        </w:rPr>
      </w:pPr>
    </w:p>
    <w:tbl>
      <w:tblPr>
        <w:tblW w:w="8120" w:type="dxa"/>
        <w:jc w:val="center"/>
        <w:tblCellMar>
          <w:left w:w="70" w:type="dxa"/>
          <w:right w:w="70" w:type="dxa"/>
        </w:tblCellMar>
        <w:tblLook w:val="04A0" w:firstRow="1" w:lastRow="0" w:firstColumn="1" w:lastColumn="0" w:noHBand="0" w:noVBand="1"/>
      </w:tblPr>
      <w:tblGrid>
        <w:gridCol w:w="4320"/>
        <w:gridCol w:w="820"/>
        <w:gridCol w:w="820"/>
        <w:gridCol w:w="820"/>
        <w:gridCol w:w="1340"/>
      </w:tblGrid>
      <w:tr w:rsidR="00BD0A6A" w:rsidRPr="00F30705" w:rsidTr="00BD0A6A">
        <w:trPr>
          <w:trHeight w:val="375"/>
          <w:jc w:val="center"/>
        </w:trPr>
        <w:tc>
          <w:tcPr>
            <w:tcW w:w="812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BD0A6A" w:rsidRPr="00F30705" w:rsidRDefault="00BD0A6A" w:rsidP="00BD0A6A">
            <w:pPr>
              <w:jc w:val="center"/>
              <w:rPr>
                <w:b/>
                <w:bCs/>
                <w:sz w:val="28"/>
                <w:szCs w:val="28"/>
                <w:lang w:eastAsia="es-CR"/>
              </w:rPr>
            </w:pPr>
            <w:r w:rsidRPr="00F30705">
              <w:rPr>
                <w:b/>
                <w:bCs/>
                <w:sz w:val="28"/>
                <w:szCs w:val="28"/>
                <w:lang w:eastAsia="es-CR"/>
              </w:rPr>
              <w:t>Personas absueltas por Título del Delito y por año</w:t>
            </w:r>
          </w:p>
        </w:tc>
      </w:tr>
      <w:tr w:rsidR="00BD0A6A" w:rsidRPr="00F30705" w:rsidTr="00BD0A6A">
        <w:trPr>
          <w:trHeight w:val="315"/>
          <w:jc w:val="center"/>
        </w:trPr>
        <w:tc>
          <w:tcPr>
            <w:tcW w:w="4320" w:type="dxa"/>
            <w:vMerge w:val="restart"/>
            <w:tcBorders>
              <w:top w:val="nil"/>
              <w:left w:val="nil"/>
              <w:bottom w:val="nil"/>
              <w:right w:val="nil"/>
            </w:tcBorders>
            <w:shd w:val="clear" w:color="auto" w:fill="auto"/>
            <w:vAlign w:val="center"/>
            <w:hideMark/>
          </w:tcPr>
          <w:p w:rsidR="00BD0A6A" w:rsidRPr="00F30705" w:rsidRDefault="00BD0A6A" w:rsidP="00BD0A6A">
            <w:pPr>
              <w:jc w:val="center"/>
              <w:rPr>
                <w:b/>
                <w:bCs/>
                <w:sz w:val="24"/>
                <w:szCs w:val="24"/>
                <w:u w:val="single"/>
                <w:lang w:eastAsia="es-CR"/>
              </w:rPr>
            </w:pPr>
            <w:r w:rsidRPr="00F30705">
              <w:rPr>
                <w:b/>
                <w:bCs/>
                <w:sz w:val="24"/>
                <w:szCs w:val="24"/>
                <w:u w:val="single"/>
                <w:lang w:eastAsia="es-CR"/>
              </w:rPr>
              <w:t>Título del Delito</w:t>
            </w:r>
          </w:p>
        </w:tc>
        <w:tc>
          <w:tcPr>
            <w:tcW w:w="1640" w:type="dxa"/>
            <w:gridSpan w:val="2"/>
            <w:tcBorders>
              <w:top w:val="nil"/>
              <w:left w:val="nil"/>
              <w:bottom w:val="nil"/>
              <w:right w:val="nil"/>
            </w:tcBorders>
            <w:shd w:val="clear" w:color="auto" w:fill="auto"/>
            <w:vAlign w:val="center"/>
            <w:hideMark/>
          </w:tcPr>
          <w:p w:rsidR="00BD0A6A" w:rsidRPr="00F30705" w:rsidRDefault="00BD0A6A" w:rsidP="00BD0A6A">
            <w:pPr>
              <w:jc w:val="center"/>
              <w:rPr>
                <w:b/>
                <w:bCs/>
                <w:sz w:val="24"/>
                <w:szCs w:val="24"/>
                <w:u w:val="single"/>
                <w:lang w:eastAsia="es-CR"/>
              </w:rPr>
            </w:pPr>
            <w:r w:rsidRPr="00F30705">
              <w:rPr>
                <w:b/>
                <w:bCs/>
                <w:sz w:val="24"/>
                <w:szCs w:val="24"/>
                <w:u w:val="single"/>
                <w:lang w:eastAsia="es-CR"/>
              </w:rPr>
              <w:t>Año</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center"/>
              <w:rPr>
                <w:b/>
                <w:bCs/>
                <w:sz w:val="24"/>
                <w:szCs w:val="24"/>
                <w:u w:val="single"/>
                <w:lang w:eastAsia="es-CR"/>
              </w:rPr>
            </w:pPr>
            <w:r w:rsidRPr="00F30705">
              <w:rPr>
                <w:b/>
                <w:bCs/>
                <w:sz w:val="24"/>
                <w:szCs w:val="24"/>
                <w:u w:val="single"/>
                <w:lang w:eastAsia="es-CR"/>
              </w:rPr>
              <w:t> </w:t>
            </w:r>
          </w:p>
        </w:tc>
        <w:tc>
          <w:tcPr>
            <w:tcW w:w="1340" w:type="dxa"/>
            <w:tcBorders>
              <w:top w:val="nil"/>
              <w:left w:val="nil"/>
              <w:bottom w:val="nil"/>
              <w:right w:val="nil"/>
            </w:tcBorders>
            <w:shd w:val="clear" w:color="auto" w:fill="auto"/>
            <w:vAlign w:val="center"/>
            <w:hideMark/>
          </w:tcPr>
          <w:p w:rsidR="00BD0A6A" w:rsidRPr="00F30705" w:rsidRDefault="00BD0A6A" w:rsidP="00BD0A6A">
            <w:pPr>
              <w:jc w:val="center"/>
              <w:rPr>
                <w:b/>
                <w:bCs/>
                <w:sz w:val="24"/>
                <w:szCs w:val="24"/>
                <w:u w:val="single"/>
                <w:lang w:eastAsia="es-CR"/>
              </w:rPr>
            </w:pPr>
            <w:r w:rsidRPr="00F30705">
              <w:rPr>
                <w:b/>
                <w:bCs/>
                <w:sz w:val="24"/>
                <w:szCs w:val="24"/>
                <w:u w:val="single"/>
                <w:lang w:eastAsia="es-CR"/>
              </w:rPr>
              <w:t>Variación</w:t>
            </w:r>
          </w:p>
        </w:tc>
      </w:tr>
      <w:tr w:rsidR="00BD0A6A" w:rsidRPr="00F30705" w:rsidTr="00BD0A6A">
        <w:trPr>
          <w:trHeight w:val="315"/>
          <w:jc w:val="center"/>
        </w:trPr>
        <w:tc>
          <w:tcPr>
            <w:tcW w:w="4320" w:type="dxa"/>
            <w:vMerge/>
            <w:tcBorders>
              <w:top w:val="nil"/>
              <w:left w:val="nil"/>
              <w:bottom w:val="nil"/>
              <w:right w:val="nil"/>
            </w:tcBorders>
            <w:vAlign w:val="center"/>
            <w:hideMark/>
          </w:tcPr>
          <w:p w:rsidR="00BD0A6A" w:rsidRPr="00F30705" w:rsidRDefault="00BD0A6A" w:rsidP="00BD0A6A">
            <w:pPr>
              <w:rPr>
                <w:b/>
                <w:bCs/>
                <w:sz w:val="24"/>
                <w:szCs w:val="24"/>
                <w:u w:val="single"/>
                <w:lang w:eastAsia="es-CR"/>
              </w:rPr>
            </w:pPr>
          </w:p>
        </w:tc>
        <w:tc>
          <w:tcPr>
            <w:tcW w:w="820" w:type="dxa"/>
            <w:tcBorders>
              <w:top w:val="nil"/>
              <w:left w:val="nil"/>
              <w:bottom w:val="nil"/>
              <w:right w:val="nil"/>
            </w:tcBorders>
            <w:shd w:val="clear" w:color="auto" w:fill="auto"/>
            <w:vAlign w:val="center"/>
            <w:hideMark/>
          </w:tcPr>
          <w:p w:rsidR="00BD0A6A" w:rsidRPr="00F30705" w:rsidRDefault="00BD0A6A" w:rsidP="00BD0A6A">
            <w:pPr>
              <w:jc w:val="center"/>
              <w:rPr>
                <w:b/>
                <w:bCs/>
                <w:sz w:val="24"/>
                <w:szCs w:val="24"/>
                <w:u w:val="single"/>
                <w:lang w:eastAsia="es-CR"/>
              </w:rPr>
            </w:pPr>
            <w:r w:rsidRPr="00F30705">
              <w:rPr>
                <w:b/>
                <w:bCs/>
                <w:sz w:val="24"/>
                <w:szCs w:val="24"/>
                <w:u w:val="single"/>
                <w:lang w:eastAsia="es-CR"/>
              </w:rPr>
              <w:t>2013</w:t>
            </w:r>
          </w:p>
        </w:tc>
        <w:tc>
          <w:tcPr>
            <w:tcW w:w="820" w:type="dxa"/>
            <w:tcBorders>
              <w:top w:val="nil"/>
              <w:left w:val="nil"/>
              <w:bottom w:val="nil"/>
              <w:right w:val="nil"/>
            </w:tcBorders>
            <w:shd w:val="clear" w:color="auto" w:fill="auto"/>
            <w:vAlign w:val="center"/>
            <w:hideMark/>
          </w:tcPr>
          <w:p w:rsidR="00BD0A6A" w:rsidRPr="00F30705" w:rsidRDefault="00BD0A6A" w:rsidP="00BD0A6A">
            <w:pPr>
              <w:jc w:val="center"/>
              <w:rPr>
                <w:b/>
                <w:bCs/>
                <w:sz w:val="24"/>
                <w:szCs w:val="24"/>
                <w:u w:val="single"/>
                <w:lang w:eastAsia="es-CR"/>
              </w:rPr>
            </w:pPr>
            <w:r w:rsidRPr="00F30705">
              <w:rPr>
                <w:b/>
                <w:bCs/>
                <w:sz w:val="24"/>
                <w:szCs w:val="24"/>
                <w:u w:val="single"/>
                <w:lang w:eastAsia="es-CR"/>
              </w:rPr>
              <w:t>2014</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center"/>
              <w:rPr>
                <w:b/>
                <w:bCs/>
                <w:sz w:val="24"/>
                <w:szCs w:val="24"/>
                <w:u w:val="single"/>
                <w:lang w:eastAsia="es-CR"/>
              </w:rPr>
            </w:pPr>
            <w:r w:rsidRPr="00F30705">
              <w:rPr>
                <w:b/>
                <w:bCs/>
                <w:sz w:val="24"/>
                <w:szCs w:val="24"/>
                <w:u w:val="single"/>
                <w:lang w:eastAsia="es-CR"/>
              </w:rPr>
              <w:t>2015</w:t>
            </w:r>
          </w:p>
        </w:tc>
        <w:tc>
          <w:tcPr>
            <w:tcW w:w="1340" w:type="dxa"/>
            <w:tcBorders>
              <w:top w:val="nil"/>
              <w:left w:val="nil"/>
              <w:bottom w:val="nil"/>
              <w:right w:val="nil"/>
            </w:tcBorders>
            <w:shd w:val="clear" w:color="auto" w:fill="auto"/>
            <w:vAlign w:val="center"/>
            <w:hideMark/>
          </w:tcPr>
          <w:p w:rsidR="00BD0A6A" w:rsidRPr="00F30705" w:rsidRDefault="00BD0A6A" w:rsidP="00BD0A6A">
            <w:pPr>
              <w:jc w:val="center"/>
              <w:rPr>
                <w:b/>
                <w:bCs/>
                <w:sz w:val="24"/>
                <w:szCs w:val="24"/>
                <w:u w:val="single"/>
                <w:lang w:eastAsia="es-CR"/>
              </w:rPr>
            </w:pPr>
            <w:r w:rsidRPr="00F30705">
              <w:rPr>
                <w:b/>
                <w:bCs/>
                <w:sz w:val="24"/>
                <w:szCs w:val="24"/>
                <w:u w:val="single"/>
                <w:lang w:eastAsia="es-CR"/>
              </w:rPr>
              <w:t>2014/2015</w:t>
            </w:r>
          </w:p>
        </w:tc>
      </w:tr>
      <w:tr w:rsidR="00BD0A6A" w:rsidRPr="00F30705" w:rsidTr="00BD0A6A">
        <w:trPr>
          <w:trHeight w:val="64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jc w:val="center"/>
              <w:rPr>
                <w:b/>
                <w:bCs/>
                <w:sz w:val="24"/>
                <w:szCs w:val="24"/>
                <w:u w:val="double"/>
                <w:lang w:eastAsia="es-CR"/>
              </w:rPr>
            </w:pPr>
            <w:r w:rsidRPr="00F30705">
              <w:rPr>
                <w:b/>
                <w:bCs/>
                <w:sz w:val="24"/>
                <w:szCs w:val="24"/>
                <w:u w:val="double"/>
                <w:lang w:eastAsia="es-CR"/>
              </w:rPr>
              <w:t>Total</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b/>
                <w:bCs/>
                <w:sz w:val="24"/>
                <w:szCs w:val="24"/>
                <w:u w:val="double"/>
                <w:lang w:eastAsia="es-CR"/>
              </w:rPr>
            </w:pPr>
            <w:r w:rsidRPr="00F30705">
              <w:rPr>
                <w:b/>
                <w:bCs/>
                <w:sz w:val="24"/>
                <w:szCs w:val="24"/>
                <w:u w:val="double"/>
                <w:lang w:eastAsia="es-CR"/>
              </w:rPr>
              <w:t>4.491</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b/>
                <w:bCs/>
                <w:sz w:val="24"/>
                <w:szCs w:val="24"/>
                <w:u w:val="double"/>
                <w:lang w:eastAsia="es-CR"/>
              </w:rPr>
            </w:pPr>
            <w:r w:rsidRPr="00F30705">
              <w:rPr>
                <w:b/>
                <w:bCs/>
                <w:sz w:val="24"/>
                <w:szCs w:val="24"/>
                <w:u w:val="double"/>
                <w:lang w:eastAsia="es-CR"/>
              </w:rPr>
              <w:t>4.532</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b/>
                <w:bCs/>
                <w:sz w:val="24"/>
                <w:szCs w:val="24"/>
                <w:u w:val="double"/>
                <w:lang w:eastAsia="es-CR"/>
              </w:rPr>
            </w:pPr>
            <w:r w:rsidRPr="00F30705">
              <w:rPr>
                <w:b/>
                <w:bCs/>
                <w:sz w:val="24"/>
                <w:szCs w:val="24"/>
                <w:u w:val="double"/>
                <w:lang w:eastAsia="es-CR"/>
              </w:rPr>
              <w:t>4.095</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b/>
                <w:bCs/>
                <w:sz w:val="24"/>
                <w:szCs w:val="24"/>
                <w:u w:val="double"/>
                <w:lang w:eastAsia="es-CR"/>
              </w:rPr>
            </w:pPr>
            <w:r w:rsidRPr="00F30705">
              <w:rPr>
                <w:b/>
                <w:bCs/>
                <w:sz w:val="24"/>
                <w:szCs w:val="24"/>
                <w:u w:val="double"/>
                <w:lang w:eastAsia="es-CR"/>
              </w:rPr>
              <w:t>41</w:t>
            </w:r>
          </w:p>
        </w:tc>
      </w:tr>
      <w:tr w:rsidR="00BD0A6A" w:rsidRPr="00F30705" w:rsidTr="00BD0A6A">
        <w:trPr>
          <w:trHeight w:val="315"/>
          <w:jc w:val="center"/>
        </w:trPr>
        <w:tc>
          <w:tcPr>
            <w:tcW w:w="8120" w:type="dxa"/>
            <w:gridSpan w:val="5"/>
            <w:tcBorders>
              <w:top w:val="nil"/>
              <w:left w:val="nil"/>
              <w:bottom w:val="nil"/>
              <w:right w:val="nil"/>
            </w:tcBorders>
            <w:shd w:val="clear" w:color="000000" w:fill="FFC000"/>
            <w:vAlign w:val="center"/>
            <w:hideMark/>
          </w:tcPr>
          <w:p w:rsidR="00BD0A6A" w:rsidRPr="00F30705" w:rsidRDefault="00BD0A6A" w:rsidP="00BD0A6A">
            <w:pPr>
              <w:jc w:val="center"/>
              <w:rPr>
                <w:b/>
                <w:bCs/>
                <w:sz w:val="24"/>
                <w:szCs w:val="24"/>
                <w:lang w:eastAsia="es-CR"/>
              </w:rPr>
            </w:pPr>
            <w:r w:rsidRPr="00F30705">
              <w:rPr>
                <w:b/>
                <w:bCs/>
                <w:sz w:val="24"/>
                <w:szCs w:val="24"/>
                <w:lang w:eastAsia="es-CR"/>
              </w:rPr>
              <w:t>Aumentos de un año al otro</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propiedad</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1.587</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1.640</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1.423</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53</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Sexuales</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577</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632</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536</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50</w:t>
            </w:r>
          </w:p>
        </w:tc>
      </w:tr>
      <w:tr w:rsidR="00BD0A6A" w:rsidRPr="00F30705" w:rsidTr="00BD0A6A">
        <w:trPr>
          <w:trHeight w:val="315"/>
          <w:jc w:val="center"/>
        </w:trPr>
        <w:tc>
          <w:tcPr>
            <w:tcW w:w="4320" w:type="dxa"/>
            <w:tcBorders>
              <w:top w:val="nil"/>
              <w:left w:val="nil"/>
              <w:bottom w:val="nil"/>
              <w:right w:val="nil"/>
            </w:tcBorders>
            <w:shd w:val="clear" w:color="000000" w:fill="FFFFFF"/>
            <w:vAlign w:val="center"/>
            <w:hideMark/>
          </w:tcPr>
          <w:p w:rsidR="00BD0A6A" w:rsidRPr="00F30705" w:rsidRDefault="00BD0A6A" w:rsidP="00BD0A6A">
            <w:pPr>
              <w:rPr>
                <w:sz w:val="24"/>
                <w:szCs w:val="24"/>
                <w:lang w:eastAsia="es-CR"/>
              </w:rPr>
            </w:pPr>
            <w:r w:rsidRPr="00F30705">
              <w:rPr>
                <w:sz w:val="24"/>
                <w:szCs w:val="24"/>
                <w:lang w:eastAsia="es-CR"/>
              </w:rPr>
              <w:t>Infrac. Ley protección adulto mayor</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3</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5</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10</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50</w:t>
            </w:r>
          </w:p>
        </w:tc>
      </w:tr>
      <w:tr w:rsidR="00BD0A6A" w:rsidRPr="00F30705" w:rsidTr="00BD0A6A">
        <w:trPr>
          <w:trHeight w:val="315"/>
          <w:jc w:val="center"/>
        </w:trPr>
        <w:tc>
          <w:tcPr>
            <w:tcW w:w="4320" w:type="dxa"/>
            <w:tcBorders>
              <w:top w:val="nil"/>
              <w:left w:val="nil"/>
              <w:bottom w:val="nil"/>
              <w:right w:val="nil"/>
            </w:tcBorders>
            <w:shd w:val="clear" w:color="000000" w:fill="FFFFFF"/>
            <w:vAlign w:val="center"/>
            <w:hideMark/>
          </w:tcPr>
          <w:p w:rsidR="00BD0A6A" w:rsidRPr="00F30705" w:rsidRDefault="00BD0A6A" w:rsidP="00BD0A6A">
            <w:pPr>
              <w:rPr>
                <w:sz w:val="24"/>
                <w:szCs w:val="24"/>
                <w:lang w:eastAsia="es-CR"/>
              </w:rPr>
            </w:pPr>
            <w:r w:rsidRPr="00F30705">
              <w:rPr>
                <w:sz w:val="24"/>
                <w:szCs w:val="24"/>
                <w:lang w:eastAsia="es-CR"/>
              </w:rPr>
              <w:t>Infrac. Ley conservación vida silvestre</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13</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19</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50</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el honor</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84</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130</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89</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46</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libertad</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77</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114</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88</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37</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vida</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606</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639</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621</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33</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seguridad común</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77</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89</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99</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12</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tranquilidad pública</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2</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12</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14</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10</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Infrac. otras leyes especiales</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24</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33</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56</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9</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administración de justicia</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60</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63</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50</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3</w:t>
            </w:r>
          </w:p>
        </w:tc>
      </w:tr>
      <w:tr w:rsidR="00BD0A6A" w:rsidRPr="00F30705" w:rsidTr="00BD0A6A">
        <w:trPr>
          <w:trHeight w:val="315"/>
          <w:jc w:val="center"/>
        </w:trPr>
        <w:tc>
          <w:tcPr>
            <w:tcW w:w="8120" w:type="dxa"/>
            <w:gridSpan w:val="5"/>
            <w:tcBorders>
              <w:top w:val="nil"/>
              <w:left w:val="nil"/>
              <w:bottom w:val="nil"/>
              <w:right w:val="nil"/>
            </w:tcBorders>
            <w:shd w:val="clear" w:color="000000" w:fill="FFC000"/>
            <w:vAlign w:val="center"/>
            <w:hideMark/>
          </w:tcPr>
          <w:p w:rsidR="00BD0A6A" w:rsidRPr="00F30705" w:rsidRDefault="00BD0A6A" w:rsidP="00BD0A6A">
            <w:pPr>
              <w:jc w:val="center"/>
              <w:rPr>
                <w:b/>
                <w:bCs/>
                <w:sz w:val="24"/>
                <w:szCs w:val="24"/>
                <w:lang w:eastAsia="es-CR"/>
              </w:rPr>
            </w:pPr>
            <w:r w:rsidRPr="00F30705">
              <w:rPr>
                <w:b/>
                <w:bCs/>
                <w:sz w:val="24"/>
                <w:szCs w:val="24"/>
                <w:lang w:eastAsia="es-CR"/>
              </w:rPr>
              <w:t>Disminuciones de un año al otro</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Infrac. Ley Penal. Viol. Ctra. Mujer</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402</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363</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342</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-39</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autoridad pública</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220</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182</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183</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-38</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Infrac. Ley de Psicotrópicos</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282</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245</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211</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-37</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Infrac. Ley de Armas y Explosivos</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127</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94</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107</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-33</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familia</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41</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20</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28</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-21</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deberes de la func. pública</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78</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77</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59</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-18</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Infrac. Ley Forestal</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81</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63</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61</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-18</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lastRenderedPageBreak/>
              <w:t>Contra la fe pública</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101</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87</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62</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-14</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el ámbito de la intimidad</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39</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33</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34</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-6</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 xml:space="preserve">Contravenciones </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5</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1</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0</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-4</w:t>
            </w:r>
          </w:p>
        </w:tc>
      </w:tr>
      <w:tr w:rsidR="00BD0A6A" w:rsidRPr="00F30705" w:rsidTr="00BD0A6A">
        <w:trPr>
          <w:trHeight w:val="315"/>
          <w:jc w:val="center"/>
        </w:trPr>
        <w:tc>
          <w:tcPr>
            <w:tcW w:w="4320" w:type="dxa"/>
            <w:tcBorders>
              <w:top w:val="nil"/>
              <w:left w:val="nil"/>
              <w:bottom w:val="nil"/>
              <w:right w:val="nil"/>
            </w:tcBorders>
            <w:shd w:val="clear" w:color="auto" w:fill="auto"/>
            <w:vAlign w:val="center"/>
            <w:hideMark/>
          </w:tcPr>
          <w:p w:rsidR="00BD0A6A" w:rsidRPr="00F30705" w:rsidRDefault="00BD0A6A" w:rsidP="00BD0A6A">
            <w:pPr>
              <w:rPr>
                <w:sz w:val="24"/>
                <w:szCs w:val="24"/>
                <w:lang w:eastAsia="es-CR"/>
              </w:rPr>
            </w:pPr>
            <w:r w:rsidRPr="00F30705">
              <w:rPr>
                <w:sz w:val="24"/>
                <w:szCs w:val="24"/>
                <w:lang w:eastAsia="es-CR"/>
              </w:rPr>
              <w:t>Contra la buena fe de los negocios</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5</w:t>
            </w:r>
          </w:p>
        </w:tc>
        <w:tc>
          <w:tcPr>
            <w:tcW w:w="820" w:type="dxa"/>
            <w:tcBorders>
              <w:top w:val="nil"/>
              <w:left w:val="nil"/>
              <w:bottom w:val="nil"/>
              <w:right w:val="nil"/>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4</w:t>
            </w:r>
          </w:p>
        </w:tc>
        <w:tc>
          <w:tcPr>
            <w:tcW w:w="820" w:type="dxa"/>
            <w:tcBorders>
              <w:top w:val="nil"/>
              <w:left w:val="nil"/>
              <w:bottom w:val="nil"/>
              <w:right w:val="double" w:sz="6" w:space="0" w:color="auto"/>
            </w:tcBorders>
            <w:shd w:val="clear" w:color="auto" w:fill="auto"/>
            <w:vAlign w:val="center"/>
            <w:hideMark/>
          </w:tcPr>
          <w:p w:rsidR="00BD0A6A" w:rsidRPr="00F30705" w:rsidRDefault="00BD0A6A" w:rsidP="00BD0A6A">
            <w:pPr>
              <w:jc w:val="right"/>
              <w:rPr>
                <w:sz w:val="24"/>
                <w:szCs w:val="24"/>
                <w:lang w:eastAsia="es-CR"/>
              </w:rPr>
            </w:pPr>
            <w:r w:rsidRPr="00F30705">
              <w:rPr>
                <w:sz w:val="24"/>
                <w:szCs w:val="24"/>
                <w:lang w:eastAsia="es-CR"/>
              </w:rPr>
              <w:t>3</w:t>
            </w:r>
          </w:p>
        </w:tc>
        <w:tc>
          <w:tcPr>
            <w:tcW w:w="1340" w:type="dxa"/>
            <w:tcBorders>
              <w:top w:val="nil"/>
              <w:left w:val="nil"/>
              <w:bottom w:val="nil"/>
              <w:right w:val="nil"/>
            </w:tcBorders>
            <w:shd w:val="clear" w:color="auto" w:fill="auto"/>
            <w:vAlign w:val="center"/>
            <w:hideMark/>
          </w:tcPr>
          <w:p w:rsidR="00BD0A6A" w:rsidRPr="00F30705" w:rsidRDefault="00BD0A6A" w:rsidP="00B31FCD">
            <w:pPr>
              <w:ind w:right="330"/>
              <w:jc w:val="right"/>
              <w:rPr>
                <w:sz w:val="24"/>
                <w:szCs w:val="24"/>
                <w:lang w:eastAsia="es-CR"/>
              </w:rPr>
            </w:pPr>
            <w:r w:rsidRPr="00F30705">
              <w:rPr>
                <w:sz w:val="24"/>
                <w:szCs w:val="24"/>
                <w:lang w:eastAsia="es-CR"/>
              </w:rPr>
              <w:t>-1</w:t>
            </w:r>
          </w:p>
        </w:tc>
      </w:tr>
    </w:tbl>
    <w:p w:rsidR="00BD0A6A" w:rsidRPr="00F30705" w:rsidRDefault="00BD0A6A" w:rsidP="00A61A32">
      <w:pPr>
        <w:spacing w:line="360" w:lineRule="auto"/>
        <w:jc w:val="both"/>
        <w:rPr>
          <w:b/>
          <w:bCs/>
          <w:sz w:val="28"/>
          <w:szCs w:val="28"/>
          <w:u w:val="single"/>
        </w:rPr>
      </w:pPr>
    </w:p>
    <w:p w:rsidR="00A61A32" w:rsidRPr="00F30705" w:rsidRDefault="00B51898" w:rsidP="00B51898">
      <w:pPr>
        <w:spacing w:line="360" w:lineRule="auto"/>
        <w:jc w:val="both"/>
        <w:rPr>
          <w:sz w:val="28"/>
          <w:szCs w:val="28"/>
        </w:rPr>
      </w:pPr>
      <w:r w:rsidRPr="00F30705">
        <w:rPr>
          <w:b/>
          <w:bCs/>
          <w:sz w:val="28"/>
          <w:szCs w:val="28"/>
        </w:rPr>
        <w:t xml:space="preserve">V. </w:t>
      </w:r>
      <w:r w:rsidR="00A61A32" w:rsidRPr="00F30705">
        <w:rPr>
          <w:b/>
          <w:bCs/>
          <w:sz w:val="28"/>
          <w:szCs w:val="28"/>
        </w:rPr>
        <w:t>Otros aspectos generales</w:t>
      </w:r>
      <w:r w:rsidR="00A61A32" w:rsidRPr="00F30705">
        <w:rPr>
          <w:sz w:val="28"/>
          <w:szCs w:val="28"/>
        </w:rPr>
        <w:t xml:space="preserve"> </w:t>
      </w:r>
    </w:p>
    <w:p w:rsidR="00A61A32" w:rsidRPr="00F30705" w:rsidRDefault="00A61A32" w:rsidP="00A61A32">
      <w:pPr>
        <w:spacing w:line="360" w:lineRule="auto"/>
        <w:jc w:val="both"/>
      </w:pPr>
    </w:p>
    <w:p w:rsidR="00A61A32" w:rsidRPr="00F30705" w:rsidRDefault="00A61A32" w:rsidP="00A61A32">
      <w:pPr>
        <w:spacing w:line="360" w:lineRule="auto"/>
        <w:jc w:val="both"/>
      </w:pPr>
      <w:r w:rsidRPr="00F30705">
        <w:rPr>
          <w:sz w:val="28"/>
          <w:szCs w:val="28"/>
        </w:rPr>
        <w:t xml:space="preserve">El resultado de la relación de personas condenadas sobre los casos terminados por sentencia se detalla en el siguiente recuadro. </w:t>
      </w:r>
      <w:r w:rsidR="00305B95" w:rsidRPr="00F30705">
        <w:rPr>
          <w:sz w:val="28"/>
          <w:szCs w:val="28"/>
        </w:rPr>
        <w:t xml:space="preserve">En este año, el valor de tal relación se incrementa colocándose cercano al nivel observado del 2011 al 2013. </w:t>
      </w:r>
      <w:r w:rsidRPr="00F30705">
        <w:rPr>
          <w:sz w:val="28"/>
          <w:szCs w:val="28"/>
        </w:rPr>
        <w:t>En el 201</w:t>
      </w:r>
      <w:r w:rsidR="00305B95" w:rsidRPr="00F30705">
        <w:rPr>
          <w:sz w:val="28"/>
          <w:szCs w:val="28"/>
        </w:rPr>
        <w:t>5</w:t>
      </w:r>
      <w:r w:rsidRPr="00F30705">
        <w:rPr>
          <w:sz w:val="28"/>
          <w:szCs w:val="28"/>
        </w:rPr>
        <w:t xml:space="preserve">, se dieron </w:t>
      </w:r>
      <w:r w:rsidR="00305B95" w:rsidRPr="00F30705">
        <w:rPr>
          <w:b/>
          <w:sz w:val="28"/>
          <w:szCs w:val="28"/>
        </w:rPr>
        <w:t>80</w:t>
      </w:r>
      <w:r w:rsidRPr="00F30705">
        <w:rPr>
          <w:sz w:val="28"/>
          <w:szCs w:val="28"/>
        </w:rPr>
        <w:t xml:space="preserve"> </w:t>
      </w:r>
      <w:r w:rsidR="00305B95" w:rsidRPr="00F30705">
        <w:rPr>
          <w:sz w:val="28"/>
          <w:szCs w:val="28"/>
        </w:rPr>
        <w:t xml:space="preserve">personas </w:t>
      </w:r>
      <w:r w:rsidRPr="00F30705">
        <w:rPr>
          <w:sz w:val="28"/>
          <w:szCs w:val="28"/>
        </w:rPr>
        <w:t>condena</w:t>
      </w:r>
      <w:r w:rsidR="00305B95" w:rsidRPr="00F30705">
        <w:rPr>
          <w:sz w:val="28"/>
          <w:szCs w:val="28"/>
        </w:rPr>
        <w:t>das</w:t>
      </w:r>
      <w:r w:rsidRPr="00F30705">
        <w:rPr>
          <w:sz w:val="28"/>
          <w:szCs w:val="28"/>
        </w:rPr>
        <w:t xml:space="preserve"> por cada </w:t>
      </w:r>
      <w:r w:rsidR="00B67BD2" w:rsidRPr="00F30705">
        <w:rPr>
          <w:sz w:val="28"/>
          <w:szCs w:val="28"/>
        </w:rPr>
        <w:t xml:space="preserve">100 </w:t>
      </w:r>
      <w:r w:rsidRPr="00F30705">
        <w:rPr>
          <w:sz w:val="28"/>
          <w:szCs w:val="28"/>
        </w:rPr>
        <w:t>casos terminados con sentencia</w:t>
      </w:r>
      <w:r w:rsidR="00305B95" w:rsidRPr="00F30705">
        <w:rPr>
          <w:sz w:val="28"/>
          <w:szCs w:val="28"/>
        </w:rPr>
        <w:t xml:space="preserve">; valor que es ligeramente superior al patrón del periodos 2011-2013 cuando anualmente se condenaban </w:t>
      </w:r>
      <w:r w:rsidRPr="00F30705">
        <w:rPr>
          <w:b/>
          <w:sz w:val="28"/>
          <w:szCs w:val="28"/>
        </w:rPr>
        <w:t>7</w:t>
      </w:r>
      <w:r w:rsidR="00305B95" w:rsidRPr="00F30705">
        <w:rPr>
          <w:b/>
          <w:sz w:val="28"/>
          <w:szCs w:val="28"/>
        </w:rPr>
        <w:t>9</w:t>
      </w:r>
      <w:r w:rsidRPr="00F30705">
        <w:rPr>
          <w:sz w:val="28"/>
          <w:szCs w:val="28"/>
        </w:rPr>
        <w:t xml:space="preserve"> condenas por cada 100 casos terminados con sentencia. </w:t>
      </w:r>
    </w:p>
    <w:p w:rsidR="00A61A32" w:rsidRPr="00F30705" w:rsidRDefault="00A61A32" w:rsidP="00A61A32"/>
    <w:tbl>
      <w:tblPr>
        <w:tblW w:w="7380" w:type="dxa"/>
        <w:jc w:val="center"/>
        <w:tblCellMar>
          <w:left w:w="70" w:type="dxa"/>
          <w:right w:w="70" w:type="dxa"/>
        </w:tblCellMar>
        <w:tblLook w:val="0000" w:firstRow="0" w:lastRow="0" w:firstColumn="0" w:lastColumn="0" w:noHBand="0" w:noVBand="0"/>
      </w:tblPr>
      <w:tblGrid>
        <w:gridCol w:w="1216"/>
        <w:gridCol w:w="1681"/>
        <w:gridCol w:w="1618"/>
        <w:gridCol w:w="2865"/>
      </w:tblGrid>
      <w:tr w:rsidR="00A61A32" w:rsidRPr="00F30705" w:rsidTr="00A61A32">
        <w:trPr>
          <w:trHeight w:val="255"/>
          <w:tblHeader/>
          <w:jc w:val="center"/>
        </w:trPr>
        <w:tc>
          <w:tcPr>
            <w:tcW w:w="1216" w:type="dxa"/>
            <w:tcBorders>
              <w:top w:val="single" w:sz="4" w:space="0" w:color="auto"/>
              <w:left w:val="nil"/>
              <w:bottom w:val="nil"/>
              <w:right w:val="nil"/>
            </w:tcBorders>
            <w:noWrap/>
            <w:vAlign w:val="center"/>
          </w:tcPr>
          <w:p w:rsidR="00A61A32" w:rsidRPr="00F30705" w:rsidRDefault="00A61A32" w:rsidP="00A61A32">
            <w:pPr>
              <w:jc w:val="center"/>
              <w:rPr>
                <w:color w:val="000000"/>
              </w:rPr>
            </w:pPr>
            <w:r w:rsidRPr="00F30705">
              <w:rPr>
                <w:sz w:val="28"/>
                <w:szCs w:val="28"/>
              </w:rPr>
              <w:br w:type="page"/>
            </w:r>
          </w:p>
        </w:tc>
        <w:tc>
          <w:tcPr>
            <w:tcW w:w="1681" w:type="dxa"/>
            <w:tcBorders>
              <w:top w:val="single" w:sz="4" w:space="0" w:color="auto"/>
              <w:left w:val="nil"/>
              <w:bottom w:val="nil"/>
              <w:right w:val="nil"/>
            </w:tcBorders>
            <w:noWrap/>
            <w:vAlign w:val="center"/>
          </w:tcPr>
          <w:p w:rsidR="00A61A32" w:rsidRPr="00F30705" w:rsidRDefault="00A61A32" w:rsidP="00A61A32">
            <w:pPr>
              <w:jc w:val="center"/>
              <w:rPr>
                <w:color w:val="000000"/>
              </w:rPr>
            </w:pPr>
          </w:p>
        </w:tc>
        <w:tc>
          <w:tcPr>
            <w:tcW w:w="1618" w:type="dxa"/>
            <w:tcBorders>
              <w:top w:val="single" w:sz="4" w:space="0" w:color="auto"/>
              <w:left w:val="nil"/>
              <w:bottom w:val="nil"/>
              <w:right w:val="nil"/>
            </w:tcBorders>
            <w:noWrap/>
            <w:vAlign w:val="center"/>
          </w:tcPr>
          <w:p w:rsidR="00A61A32" w:rsidRPr="00F30705" w:rsidRDefault="00A61A32" w:rsidP="00A61A32">
            <w:pPr>
              <w:jc w:val="center"/>
              <w:rPr>
                <w:color w:val="000000"/>
              </w:rPr>
            </w:pPr>
          </w:p>
        </w:tc>
        <w:tc>
          <w:tcPr>
            <w:tcW w:w="2865" w:type="dxa"/>
            <w:tcBorders>
              <w:top w:val="single" w:sz="4" w:space="0" w:color="auto"/>
              <w:left w:val="nil"/>
              <w:bottom w:val="nil"/>
              <w:right w:val="nil"/>
            </w:tcBorders>
            <w:vAlign w:val="center"/>
          </w:tcPr>
          <w:p w:rsidR="00A61A32" w:rsidRPr="00F30705" w:rsidRDefault="00A61A32" w:rsidP="00A61A32">
            <w:pPr>
              <w:jc w:val="center"/>
              <w:rPr>
                <w:color w:val="000000"/>
              </w:rPr>
            </w:pPr>
          </w:p>
        </w:tc>
      </w:tr>
      <w:tr w:rsidR="00A61A32" w:rsidRPr="00F30705" w:rsidTr="00A61A32">
        <w:trPr>
          <w:trHeight w:val="255"/>
          <w:tblHeader/>
          <w:jc w:val="center"/>
        </w:trPr>
        <w:tc>
          <w:tcPr>
            <w:tcW w:w="1216" w:type="dxa"/>
            <w:tcBorders>
              <w:top w:val="nil"/>
              <w:left w:val="nil"/>
              <w:bottom w:val="nil"/>
              <w:right w:val="nil"/>
            </w:tcBorders>
            <w:noWrap/>
            <w:vAlign w:val="center"/>
          </w:tcPr>
          <w:p w:rsidR="00A61A32" w:rsidRPr="00F30705" w:rsidRDefault="00A61A32" w:rsidP="00A61A32">
            <w:pPr>
              <w:jc w:val="center"/>
              <w:rPr>
                <w:color w:val="000000"/>
              </w:rPr>
            </w:pPr>
            <w:r w:rsidRPr="00F30705">
              <w:rPr>
                <w:b/>
                <w:bCs/>
                <w:color w:val="000000"/>
              </w:rPr>
              <w:t>Año</w:t>
            </w:r>
          </w:p>
        </w:tc>
        <w:tc>
          <w:tcPr>
            <w:tcW w:w="1681" w:type="dxa"/>
            <w:tcBorders>
              <w:top w:val="nil"/>
              <w:left w:val="nil"/>
              <w:bottom w:val="nil"/>
              <w:right w:val="nil"/>
            </w:tcBorders>
            <w:noWrap/>
            <w:vAlign w:val="center"/>
          </w:tcPr>
          <w:p w:rsidR="00A61A32" w:rsidRPr="00F30705" w:rsidRDefault="00A61A32" w:rsidP="00A61A32">
            <w:pPr>
              <w:jc w:val="center"/>
              <w:rPr>
                <w:color w:val="000000"/>
              </w:rPr>
            </w:pPr>
            <w:r w:rsidRPr="00F30705">
              <w:rPr>
                <w:b/>
                <w:bCs/>
                <w:color w:val="000000"/>
              </w:rPr>
              <w:t>Casos</w:t>
            </w:r>
          </w:p>
        </w:tc>
        <w:tc>
          <w:tcPr>
            <w:tcW w:w="1618" w:type="dxa"/>
            <w:tcBorders>
              <w:top w:val="nil"/>
              <w:left w:val="nil"/>
              <w:bottom w:val="nil"/>
              <w:right w:val="nil"/>
            </w:tcBorders>
            <w:noWrap/>
            <w:vAlign w:val="center"/>
          </w:tcPr>
          <w:p w:rsidR="00A61A32" w:rsidRPr="00F30705" w:rsidRDefault="00A61A32" w:rsidP="00A61A32">
            <w:pPr>
              <w:jc w:val="center"/>
              <w:rPr>
                <w:color w:val="000000"/>
              </w:rPr>
            </w:pPr>
            <w:r w:rsidRPr="00F30705">
              <w:rPr>
                <w:b/>
                <w:bCs/>
                <w:color w:val="000000"/>
              </w:rPr>
              <w:t>Personas</w:t>
            </w:r>
          </w:p>
        </w:tc>
        <w:tc>
          <w:tcPr>
            <w:tcW w:w="2865" w:type="dxa"/>
            <w:tcBorders>
              <w:top w:val="nil"/>
              <w:left w:val="nil"/>
              <w:bottom w:val="nil"/>
              <w:right w:val="nil"/>
            </w:tcBorders>
            <w:noWrap/>
            <w:vAlign w:val="center"/>
          </w:tcPr>
          <w:p w:rsidR="00A61A32" w:rsidRPr="00F30705" w:rsidRDefault="00A61A32" w:rsidP="00A61A32">
            <w:pPr>
              <w:jc w:val="center"/>
              <w:rPr>
                <w:b/>
                <w:bCs/>
              </w:rPr>
            </w:pPr>
            <w:r w:rsidRPr="00F30705">
              <w:rPr>
                <w:b/>
                <w:bCs/>
              </w:rPr>
              <w:t>Personas condenados (as)</w:t>
            </w:r>
          </w:p>
        </w:tc>
      </w:tr>
      <w:tr w:rsidR="00A61A32" w:rsidRPr="00F30705" w:rsidTr="00A61A32">
        <w:trPr>
          <w:trHeight w:val="255"/>
          <w:tblHeader/>
          <w:jc w:val="center"/>
        </w:trPr>
        <w:tc>
          <w:tcPr>
            <w:tcW w:w="1216" w:type="dxa"/>
            <w:tcBorders>
              <w:top w:val="nil"/>
              <w:left w:val="nil"/>
              <w:bottom w:val="nil"/>
              <w:right w:val="nil"/>
            </w:tcBorders>
            <w:noWrap/>
            <w:vAlign w:val="center"/>
          </w:tcPr>
          <w:p w:rsidR="00A61A32" w:rsidRPr="00F30705" w:rsidRDefault="00A61A32" w:rsidP="00A61A32">
            <w:pPr>
              <w:jc w:val="center"/>
              <w:rPr>
                <w:b/>
                <w:bCs/>
                <w:color w:val="000000"/>
              </w:rPr>
            </w:pPr>
          </w:p>
        </w:tc>
        <w:tc>
          <w:tcPr>
            <w:tcW w:w="1681" w:type="dxa"/>
            <w:tcBorders>
              <w:top w:val="nil"/>
              <w:left w:val="nil"/>
              <w:bottom w:val="nil"/>
              <w:right w:val="nil"/>
            </w:tcBorders>
            <w:noWrap/>
            <w:vAlign w:val="center"/>
          </w:tcPr>
          <w:p w:rsidR="00A61A32" w:rsidRPr="00F30705" w:rsidRDefault="00A61A32" w:rsidP="00A61A32">
            <w:pPr>
              <w:jc w:val="center"/>
              <w:rPr>
                <w:b/>
                <w:bCs/>
                <w:color w:val="000000"/>
              </w:rPr>
            </w:pPr>
            <w:r w:rsidRPr="00F30705">
              <w:rPr>
                <w:b/>
                <w:bCs/>
                <w:color w:val="000000"/>
              </w:rPr>
              <w:t>Terminados</w:t>
            </w:r>
          </w:p>
        </w:tc>
        <w:tc>
          <w:tcPr>
            <w:tcW w:w="1618" w:type="dxa"/>
            <w:tcBorders>
              <w:top w:val="nil"/>
              <w:left w:val="nil"/>
              <w:bottom w:val="nil"/>
              <w:right w:val="nil"/>
            </w:tcBorders>
            <w:noWrap/>
            <w:vAlign w:val="center"/>
          </w:tcPr>
          <w:p w:rsidR="00A61A32" w:rsidRPr="00F30705" w:rsidRDefault="00A61A32" w:rsidP="00A61A32">
            <w:pPr>
              <w:jc w:val="center"/>
              <w:rPr>
                <w:b/>
                <w:bCs/>
                <w:color w:val="000000"/>
              </w:rPr>
            </w:pPr>
            <w:r w:rsidRPr="00F30705">
              <w:rPr>
                <w:b/>
                <w:bCs/>
              </w:rPr>
              <w:t>Condenadas</w:t>
            </w:r>
          </w:p>
        </w:tc>
        <w:tc>
          <w:tcPr>
            <w:tcW w:w="2865" w:type="dxa"/>
            <w:tcBorders>
              <w:top w:val="nil"/>
              <w:left w:val="nil"/>
              <w:bottom w:val="nil"/>
              <w:right w:val="nil"/>
            </w:tcBorders>
            <w:noWrap/>
            <w:vAlign w:val="center"/>
          </w:tcPr>
          <w:p w:rsidR="00A61A32" w:rsidRPr="00F30705" w:rsidRDefault="00A61A32" w:rsidP="00A61A32">
            <w:pPr>
              <w:jc w:val="center"/>
              <w:rPr>
                <w:b/>
                <w:bCs/>
              </w:rPr>
            </w:pPr>
            <w:r w:rsidRPr="00F30705">
              <w:rPr>
                <w:b/>
                <w:bCs/>
              </w:rPr>
              <w:t>por cada 100 casos</w:t>
            </w:r>
          </w:p>
        </w:tc>
      </w:tr>
      <w:tr w:rsidR="00A61A32" w:rsidRPr="00F30705" w:rsidTr="00A61A32">
        <w:trPr>
          <w:trHeight w:val="255"/>
          <w:tblHeader/>
          <w:jc w:val="center"/>
        </w:trPr>
        <w:tc>
          <w:tcPr>
            <w:tcW w:w="1216" w:type="dxa"/>
            <w:tcBorders>
              <w:top w:val="nil"/>
              <w:left w:val="nil"/>
              <w:bottom w:val="nil"/>
              <w:right w:val="nil"/>
            </w:tcBorders>
            <w:noWrap/>
            <w:vAlign w:val="center"/>
          </w:tcPr>
          <w:p w:rsidR="00A61A32" w:rsidRPr="00F30705" w:rsidRDefault="00A61A32" w:rsidP="00A61A32">
            <w:pPr>
              <w:jc w:val="center"/>
              <w:rPr>
                <w:b/>
                <w:bCs/>
                <w:color w:val="000000"/>
              </w:rPr>
            </w:pPr>
          </w:p>
        </w:tc>
        <w:tc>
          <w:tcPr>
            <w:tcW w:w="1681" w:type="dxa"/>
            <w:tcBorders>
              <w:top w:val="nil"/>
              <w:left w:val="nil"/>
              <w:bottom w:val="nil"/>
              <w:right w:val="nil"/>
            </w:tcBorders>
            <w:noWrap/>
            <w:vAlign w:val="center"/>
          </w:tcPr>
          <w:p w:rsidR="00A61A32" w:rsidRPr="00F30705" w:rsidRDefault="00A61A32" w:rsidP="00A61A32">
            <w:pPr>
              <w:jc w:val="center"/>
              <w:rPr>
                <w:b/>
                <w:bCs/>
                <w:color w:val="000000"/>
              </w:rPr>
            </w:pPr>
            <w:r w:rsidRPr="00F30705">
              <w:rPr>
                <w:b/>
                <w:bCs/>
              </w:rPr>
              <w:t>por Sentencia</w:t>
            </w:r>
          </w:p>
        </w:tc>
        <w:tc>
          <w:tcPr>
            <w:tcW w:w="1618" w:type="dxa"/>
            <w:tcBorders>
              <w:top w:val="nil"/>
              <w:left w:val="nil"/>
              <w:bottom w:val="nil"/>
              <w:right w:val="nil"/>
            </w:tcBorders>
            <w:noWrap/>
            <w:vAlign w:val="center"/>
          </w:tcPr>
          <w:p w:rsidR="00A61A32" w:rsidRPr="00F30705" w:rsidRDefault="00A61A32" w:rsidP="00A61A32">
            <w:pPr>
              <w:jc w:val="center"/>
              <w:rPr>
                <w:b/>
                <w:bCs/>
                <w:color w:val="000000"/>
              </w:rPr>
            </w:pPr>
          </w:p>
        </w:tc>
        <w:tc>
          <w:tcPr>
            <w:tcW w:w="2865" w:type="dxa"/>
            <w:tcBorders>
              <w:top w:val="nil"/>
              <w:left w:val="nil"/>
              <w:bottom w:val="nil"/>
              <w:right w:val="nil"/>
            </w:tcBorders>
            <w:noWrap/>
            <w:vAlign w:val="center"/>
          </w:tcPr>
          <w:p w:rsidR="00A61A32" w:rsidRPr="00F30705" w:rsidRDefault="00A61A32" w:rsidP="00A61A32">
            <w:pPr>
              <w:rPr>
                <w:b/>
                <w:bCs/>
              </w:rPr>
            </w:pPr>
            <w:r w:rsidRPr="00F30705">
              <w:rPr>
                <w:b/>
                <w:bCs/>
              </w:rPr>
              <w:t>Terminados por sentencia</w:t>
            </w:r>
          </w:p>
        </w:tc>
      </w:tr>
      <w:tr w:rsidR="00A61A32" w:rsidRPr="00F30705" w:rsidTr="00A61A32">
        <w:trPr>
          <w:trHeight w:val="255"/>
          <w:jc w:val="center"/>
        </w:trPr>
        <w:tc>
          <w:tcPr>
            <w:tcW w:w="1216" w:type="dxa"/>
            <w:tcBorders>
              <w:top w:val="nil"/>
              <w:left w:val="nil"/>
              <w:bottom w:val="nil"/>
              <w:right w:val="nil"/>
            </w:tcBorders>
            <w:noWrap/>
            <w:vAlign w:val="center"/>
          </w:tcPr>
          <w:p w:rsidR="00A61A32" w:rsidRPr="00F30705" w:rsidRDefault="00A61A32" w:rsidP="00A61A32"/>
        </w:tc>
        <w:tc>
          <w:tcPr>
            <w:tcW w:w="1681" w:type="dxa"/>
            <w:tcBorders>
              <w:top w:val="nil"/>
              <w:left w:val="nil"/>
              <w:bottom w:val="nil"/>
              <w:right w:val="nil"/>
            </w:tcBorders>
            <w:noWrap/>
            <w:vAlign w:val="center"/>
          </w:tcPr>
          <w:p w:rsidR="00A61A32" w:rsidRPr="00F30705" w:rsidRDefault="00A61A32" w:rsidP="00A61A32"/>
        </w:tc>
        <w:tc>
          <w:tcPr>
            <w:tcW w:w="1618" w:type="dxa"/>
            <w:tcBorders>
              <w:top w:val="nil"/>
              <w:left w:val="nil"/>
              <w:bottom w:val="nil"/>
              <w:right w:val="nil"/>
            </w:tcBorders>
            <w:noWrap/>
            <w:vAlign w:val="center"/>
          </w:tcPr>
          <w:p w:rsidR="00A61A32" w:rsidRPr="00F30705" w:rsidRDefault="00A61A32" w:rsidP="00A61A32"/>
        </w:tc>
        <w:tc>
          <w:tcPr>
            <w:tcW w:w="2865" w:type="dxa"/>
            <w:tcBorders>
              <w:top w:val="nil"/>
              <w:left w:val="nil"/>
              <w:bottom w:val="nil"/>
              <w:right w:val="nil"/>
            </w:tcBorders>
            <w:noWrap/>
            <w:vAlign w:val="center"/>
          </w:tcPr>
          <w:p w:rsidR="00A61A32" w:rsidRPr="00F30705" w:rsidRDefault="00A61A32" w:rsidP="00A61A32"/>
        </w:tc>
      </w:tr>
      <w:tr w:rsidR="00A61A32" w:rsidRPr="00F30705" w:rsidTr="00A61A32">
        <w:trPr>
          <w:trHeight w:val="255"/>
          <w:jc w:val="center"/>
        </w:trPr>
        <w:tc>
          <w:tcPr>
            <w:tcW w:w="1216" w:type="dxa"/>
            <w:tcBorders>
              <w:top w:val="nil"/>
              <w:left w:val="nil"/>
              <w:bottom w:val="nil"/>
              <w:right w:val="nil"/>
            </w:tcBorders>
            <w:noWrap/>
            <w:vAlign w:val="center"/>
          </w:tcPr>
          <w:p w:rsidR="00A61A32" w:rsidRPr="00F30705" w:rsidRDefault="00A61A32" w:rsidP="00A61A32">
            <w:pPr>
              <w:jc w:val="center"/>
              <w:rPr>
                <w:color w:val="000000"/>
              </w:rPr>
            </w:pPr>
            <w:r w:rsidRPr="00F30705">
              <w:rPr>
                <w:color w:val="000000"/>
              </w:rPr>
              <w:t>2009</w:t>
            </w:r>
          </w:p>
        </w:tc>
        <w:tc>
          <w:tcPr>
            <w:tcW w:w="1681" w:type="dxa"/>
            <w:tcBorders>
              <w:top w:val="nil"/>
              <w:left w:val="nil"/>
              <w:bottom w:val="nil"/>
              <w:right w:val="nil"/>
            </w:tcBorders>
            <w:noWrap/>
            <w:vAlign w:val="center"/>
          </w:tcPr>
          <w:p w:rsidR="00A61A32" w:rsidRPr="00F30705" w:rsidRDefault="00A61A32" w:rsidP="00A61A32">
            <w:pPr>
              <w:jc w:val="center"/>
              <w:rPr>
                <w:color w:val="000000"/>
              </w:rPr>
            </w:pPr>
            <w:r w:rsidRPr="00F30705">
              <w:rPr>
                <w:color w:val="000000"/>
              </w:rPr>
              <w:t>7.034</w:t>
            </w:r>
          </w:p>
        </w:tc>
        <w:tc>
          <w:tcPr>
            <w:tcW w:w="1618" w:type="dxa"/>
            <w:tcBorders>
              <w:top w:val="nil"/>
              <w:left w:val="nil"/>
              <w:bottom w:val="nil"/>
              <w:right w:val="nil"/>
            </w:tcBorders>
            <w:noWrap/>
            <w:vAlign w:val="center"/>
          </w:tcPr>
          <w:p w:rsidR="00A61A32" w:rsidRPr="00F30705" w:rsidRDefault="00A61A32" w:rsidP="00A61A32">
            <w:pPr>
              <w:jc w:val="center"/>
              <w:rPr>
                <w:color w:val="000000"/>
              </w:rPr>
            </w:pPr>
            <w:r w:rsidRPr="00F30705">
              <w:rPr>
                <w:color w:val="000000"/>
              </w:rPr>
              <w:t>4.969</w:t>
            </w:r>
          </w:p>
        </w:tc>
        <w:tc>
          <w:tcPr>
            <w:tcW w:w="2865"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71</w:t>
            </w:r>
          </w:p>
        </w:tc>
      </w:tr>
      <w:tr w:rsidR="00A61A32" w:rsidRPr="00F30705" w:rsidTr="00A61A32">
        <w:trPr>
          <w:trHeight w:val="255"/>
          <w:jc w:val="center"/>
        </w:trPr>
        <w:tc>
          <w:tcPr>
            <w:tcW w:w="1216" w:type="dxa"/>
            <w:tcBorders>
              <w:top w:val="nil"/>
              <w:left w:val="nil"/>
              <w:bottom w:val="nil"/>
              <w:right w:val="nil"/>
            </w:tcBorders>
            <w:noWrap/>
            <w:vAlign w:val="center"/>
          </w:tcPr>
          <w:p w:rsidR="00A61A32" w:rsidRPr="00F30705" w:rsidRDefault="00A61A32" w:rsidP="00A61A32">
            <w:pPr>
              <w:jc w:val="center"/>
              <w:rPr>
                <w:color w:val="000000"/>
              </w:rPr>
            </w:pPr>
            <w:r w:rsidRPr="00F30705">
              <w:rPr>
                <w:color w:val="000000"/>
              </w:rPr>
              <w:t>2010</w:t>
            </w:r>
          </w:p>
        </w:tc>
        <w:tc>
          <w:tcPr>
            <w:tcW w:w="1681"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7.985</w:t>
            </w:r>
          </w:p>
        </w:tc>
        <w:tc>
          <w:tcPr>
            <w:tcW w:w="1618"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6.039</w:t>
            </w:r>
          </w:p>
        </w:tc>
        <w:tc>
          <w:tcPr>
            <w:tcW w:w="2865"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76</w:t>
            </w:r>
          </w:p>
        </w:tc>
      </w:tr>
      <w:tr w:rsidR="00A61A32" w:rsidRPr="00F30705" w:rsidTr="00A61A32">
        <w:trPr>
          <w:trHeight w:val="255"/>
          <w:jc w:val="center"/>
        </w:trPr>
        <w:tc>
          <w:tcPr>
            <w:tcW w:w="1216" w:type="dxa"/>
            <w:tcBorders>
              <w:top w:val="nil"/>
              <w:left w:val="nil"/>
              <w:bottom w:val="nil"/>
              <w:right w:val="nil"/>
            </w:tcBorders>
            <w:noWrap/>
            <w:vAlign w:val="center"/>
          </w:tcPr>
          <w:p w:rsidR="00A61A32" w:rsidRPr="00F30705" w:rsidRDefault="00A61A32" w:rsidP="00A61A32">
            <w:pPr>
              <w:jc w:val="center"/>
              <w:rPr>
                <w:color w:val="000000"/>
              </w:rPr>
            </w:pPr>
            <w:r w:rsidRPr="00F30705">
              <w:rPr>
                <w:color w:val="000000"/>
              </w:rPr>
              <w:t>2011</w:t>
            </w:r>
          </w:p>
        </w:tc>
        <w:tc>
          <w:tcPr>
            <w:tcW w:w="1681" w:type="dxa"/>
            <w:tcBorders>
              <w:top w:val="nil"/>
              <w:left w:val="nil"/>
              <w:bottom w:val="nil"/>
              <w:right w:val="nil"/>
            </w:tcBorders>
            <w:noWrap/>
            <w:vAlign w:val="center"/>
          </w:tcPr>
          <w:p w:rsidR="00A61A32" w:rsidRPr="00F30705" w:rsidRDefault="00A61A32" w:rsidP="00A61A32">
            <w:pPr>
              <w:jc w:val="center"/>
            </w:pPr>
            <w:r w:rsidRPr="00F30705">
              <w:t>9.006</w:t>
            </w:r>
          </w:p>
        </w:tc>
        <w:tc>
          <w:tcPr>
            <w:tcW w:w="1618"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7.074</w:t>
            </w:r>
          </w:p>
        </w:tc>
        <w:tc>
          <w:tcPr>
            <w:tcW w:w="2865"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79</w:t>
            </w:r>
          </w:p>
        </w:tc>
      </w:tr>
      <w:tr w:rsidR="00A61A32" w:rsidRPr="00F30705" w:rsidTr="00A61A32">
        <w:trPr>
          <w:trHeight w:val="255"/>
          <w:jc w:val="center"/>
        </w:trPr>
        <w:tc>
          <w:tcPr>
            <w:tcW w:w="1216" w:type="dxa"/>
            <w:tcBorders>
              <w:top w:val="nil"/>
              <w:left w:val="nil"/>
              <w:bottom w:val="nil"/>
              <w:right w:val="nil"/>
            </w:tcBorders>
            <w:noWrap/>
            <w:vAlign w:val="center"/>
          </w:tcPr>
          <w:p w:rsidR="00A61A32" w:rsidRPr="00F30705" w:rsidRDefault="00A61A32" w:rsidP="00A61A32">
            <w:pPr>
              <w:jc w:val="center"/>
              <w:rPr>
                <w:color w:val="000000"/>
              </w:rPr>
            </w:pPr>
            <w:r w:rsidRPr="00F30705">
              <w:rPr>
                <w:color w:val="000000"/>
              </w:rPr>
              <w:t>2012</w:t>
            </w:r>
          </w:p>
        </w:tc>
        <w:tc>
          <w:tcPr>
            <w:tcW w:w="1681" w:type="dxa"/>
            <w:tcBorders>
              <w:top w:val="nil"/>
              <w:left w:val="nil"/>
              <w:bottom w:val="nil"/>
              <w:right w:val="nil"/>
            </w:tcBorders>
            <w:noWrap/>
            <w:vAlign w:val="center"/>
          </w:tcPr>
          <w:p w:rsidR="00A61A32" w:rsidRPr="00F30705" w:rsidRDefault="00A61A32" w:rsidP="00A61A32">
            <w:pPr>
              <w:jc w:val="center"/>
            </w:pPr>
            <w:r w:rsidRPr="00F30705">
              <w:t>10.183</w:t>
            </w:r>
          </w:p>
        </w:tc>
        <w:tc>
          <w:tcPr>
            <w:tcW w:w="1618"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8.085</w:t>
            </w:r>
          </w:p>
        </w:tc>
        <w:tc>
          <w:tcPr>
            <w:tcW w:w="2865"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79</w:t>
            </w:r>
          </w:p>
        </w:tc>
      </w:tr>
      <w:tr w:rsidR="00A61A32" w:rsidRPr="00F30705" w:rsidTr="00A61A32">
        <w:trPr>
          <w:trHeight w:val="255"/>
          <w:jc w:val="center"/>
        </w:trPr>
        <w:tc>
          <w:tcPr>
            <w:tcW w:w="1216" w:type="dxa"/>
            <w:tcBorders>
              <w:top w:val="nil"/>
              <w:left w:val="nil"/>
              <w:bottom w:val="nil"/>
              <w:right w:val="nil"/>
            </w:tcBorders>
            <w:noWrap/>
            <w:vAlign w:val="center"/>
          </w:tcPr>
          <w:p w:rsidR="00A61A32" w:rsidRPr="00F30705" w:rsidRDefault="00A61A32" w:rsidP="00A61A32">
            <w:pPr>
              <w:jc w:val="center"/>
              <w:rPr>
                <w:color w:val="000000"/>
              </w:rPr>
            </w:pPr>
            <w:r w:rsidRPr="00F30705">
              <w:rPr>
                <w:color w:val="000000"/>
              </w:rPr>
              <w:t>2013</w:t>
            </w:r>
          </w:p>
        </w:tc>
        <w:tc>
          <w:tcPr>
            <w:tcW w:w="1681" w:type="dxa"/>
            <w:tcBorders>
              <w:top w:val="nil"/>
              <w:left w:val="nil"/>
              <w:bottom w:val="nil"/>
              <w:right w:val="nil"/>
            </w:tcBorders>
            <w:noWrap/>
            <w:vAlign w:val="center"/>
          </w:tcPr>
          <w:p w:rsidR="00A61A32" w:rsidRPr="00F30705" w:rsidRDefault="00A61A32" w:rsidP="00A61A32">
            <w:pPr>
              <w:jc w:val="center"/>
            </w:pPr>
            <w:r w:rsidRPr="00F30705">
              <w:t>11.084</w:t>
            </w:r>
          </w:p>
        </w:tc>
        <w:tc>
          <w:tcPr>
            <w:tcW w:w="1618"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8.777</w:t>
            </w:r>
          </w:p>
        </w:tc>
        <w:tc>
          <w:tcPr>
            <w:tcW w:w="2865" w:type="dxa"/>
            <w:tcBorders>
              <w:top w:val="nil"/>
              <w:left w:val="nil"/>
              <w:bottom w:val="nil"/>
              <w:right w:val="nil"/>
            </w:tcBorders>
            <w:vAlign w:val="center"/>
          </w:tcPr>
          <w:p w:rsidR="00A61A32" w:rsidRPr="00F30705" w:rsidRDefault="00A61A32" w:rsidP="00A61A32">
            <w:pPr>
              <w:jc w:val="center"/>
              <w:rPr>
                <w:color w:val="000000"/>
              </w:rPr>
            </w:pPr>
            <w:r w:rsidRPr="00F30705">
              <w:rPr>
                <w:color w:val="000000"/>
              </w:rPr>
              <w:t>79</w:t>
            </w:r>
          </w:p>
        </w:tc>
      </w:tr>
      <w:tr w:rsidR="00A61A32" w:rsidRPr="00F30705" w:rsidTr="00305B95">
        <w:trPr>
          <w:trHeight w:val="255"/>
          <w:jc w:val="center"/>
        </w:trPr>
        <w:tc>
          <w:tcPr>
            <w:tcW w:w="1216" w:type="dxa"/>
            <w:tcBorders>
              <w:top w:val="nil"/>
              <w:left w:val="nil"/>
              <w:bottom w:val="nil"/>
              <w:right w:val="nil"/>
            </w:tcBorders>
            <w:noWrap/>
            <w:vAlign w:val="center"/>
          </w:tcPr>
          <w:p w:rsidR="00A61A32" w:rsidRPr="00F30705" w:rsidRDefault="00A61A32" w:rsidP="00A61A32">
            <w:pPr>
              <w:jc w:val="center"/>
            </w:pPr>
            <w:r w:rsidRPr="00F30705">
              <w:t>2014</w:t>
            </w:r>
          </w:p>
        </w:tc>
        <w:tc>
          <w:tcPr>
            <w:tcW w:w="1681" w:type="dxa"/>
            <w:tcBorders>
              <w:top w:val="nil"/>
              <w:left w:val="nil"/>
              <w:bottom w:val="nil"/>
              <w:right w:val="nil"/>
            </w:tcBorders>
            <w:noWrap/>
            <w:vAlign w:val="center"/>
          </w:tcPr>
          <w:p w:rsidR="00A61A32" w:rsidRPr="00F30705" w:rsidRDefault="00A61A32" w:rsidP="00305B95">
            <w:pPr>
              <w:jc w:val="center"/>
            </w:pPr>
            <w:r w:rsidRPr="00F30705">
              <w:t>1</w:t>
            </w:r>
            <w:r w:rsidR="00305B95" w:rsidRPr="00F30705">
              <w:t>1.</w:t>
            </w:r>
            <w:r w:rsidRPr="00F30705">
              <w:t>3</w:t>
            </w:r>
            <w:r w:rsidR="00305B95" w:rsidRPr="00F30705">
              <w:t>27</w:t>
            </w:r>
          </w:p>
        </w:tc>
        <w:tc>
          <w:tcPr>
            <w:tcW w:w="1618" w:type="dxa"/>
            <w:tcBorders>
              <w:top w:val="nil"/>
              <w:left w:val="nil"/>
              <w:bottom w:val="nil"/>
              <w:right w:val="nil"/>
            </w:tcBorders>
            <w:noWrap/>
            <w:vAlign w:val="center"/>
          </w:tcPr>
          <w:p w:rsidR="00A61A32" w:rsidRPr="00F30705" w:rsidRDefault="00A61A32" w:rsidP="00A61A32">
            <w:pPr>
              <w:jc w:val="center"/>
            </w:pPr>
            <w:r w:rsidRPr="00F30705">
              <w:t>8</w:t>
            </w:r>
            <w:r w:rsidR="00305B95" w:rsidRPr="00F30705">
              <w:t>.</w:t>
            </w:r>
            <w:r w:rsidRPr="00F30705">
              <w:t>828</w:t>
            </w:r>
          </w:p>
        </w:tc>
        <w:tc>
          <w:tcPr>
            <w:tcW w:w="2865" w:type="dxa"/>
            <w:tcBorders>
              <w:top w:val="nil"/>
              <w:left w:val="nil"/>
              <w:bottom w:val="nil"/>
              <w:right w:val="nil"/>
            </w:tcBorders>
            <w:noWrap/>
            <w:vAlign w:val="center"/>
          </w:tcPr>
          <w:p w:rsidR="00A61A32" w:rsidRPr="00F30705" w:rsidRDefault="00305B95" w:rsidP="00A61A32">
            <w:pPr>
              <w:jc w:val="center"/>
            </w:pPr>
            <w:r w:rsidRPr="00F30705">
              <w:t>77</w:t>
            </w:r>
          </w:p>
        </w:tc>
      </w:tr>
      <w:tr w:rsidR="00305B95" w:rsidRPr="002843C4" w:rsidTr="00A61A32">
        <w:trPr>
          <w:trHeight w:val="255"/>
          <w:jc w:val="center"/>
        </w:trPr>
        <w:tc>
          <w:tcPr>
            <w:tcW w:w="1216" w:type="dxa"/>
            <w:tcBorders>
              <w:top w:val="nil"/>
              <w:left w:val="nil"/>
              <w:bottom w:val="single" w:sz="4" w:space="0" w:color="auto"/>
              <w:right w:val="nil"/>
            </w:tcBorders>
            <w:noWrap/>
            <w:vAlign w:val="center"/>
          </w:tcPr>
          <w:p w:rsidR="00305B95" w:rsidRPr="00F30705" w:rsidRDefault="00305B95" w:rsidP="00A61A32">
            <w:pPr>
              <w:jc w:val="center"/>
            </w:pPr>
            <w:r w:rsidRPr="00F30705">
              <w:t>2015</w:t>
            </w:r>
          </w:p>
        </w:tc>
        <w:tc>
          <w:tcPr>
            <w:tcW w:w="1681" w:type="dxa"/>
            <w:tcBorders>
              <w:top w:val="nil"/>
              <w:left w:val="nil"/>
              <w:bottom w:val="single" w:sz="4" w:space="0" w:color="auto"/>
              <w:right w:val="nil"/>
            </w:tcBorders>
            <w:noWrap/>
            <w:vAlign w:val="center"/>
          </w:tcPr>
          <w:p w:rsidR="00305B95" w:rsidRPr="00F30705" w:rsidRDefault="00305B95" w:rsidP="00A61A32">
            <w:pPr>
              <w:jc w:val="center"/>
            </w:pPr>
            <w:r w:rsidRPr="00F30705">
              <w:t>11.081</w:t>
            </w:r>
          </w:p>
        </w:tc>
        <w:tc>
          <w:tcPr>
            <w:tcW w:w="1618" w:type="dxa"/>
            <w:tcBorders>
              <w:top w:val="nil"/>
              <w:left w:val="nil"/>
              <w:bottom w:val="single" w:sz="4" w:space="0" w:color="auto"/>
              <w:right w:val="nil"/>
            </w:tcBorders>
            <w:noWrap/>
            <w:vAlign w:val="center"/>
          </w:tcPr>
          <w:p w:rsidR="00305B95" w:rsidRPr="00F30705" w:rsidRDefault="00305B95" w:rsidP="00A61A32">
            <w:pPr>
              <w:jc w:val="center"/>
            </w:pPr>
            <w:r w:rsidRPr="00F30705">
              <w:t>8.871</w:t>
            </w:r>
          </w:p>
        </w:tc>
        <w:tc>
          <w:tcPr>
            <w:tcW w:w="2865" w:type="dxa"/>
            <w:tcBorders>
              <w:top w:val="nil"/>
              <w:left w:val="nil"/>
              <w:bottom w:val="single" w:sz="4" w:space="0" w:color="auto"/>
              <w:right w:val="nil"/>
            </w:tcBorders>
            <w:noWrap/>
            <w:vAlign w:val="center"/>
          </w:tcPr>
          <w:p w:rsidR="00305B95" w:rsidRPr="00721FBC" w:rsidRDefault="00305B95" w:rsidP="00A61A32">
            <w:pPr>
              <w:jc w:val="center"/>
            </w:pPr>
            <w:r w:rsidRPr="00F30705">
              <w:t>80</w:t>
            </w:r>
          </w:p>
        </w:tc>
      </w:tr>
    </w:tbl>
    <w:p w:rsidR="00A61A32" w:rsidRDefault="00A61A32" w:rsidP="00A61A32">
      <w:pPr>
        <w:tabs>
          <w:tab w:val="left" w:pos="851"/>
        </w:tabs>
        <w:spacing w:line="360" w:lineRule="auto"/>
        <w:ind w:right="20"/>
      </w:pPr>
    </w:p>
    <w:p w:rsidR="00364509" w:rsidRDefault="00364509" w:rsidP="00A61A32">
      <w:pPr>
        <w:autoSpaceDE w:val="0"/>
        <w:autoSpaceDN w:val="0"/>
        <w:adjustRightInd w:val="0"/>
        <w:jc w:val="both"/>
        <w:rPr>
          <w:b/>
          <w:bCs/>
        </w:rPr>
      </w:pPr>
    </w:p>
    <w:sectPr w:rsidR="00364509" w:rsidSect="00224EE7">
      <w:headerReference w:type="default" r:id="rId26"/>
      <w:footerReference w:type="even" r:id="rId27"/>
      <w:footerReference w:type="default" r:id="rId28"/>
      <w:pgSz w:w="12242" w:h="15842" w:code="1"/>
      <w:pgMar w:top="226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BD" w:rsidRDefault="00101ABD">
      <w:r>
        <w:separator/>
      </w:r>
    </w:p>
  </w:endnote>
  <w:endnote w:type="continuationSeparator" w:id="0">
    <w:p w:rsidR="00101ABD" w:rsidRDefault="0010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B6" w:rsidRDefault="00693587" w:rsidP="009C7FEB">
    <w:pPr>
      <w:pStyle w:val="Piedepgina"/>
      <w:framePr w:wrap="around" w:vAnchor="text" w:hAnchor="margin" w:xAlign="right" w:y="1"/>
      <w:rPr>
        <w:rStyle w:val="Nmerodepgina"/>
      </w:rPr>
    </w:pPr>
    <w:r>
      <w:rPr>
        <w:rStyle w:val="Nmerodepgina"/>
      </w:rPr>
      <w:fldChar w:fldCharType="begin"/>
    </w:r>
    <w:r w:rsidR="004060B6">
      <w:rPr>
        <w:rStyle w:val="Nmerodepgina"/>
      </w:rPr>
      <w:instrText xml:space="preserve">PAGE  </w:instrText>
    </w:r>
    <w:r>
      <w:rPr>
        <w:rStyle w:val="Nmerodepgina"/>
      </w:rPr>
      <w:fldChar w:fldCharType="end"/>
    </w:r>
  </w:p>
  <w:p w:rsidR="004060B6" w:rsidRDefault="004060B6" w:rsidP="00224EE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B6" w:rsidRDefault="00693587" w:rsidP="00224EE7">
    <w:pPr>
      <w:pStyle w:val="Piedepgina"/>
      <w:framePr w:wrap="around" w:vAnchor="text" w:hAnchor="margin" w:xAlign="right" w:y="1"/>
      <w:rPr>
        <w:rStyle w:val="Nmerodepgina"/>
      </w:rPr>
    </w:pPr>
    <w:r>
      <w:rPr>
        <w:rStyle w:val="Nmerodepgina"/>
      </w:rPr>
      <w:fldChar w:fldCharType="begin"/>
    </w:r>
    <w:r w:rsidR="004060B6">
      <w:rPr>
        <w:rStyle w:val="Nmerodepgina"/>
      </w:rPr>
      <w:instrText xml:space="preserve">PAGE  </w:instrText>
    </w:r>
    <w:r>
      <w:rPr>
        <w:rStyle w:val="Nmerodepgina"/>
      </w:rPr>
      <w:fldChar w:fldCharType="separate"/>
    </w:r>
    <w:r w:rsidR="00CE7479">
      <w:rPr>
        <w:rStyle w:val="Nmerodepgina"/>
        <w:noProof/>
      </w:rPr>
      <w:t>21</w:t>
    </w:r>
    <w:r>
      <w:rPr>
        <w:rStyle w:val="Nmerodepgina"/>
      </w:rPr>
      <w:fldChar w:fldCharType="end"/>
    </w:r>
  </w:p>
  <w:p w:rsidR="004060B6" w:rsidRPr="0036463A" w:rsidRDefault="004060B6" w:rsidP="00224EE7">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rsidR="004060B6" w:rsidRDefault="004060B6" w:rsidP="002F641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BD" w:rsidRDefault="00101ABD">
      <w:r>
        <w:separator/>
      </w:r>
    </w:p>
  </w:footnote>
  <w:footnote w:type="continuationSeparator" w:id="0">
    <w:p w:rsidR="00101ABD" w:rsidRDefault="00101ABD">
      <w:r>
        <w:continuationSeparator/>
      </w:r>
    </w:p>
  </w:footnote>
  <w:footnote w:id="1">
    <w:p w:rsidR="004060B6" w:rsidRDefault="004060B6" w:rsidP="00A61A32">
      <w:pPr>
        <w:pStyle w:val="Textonotapie"/>
      </w:pPr>
      <w:r w:rsidRPr="005C02E3">
        <w:rPr>
          <w:rStyle w:val="Refdenotaalpie"/>
        </w:rPr>
        <w:footnoteRef/>
      </w:r>
      <w:r w:rsidRPr="005C02E3">
        <w:t xml:space="preserve"> </w:t>
      </w:r>
      <w:r w:rsidRPr="005C02E3">
        <w:rPr>
          <w:lang w:val="es-CR"/>
        </w:rPr>
        <w:t>Un factor determinante en este patrón parece ser la aplicación del juzgamiento de delitos de flagrancia a partir de la entrada en funcionamiento de los tribunales de flagrancia en el país. En el concurso de flagrante infracción la probabilidad de dictar una condena es mayor que en otros procesos penales.</w:t>
      </w:r>
    </w:p>
  </w:footnote>
  <w:footnote w:id="2">
    <w:p w:rsidR="004060B6" w:rsidRDefault="004060B6" w:rsidP="00A61A32">
      <w:pPr>
        <w:pStyle w:val="Textonotapie"/>
      </w:pPr>
      <w:r>
        <w:rPr>
          <w:rStyle w:val="Refdenotaalpie"/>
        </w:rPr>
        <w:footnoteRef/>
      </w:r>
      <w:r>
        <w:t xml:space="preserve"> </w:t>
      </w:r>
      <w:r w:rsidRPr="001D2912">
        <w:rPr>
          <w:sz w:val="18"/>
          <w:szCs w:val="18"/>
        </w:rPr>
        <w:t>En la determinación de patrones estadísticos por edad se ha definido grandes agrupaciones categóricas como “menores de edad” cuyas edades no sobrepasan los 18 años cumplidos, la Adultez temprana” donde se ubican las p</w:t>
      </w:r>
      <w:r>
        <w:rPr>
          <w:sz w:val="18"/>
          <w:szCs w:val="18"/>
        </w:rPr>
        <w:t>ersonas con edades desde los 18 y</w:t>
      </w:r>
      <w:r w:rsidRPr="001D2912">
        <w:rPr>
          <w:sz w:val="18"/>
          <w:szCs w:val="18"/>
        </w:rPr>
        <w:t xml:space="preserve"> </w:t>
      </w:r>
      <w:r>
        <w:rPr>
          <w:sz w:val="18"/>
          <w:szCs w:val="18"/>
        </w:rPr>
        <w:t xml:space="preserve">hasta </w:t>
      </w:r>
      <w:r w:rsidRPr="001D2912">
        <w:rPr>
          <w:sz w:val="18"/>
          <w:szCs w:val="18"/>
        </w:rPr>
        <w:t>los 34 años cumplidos, la “Adu</w:t>
      </w:r>
      <w:r>
        <w:rPr>
          <w:sz w:val="18"/>
          <w:szCs w:val="18"/>
        </w:rPr>
        <w:t>l</w:t>
      </w:r>
      <w:r w:rsidRPr="001D2912">
        <w:rPr>
          <w:sz w:val="18"/>
          <w:szCs w:val="18"/>
        </w:rPr>
        <w:t xml:space="preserve">tez” </w:t>
      </w:r>
      <w:r>
        <w:rPr>
          <w:sz w:val="18"/>
          <w:szCs w:val="18"/>
        </w:rPr>
        <w:t xml:space="preserve">o “Adultez media” </w:t>
      </w:r>
      <w:r w:rsidRPr="001D2912">
        <w:rPr>
          <w:sz w:val="18"/>
          <w:szCs w:val="18"/>
        </w:rPr>
        <w:t>constituida por las personas con edades que va de los 35 a los 65 años cumplidos y la “Adultez mayor” conformada por todas las personas que tienen 65 o más años de edad cumplida</w:t>
      </w:r>
      <w:r>
        <w:rPr>
          <w:sz w:val="18"/>
          <w:szCs w:val="18"/>
        </w:rPr>
        <w:t>.</w:t>
      </w:r>
    </w:p>
  </w:footnote>
  <w:footnote w:id="3">
    <w:p w:rsidR="004060B6" w:rsidRDefault="004060B6" w:rsidP="0074070C">
      <w:pPr>
        <w:jc w:val="both"/>
      </w:pPr>
      <w:r>
        <w:rPr>
          <w:rStyle w:val="Refdenotaalpie"/>
        </w:rPr>
        <w:footnoteRef/>
      </w:r>
      <w:r>
        <w:t xml:space="preserve"> Esto es de esperar debido a que la entrada neta al Ministerio Público del 2014 fue de </w:t>
      </w:r>
      <w:r w:rsidRPr="0074070C">
        <w:rPr>
          <w:b/>
          <w:bCs/>
          <w:lang w:eastAsia="es-CR"/>
        </w:rPr>
        <w:t>160.128</w:t>
      </w:r>
      <w:r>
        <w:rPr>
          <w:b/>
          <w:bCs/>
          <w:lang w:eastAsia="es-CR"/>
        </w:rPr>
        <w:t xml:space="preserve"> </w:t>
      </w:r>
      <w:r>
        <w:t xml:space="preserve">casos de los cuales, </w:t>
      </w:r>
      <w:r w:rsidRPr="0074070C">
        <w:rPr>
          <w:b/>
          <w:bCs/>
          <w:lang w:eastAsia="es-CR"/>
        </w:rPr>
        <w:t>74.621</w:t>
      </w:r>
      <w:r>
        <w:rPr>
          <w:b/>
          <w:bCs/>
          <w:lang w:eastAsia="es-CR"/>
        </w:rPr>
        <w:t xml:space="preserve"> </w:t>
      </w:r>
      <w:r>
        <w:t xml:space="preserve">son casos entrados denunciando algún delito contra la propiedad; esto es, </w:t>
      </w:r>
      <w:r>
        <w:rPr>
          <w:b/>
          <w:bCs/>
        </w:rPr>
        <w:t>47</w:t>
      </w:r>
      <w:r w:rsidRPr="0075372F">
        <w:rPr>
          <w:b/>
          <w:bCs/>
        </w:rPr>
        <w:t>%</w:t>
      </w:r>
      <w:r>
        <w:t xml:space="preserve"> de la entrada neta de ese año corresponde a delitos contra la Propiedad y se constituye como la de mayor peso relativo en la materia penal.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B6" w:rsidRDefault="004060B6" w:rsidP="00BF0EE8">
    <w:pPr>
      <w:framePr w:w="640" w:hSpace="141" w:wrap="auto" w:vAnchor="text" w:hAnchor="margin" w:x="8456" w:y="-91"/>
    </w:pPr>
  </w:p>
  <w:p w:rsidR="004060B6" w:rsidRDefault="004060B6"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0558D8">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2.4pt" o:ole="">
          <v:imagedata r:id="rId1" o:title=""/>
        </v:shape>
        <o:OLEObject Type="Embed" ProgID="PBrush" ShapeID="_x0000_i1025" DrawAspect="Content" ObjectID="_1540290518" r:id="rId2"/>
      </w:object>
    </w:r>
  </w:p>
  <w:p w:rsidR="004060B6" w:rsidRDefault="004060B6"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4060B6" w:rsidRPr="005B3B0C" w:rsidRDefault="004060B6" w:rsidP="00BF0EE8">
    <w:pPr>
      <w:pStyle w:val="Encabezado"/>
      <w:jc w:val="center"/>
      <w:rPr>
        <w:lang w:val="en-US"/>
      </w:rPr>
    </w:pPr>
    <w:r w:rsidRPr="00CE7479">
      <w:rPr>
        <w:rFonts w:ascii="Book Antiqua" w:hAnsi="Book Antiqua" w:cs="Book Antiqua"/>
        <w:i/>
        <w:iCs/>
        <w:sz w:val="18"/>
        <w:szCs w:val="18"/>
      </w:rPr>
      <w:t xml:space="preserve">Telf.   </w:t>
    </w:r>
    <w:r w:rsidRPr="005B3B0C">
      <w:rPr>
        <w:rFonts w:ascii="Book Antiqua" w:hAnsi="Book Antiqua" w:cs="Book Antiqua"/>
        <w:i/>
        <w:iCs/>
        <w:sz w:val="18"/>
        <w:szCs w:val="18"/>
        <w:lang w:val="en-US"/>
      </w:rPr>
      <w:t>2295-3600 / 3599  Fax. 22</w:t>
    </w:r>
    <w:r>
      <w:rPr>
        <w:rFonts w:ascii="Book Antiqua" w:hAnsi="Book Antiqua" w:cs="Book Antiqua"/>
        <w:i/>
        <w:iCs/>
        <w:sz w:val="18"/>
        <w:szCs w:val="18"/>
        <w:lang w:val="en-US"/>
      </w:rPr>
      <w:t xml:space="preserve">57-5633   / Apdo.  95-1003  / </w:t>
    </w:r>
    <w:r w:rsidRPr="005B3B0C">
      <w:rPr>
        <w:rFonts w:ascii="Book Antiqua" w:hAnsi="Book Antiqua" w:cs="Book Antiqua"/>
        <w:i/>
        <w:iCs/>
        <w:sz w:val="18"/>
        <w:szCs w:val="18"/>
        <w:lang w:val="en-US"/>
      </w:rPr>
      <w:t>planificacion@poder-judicial.go.cr</w:t>
    </w:r>
  </w:p>
  <w:p w:rsidR="004060B6" w:rsidRPr="005B3B0C" w:rsidRDefault="004060B6" w:rsidP="00BF0EE8">
    <w:pPr>
      <w:pBdr>
        <w:bottom w:val="single" w:sz="6" w:space="0" w:color="auto"/>
      </w:pBdr>
      <w:spacing w:after="2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0000011"/>
    <w:multiLevelType w:val="multilevel"/>
    <w:tmpl w:val="00000011"/>
    <w:name w:val="WW8Num27"/>
    <w:lvl w:ilvl="0">
      <w:start w:val="1"/>
      <w:numFmt w:val="decimal"/>
      <w:pStyle w:val="Fecha1"/>
      <w:lvlText w:val="%1."/>
      <w:lvlJc w:val="left"/>
      <w:rPr>
        <w:rFonts w:cs="Arial"/>
        <w:b/>
      </w:rPr>
    </w:lvl>
    <w:lvl w:ilvl="1">
      <w:start w:val="1"/>
      <w:numFmt w:val="decimal"/>
      <w:lvlText w:val="%1.%2."/>
      <w:lvlJc w:val="left"/>
      <w:rPr>
        <w:rFonts w:cs="Arial"/>
      </w:rPr>
    </w:lvl>
    <w:lvl w:ilvl="2">
      <w:start w:val="1"/>
      <w:numFmt w:val="decimal"/>
      <w:lvlText w:val="%1.%2.%3."/>
      <w:lvlJc w:val="left"/>
      <w:rPr>
        <w:rFonts w:cs="Arial"/>
      </w:rPr>
    </w:lvl>
    <w:lvl w:ilvl="3">
      <w:start w:val="1"/>
      <w:numFmt w:val="decimal"/>
      <w:lvlText w:val="%1.%2.%3.%4."/>
      <w:lvlJc w:val="left"/>
      <w:rPr>
        <w:rFonts w:cs="Arial"/>
      </w:rPr>
    </w:lvl>
    <w:lvl w:ilvl="4">
      <w:start w:val="1"/>
      <w:numFmt w:val="decimal"/>
      <w:lvlText w:val="%1.%2.%3.%4.%5."/>
      <w:lvlJc w:val="left"/>
      <w:rPr>
        <w:rFonts w:cs="Arial"/>
      </w:rPr>
    </w:lvl>
    <w:lvl w:ilvl="5">
      <w:start w:val="1"/>
      <w:numFmt w:val="decimal"/>
      <w:lvlText w:val="%1.%2.%3.%4.%5.%6."/>
      <w:lvlJc w:val="left"/>
      <w:rPr>
        <w:rFonts w:cs="Arial"/>
      </w:rPr>
    </w:lvl>
    <w:lvl w:ilvl="6">
      <w:start w:val="1"/>
      <w:numFmt w:val="decimal"/>
      <w:lvlText w:val="%1.%2.%3.%4.%5.%6.%7."/>
      <w:lvlJc w:val="left"/>
      <w:rPr>
        <w:rFonts w:cs="Arial"/>
      </w:rPr>
    </w:lvl>
    <w:lvl w:ilvl="7">
      <w:start w:val="1"/>
      <w:numFmt w:val="decimal"/>
      <w:lvlText w:val="%1.%2.%3.%4.%5.%6.%7.%8."/>
      <w:lvlJc w:val="left"/>
      <w:rPr>
        <w:rFonts w:cs="Arial"/>
      </w:rPr>
    </w:lvl>
    <w:lvl w:ilvl="8">
      <w:start w:val="1"/>
      <w:numFmt w:val="decimal"/>
      <w:lvlText w:val="%1.%2.%3.%4.%5.%6.%7.%8.%9."/>
      <w:lvlJc w:val="left"/>
      <w:rPr>
        <w:rFonts w:cs="Arial"/>
      </w:rPr>
    </w:lvl>
  </w:abstractNum>
  <w:abstractNum w:abstractNumId="2" w15:restartNumberingAfterBreak="0">
    <w:nsid w:val="032B3786"/>
    <w:multiLevelType w:val="multilevel"/>
    <w:tmpl w:val="135E6878"/>
    <w:lvl w:ilvl="0">
      <w:start w:val="1"/>
      <w:numFmt w:val="upperRoman"/>
      <w:lvlText w:val="%1."/>
      <w:lvlJc w:val="left"/>
      <w:rPr>
        <w:rFonts w:cs="Arial"/>
        <w:b/>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52581E"/>
    <w:multiLevelType w:val="multilevel"/>
    <w:tmpl w:val="E78EDCB0"/>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77F3C25"/>
    <w:multiLevelType w:val="hybridMultilevel"/>
    <w:tmpl w:val="1940F282"/>
    <w:lvl w:ilvl="0" w:tplc="1A4C47A4">
      <w:start w:val="5"/>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9" w15:restartNumberingAfterBreak="0">
    <w:nsid w:val="1B874924"/>
    <w:multiLevelType w:val="hybridMultilevel"/>
    <w:tmpl w:val="7004DCA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C5A6334"/>
    <w:multiLevelType w:val="hybridMultilevel"/>
    <w:tmpl w:val="E78EDCB0"/>
    <w:lvl w:ilvl="0" w:tplc="1A4C47A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C7B4641"/>
    <w:multiLevelType w:val="hybridMultilevel"/>
    <w:tmpl w:val="A4EC5A2C"/>
    <w:lvl w:ilvl="0" w:tplc="5BAE7FD6">
      <w:start w:val="1"/>
      <w:numFmt w:val="bullet"/>
      <w:lvlText w:val="­"/>
      <w:lvlJc w:val="left"/>
      <w:pPr>
        <w:tabs>
          <w:tab w:val="num" w:pos="1260"/>
        </w:tabs>
        <w:ind w:left="1260" w:hanging="360"/>
      </w:pPr>
      <w:rPr>
        <w:rFonts w:ascii="Courier New" w:hAnsi="Courier New" w:cs="Courier New" w:hint="default"/>
      </w:rPr>
    </w:lvl>
    <w:lvl w:ilvl="1" w:tplc="0C0A0003">
      <w:start w:val="1"/>
      <w:numFmt w:val="bullet"/>
      <w:lvlText w:val="o"/>
      <w:lvlJc w:val="left"/>
      <w:pPr>
        <w:tabs>
          <w:tab w:val="num" w:pos="2377"/>
        </w:tabs>
        <w:ind w:left="2377" w:hanging="360"/>
      </w:pPr>
      <w:rPr>
        <w:rFonts w:ascii="Courier New" w:hAnsi="Courier New" w:cs="Courier New" w:hint="default"/>
      </w:rPr>
    </w:lvl>
    <w:lvl w:ilvl="2" w:tplc="0C0A0005">
      <w:start w:val="1"/>
      <w:numFmt w:val="bullet"/>
      <w:lvlText w:val=""/>
      <w:lvlJc w:val="left"/>
      <w:pPr>
        <w:tabs>
          <w:tab w:val="num" w:pos="3097"/>
        </w:tabs>
        <w:ind w:left="3097" w:hanging="360"/>
      </w:pPr>
      <w:rPr>
        <w:rFonts w:ascii="Wingdings" w:hAnsi="Wingdings" w:cs="Wingdings" w:hint="default"/>
      </w:rPr>
    </w:lvl>
    <w:lvl w:ilvl="3" w:tplc="0C0A0001">
      <w:start w:val="1"/>
      <w:numFmt w:val="bullet"/>
      <w:lvlText w:val=""/>
      <w:lvlJc w:val="left"/>
      <w:pPr>
        <w:tabs>
          <w:tab w:val="num" w:pos="3817"/>
        </w:tabs>
        <w:ind w:left="3817" w:hanging="360"/>
      </w:pPr>
      <w:rPr>
        <w:rFonts w:ascii="Symbol" w:hAnsi="Symbol" w:cs="Symbol" w:hint="default"/>
      </w:rPr>
    </w:lvl>
    <w:lvl w:ilvl="4" w:tplc="0C0A0003">
      <w:start w:val="1"/>
      <w:numFmt w:val="bullet"/>
      <w:lvlText w:val="o"/>
      <w:lvlJc w:val="left"/>
      <w:pPr>
        <w:tabs>
          <w:tab w:val="num" w:pos="4537"/>
        </w:tabs>
        <w:ind w:left="4537" w:hanging="360"/>
      </w:pPr>
      <w:rPr>
        <w:rFonts w:ascii="Courier New" w:hAnsi="Courier New" w:cs="Courier New" w:hint="default"/>
      </w:rPr>
    </w:lvl>
    <w:lvl w:ilvl="5" w:tplc="0C0A0005">
      <w:start w:val="1"/>
      <w:numFmt w:val="bullet"/>
      <w:lvlText w:val=""/>
      <w:lvlJc w:val="left"/>
      <w:pPr>
        <w:tabs>
          <w:tab w:val="num" w:pos="5257"/>
        </w:tabs>
        <w:ind w:left="5257" w:hanging="360"/>
      </w:pPr>
      <w:rPr>
        <w:rFonts w:ascii="Wingdings" w:hAnsi="Wingdings" w:cs="Wingdings" w:hint="default"/>
      </w:rPr>
    </w:lvl>
    <w:lvl w:ilvl="6" w:tplc="0C0A0001">
      <w:start w:val="1"/>
      <w:numFmt w:val="bullet"/>
      <w:lvlText w:val=""/>
      <w:lvlJc w:val="left"/>
      <w:pPr>
        <w:tabs>
          <w:tab w:val="num" w:pos="5977"/>
        </w:tabs>
        <w:ind w:left="5977" w:hanging="360"/>
      </w:pPr>
      <w:rPr>
        <w:rFonts w:ascii="Symbol" w:hAnsi="Symbol" w:cs="Symbol" w:hint="default"/>
      </w:rPr>
    </w:lvl>
    <w:lvl w:ilvl="7" w:tplc="0C0A0003">
      <w:start w:val="1"/>
      <w:numFmt w:val="bullet"/>
      <w:lvlText w:val="o"/>
      <w:lvlJc w:val="left"/>
      <w:pPr>
        <w:tabs>
          <w:tab w:val="num" w:pos="6697"/>
        </w:tabs>
        <w:ind w:left="6697" w:hanging="360"/>
      </w:pPr>
      <w:rPr>
        <w:rFonts w:ascii="Courier New" w:hAnsi="Courier New" w:cs="Courier New" w:hint="default"/>
      </w:rPr>
    </w:lvl>
    <w:lvl w:ilvl="8" w:tplc="0C0A0005">
      <w:start w:val="1"/>
      <w:numFmt w:val="bullet"/>
      <w:lvlText w:val=""/>
      <w:lvlJc w:val="left"/>
      <w:pPr>
        <w:tabs>
          <w:tab w:val="num" w:pos="7417"/>
        </w:tabs>
        <w:ind w:left="7417" w:hanging="360"/>
      </w:pPr>
      <w:rPr>
        <w:rFonts w:ascii="Wingdings" w:hAnsi="Wingdings" w:cs="Wingdings" w:hint="default"/>
      </w:rPr>
    </w:lvl>
  </w:abstractNum>
  <w:abstractNum w:abstractNumId="12" w15:restartNumberingAfterBreak="0">
    <w:nsid w:val="1EE33450"/>
    <w:multiLevelType w:val="hybridMultilevel"/>
    <w:tmpl w:val="4AF06B9A"/>
    <w:lvl w:ilvl="0" w:tplc="0C0A0001">
      <w:start w:val="1"/>
      <w:numFmt w:val="bullet"/>
      <w:lvlText w:val=""/>
      <w:lvlJc w:val="left"/>
      <w:pPr>
        <w:tabs>
          <w:tab w:val="num" w:pos="360"/>
        </w:tabs>
        <w:ind w:left="360" w:hanging="360"/>
      </w:pPr>
      <w:rPr>
        <w:rFonts w:ascii="Symbol" w:hAnsi="Symbol" w:cs="Symbol"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C00883"/>
    <w:multiLevelType w:val="multilevel"/>
    <w:tmpl w:val="3E2EC81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285626FD"/>
    <w:multiLevelType w:val="hybridMultilevel"/>
    <w:tmpl w:val="F95AB9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D73E81"/>
    <w:multiLevelType w:val="hybridMultilevel"/>
    <w:tmpl w:val="569E610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34346A2"/>
    <w:multiLevelType w:val="multilevel"/>
    <w:tmpl w:val="AC98E9B0"/>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C293F"/>
    <w:multiLevelType w:val="multilevel"/>
    <w:tmpl w:val="3E2EC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F7094A"/>
    <w:multiLevelType w:val="multilevel"/>
    <w:tmpl w:val="7DA81F5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41C901BB"/>
    <w:multiLevelType w:val="hybridMultilevel"/>
    <w:tmpl w:val="321CEC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AD799C"/>
    <w:multiLevelType w:val="hybridMultilevel"/>
    <w:tmpl w:val="41D2854A"/>
    <w:lvl w:ilvl="0" w:tplc="0C0A0001">
      <w:start w:val="1"/>
      <w:numFmt w:val="bullet"/>
      <w:lvlText w:val=""/>
      <w:lvlJc w:val="left"/>
      <w:pPr>
        <w:tabs>
          <w:tab w:val="num" w:pos="720"/>
        </w:tabs>
        <w:ind w:left="720" w:hanging="360"/>
      </w:pPr>
      <w:rPr>
        <w:rFonts w:ascii="Symbol" w:hAnsi="Symbol" w:cs="Symbol" w:hint="default"/>
      </w:rPr>
    </w:lvl>
    <w:lvl w:ilvl="1" w:tplc="90E63F06">
      <w:start w:val="22"/>
      <w:numFmt w:val="bullet"/>
      <w:lvlText w:val="-"/>
      <w:lvlJc w:val="left"/>
      <w:pPr>
        <w:tabs>
          <w:tab w:val="num" w:pos="1440"/>
        </w:tabs>
        <w:ind w:left="1440" w:hanging="360"/>
      </w:pPr>
      <w:rPr>
        <w:rFonts w:ascii="Book Antiqua" w:eastAsia="Times New Roman" w:hAnsi="Book Antiqua" w:hint="default"/>
        <w:color w:val="auto"/>
        <w:sz w:val="22"/>
        <w:szCs w:val="22"/>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1AF76CD"/>
    <w:multiLevelType w:val="hybridMultilevel"/>
    <w:tmpl w:val="B2E6A7A0"/>
    <w:lvl w:ilvl="0" w:tplc="1A4C47A4">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FFD3D0C"/>
    <w:multiLevelType w:val="multilevel"/>
    <w:tmpl w:val="135E6878"/>
    <w:lvl w:ilvl="0">
      <w:start w:val="1"/>
      <w:numFmt w:val="upperRoman"/>
      <w:lvlText w:val="%1."/>
      <w:lvlJc w:val="left"/>
      <w:rPr>
        <w:rFonts w:cs="Arial"/>
        <w:b/>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6"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38"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2" w15:restartNumberingAfterBreak="0">
    <w:nsid w:val="7E69585C"/>
    <w:multiLevelType w:val="hybridMultilevel"/>
    <w:tmpl w:val="206054B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514"/>
        </w:tabs>
        <w:ind w:left="1514" w:hanging="360"/>
      </w:pPr>
    </w:lvl>
    <w:lvl w:ilvl="2" w:tplc="0C0A001B">
      <w:start w:val="1"/>
      <w:numFmt w:val="lowerRoman"/>
      <w:lvlText w:val="%3."/>
      <w:lvlJc w:val="right"/>
      <w:pPr>
        <w:tabs>
          <w:tab w:val="num" w:pos="2234"/>
        </w:tabs>
        <w:ind w:left="2234" w:hanging="180"/>
      </w:pPr>
    </w:lvl>
    <w:lvl w:ilvl="3" w:tplc="0C0A000F">
      <w:start w:val="1"/>
      <w:numFmt w:val="decimal"/>
      <w:lvlText w:val="%4."/>
      <w:lvlJc w:val="left"/>
      <w:pPr>
        <w:tabs>
          <w:tab w:val="num" w:pos="2954"/>
        </w:tabs>
        <w:ind w:left="2954" w:hanging="360"/>
      </w:pPr>
    </w:lvl>
    <w:lvl w:ilvl="4" w:tplc="0C0A0019">
      <w:start w:val="1"/>
      <w:numFmt w:val="lowerLetter"/>
      <w:lvlText w:val="%5."/>
      <w:lvlJc w:val="left"/>
      <w:pPr>
        <w:tabs>
          <w:tab w:val="num" w:pos="3674"/>
        </w:tabs>
        <w:ind w:left="3674" w:hanging="360"/>
      </w:pPr>
    </w:lvl>
    <w:lvl w:ilvl="5" w:tplc="0C0A001B">
      <w:start w:val="1"/>
      <w:numFmt w:val="lowerRoman"/>
      <w:lvlText w:val="%6."/>
      <w:lvlJc w:val="right"/>
      <w:pPr>
        <w:tabs>
          <w:tab w:val="num" w:pos="4394"/>
        </w:tabs>
        <w:ind w:left="4394" w:hanging="180"/>
      </w:pPr>
    </w:lvl>
    <w:lvl w:ilvl="6" w:tplc="0C0A000F">
      <w:start w:val="1"/>
      <w:numFmt w:val="decimal"/>
      <w:lvlText w:val="%7."/>
      <w:lvlJc w:val="left"/>
      <w:pPr>
        <w:tabs>
          <w:tab w:val="num" w:pos="5114"/>
        </w:tabs>
        <w:ind w:left="5114" w:hanging="360"/>
      </w:pPr>
    </w:lvl>
    <w:lvl w:ilvl="7" w:tplc="0C0A0019">
      <w:start w:val="1"/>
      <w:numFmt w:val="lowerLetter"/>
      <w:lvlText w:val="%8."/>
      <w:lvlJc w:val="left"/>
      <w:pPr>
        <w:tabs>
          <w:tab w:val="num" w:pos="5834"/>
        </w:tabs>
        <w:ind w:left="5834" w:hanging="360"/>
      </w:pPr>
    </w:lvl>
    <w:lvl w:ilvl="8" w:tplc="0C0A001B">
      <w:start w:val="1"/>
      <w:numFmt w:val="lowerRoman"/>
      <w:lvlText w:val="%9."/>
      <w:lvlJc w:val="right"/>
      <w:pPr>
        <w:tabs>
          <w:tab w:val="num" w:pos="6554"/>
        </w:tabs>
        <w:ind w:left="6554" w:hanging="180"/>
      </w:pPr>
    </w:lvl>
  </w:abstractNum>
  <w:num w:numId="1">
    <w:abstractNumId w:val="3"/>
  </w:num>
  <w:num w:numId="2">
    <w:abstractNumId w:val="40"/>
  </w:num>
  <w:num w:numId="3">
    <w:abstractNumId w:val="14"/>
  </w:num>
  <w:num w:numId="4">
    <w:abstractNumId w:val="36"/>
  </w:num>
  <w:num w:numId="5">
    <w:abstractNumId w:val="18"/>
  </w:num>
  <w:num w:numId="6">
    <w:abstractNumId w:val="28"/>
  </w:num>
  <w:num w:numId="7">
    <w:abstractNumId w:val="41"/>
  </w:num>
  <w:num w:numId="8">
    <w:abstractNumId w:val="33"/>
  </w:num>
  <w:num w:numId="9">
    <w:abstractNumId w:val="30"/>
  </w:num>
  <w:num w:numId="10">
    <w:abstractNumId w:val="20"/>
  </w:num>
  <w:num w:numId="11">
    <w:abstractNumId w:val="29"/>
  </w:num>
  <w:num w:numId="12">
    <w:abstractNumId w:val="38"/>
  </w:num>
  <w:num w:numId="13">
    <w:abstractNumId w:val="31"/>
  </w:num>
  <w:num w:numId="14">
    <w:abstractNumId w:val="27"/>
  </w:num>
  <w:num w:numId="15">
    <w:abstractNumId w:val="5"/>
  </w:num>
  <w:num w:numId="16">
    <w:abstractNumId w:val="34"/>
  </w:num>
  <w:num w:numId="17">
    <w:abstractNumId w:val="7"/>
  </w:num>
  <w:num w:numId="18">
    <w:abstractNumId w:val="37"/>
  </w:num>
  <w:num w:numId="19">
    <w:abstractNumId w:val="16"/>
  </w:num>
  <w:num w:numId="20">
    <w:abstractNumId w:val="8"/>
  </w:num>
  <w:num w:numId="21">
    <w:abstractNumId w:val="13"/>
  </w:num>
  <w:num w:numId="22">
    <w:abstractNumId w:val="32"/>
  </w:num>
  <w:num w:numId="23">
    <w:abstractNumId w:val="5"/>
  </w:num>
  <w:num w:numId="24">
    <w:abstractNumId w:val="39"/>
  </w:num>
  <w:num w:numId="25">
    <w:abstractNumId w:val="1"/>
  </w:num>
  <w:num w:numId="26">
    <w:abstractNumId w:val="23"/>
  </w:num>
  <w:num w:numId="27">
    <w:abstractNumId w:val="15"/>
  </w:num>
  <w:num w:numId="28">
    <w:abstractNumId w:val="24"/>
  </w:num>
  <w:num w:numId="29">
    <w:abstractNumId w:val="2"/>
  </w:num>
  <w:num w:numId="30">
    <w:abstractNumId w:val="35"/>
  </w:num>
  <w:num w:numId="31">
    <w:abstractNumId w:val="10"/>
  </w:num>
  <w:num w:numId="32">
    <w:abstractNumId w:val="21"/>
  </w:num>
  <w:num w:numId="33">
    <w:abstractNumId w:val="6"/>
  </w:num>
  <w:num w:numId="34">
    <w:abstractNumId w:val="4"/>
  </w:num>
  <w:num w:numId="35">
    <w:abstractNumId w:val="26"/>
  </w:num>
  <w:num w:numId="36">
    <w:abstractNumId w:val="25"/>
  </w:num>
  <w:num w:numId="37">
    <w:abstractNumId w:val="11"/>
  </w:num>
  <w:num w:numId="38">
    <w:abstractNumId w:val="42"/>
  </w:num>
  <w:num w:numId="39">
    <w:abstractNumId w:val="19"/>
  </w:num>
  <w:num w:numId="40">
    <w:abstractNumId w:val="9"/>
  </w:num>
  <w:num w:numId="41">
    <w:abstractNumId w:val="12"/>
  </w:num>
  <w:num w:numId="42">
    <w:abstractNumId w:val="22"/>
  </w:num>
  <w:num w:numId="4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8"/>
    <w:rsid w:val="00011AE7"/>
    <w:rsid w:val="000131C6"/>
    <w:rsid w:val="00016047"/>
    <w:rsid w:val="00023AA5"/>
    <w:rsid w:val="00031AAD"/>
    <w:rsid w:val="0003358A"/>
    <w:rsid w:val="00044B65"/>
    <w:rsid w:val="00054A79"/>
    <w:rsid w:val="000558D8"/>
    <w:rsid w:val="00057F01"/>
    <w:rsid w:val="00066189"/>
    <w:rsid w:val="00071F2C"/>
    <w:rsid w:val="000745D1"/>
    <w:rsid w:val="00075497"/>
    <w:rsid w:val="0007611B"/>
    <w:rsid w:val="00077A41"/>
    <w:rsid w:val="000817A2"/>
    <w:rsid w:val="00083A70"/>
    <w:rsid w:val="0009193B"/>
    <w:rsid w:val="000920EF"/>
    <w:rsid w:val="0009367A"/>
    <w:rsid w:val="000A0BD3"/>
    <w:rsid w:val="000A326D"/>
    <w:rsid w:val="000A5E79"/>
    <w:rsid w:val="000B1F7E"/>
    <w:rsid w:val="000B3585"/>
    <w:rsid w:val="000C1A62"/>
    <w:rsid w:val="000D5362"/>
    <w:rsid w:val="000E0040"/>
    <w:rsid w:val="000E1624"/>
    <w:rsid w:val="000F0912"/>
    <w:rsid w:val="001018BE"/>
    <w:rsid w:val="00101ABD"/>
    <w:rsid w:val="001020D5"/>
    <w:rsid w:val="001050E8"/>
    <w:rsid w:val="00106BE6"/>
    <w:rsid w:val="0011286D"/>
    <w:rsid w:val="001168F8"/>
    <w:rsid w:val="00132550"/>
    <w:rsid w:val="001341AF"/>
    <w:rsid w:val="00135450"/>
    <w:rsid w:val="00140C56"/>
    <w:rsid w:val="00145106"/>
    <w:rsid w:val="001458F9"/>
    <w:rsid w:val="00162983"/>
    <w:rsid w:val="0016377A"/>
    <w:rsid w:val="00170E9E"/>
    <w:rsid w:val="001739BF"/>
    <w:rsid w:val="00176452"/>
    <w:rsid w:val="00182FEB"/>
    <w:rsid w:val="001874A4"/>
    <w:rsid w:val="001901B4"/>
    <w:rsid w:val="0019489E"/>
    <w:rsid w:val="0019575A"/>
    <w:rsid w:val="001A233B"/>
    <w:rsid w:val="001A277B"/>
    <w:rsid w:val="001A2FCE"/>
    <w:rsid w:val="001A57A4"/>
    <w:rsid w:val="001C21DB"/>
    <w:rsid w:val="001E0BF7"/>
    <w:rsid w:val="001E3252"/>
    <w:rsid w:val="001E517B"/>
    <w:rsid w:val="001E7514"/>
    <w:rsid w:val="001E7893"/>
    <w:rsid w:val="001F1A91"/>
    <w:rsid w:val="001F452D"/>
    <w:rsid w:val="001F561E"/>
    <w:rsid w:val="002232F7"/>
    <w:rsid w:val="0022401C"/>
    <w:rsid w:val="00224EE7"/>
    <w:rsid w:val="002269ED"/>
    <w:rsid w:val="002316FA"/>
    <w:rsid w:val="00237716"/>
    <w:rsid w:val="002412A6"/>
    <w:rsid w:val="00254DA4"/>
    <w:rsid w:val="002557CB"/>
    <w:rsid w:val="002639CB"/>
    <w:rsid w:val="00263BDB"/>
    <w:rsid w:val="00264E1E"/>
    <w:rsid w:val="00265FCB"/>
    <w:rsid w:val="00271AA0"/>
    <w:rsid w:val="00271ABB"/>
    <w:rsid w:val="002727AA"/>
    <w:rsid w:val="00273333"/>
    <w:rsid w:val="00273D92"/>
    <w:rsid w:val="00282497"/>
    <w:rsid w:val="00283912"/>
    <w:rsid w:val="00294B6B"/>
    <w:rsid w:val="002A1639"/>
    <w:rsid w:val="002A4E48"/>
    <w:rsid w:val="002B047F"/>
    <w:rsid w:val="002C3945"/>
    <w:rsid w:val="002C4CD7"/>
    <w:rsid w:val="002C7CA1"/>
    <w:rsid w:val="002D5A56"/>
    <w:rsid w:val="002D61DE"/>
    <w:rsid w:val="002E000C"/>
    <w:rsid w:val="002E1CA7"/>
    <w:rsid w:val="002E35AC"/>
    <w:rsid w:val="002F6410"/>
    <w:rsid w:val="00300509"/>
    <w:rsid w:val="003014A8"/>
    <w:rsid w:val="003017DC"/>
    <w:rsid w:val="00305620"/>
    <w:rsid w:val="00305B95"/>
    <w:rsid w:val="003069C7"/>
    <w:rsid w:val="00316821"/>
    <w:rsid w:val="00323785"/>
    <w:rsid w:val="00331C96"/>
    <w:rsid w:val="00344AEA"/>
    <w:rsid w:val="00345DEF"/>
    <w:rsid w:val="003523A2"/>
    <w:rsid w:val="00362450"/>
    <w:rsid w:val="00364509"/>
    <w:rsid w:val="0036463A"/>
    <w:rsid w:val="00364898"/>
    <w:rsid w:val="003722A7"/>
    <w:rsid w:val="00372DAA"/>
    <w:rsid w:val="0038346A"/>
    <w:rsid w:val="003852B0"/>
    <w:rsid w:val="003919C7"/>
    <w:rsid w:val="00392719"/>
    <w:rsid w:val="003A430A"/>
    <w:rsid w:val="003A43CF"/>
    <w:rsid w:val="003B219A"/>
    <w:rsid w:val="003B2E2B"/>
    <w:rsid w:val="003B5138"/>
    <w:rsid w:val="003D2842"/>
    <w:rsid w:val="003D2F3D"/>
    <w:rsid w:val="003E3D38"/>
    <w:rsid w:val="003E4AB7"/>
    <w:rsid w:val="003E724E"/>
    <w:rsid w:val="003F1345"/>
    <w:rsid w:val="003F3305"/>
    <w:rsid w:val="004058D8"/>
    <w:rsid w:val="004060B6"/>
    <w:rsid w:val="00407122"/>
    <w:rsid w:val="0041020A"/>
    <w:rsid w:val="004103F0"/>
    <w:rsid w:val="004129F5"/>
    <w:rsid w:val="00412B77"/>
    <w:rsid w:val="00415D2D"/>
    <w:rsid w:val="0042716B"/>
    <w:rsid w:val="00430D8E"/>
    <w:rsid w:val="00447FE6"/>
    <w:rsid w:val="004575E4"/>
    <w:rsid w:val="004613BE"/>
    <w:rsid w:val="004643ED"/>
    <w:rsid w:val="00487277"/>
    <w:rsid w:val="0048735F"/>
    <w:rsid w:val="004939A0"/>
    <w:rsid w:val="00493F2D"/>
    <w:rsid w:val="004A39C9"/>
    <w:rsid w:val="004A796D"/>
    <w:rsid w:val="004A79FB"/>
    <w:rsid w:val="004B616A"/>
    <w:rsid w:val="004D75FB"/>
    <w:rsid w:val="004E343C"/>
    <w:rsid w:val="004E5B86"/>
    <w:rsid w:val="004F23E2"/>
    <w:rsid w:val="004F38C5"/>
    <w:rsid w:val="00503A1C"/>
    <w:rsid w:val="005212AB"/>
    <w:rsid w:val="00532173"/>
    <w:rsid w:val="00534174"/>
    <w:rsid w:val="005354B5"/>
    <w:rsid w:val="00540814"/>
    <w:rsid w:val="00543060"/>
    <w:rsid w:val="00544065"/>
    <w:rsid w:val="005442E3"/>
    <w:rsid w:val="00551DEB"/>
    <w:rsid w:val="005523FD"/>
    <w:rsid w:val="005530D7"/>
    <w:rsid w:val="00554170"/>
    <w:rsid w:val="00555F52"/>
    <w:rsid w:val="00566926"/>
    <w:rsid w:val="00566FC9"/>
    <w:rsid w:val="005729BE"/>
    <w:rsid w:val="00574B3E"/>
    <w:rsid w:val="00577E7A"/>
    <w:rsid w:val="00583731"/>
    <w:rsid w:val="005837A3"/>
    <w:rsid w:val="00584E29"/>
    <w:rsid w:val="00587A31"/>
    <w:rsid w:val="00592114"/>
    <w:rsid w:val="00592204"/>
    <w:rsid w:val="005948EF"/>
    <w:rsid w:val="005A20F9"/>
    <w:rsid w:val="005B3B0C"/>
    <w:rsid w:val="005B3DE8"/>
    <w:rsid w:val="005B7C26"/>
    <w:rsid w:val="005C4C30"/>
    <w:rsid w:val="005C5393"/>
    <w:rsid w:val="005C7E81"/>
    <w:rsid w:val="005D00AA"/>
    <w:rsid w:val="005D0A2D"/>
    <w:rsid w:val="005D215B"/>
    <w:rsid w:val="005E0D5D"/>
    <w:rsid w:val="005E22FE"/>
    <w:rsid w:val="005E5F8F"/>
    <w:rsid w:val="005E7E10"/>
    <w:rsid w:val="005F1D8C"/>
    <w:rsid w:val="0060020A"/>
    <w:rsid w:val="006011B9"/>
    <w:rsid w:val="00610BC5"/>
    <w:rsid w:val="00617990"/>
    <w:rsid w:val="0062351B"/>
    <w:rsid w:val="00627D15"/>
    <w:rsid w:val="00641214"/>
    <w:rsid w:val="006457BF"/>
    <w:rsid w:val="00652B1F"/>
    <w:rsid w:val="006756E4"/>
    <w:rsid w:val="00677280"/>
    <w:rsid w:val="00677737"/>
    <w:rsid w:val="00680716"/>
    <w:rsid w:val="00681AA6"/>
    <w:rsid w:val="00693587"/>
    <w:rsid w:val="00693F61"/>
    <w:rsid w:val="00694303"/>
    <w:rsid w:val="006948CF"/>
    <w:rsid w:val="0069519E"/>
    <w:rsid w:val="00696299"/>
    <w:rsid w:val="006968D2"/>
    <w:rsid w:val="006A3BF2"/>
    <w:rsid w:val="006A7461"/>
    <w:rsid w:val="006B3982"/>
    <w:rsid w:val="006B57A0"/>
    <w:rsid w:val="006B7CEA"/>
    <w:rsid w:val="006C32D1"/>
    <w:rsid w:val="006C42AF"/>
    <w:rsid w:val="006D2D82"/>
    <w:rsid w:val="006D6954"/>
    <w:rsid w:val="006E0146"/>
    <w:rsid w:val="006E3B1A"/>
    <w:rsid w:val="006E77F2"/>
    <w:rsid w:val="00701585"/>
    <w:rsid w:val="00706131"/>
    <w:rsid w:val="00707EB6"/>
    <w:rsid w:val="00710209"/>
    <w:rsid w:val="00724A04"/>
    <w:rsid w:val="00730B2F"/>
    <w:rsid w:val="007323A3"/>
    <w:rsid w:val="0074070C"/>
    <w:rsid w:val="00743496"/>
    <w:rsid w:val="0074732F"/>
    <w:rsid w:val="00752F2E"/>
    <w:rsid w:val="007530F7"/>
    <w:rsid w:val="007539CB"/>
    <w:rsid w:val="00753ABA"/>
    <w:rsid w:val="007552C6"/>
    <w:rsid w:val="0075623D"/>
    <w:rsid w:val="007614EF"/>
    <w:rsid w:val="0076603E"/>
    <w:rsid w:val="007675DB"/>
    <w:rsid w:val="0077233C"/>
    <w:rsid w:val="00776526"/>
    <w:rsid w:val="00794407"/>
    <w:rsid w:val="00796691"/>
    <w:rsid w:val="00797AB9"/>
    <w:rsid w:val="007A4552"/>
    <w:rsid w:val="007B4210"/>
    <w:rsid w:val="007C3294"/>
    <w:rsid w:val="007C6C79"/>
    <w:rsid w:val="007D2199"/>
    <w:rsid w:val="007D24FD"/>
    <w:rsid w:val="007D3E64"/>
    <w:rsid w:val="007D42B3"/>
    <w:rsid w:val="007E300C"/>
    <w:rsid w:val="007F40A5"/>
    <w:rsid w:val="007F66D7"/>
    <w:rsid w:val="007F79C9"/>
    <w:rsid w:val="00822EE0"/>
    <w:rsid w:val="008263B0"/>
    <w:rsid w:val="00826989"/>
    <w:rsid w:val="00836F8C"/>
    <w:rsid w:val="00841DD1"/>
    <w:rsid w:val="00844B08"/>
    <w:rsid w:val="00845711"/>
    <w:rsid w:val="008535AE"/>
    <w:rsid w:val="00857692"/>
    <w:rsid w:val="0086065C"/>
    <w:rsid w:val="00872229"/>
    <w:rsid w:val="008737C7"/>
    <w:rsid w:val="008754CB"/>
    <w:rsid w:val="008A2A8F"/>
    <w:rsid w:val="008A3B13"/>
    <w:rsid w:val="008A3EE3"/>
    <w:rsid w:val="008A634E"/>
    <w:rsid w:val="008B482D"/>
    <w:rsid w:val="008B7460"/>
    <w:rsid w:val="008D4040"/>
    <w:rsid w:val="008D7D37"/>
    <w:rsid w:val="008E0072"/>
    <w:rsid w:val="008F106F"/>
    <w:rsid w:val="008F354F"/>
    <w:rsid w:val="008F5FD0"/>
    <w:rsid w:val="008F667A"/>
    <w:rsid w:val="009102F7"/>
    <w:rsid w:val="00913C2E"/>
    <w:rsid w:val="00914A07"/>
    <w:rsid w:val="00924666"/>
    <w:rsid w:val="00936FCA"/>
    <w:rsid w:val="00951321"/>
    <w:rsid w:val="009521C8"/>
    <w:rsid w:val="009533E7"/>
    <w:rsid w:val="00954BF3"/>
    <w:rsid w:val="00957C30"/>
    <w:rsid w:val="00964019"/>
    <w:rsid w:val="00967D38"/>
    <w:rsid w:val="00972BE9"/>
    <w:rsid w:val="00972E96"/>
    <w:rsid w:val="009772DD"/>
    <w:rsid w:val="0099081D"/>
    <w:rsid w:val="009B0970"/>
    <w:rsid w:val="009B3708"/>
    <w:rsid w:val="009C0A09"/>
    <w:rsid w:val="009C3901"/>
    <w:rsid w:val="009C7FEB"/>
    <w:rsid w:val="009D257F"/>
    <w:rsid w:val="009D4004"/>
    <w:rsid w:val="009E4A9B"/>
    <w:rsid w:val="009E55BE"/>
    <w:rsid w:val="009E798F"/>
    <w:rsid w:val="00A108DA"/>
    <w:rsid w:val="00A1099D"/>
    <w:rsid w:val="00A1430C"/>
    <w:rsid w:val="00A312CB"/>
    <w:rsid w:val="00A32173"/>
    <w:rsid w:val="00A32A69"/>
    <w:rsid w:val="00A35D05"/>
    <w:rsid w:val="00A36EF8"/>
    <w:rsid w:val="00A37E82"/>
    <w:rsid w:val="00A55218"/>
    <w:rsid w:val="00A57D85"/>
    <w:rsid w:val="00A603DF"/>
    <w:rsid w:val="00A61A32"/>
    <w:rsid w:val="00A6538A"/>
    <w:rsid w:val="00A66A7F"/>
    <w:rsid w:val="00A82381"/>
    <w:rsid w:val="00A83A12"/>
    <w:rsid w:val="00A92CA6"/>
    <w:rsid w:val="00A92E53"/>
    <w:rsid w:val="00AA53CF"/>
    <w:rsid w:val="00AB03E7"/>
    <w:rsid w:val="00AB61B4"/>
    <w:rsid w:val="00AE2928"/>
    <w:rsid w:val="00AF0270"/>
    <w:rsid w:val="00AF32D3"/>
    <w:rsid w:val="00AF6104"/>
    <w:rsid w:val="00B00DDF"/>
    <w:rsid w:val="00B04F3A"/>
    <w:rsid w:val="00B11469"/>
    <w:rsid w:val="00B15CB4"/>
    <w:rsid w:val="00B15FB7"/>
    <w:rsid w:val="00B216DB"/>
    <w:rsid w:val="00B265AE"/>
    <w:rsid w:val="00B31FCD"/>
    <w:rsid w:val="00B32783"/>
    <w:rsid w:val="00B36998"/>
    <w:rsid w:val="00B4039C"/>
    <w:rsid w:val="00B43498"/>
    <w:rsid w:val="00B44293"/>
    <w:rsid w:val="00B5157C"/>
    <w:rsid w:val="00B51898"/>
    <w:rsid w:val="00B53F3E"/>
    <w:rsid w:val="00B54D5A"/>
    <w:rsid w:val="00B64B56"/>
    <w:rsid w:val="00B65838"/>
    <w:rsid w:val="00B66484"/>
    <w:rsid w:val="00B67BD2"/>
    <w:rsid w:val="00B70122"/>
    <w:rsid w:val="00B7674C"/>
    <w:rsid w:val="00B81775"/>
    <w:rsid w:val="00B841C9"/>
    <w:rsid w:val="00B91646"/>
    <w:rsid w:val="00B93820"/>
    <w:rsid w:val="00B94794"/>
    <w:rsid w:val="00BA2846"/>
    <w:rsid w:val="00BA784D"/>
    <w:rsid w:val="00BC1B05"/>
    <w:rsid w:val="00BC1E6A"/>
    <w:rsid w:val="00BC2295"/>
    <w:rsid w:val="00BD0A6A"/>
    <w:rsid w:val="00BD2A83"/>
    <w:rsid w:val="00BE43F8"/>
    <w:rsid w:val="00BF0EE8"/>
    <w:rsid w:val="00BF2793"/>
    <w:rsid w:val="00BF2CCA"/>
    <w:rsid w:val="00BF7474"/>
    <w:rsid w:val="00C03413"/>
    <w:rsid w:val="00C148F1"/>
    <w:rsid w:val="00C22C27"/>
    <w:rsid w:val="00C24077"/>
    <w:rsid w:val="00C25C67"/>
    <w:rsid w:val="00C30095"/>
    <w:rsid w:val="00C30843"/>
    <w:rsid w:val="00C30864"/>
    <w:rsid w:val="00C30E21"/>
    <w:rsid w:val="00C340AA"/>
    <w:rsid w:val="00C34357"/>
    <w:rsid w:val="00C3564B"/>
    <w:rsid w:val="00C35C2F"/>
    <w:rsid w:val="00C43B56"/>
    <w:rsid w:val="00C43B9A"/>
    <w:rsid w:val="00C62E31"/>
    <w:rsid w:val="00C644CA"/>
    <w:rsid w:val="00C6557F"/>
    <w:rsid w:val="00C65CC2"/>
    <w:rsid w:val="00C6653B"/>
    <w:rsid w:val="00C71FDF"/>
    <w:rsid w:val="00C7629D"/>
    <w:rsid w:val="00C96EA2"/>
    <w:rsid w:val="00CA5CA6"/>
    <w:rsid w:val="00CA6DFA"/>
    <w:rsid w:val="00CB2D25"/>
    <w:rsid w:val="00CC3EB7"/>
    <w:rsid w:val="00CC695F"/>
    <w:rsid w:val="00CD1CC6"/>
    <w:rsid w:val="00CD1F50"/>
    <w:rsid w:val="00CD5D96"/>
    <w:rsid w:val="00CE28FF"/>
    <w:rsid w:val="00CE6E5F"/>
    <w:rsid w:val="00CE7100"/>
    <w:rsid w:val="00CE7479"/>
    <w:rsid w:val="00CF43F8"/>
    <w:rsid w:val="00D10F5A"/>
    <w:rsid w:val="00D13A4F"/>
    <w:rsid w:val="00D140B7"/>
    <w:rsid w:val="00D17176"/>
    <w:rsid w:val="00D252A8"/>
    <w:rsid w:val="00D32651"/>
    <w:rsid w:val="00D32BD0"/>
    <w:rsid w:val="00D434E4"/>
    <w:rsid w:val="00D47FAF"/>
    <w:rsid w:val="00D51D49"/>
    <w:rsid w:val="00D51E66"/>
    <w:rsid w:val="00D6055A"/>
    <w:rsid w:val="00D61566"/>
    <w:rsid w:val="00D62252"/>
    <w:rsid w:val="00D67474"/>
    <w:rsid w:val="00D733DB"/>
    <w:rsid w:val="00D84911"/>
    <w:rsid w:val="00D85A36"/>
    <w:rsid w:val="00D94C9B"/>
    <w:rsid w:val="00D9736B"/>
    <w:rsid w:val="00DA04A8"/>
    <w:rsid w:val="00DA485F"/>
    <w:rsid w:val="00DB48C2"/>
    <w:rsid w:val="00DC014C"/>
    <w:rsid w:val="00DC3AD4"/>
    <w:rsid w:val="00DC77B3"/>
    <w:rsid w:val="00DC77C2"/>
    <w:rsid w:val="00DD7D8A"/>
    <w:rsid w:val="00DE7517"/>
    <w:rsid w:val="00DF52BC"/>
    <w:rsid w:val="00DF7F81"/>
    <w:rsid w:val="00E043DC"/>
    <w:rsid w:val="00E108B2"/>
    <w:rsid w:val="00E1095D"/>
    <w:rsid w:val="00E126F5"/>
    <w:rsid w:val="00E12B71"/>
    <w:rsid w:val="00E148E1"/>
    <w:rsid w:val="00E24C38"/>
    <w:rsid w:val="00E2682D"/>
    <w:rsid w:val="00E32CA8"/>
    <w:rsid w:val="00E34864"/>
    <w:rsid w:val="00E417C5"/>
    <w:rsid w:val="00E43E6D"/>
    <w:rsid w:val="00E55D49"/>
    <w:rsid w:val="00E615E5"/>
    <w:rsid w:val="00E653A9"/>
    <w:rsid w:val="00E66E7C"/>
    <w:rsid w:val="00E67769"/>
    <w:rsid w:val="00E70C34"/>
    <w:rsid w:val="00E70E9B"/>
    <w:rsid w:val="00E713E7"/>
    <w:rsid w:val="00E751CA"/>
    <w:rsid w:val="00E800B5"/>
    <w:rsid w:val="00E806CF"/>
    <w:rsid w:val="00E814A8"/>
    <w:rsid w:val="00E82FB4"/>
    <w:rsid w:val="00E843DD"/>
    <w:rsid w:val="00E944B2"/>
    <w:rsid w:val="00E94AE1"/>
    <w:rsid w:val="00E9634F"/>
    <w:rsid w:val="00EA1737"/>
    <w:rsid w:val="00EA4E61"/>
    <w:rsid w:val="00EA57F3"/>
    <w:rsid w:val="00EB1AC1"/>
    <w:rsid w:val="00EB5846"/>
    <w:rsid w:val="00EB5E80"/>
    <w:rsid w:val="00EB7D9B"/>
    <w:rsid w:val="00EC62FB"/>
    <w:rsid w:val="00ED0929"/>
    <w:rsid w:val="00ED448B"/>
    <w:rsid w:val="00ED5E88"/>
    <w:rsid w:val="00ED6EEF"/>
    <w:rsid w:val="00EE6E61"/>
    <w:rsid w:val="00EF2774"/>
    <w:rsid w:val="00EF7391"/>
    <w:rsid w:val="00F00E15"/>
    <w:rsid w:val="00F10B98"/>
    <w:rsid w:val="00F12D7E"/>
    <w:rsid w:val="00F17E72"/>
    <w:rsid w:val="00F3007B"/>
    <w:rsid w:val="00F30705"/>
    <w:rsid w:val="00F310CE"/>
    <w:rsid w:val="00F40A2F"/>
    <w:rsid w:val="00F42F3A"/>
    <w:rsid w:val="00F4513A"/>
    <w:rsid w:val="00F47EE8"/>
    <w:rsid w:val="00F51758"/>
    <w:rsid w:val="00F54E36"/>
    <w:rsid w:val="00F55EF4"/>
    <w:rsid w:val="00F62367"/>
    <w:rsid w:val="00F653AC"/>
    <w:rsid w:val="00F657EE"/>
    <w:rsid w:val="00F75A7A"/>
    <w:rsid w:val="00F935D3"/>
    <w:rsid w:val="00F95301"/>
    <w:rsid w:val="00FA7C4E"/>
    <w:rsid w:val="00FB6ECC"/>
    <w:rsid w:val="00FC03A1"/>
    <w:rsid w:val="00FC0FF2"/>
    <w:rsid w:val="00FC1FD2"/>
    <w:rsid w:val="00FD3990"/>
    <w:rsid w:val="00FD4DFC"/>
    <w:rsid w:val="00FE74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5EF0A59-915D-44C8-8969-67820BA3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00"/>
    <w:rPr>
      <w:lang w:eastAsia="es-ES"/>
    </w:rPr>
  </w:style>
  <w:style w:type="paragraph" w:styleId="Ttulo1">
    <w:name w:val="heading 1"/>
    <w:aliases w:val="Título Principal"/>
    <w:basedOn w:val="Normal"/>
    <w:next w:val="Normal"/>
    <w:uiPriority w:val="99"/>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uiPriority w:val="99"/>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uiPriority w:val="99"/>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uiPriority w:val="99"/>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uiPriority w:val="99"/>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uiPriority w:val="99"/>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uiPriority w:val="99"/>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uiPriority w:val="99"/>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uiPriority w:val="99"/>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uiPriority w:val="99"/>
    <w:semiHidden/>
    <w:rsid w:val="000558D8"/>
    <w:rPr>
      <w:rFonts w:ascii="Tahoma" w:hAnsi="Tahoma" w:cs="Tahoma"/>
      <w:sz w:val="16"/>
      <w:szCs w:val="16"/>
      <w:lang w:val="es-ES"/>
    </w:rPr>
  </w:style>
  <w:style w:type="paragraph" w:styleId="Textoindependiente2">
    <w:name w:val="Body Text 2"/>
    <w:basedOn w:val="Normal"/>
    <w:rsid w:val="00BF0EE8"/>
    <w:pPr>
      <w:jc w:val="both"/>
    </w:pPr>
    <w:rPr>
      <w:rFonts w:ascii="Bookman Old Style" w:hAnsi="Bookman Old Style" w:cs="Bookman Old Style"/>
      <w:sz w:val="24"/>
      <w:szCs w:val="24"/>
      <w:lang w:val="es-ES_tradnl"/>
    </w:rPr>
  </w:style>
  <w:style w:type="character" w:styleId="Hipervnculo">
    <w:name w:val="Hyperlink"/>
    <w:basedOn w:val="Fuentedeprrafopredeter"/>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1"/>
    <w:uiPriority w:val="99"/>
    <w:rsid w:val="00BF0EE8"/>
    <w:pPr>
      <w:tabs>
        <w:tab w:val="center" w:pos="4252"/>
        <w:tab w:val="right" w:pos="8504"/>
      </w:tabs>
    </w:pPr>
  </w:style>
  <w:style w:type="character" w:customStyle="1" w:styleId="EncabezadoCar1">
    <w:name w:val="Encabezado Car1"/>
    <w:aliases w:val="encabezado Car1"/>
    <w:link w:val="Encabezado"/>
    <w:locked/>
    <w:rsid w:val="009772DD"/>
    <w:rPr>
      <w:lang w:val="es-CR" w:eastAsia="es-ES"/>
    </w:rPr>
  </w:style>
  <w:style w:type="paragraph" w:styleId="Piedepgina">
    <w:name w:val="footer"/>
    <w:basedOn w:val="Normal"/>
    <w:uiPriority w:val="99"/>
    <w:rsid w:val="00BF0EE8"/>
    <w:pPr>
      <w:tabs>
        <w:tab w:val="center" w:pos="4252"/>
        <w:tab w:val="right" w:pos="8504"/>
      </w:tabs>
    </w:pPr>
  </w:style>
  <w:style w:type="character" w:styleId="Nmerodepgina">
    <w:name w:val="page number"/>
    <w:basedOn w:val="Fuentedeprrafopredeter"/>
    <w:uiPriority w:val="99"/>
    <w:rsid w:val="002F6410"/>
    <w:rPr>
      <w:rFonts w:cs="Times New Roman"/>
    </w:rPr>
  </w:style>
  <w:style w:type="paragraph" w:styleId="NormalWeb">
    <w:name w:val="Normal (Web)"/>
    <w:basedOn w:val="Normal"/>
    <w:uiPriority w:val="99"/>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uiPriority w:val="99"/>
    <w:rsid w:val="00B15CB4"/>
    <w:pPr>
      <w:spacing w:after="120"/>
    </w:pPr>
  </w:style>
  <w:style w:type="paragraph" w:styleId="Textonotapie">
    <w:name w:val="footnote text"/>
    <w:basedOn w:val="Normal"/>
    <w:link w:val="TextonotapieCar1"/>
    <w:uiPriority w:val="99"/>
    <w:semiHidden/>
    <w:rsid w:val="00B15CB4"/>
    <w:rPr>
      <w:lang w:val="es-ES"/>
    </w:rPr>
  </w:style>
  <w:style w:type="character" w:customStyle="1" w:styleId="TextonotapieCar1">
    <w:name w:val="Texto nota pie Car1"/>
    <w:basedOn w:val="Fuentedeprrafopredeter"/>
    <w:link w:val="Textonotapie"/>
    <w:semiHidden/>
    <w:locked/>
    <w:rsid w:val="000131C6"/>
    <w:rPr>
      <w:rFonts w:cs="Times New Roman"/>
      <w:lang w:val="es-ES" w:eastAsia="es-ES"/>
    </w:rPr>
  </w:style>
  <w:style w:type="character" w:styleId="Refdenotaalpie">
    <w:name w:val="footnote reference"/>
    <w:basedOn w:val="Fuentedeprrafopredeter"/>
    <w:uiPriority w:val="99"/>
    <w:semiHidden/>
    <w:rsid w:val="00B15CB4"/>
    <w:rPr>
      <w:rFonts w:cs="Times New Roman"/>
      <w:vertAlign w:val="superscript"/>
    </w:rPr>
  </w:style>
  <w:style w:type="character" w:styleId="Textoennegrita">
    <w:name w:val="Strong"/>
    <w:basedOn w:val="Fuentedeprrafopredeter"/>
    <w:uiPriority w:val="99"/>
    <w:qFormat/>
    <w:rsid w:val="00283912"/>
    <w:rPr>
      <w:rFonts w:cs="Times New Roman"/>
      <w:b/>
      <w:bCs/>
    </w:rPr>
  </w:style>
  <w:style w:type="paragraph" w:customStyle="1" w:styleId="CharChar">
    <w:name w:val="Char Char"/>
    <w:basedOn w:val="Normal"/>
    <w:uiPriority w:val="99"/>
    <w:semiHidden/>
    <w:rsid w:val="00283912"/>
    <w:pPr>
      <w:spacing w:after="160" w:line="240" w:lineRule="exact"/>
    </w:pPr>
    <w:rPr>
      <w:rFonts w:ascii="Verdana" w:hAnsi="Verdana" w:cs="Verdana"/>
      <w:lang w:val="en-AU" w:eastAsia="en-US"/>
    </w:rPr>
  </w:style>
  <w:style w:type="paragraph" w:customStyle="1" w:styleId="Estilo">
    <w:name w:val="Estilo"/>
    <w:next w:val="Normal"/>
    <w:uiPriority w:val="99"/>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uiPriority w:val="99"/>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uiPriority w:val="99"/>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basedOn w:val="Fuentedeprrafopredeter"/>
    <w:uiPriority w:val="99"/>
    <w:rsid w:val="000131C6"/>
    <w:rPr>
      <w:rFonts w:cs="Times New Roman"/>
      <w:color w:val="800080"/>
      <w:u w:val="single"/>
    </w:rPr>
  </w:style>
  <w:style w:type="paragraph" w:customStyle="1" w:styleId="Ttulo30">
    <w:name w:val="TÍtulo 3"/>
    <w:next w:val="Normal"/>
    <w:uiPriority w:val="99"/>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uiPriority w:val="99"/>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uiPriority w:val="99"/>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uiPriority w:val="99"/>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uiPriority w:val="99"/>
    <w:rsid w:val="000131C6"/>
    <w:pPr>
      <w:spacing w:before="100" w:beforeAutospacing="1" w:after="100" w:afterAutospacing="1"/>
    </w:pPr>
    <w:rPr>
      <w:rFonts w:ascii="Verdana" w:hAnsi="Verdana" w:cs="Verdana"/>
      <w:sz w:val="24"/>
      <w:szCs w:val="24"/>
      <w:lang w:val="es-ES"/>
    </w:rPr>
  </w:style>
  <w:style w:type="character" w:customStyle="1" w:styleId="estilo51">
    <w:name w:val="estilo51"/>
    <w:basedOn w:val="Fuentedeprrafopredeter"/>
    <w:uiPriority w:val="99"/>
    <w:rsid w:val="000131C6"/>
    <w:rPr>
      <w:rFonts w:cs="Times New Roman"/>
      <w:b/>
      <w:bCs/>
    </w:rPr>
  </w:style>
  <w:style w:type="character" w:customStyle="1" w:styleId="estilo41">
    <w:name w:val="estilo41"/>
    <w:basedOn w:val="Fuentedeprrafopredeter"/>
    <w:uiPriority w:val="99"/>
    <w:rsid w:val="000131C6"/>
    <w:rPr>
      <w:rFonts w:cs="Times New Roman"/>
    </w:rPr>
  </w:style>
  <w:style w:type="paragraph" w:styleId="Prrafodelista">
    <w:name w:val="List Paragraph"/>
    <w:basedOn w:val="Normal"/>
    <w:uiPriority w:val="99"/>
    <w:qFormat/>
    <w:rsid w:val="000131C6"/>
    <w:pPr>
      <w:ind w:left="708"/>
    </w:pPr>
    <w:rPr>
      <w:rFonts w:ascii="Arial" w:hAnsi="Arial" w:cs="Arial"/>
      <w:sz w:val="24"/>
      <w:szCs w:val="24"/>
      <w:lang w:val="es-ES"/>
    </w:rPr>
  </w:style>
  <w:style w:type="character" w:styleId="nfasis">
    <w:name w:val="Emphasis"/>
    <w:basedOn w:val="Fuentedeprrafopredeter"/>
    <w:uiPriority w:val="99"/>
    <w:qFormat/>
    <w:rsid w:val="000131C6"/>
    <w:rPr>
      <w:rFonts w:cs="Times New Roman"/>
      <w:i/>
      <w:iCs/>
    </w:rPr>
  </w:style>
  <w:style w:type="paragraph" w:customStyle="1" w:styleId="Prrafodelista1">
    <w:name w:val="Párrafo de lista1"/>
    <w:basedOn w:val="Normal"/>
    <w:uiPriority w:val="99"/>
    <w:rsid w:val="000131C6"/>
    <w:pPr>
      <w:spacing w:after="200" w:line="276" w:lineRule="auto"/>
      <w:ind w:left="720"/>
    </w:pPr>
    <w:rPr>
      <w:rFonts w:ascii="Calibri" w:hAnsi="Calibri" w:cs="Calibri"/>
      <w:sz w:val="22"/>
      <w:szCs w:val="22"/>
      <w:lang w:eastAsia="en-US"/>
    </w:rPr>
  </w:style>
  <w:style w:type="character" w:customStyle="1" w:styleId="CarCar1">
    <w:name w:val="Car Car1"/>
    <w:basedOn w:val="Fuentedeprrafopredeter"/>
    <w:uiPriority w:val="99"/>
    <w:semiHidden/>
    <w:locked/>
    <w:rsid w:val="000131C6"/>
    <w:rPr>
      <w:rFonts w:ascii="Calibri" w:hAnsi="Calibri" w:cs="Calibri"/>
      <w:lang w:val="es-CR" w:eastAsia="en-US"/>
    </w:rPr>
  </w:style>
  <w:style w:type="paragraph" w:styleId="Sangradetextonormal">
    <w:name w:val="Body Text Indent"/>
    <w:basedOn w:val="Normal"/>
    <w:uiPriority w:val="99"/>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basedOn w:val="Fuentedeprrafopredeter"/>
    <w:uiPriority w:val="99"/>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uiPriority w:val="99"/>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Puesto">
    <w:name w:val="Title"/>
    <w:basedOn w:val="Normal"/>
    <w:link w:val="PuestoCar"/>
    <w:qFormat/>
    <w:rsid w:val="006E3B1A"/>
    <w:pPr>
      <w:jc w:val="center"/>
    </w:pPr>
    <w:rPr>
      <w:rFonts w:ascii="Arial" w:hAnsi="Arial"/>
      <w:b/>
      <w:bCs/>
      <w:sz w:val="36"/>
      <w:szCs w:val="36"/>
    </w:rPr>
  </w:style>
  <w:style w:type="character" w:customStyle="1" w:styleId="PuestoCar">
    <w:name w:val="Puesto Car"/>
    <w:basedOn w:val="Fuentedeprrafopredeter"/>
    <w:link w:val="Puest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uiPriority w:val="99"/>
    <w:qFormat/>
    <w:rsid w:val="00364509"/>
    <w:pPr>
      <w:jc w:val="center"/>
    </w:pPr>
    <w:rPr>
      <w:b/>
      <w:bCs/>
      <w:sz w:val="32"/>
      <w:szCs w:val="32"/>
      <w:lang w:val="es-ES"/>
    </w:rPr>
  </w:style>
  <w:style w:type="paragraph" w:styleId="Lista">
    <w:name w:val="List"/>
    <w:basedOn w:val="Normal"/>
    <w:uiPriority w:val="99"/>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Descripcin">
    <w:name w:val="caption"/>
    <w:basedOn w:val="Normal"/>
    <w:next w:val="Normal"/>
    <w:uiPriority w:val="99"/>
    <w:qFormat/>
    <w:rsid w:val="00364509"/>
    <w:pPr>
      <w:widowControl w:val="0"/>
      <w:autoSpaceDE w:val="0"/>
      <w:autoSpaceDN w:val="0"/>
      <w:adjustRightInd w:val="0"/>
    </w:pPr>
    <w:rPr>
      <w:rFonts w:ascii="Arial" w:hAnsi="Arial" w:cs="Arial"/>
      <w:b/>
      <w:bCs/>
      <w:lang w:val="es-ES"/>
    </w:rPr>
  </w:style>
  <w:style w:type="character" w:customStyle="1" w:styleId="Ttulo1Car">
    <w:name w:val="Título 1 Car"/>
    <w:aliases w:val="Título Principal Car"/>
    <w:uiPriority w:val="99"/>
    <w:rsid w:val="00C43B9A"/>
    <w:rPr>
      <w:rFonts w:ascii="Calibri Light" w:hAnsi="Calibri Light" w:cs="Calibri Light"/>
      <w:b/>
      <w:bCs/>
      <w:sz w:val="32"/>
      <w:szCs w:val="32"/>
    </w:rPr>
  </w:style>
  <w:style w:type="character" w:customStyle="1" w:styleId="Ttulo2Car">
    <w:name w:val="Título 2 Car"/>
    <w:uiPriority w:val="99"/>
    <w:rsid w:val="00C43B9A"/>
    <w:rPr>
      <w:rFonts w:ascii="Calibri Light" w:hAnsi="Calibri Light" w:cs="Calibri Light"/>
      <w:b/>
      <w:bCs/>
      <w:i/>
      <w:iCs/>
      <w:sz w:val="28"/>
      <w:szCs w:val="28"/>
    </w:rPr>
  </w:style>
  <w:style w:type="character" w:customStyle="1" w:styleId="Ttulo3Car">
    <w:name w:val="Título 3 Car"/>
    <w:uiPriority w:val="99"/>
    <w:rsid w:val="00C43B9A"/>
    <w:rPr>
      <w:rFonts w:ascii="Calibri Light" w:hAnsi="Calibri Light" w:cs="Calibri Light"/>
      <w:b/>
      <w:bCs/>
      <w:sz w:val="26"/>
      <w:szCs w:val="26"/>
    </w:rPr>
  </w:style>
  <w:style w:type="character" w:customStyle="1" w:styleId="Ttulo4Car">
    <w:name w:val="Título 4 Car"/>
    <w:uiPriority w:val="99"/>
    <w:rsid w:val="00C43B9A"/>
    <w:rPr>
      <w:rFonts w:ascii="Calibri" w:hAnsi="Calibri" w:cs="Calibri"/>
      <w:b/>
      <w:bCs/>
      <w:sz w:val="28"/>
      <w:szCs w:val="28"/>
    </w:rPr>
  </w:style>
  <w:style w:type="character" w:customStyle="1" w:styleId="Ttulo5Car">
    <w:name w:val="Título 5 Car"/>
    <w:uiPriority w:val="99"/>
    <w:rsid w:val="00C43B9A"/>
    <w:rPr>
      <w:rFonts w:ascii="Calibri" w:hAnsi="Calibri" w:cs="Calibri"/>
      <w:b/>
      <w:bCs/>
      <w:i/>
      <w:iCs/>
      <w:sz w:val="26"/>
      <w:szCs w:val="26"/>
    </w:rPr>
  </w:style>
  <w:style w:type="character" w:customStyle="1" w:styleId="Ttulo6Car">
    <w:name w:val="Título 6 Car"/>
    <w:uiPriority w:val="99"/>
    <w:rsid w:val="00C43B9A"/>
    <w:rPr>
      <w:rFonts w:ascii="Calibri" w:hAnsi="Calibri" w:cs="Calibri"/>
      <w:b/>
      <w:bCs/>
    </w:rPr>
  </w:style>
  <w:style w:type="character" w:customStyle="1" w:styleId="Ttulo7Car">
    <w:name w:val="Título 7 Car"/>
    <w:uiPriority w:val="99"/>
    <w:rsid w:val="00C43B9A"/>
    <w:rPr>
      <w:rFonts w:ascii="Calibri" w:hAnsi="Calibri" w:cs="Calibri"/>
    </w:rPr>
  </w:style>
  <w:style w:type="character" w:customStyle="1" w:styleId="Ttulo8Car">
    <w:name w:val="Título 8 Car"/>
    <w:uiPriority w:val="99"/>
    <w:rsid w:val="00C43B9A"/>
    <w:rPr>
      <w:rFonts w:ascii="Calibri" w:hAnsi="Calibri" w:cs="Calibri"/>
      <w:i/>
      <w:iCs/>
    </w:rPr>
  </w:style>
  <w:style w:type="character" w:customStyle="1" w:styleId="Ttulo9Car">
    <w:name w:val="Título 9 Car"/>
    <w:uiPriority w:val="99"/>
    <w:rsid w:val="00C43B9A"/>
    <w:rPr>
      <w:rFonts w:ascii="Calibri Light" w:hAnsi="Calibri Light" w:cs="Calibri Light"/>
    </w:rPr>
  </w:style>
  <w:style w:type="character" w:customStyle="1" w:styleId="TextodegloboCar">
    <w:name w:val="Texto de globo Car"/>
    <w:uiPriority w:val="99"/>
    <w:rsid w:val="00C43B9A"/>
    <w:rPr>
      <w:rFonts w:ascii="Segoe UI" w:hAnsi="Segoe UI" w:cs="Segoe UI"/>
      <w:sz w:val="18"/>
      <w:szCs w:val="18"/>
    </w:rPr>
  </w:style>
  <w:style w:type="paragraph" w:customStyle="1" w:styleId="ecxmsonormal">
    <w:name w:val="ecxmsonormal"/>
    <w:uiPriority w:val="99"/>
    <w:rsid w:val="00C43B9A"/>
    <w:pPr>
      <w:autoSpaceDE w:val="0"/>
      <w:autoSpaceDN w:val="0"/>
      <w:adjustRightInd w:val="0"/>
      <w:spacing w:before="100" w:after="100"/>
    </w:pPr>
    <w:rPr>
      <w:rFonts w:ascii="Arial" w:hAnsi="Arial" w:cs="Arial"/>
      <w:sz w:val="24"/>
      <w:szCs w:val="24"/>
      <w:lang w:val="es-ES" w:eastAsia="es-ES"/>
    </w:rPr>
  </w:style>
  <w:style w:type="character" w:customStyle="1" w:styleId="Textoindependiente3Car">
    <w:name w:val="Texto independiente 3 Car"/>
    <w:uiPriority w:val="99"/>
    <w:rsid w:val="00C43B9A"/>
    <w:rPr>
      <w:rFonts w:cs="Arial"/>
      <w:sz w:val="16"/>
      <w:szCs w:val="16"/>
    </w:rPr>
  </w:style>
  <w:style w:type="character" w:customStyle="1" w:styleId="PiedepginaCar">
    <w:name w:val="Pie de página Car"/>
    <w:uiPriority w:val="99"/>
    <w:rsid w:val="00C43B9A"/>
    <w:rPr>
      <w:rFonts w:cs="Arial"/>
    </w:rPr>
  </w:style>
  <w:style w:type="character" w:customStyle="1" w:styleId="Textoindependiente2Car">
    <w:name w:val="Texto independiente 2 Car"/>
    <w:rsid w:val="00C43B9A"/>
    <w:rPr>
      <w:rFonts w:cs="Arial"/>
    </w:rPr>
  </w:style>
  <w:style w:type="character" w:customStyle="1" w:styleId="TextoindependienteCar">
    <w:name w:val="Texto independiente Car"/>
    <w:uiPriority w:val="99"/>
    <w:rsid w:val="00C43B9A"/>
    <w:rPr>
      <w:rFonts w:cs="Arial"/>
    </w:rPr>
  </w:style>
  <w:style w:type="character" w:customStyle="1" w:styleId="Sangra2detindependienteCar">
    <w:name w:val="Sangría 2 de t. independiente Car"/>
    <w:uiPriority w:val="99"/>
    <w:rsid w:val="00C43B9A"/>
    <w:rPr>
      <w:rFonts w:cs="Arial"/>
    </w:rPr>
  </w:style>
  <w:style w:type="character" w:customStyle="1" w:styleId="MapadeldocumentoCar">
    <w:name w:val="Mapa del documento Car"/>
    <w:uiPriority w:val="99"/>
    <w:rsid w:val="00C43B9A"/>
    <w:rPr>
      <w:rFonts w:ascii="Segoe UI" w:hAnsi="Segoe UI" w:cs="Segoe UI"/>
      <w:sz w:val="16"/>
      <w:szCs w:val="16"/>
    </w:rPr>
  </w:style>
  <w:style w:type="character" w:customStyle="1" w:styleId="TextonotapieCar">
    <w:name w:val="Texto nota pie Car"/>
    <w:uiPriority w:val="99"/>
    <w:rsid w:val="00C43B9A"/>
    <w:rPr>
      <w:rFonts w:cs="Arial"/>
    </w:rPr>
  </w:style>
  <w:style w:type="character" w:customStyle="1" w:styleId="SangradetextonormalCar">
    <w:name w:val="Sangría de texto normal Car"/>
    <w:uiPriority w:val="99"/>
    <w:rsid w:val="00C43B9A"/>
    <w:rPr>
      <w:rFonts w:cs="Arial"/>
    </w:rPr>
  </w:style>
  <w:style w:type="paragraph" w:customStyle="1" w:styleId="CarCar6">
    <w:name w:val="Car Car6"/>
    <w:uiPriority w:val="99"/>
    <w:rsid w:val="00C43B9A"/>
    <w:pPr>
      <w:autoSpaceDE w:val="0"/>
      <w:autoSpaceDN w:val="0"/>
      <w:adjustRightInd w:val="0"/>
      <w:spacing w:after="160" w:line="240" w:lineRule="exact"/>
    </w:pPr>
    <w:rPr>
      <w:rFonts w:ascii="Verdana" w:hAnsi="Verdana" w:cs="Verdana"/>
      <w:lang w:val="es-ES" w:eastAsia="es-ES"/>
    </w:rPr>
  </w:style>
  <w:style w:type="paragraph" w:customStyle="1" w:styleId="Sangra3detindependiente1">
    <w:name w:val="Sangría 3 de t. independiente1"/>
    <w:uiPriority w:val="99"/>
    <w:rsid w:val="00C43B9A"/>
    <w:pPr>
      <w:autoSpaceDE w:val="0"/>
      <w:autoSpaceDN w:val="0"/>
      <w:adjustRightInd w:val="0"/>
      <w:spacing w:after="120"/>
      <w:ind w:left="283"/>
    </w:pPr>
    <w:rPr>
      <w:rFonts w:ascii="Arial" w:hAnsi="Arial" w:cs="Arial"/>
      <w:sz w:val="16"/>
      <w:szCs w:val="16"/>
      <w:lang w:val="es-ES" w:eastAsia="es-ES"/>
    </w:rPr>
  </w:style>
  <w:style w:type="character" w:customStyle="1" w:styleId="hasnegrita1">
    <w:name w:val="has_negrita1"/>
    <w:uiPriority w:val="99"/>
    <w:rsid w:val="00C43B9A"/>
    <w:rPr>
      <w:rFonts w:cs="Arial"/>
      <w:b/>
      <w:bCs/>
    </w:rPr>
  </w:style>
  <w:style w:type="character" w:customStyle="1" w:styleId="CarCar3">
    <w:name w:val="Car Car3"/>
    <w:uiPriority w:val="99"/>
    <w:rsid w:val="00C43B9A"/>
    <w:rPr>
      <w:rFonts w:cs="Arial"/>
    </w:rPr>
  </w:style>
  <w:style w:type="character" w:customStyle="1" w:styleId="WW8Num8z0">
    <w:name w:val="WW8Num8z0"/>
    <w:uiPriority w:val="99"/>
    <w:rsid w:val="00C43B9A"/>
    <w:rPr>
      <w:rFonts w:ascii="Wingdings" w:hAnsi="Wingdings" w:cs="Wingdings"/>
    </w:rPr>
  </w:style>
  <w:style w:type="character" w:customStyle="1" w:styleId="WW8Num8z1">
    <w:name w:val="WW8Num8z1"/>
    <w:uiPriority w:val="99"/>
    <w:rsid w:val="00C43B9A"/>
    <w:rPr>
      <w:rFonts w:ascii="Courier New" w:hAnsi="Courier New" w:cs="Courier New"/>
    </w:rPr>
  </w:style>
  <w:style w:type="character" w:customStyle="1" w:styleId="WW8Num8z3">
    <w:name w:val="WW8Num8z3"/>
    <w:uiPriority w:val="99"/>
    <w:rsid w:val="00C43B9A"/>
    <w:rPr>
      <w:rFonts w:ascii="Symbol" w:hAnsi="Symbol" w:cs="Symbol"/>
    </w:rPr>
  </w:style>
  <w:style w:type="character" w:customStyle="1" w:styleId="WW8Num12z0">
    <w:name w:val="WW8Num12z0"/>
    <w:uiPriority w:val="99"/>
    <w:rsid w:val="00C43B9A"/>
    <w:rPr>
      <w:rFonts w:ascii="Times New Roman" w:hAnsi="Times New Roman"/>
    </w:rPr>
  </w:style>
  <w:style w:type="character" w:customStyle="1" w:styleId="WW8Num13z0">
    <w:name w:val="WW8Num13z0"/>
    <w:uiPriority w:val="99"/>
    <w:rsid w:val="00C43B9A"/>
    <w:rPr>
      <w:rFonts w:ascii="Symbol" w:hAnsi="Symbol" w:cs="Symbol"/>
    </w:rPr>
  </w:style>
  <w:style w:type="character" w:customStyle="1" w:styleId="WW8Num13z1">
    <w:name w:val="WW8Num13z1"/>
    <w:uiPriority w:val="99"/>
    <w:rsid w:val="00C43B9A"/>
    <w:rPr>
      <w:rFonts w:ascii="Courier New" w:hAnsi="Courier New" w:cs="Courier New"/>
    </w:rPr>
  </w:style>
  <w:style w:type="character" w:customStyle="1" w:styleId="WW8Num13z2">
    <w:name w:val="WW8Num13z2"/>
    <w:uiPriority w:val="99"/>
    <w:rsid w:val="00C43B9A"/>
    <w:rPr>
      <w:rFonts w:ascii="Wingdings" w:hAnsi="Wingdings" w:cs="Wingdings"/>
    </w:rPr>
  </w:style>
  <w:style w:type="character" w:customStyle="1" w:styleId="WW8Num18z0">
    <w:name w:val="WW8Num18z0"/>
    <w:uiPriority w:val="99"/>
    <w:rsid w:val="00C43B9A"/>
    <w:rPr>
      <w:rFonts w:ascii="Wingdings" w:hAnsi="Wingdings" w:cs="Wingdings"/>
    </w:rPr>
  </w:style>
  <w:style w:type="character" w:customStyle="1" w:styleId="WW8Num18z1">
    <w:name w:val="WW8Num18z1"/>
    <w:uiPriority w:val="99"/>
    <w:rsid w:val="00C43B9A"/>
    <w:rPr>
      <w:rFonts w:ascii="Courier New" w:hAnsi="Courier New" w:cs="Courier New"/>
    </w:rPr>
  </w:style>
  <w:style w:type="character" w:customStyle="1" w:styleId="WW8Num18z3">
    <w:name w:val="WW8Num18z3"/>
    <w:uiPriority w:val="99"/>
    <w:rsid w:val="00C43B9A"/>
    <w:rPr>
      <w:rFonts w:ascii="Symbol" w:hAnsi="Symbol" w:cs="Symbol"/>
    </w:rPr>
  </w:style>
  <w:style w:type="character" w:customStyle="1" w:styleId="WW8Num19z0">
    <w:name w:val="WW8Num19z0"/>
    <w:uiPriority w:val="99"/>
    <w:rsid w:val="00C43B9A"/>
    <w:rPr>
      <w:rFonts w:ascii="Symbol" w:hAnsi="Symbol" w:cs="Symbol"/>
    </w:rPr>
  </w:style>
  <w:style w:type="character" w:customStyle="1" w:styleId="WW8Num19z1">
    <w:name w:val="WW8Num19z1"/>
    <w:uiPriority w:val="99"/>
    <w:rsid w:val="00C43B9A"/>
    <w:rPr>
      <w:rFonts w:ascii="Courier New" w:hAnsi="Courier New" w:cs="Courier New"/>
    </w:rPr>
  </w:style>
  <w:style w:type="character" w:customStyle="1" w:styleId="WW8Num19z2">
    <w:name w:val="WW8Num19z2"/>
    <w:uiPriority w:val="99"/>
    <w:rsid w:val="00C43B9A"/>
    <w:rPr>
      <w:rFonts w:ascii="Wingdings" w:hAnsi="Wingdings" w:cs="Wingdings"/>
    </w:rPr>
  </w:style>
  <w:style w:type="character" w:customStyle="1" w:styleId="WW8Num27z0">
    <w:name w:val="WW8Num27z0"/>
    <w:uiPriority w:val="99"/>
    <w:rsid w:val="00C43B9A"/>
    <w:rPr>
      <w:b/>
      <w:bCs/>
    </w:rPr>
  </w:style>
  <w:style w:type="character" w:customStyle="1" w:styleId="WW8Num31z0">
    <w:name w:val="WW8Num31z0"/>
    <w:uiPriority w:val="99"/>
    <w:rsid w:val="00C43B9A"/>
    <w:rPr>
      <w:rFonts w:cs="Arial"/>
      <w:i/>
      <w:iCs/>
    </w:rPr>
  </w:style>
  <w:style w:type="character" w:customStyle="1" w:styleId="WW8Num35z1">
    <w:name w:val="WW8Num35z1"/>
    <w:uiPriority w:val="99"/>
    <w:rsid w:val="00C43B9A"/>
    <w:rPr>
      <w:rFonts w:ascii="Book Antiqua" w:hAnsi="Book Antiqua" w:cs="Book Antiqua"/>
    </w:rPr>
  </w:style>
  <w:style w:type="character" w:customStyle="1" w:styleId="WW8Num35z2">
    <w:name w:val="WW8Num35z2"/>
    <w:uiPriority w:val="99"/>
    <w:rsid w:val="00C43B9A"/>
    <w:rPr>
      <w:rFonts w:ascii="Wingdings" w:hAnsi="Wingdings" w:cs="Wingdings"/>
    </w:rPr>
  </w:style>
  <w:style w:type="character" w:customStyle="1" w:styleId="WW8Num35z3">
    <w:name w:val="WW8Num35z3"/>
    <w:uiPriority w:val="99"/>
    <w:rsid w:val="00C43B9A"/>
    <w:rPr>
      <w:rFonts w:ascii="Symbol" w:hAnsi="Symbol" w:cs="Symbol"/>
    </w:rPr>
  </w:style>
  <w:style w:type="character" w:customStyle="1" w:styleId="WW8Num35z4">
    <w:name w:val="WW8Num35z4"/>
    <w:uiPriority w:val="99"/>
    <w:rsid w:val="00C43B9A"/>
    <w:rPr>
      <w:rFonts w:ascii="Courier New" w:hAnsi="Courier New" w:cs="Courier New"/>
    </w:rPr>
  </w:style>
  <w:style w:type="character" w:customStyle="1" w:styleId="WW8Num39z0">
    <w:name w:val="WW8Num39z0"/>
    <w:uiPriority w:val="99"/>
    <w:rsid w:val="00C43B9A"/>
    <w:rPr>
      <w:rFonts w:ascii="Times New Roman" w:hAnsi="Times New Roman"/>
      <w:color w:val="000000"/>
      <w:sz w:val="2"/>
      <w:szCs w:val="2"/>
      <w:vertAlign w:val="subscript"/>
    </w:rPr>
  </w:style>
  <w:style w:type="character" w:customStyle="1" w:styleId="WW8Num39z2">
    <w:name w:val="WW8Num39z2"/>
    <w:uiPriority w:val="99"/>
    <w:rsid w:val="00C43B9A"/>
  </w:style>
  <w:style w:type="character" w:customStyle="1" w:styleId="WW8Num41z0">
    <w:name w:val="WW8Num41z0"/>
    <w:uiPriority w:val="99"/>
    <w:rsid w:val="00C43B9A"/>
    <w:rPr>
      <w:rFonts w:ascii="Symbol" w:hAnsi="Symbol" w:cs="Symbol"/>
    </w:rPr>
  </w:style>
  <w:style w:type="character" w:customStyle="1" w:styleId="WW8Num41z1">
    <w:name w:val="WW8Num41z1"/>
    <w:uiPriority w:val="99"/>
    <w:rsid w:val="00C43B9A"/>
    <w:rPr>
      <w:rFonts w:ascii="Courier New" w:hAnsi="Courier New" w:cs="Courier New"/>
    </w:rPr>
  </w:style>
  <w:style w:type="character" w:customStyle="1" w:styleId="WW8Num41z2">
    <w:name w:val="WW8Num41z2"/>
    <w:uiPriority w:val="99"/>
    <w:rsid w:val="00C43B9A"/>
    <w:rPr>
      <w:rFonts w:ascii="Wingdings" w:hAnsi="Wingdings" w:cs="Wingdings"/>
    </w:rPr>
  </w:style>
  <w:style w:type="character" w:customStyle="1" w:styleId="WW8Num42z0">
    <w:name w:val="WW8Num42z0"/>
    <w:uiPriority w:val="99"/>
    <w:rsid w:val="00C43B9A"/>
    <w:rPr>
      <w:b/>
      <w:bCs/>
      <w:color w:val="000000"/>
    </w:rPr>
  </w:style>
  <w:style w:type="character" w:customStyle="1" w:styleId="WW8Num42z1">
    <w:name w:val="WW8Num42z1"/>
    <w:uiPriority w:val="99"/>
    <w:rsid w:val="00C43B9A"/>
    <w:rPr>
      <w:rFonts w:ascii="Wingdings" w:hAnsi="Wingdings" w:cs="Wingdings"/>
      <w:b/>
      <w:bCs/>
      <w:color w:val="000000"/>
    </w:rPr>
  </w:style>
  <w:style w:type="character" w:customStyle="1" w:styleId="WW8Num48z0">
    <w:name w:val="WW8Num48z0"/>
    <w:uiPriority w:val="99"/>
    <w:rsid w:val="00C43B9A"/>
    <w:rPr>
      <w:rFonts w:ascii="Wingdings" w:hAnsi="Wingdings" w:cs="Wingdings"/>
    </w:rPr>
  </w:style>
  <w:style w:type="character" w:customStyle="1" w:styleId="WW8Num48z1">
    <w:name w:val="WW8Num48z1"/>
    <w:uiPriority w:val="99"/>
    <w:rsid w:val="00C43B9A"/>
    <w:rPr>
      <w:rFonts w:ascii="Courier New" w:hAnsi="Courier New" w:cs="Courier New"/>
    </w:rPr>
  </w:style>
  <w:style w:type="character" w:customStyle="1" w:styleId="WW8Num48z3">
    <w:name w:val="WW8Num48z3"/>
    <w:uiPriority w:val="99"/>
    <w:rsid w:val="00C43B9A"/>
    <w:rPr>
      <w:rFonts w:ascii="Symbol" w:hAnsi="Symbol" w:cs="Symbol"/>
    </w:rPr>
  </w:style>
  <w:style w:type="character" w:customStyle="1" w:styleId="WW8Num52z0">
    <w:name w:val="WW8Num52z0"/>
    <w:uiPriority w:val="99"/>
    <w:rsid w:val="00C43B9A"/>
    <w:rPr>
      <w:rFonts w:ascii="Calibri" w:hAnsi="Calibri" w:cs="Calibri"/>
    </w:rPr>
  </w:style>
  <w:style w:type="character" w:customStyle="1" w:styleId="WW8Num52z1">
    <w:name w:val="WW8Num52z1"/>
    <w:uiPriority w:val="99"/>
    <w:rsid w:val="00C43B9A"/>
    <w:rPr>
      <w:rFonts w:ascii="Courier New" w:hAnsi="Courier New" w:cs="Courier New"/>
    </w:rPr>
  </w:style>
  <w:style w:type="character" w:customStyle="1" w:styleId="WW8Num52z2">
    <w:name w:val="WW8Num52z2"/>
    <w:uiPriority w:val="99"/>
    <w:rsid w:val="00C43B9A"/>
    <w:rPr>
      <w:rFonts w:ascii="Wingdings" w:hAnsi="Wingdings" w:cs="Wingdings"/>
    </w:rPr>
  </w:style>
  <w:style w:type="character" w:customStyle="1" w:styleId="WW8Num52z3">
    <w:name w:val="WW8Num52z3"/>
    <w:uiPriority w:val="99"/>
    <w:rsid w:val="00C43B9A"/>
    <w:rPr>
      <w:rFonts w:ascii="Symbol" w:hAnsi="Symbol" w:cs="Symbol"/>
    </w:rPr>
  </w:style>
  <w:style w:type="character" w:customStyle="1" w:styleId="Fuentedeprrafopredeter1">
    <w:name w:val="Fuente de párrafo predeter.1"/>
    <w:uiPriority w:val="99"/>
    <w:rsid w:val="00C43B9A"/>
  </w:style>
  <w:style w:type="character" w:customStyle="1" w:styleId="CarCar8">
    <w:name w:val="Car Car8"/>
    <w:uiPriority w:val="99"/>
    <w:rsid w:val="00C43B9A"/>
    <w:rPr>
      <w:rFonts w:ascii="Cambria" w:hAnsi="Cambria" w:cs="Cambria"/>
    </w:rPr>
  </w:style>
  <w:style w:type="character" w:customStyle="1" w:styleId="CarCar7">
    <w:name w:val="Car Car7"/>
    <w:uiPriority w:val="99"/>
    <w:rsid w:val="00C43B9A"/>
    <w:rPr>
      <w:rFonts w:ascii="Cambria" w:hAnsi="Cambria" w:cs="Cambria"/>
      <w:b/>
      <w:bCs/>
      <w:sz w:val="32"/>
      <w:szCs w:val="32"/>
    </w:rPr>
  </w:style>
  <w:style w:type="character" w:customStyle="1" w:styleId="CarCar61">
    <w:name w:val="Car Car61"/>
    <w:uiPriority w:val="99"/>
    <w:rsid w:val="00C43B9A"/>
  </w:style>
  <w:style w:type="character" w:customStyle="1" w:styleId="CarCar5">
    <w:name w:val="Car Car5"/>
    <w:uiPriority w:val="99"/>
    <w:rsid w:val="00C43B9A"/>
    <w:rPr>
      <w:rFonts w:ascii="Tahoma" w:hAnsi="Tahoma" w:cs="Tahoma"/>
      <w:sz w:val="16"/>
      <w:szCs w:val="16"/>
    </w:rPr>
  </w:style>
  <w:style w:type="character" w:customStyle="1" w:styleId="CarCar9">
    <w:name w:val="Car Car9"/>
    <w:uiPriority w:val="99"/>
    <w:rsid w:val="00C43B9A"/>
  </w:style>
  <w:style w:type="character" w:customStyle="1" w:styleId="CarCar4">
    <w:name w:val="Car Car4"/>
    <w:uiPriority w:val="99"/>
    <w:rsid w:val="00C43B9A"/>
    <w:rPr>
      <w:rFonts w:ascii="Tahoma" w:hAnsi="Tahoma" w:cs="Tahoma"/>
      <w:sz w:val="16"/>
      <w:szCs w:val="16"/>
    </w:rPr>
  </w:style>
  <w:style w:type="character" w:customStyle="1" w:styleId="CarCar31">
    <w:name w:val="Car Car31"/>
    <w:uiPriority w:val="99"/>
    <w:rsid w:val="00C43B9A"/>
  </w:style>
  <w:style w:type="character" w:customStyle="1" w:styleId="Caracteresdenotaalpie">
    <w:name w:val="Caracteres de nota al pie"/>
    <w:uiPriority w:val="99"/>
    <w:rsid w:val="00C43B9A"/>
  </w:style>
  <w:style w:type="character" w:customStyle="1" w:styleId="CarCar21">
    <w:name w:val="Car Car21"/>
    <w:uiPriority w:val="99"/>
    <w:rsid w:val="00C43B9A"/>
  </w:style>
  <w:style w:type="character" w:customStyle="1" w:styleId="Caracteresdenotafinal">
    <w:name w:val="Caracteres de nota final"/>
    <w:uiPriority w:val="99"/>
    <w:rsid w:val="00C43B9A"/>
  </w:style>
  <w:style w:type="character" w:customStyle="1" w:styleId="CarCar10">
    <w:name w:val="Car Car10"/>
    <w:uiPriority w:val="99"/>
    <w:rsid w:val="00C43B9A"/>
    <w:rPr>
      <w:rFonts w:ascii="Book Antiqua" w:hAnsi="Book Antiqua" w:cs="Book Antiqua"/>
      <w:b/>
      <w:bCs/>
      <w:i/>
      <w:iCs/>
      <w:sz w:val="28"/>
      <w:szCs w:val="28"/>
    </w:rPr>
  </w:style>
  <w:style w:type="character" w:customStyle="1" w:styleId="CarCar15">
    <w:name w:val="Car Car15"/>
    <w:uiPriority w:val="99"/>
    <w:rsid w:val="00C43B9A"/>
  </w:style>
  <w:style w:type="character" w:customStyle="1" w:styleId="CarCar14">
    <w:name w:val="Car Car14"/>
    <w:uiPriority w:val="99"/>
    <w:rsid w:val="00C43B9A"/>
  </w:style>
  <w:style w:type="paragraph" w:customStyle="1" w:styleId="Encabezado1">
    <w:name w:val="Encabezado1"/>
    <w:next w:val="Normal"/>
    <w:uiPriority w:val="99"/>
    <w:rsid w:val="00C43B9A"/>
    <w:pPr>
      <w:autoSpaceDE w:val="0"/>
      <w:autoSpaceDN w:val="0"/>
      <w:adjustRightInd w:val="0"/>
      <w:spacing w:before="240" w:after="60"/>
      <w:jc w:val="center"/>
    </w:pPr>
    <w:rPr>
      <w:rFonts w:ascii="Cambria" w:hAnsi="Cambria" w:cs="Cambria"/>
      <w:b/>
      <w:bCs/>
      <w:sz w:val="32"/>
      <w:szCs w:val="32"/>
      <w:lang w:val="es-ES" w:eastAsia="es-ES"/>
    </w:rPr>
  </w:style>
  <w:style w:type="paragraph" w:customStyle="1" w:styleId="ndice">
    <w:name w:val="Índice"/>
    <w:uiPriority w:val="99"/>
    <w:rsid w:val="00C43B9A"/>
    <w:pPr>
      <w:autoSpaceDE w:val="0"/>
      <w:autoSpaceDN w:val="0"/>
      <w:adjustRightInd w:val="0"/>
      <w:spacing w:before="240" w:after="360"/>
      <w:jc w:val="both"/>
    </w:pPr>
    <w:rPr>
      <w:rFonts w:ascii="Book Antiqua" w:hAnsi="Book Antiqua" w:cs="Book Antiqua"/>
      <w:sz w:val="24"/>
      <w:szCs w:val="24"/>
      <w:lang w:val="es-ES" w:eastAsia="es-ES"/>
    </w:rPr>
  </w:style>
  <w:style w:type="paragraph" w:customStyle="1" w:styleId="Textoindependiente21">
    <w:name w:val="Texto independiente 21"/>
    <w:uiPriority w:val="99"/>
    <w:rsid w:val="00C43B9A"/>
    <w:pPr>
      <w:autoSpaceDE w:val="0"/>
      <w:autoSpaceDN w:val="0"/>
      <w:adjustRightInd w:val="0"/>
      <w:spacing w:before="240" w:after="360"/>
      <w:jc w:val="both"/>
    </w:pPr>
    <w:rPr>
      <w:rFonts w:ascii="Book Antiqua" w:hAnsi="Book Antiqua" w:cs="Book Antiqua"/>
      <w:b/>
      <w:bCs/>
      <w:sz w:val="24"/>
      <w:szCs w:val="24"/>
      <w:lang w:val="es-ES" w:eastAsia="es-ES"/>
    </w:rPr>
  </w:style>
  <w:style w:type="paragraph" w:styleId="TDC2">
    <w:name w:val="toc 2"/>
    <w:basedOn w:val="Normal"/>
    <w:next w:val="Normal"/>
    <w:uiPriority w:val="99"/>
    <w:rsid w:val="00C43B9A"/>
    <w:pPr>
      <w:autoSpaceDE w:val="0"/>
      <w:autoSpaceDN w:val="0"/>
      <w:adjustRightInd w:val="0"/>
      <w:spacing w:before="240" w:after="360"/>
      <w:jc w:val="both"/>
    </w:pPr>
    <w:rPr>
      <w:rFonts w:ascii="Arial" w:hAnsi="Arial" w:cs="Arial"/>
      <w:b/>
      <w:bCs/>
      <w:i/>
      <w:iCs/>
      <w:sz w:val="32"/>
      <w:szCs w:val="32"/>
      <w:lang w:val="es-ES"/>
    </w:rPr>
  </w:style>
  <w:style w:type="character" w:customStyle="1" w:styleId="SubttuloCar">
    <w:name w:val="Subtítulo Car"/>
    <w:uiPriority w:val="99"/>
    <w:rsid w:val="00C43B9A"/>
    <w:rPr>
      <w:rFonts w:ascii="Calibri Light" w:hAnsi="Calibri Light" w:cs="Calibri Light"/>
    </w:rPr>
  </w:style>
  <w:style w:type="paragraph" w:customStyle="1" w:styleId="Mapadeldocumento1">
    <w:name w:val="Mapa del documento1"/>
    <w:uiPriority w:val="99"/>
    <w:rsid w:val="00C43B9A"/>
    <w:pPr>
      <w:autoSpaceDE w:val="0"/>
      <w:autoSpaceDN w:val="0"/>
      <w:adjustRightInd w:val="0"/>
      <w:spacing w:before="240" w:after="360"/>
      <w:jc w:val="both"/>
    </w:pPr>
    <w:rPr>
      <w:rFonts w:ascii="Tahoma" w:hAnsi="Tahoma" w:cs="Tahoma"/>
      <w:sz w:val="16"/>
      <w:szCs w:val="16"/>
      <w:lang w:val="es-ES" w:eastAsia="es-ES"/>
    </w:rPr>
  </w:style>
  <w:style w:type="character" w:customStyle="1" w:styleId="CarCar13">
    <w:name w:val="Car Car13"/>
    <w:uiPriority w:val="99"/>
    <w:rsid w:val="00C43B9A"/>
    <w:rPr>
      <w:rFonts w:ascii="Book Antiqua" w:hAnsi="Book Antiqua" w:cs="Book Antiqua"/>
    </w:rPr>
  </w:style>
  <w:style w:type="paragraph" w:customStyle="1" w:styleId="Epgrafe1">
    <w:name w:val="Epígrafe1"/>
    <w:next w:val="Normal"/>
    <w:uiPriority w:val="99"/>
    <w:rsid w:val="00C43B9A"/>
    <w:pPr>
      <w:autoSpaceDE w:val="0"/>
      <w:autoSpaceDN w:val="0"/>
      <w:adjustRightInd w:val="0"/>
      <w:spacing w:before="240" w:after="360"/>
      <w:jc w:val="center"/>
    </w:pPr>
    <w:rPr>
      <w:rFonts w:ascii="Book Antiqua" w:hAnsi="Book Antiqua" w:cs="Book Antiqua"/>
      <w:b/>
      <w:bCs/>
      <w:color w:val="1F497D"/>
      <w:sz w:val="22"/>
      <w:szCs w:val="22"/>
      <w:lang w:val="es-ES" w:eastAsia="es-ES"/>
    </w:rPr>
  </w:style>
  <w:style w:type="paragraph" w:styleId="Textonotaalfinal">
    <w:name w:val="endnote text"/>
    <w:basedOn w:val="Normal"/>
    <w:uiPriority w:val="99"/>
    <w:rsid w:val="00C43B9A"/>
    <w:pPr>
      <w:autoSpaceDE w:val="0"/>
      <w:autoSpaceDN w:val="0"/>
      <w:adjustRightInd w:val="0"/>
      <w:spacing w:before="240" w:after="360"/>
      <w:jc w:val="both"/>
    </w:pPr>
    <w:rPr>
      <w:rFonts w:ascii="Book Antiqua" w:hAnsi="Book Antiqua" w:cs="Book Antiqua"/>
      <w:lang w:val="es-ES"/>
    </w:rPr>
  </w:style>
  <w:style w:type="character" w:customStyle="1" w:styleId="TextonotaalfinalCar">
    <w:name w:val="Texto nota al final Car"/>
    <w:uiPriority w:val="99"/>
    <w:rsid w:val="00C43B9A"/>
    <w:rPr>
      <w:rFonts w:cs="Arial"/>
      <w:sz w:val="20"/>
      <w:szCs w:val="20"/>
    </w:rPr>
  </w:style>
  <w:style w:type="paragraph" w:customStyle="1" w:styleId="Ttulo1Procedimientos">
    <w:name w:val="Título 1 Procedimientos"/>
    <w:uiPriority w:val="99"/>
    <w:rsid w:val="00C43B9A"/>
    <w:pPr>
      <w:keepNext/>
      <w:autoSpaceDE w:val="0"/>
      <w:autoSpaceDN w:val="0"/>
      <w:adjustRightInd w:val="0"/>
      <w:spacing w:before="240" w:after="240"/>
      <w:jc w:val="both"/>
      <w:outlineLvl w:val="0"/>
    </w:pPr>
    <w:rPr>
      <w:rFonts w:ascii="Arial" w:hAnsi="Arial" w:cs="Arial"/>
      <w:b/>
      <w:bCs/>
      <w:caps/>
      <w:smallCaps/>
      <w:sz w:val="26"/>
      <w:szCs w:val="26"/>
      <w:lang w:val="es-ES" w:eastAsia="es-ES"/>
    </w:rPr>
  </w:style>
  <w:style w:type="paragraph" w:customStyle="1" w:styleId="Ttulo2Procedimiento">
    <w:name w:val="Título 2 Procedimiento"/>
    <w:uiPriority w:val="99"/>
    <w:rsid w:val="00C43B9A"/>
    <w:pPr>
      <w:autoSpaceDE w:val="0"/>
      <w:autoSpaceDN w:val="0"/>
      <w:adjustRightInd w:val="0"/>
      <w:spacing w:before="240" w:after="360"/>
      <w:ind w:left="360" w:hanging="360"/>
      <w:jc w:val="both"/>
    </w:pPr>
    <w:rPr>
      <w:rFonts w:ascii="Arial" w:hAnsi="Arial" w:cs="Arial"/>
      <w:i/>
      <w:iCs/>
      <w:sz w:val="24"/>
      <w:szCs w:val="24"/>
      <w:lang w:val="es-ES" w:eastAsia="es-ES"/>
    </w:rPr>
  </w:style>
  <w:style w:type="paragraph" w:customStyle="1" w:styleId="Ttulo3Procedimiento">
    <w:name w:val="Título 3 Procedimiento"/>
    <w:uiPriority w:val="99"/>
    <w:rsid w:val="00C43B9A"/>
    <w:pPr>
      <w:autoSpaceDE w:val="0"/>
      <w:autoSpaceDN w:val="0"/>
      <w:adjustRightInd w:val="0"/>
      <w:spacing w:before="240" w:after="360"/>
      <w:ind w:left="360" w:hanging="360"/>
      <w:jc w:val="both"/>
    </w:pPr>
    <w:rPr>
      <w:rFonts w:ascii="Arial" w:hAnsi="Arial" w:cs="Arial"/>
      <w:i/>
      <w:iCs/>
      <w:sz w:val="22"/>
      <w:szCs w:val="22"/>
      <w:lang w:val="es-ES" w:eastAsia="es-ES"/>
    </w:rPr>
  </w:style>
  <w:style w:type="paragraph" w:customStyle="1" w:styleId="CarCar10CarCar">
    <w:name w:val="Car Car10 Car Car"/>
    <w:uiPriority w:val="99"/>
    <w:rsid w:val="00C43B9A"/>
    <w:pPr>
      <w:autoSpaceDE w:val="0"/>
      <w:autoSpaceDN w:val="0"/>
      <w:adjustRightInd w:val="0"/>
      <w:spacing w:after="160" w:line="240" w:lineRule="exact"/>
    </w:pPr>
    <w:rPr>
      <w:rFonts w:ascii="Verdana" w:hAnsi="Verdana" w:cs="Verdana"/>
      <w:lang w:val="es-ES" w:eastAsia="es-ES"/>
    </w:rPr>
  </w:style>
  <w:style w:type="paragraph" w:customStyle="1" w:styleId="Saludo1">
    <w:name w:val="Saludo1"/>
    <w:next w:val="Normal"/>
    <w:uiPriority w:val="99"/>
    <w:rsid w:val="00C43B9A"/>
    <w:pPr>
      <w:autoSpaceDE w:val="0"/>
      <w:autoSpaceDN w:val="0"/>
      <w:adjustRightInd w:val="0"/>
    </w:pPr>
    <w:rPr>
      <w:rFonts w:ascii="Arial" w:hAnsi="Arial" w:cs="Arial"/>
      <w:sz w:val="24"/>
      <w:szCs w:val="24"/>
      <w:lang w:val="es-ES" w:eastAsia="es-ES"/>
    </w:rPr>
  </w:style>
  <w:style w:type="paragraph" w:customStyle="1" w:styleId="Fecha1">
    <w:name w:val="Fecha1"/>
    <w:next w:val="Normal"/>
    <w:uiPriority w:val="99"/>
    <w:rsid w:val="00C43B9A"/>
    <w:pPr>
      <w:numPr>
        <w:numId w:val="25"/>
      </w:numPr>
      <w:autoSpaceDE w:val="0"/>
      <w:autoSpaceDN w:val="0"/>
      <w:adjustRightInd w:val="0"/>
    </w:pPr>
    <w:rPr>
      <w:rFonts w:ascii="Arial" w:hAnsi="Arial" w:cs="Arial"/>
      <w:sz w:val="24"/>
      <w:szCs w:val="24"/>
      <w:lang w:val="es-ES" w:eastAsia="es-ES"/>
    </w:rPr>
  </w:style>
  <w:style w:type="paragraph" w:customStyle="1" w:styleId="Direccininterior">
    <w:name w:val="Dirección interior"/>
    <w:uiPriority w:val="99"/>
    <w:rsid w:val="00C43B9A"/>
    <w:pPr>
      <w:autoSpaceDE w:val="0"/>
      <w:autoSpaceDN w:val="0"/>
      <w:adjustRightInd w:val="0"/>
    </w:pPr>
    <w:rPr>
      <w:rFonts w:ascii="Arial" w:hAnsi="Arial" w:cs="Arial"/>
      <w:sz w:val="24"/>
      <w:szCs w:val="24"/>
      <w:lang w:val="es-ES" w:eastAsia="es-ES"/>
    </w:rPr>
  </w:style>
  <w:style w:type="paragraph" w:customStyle="1" w:styleId="Lista21">
    <w:name w:val="Lista 21"/>
    <w:uiPriority w:val="99"/>
    <w:rsid w:val="00C43B9A"/>
    <w:pPr>
      <w:autoSpaceDE w:val="0"/>
      <w:autoSpaceDN w:val="0"/>
      <w:adjustRightInd w:val="0"/>
      <w:spacing w:before="240" w:after="360"/>
      <w:ind w:left="566" w:hanging="283"/>
      <w:jc w:val="both"/>
    </w:pPr>
    <w:rPr>
      <w:rFonts w:ascii="Book Antiqua" w:hAnsi="Book Antiqua" w:cs="Book Antiqua"/>
      <w:sz w:val="24"/>
      <w:szCs w:val="24"/>
      <w:lang w:val="es-ES" w:eastAsia="es-ES"/>
    </w:rPr>
  </w:style>
  <w:style w:type="paragraph" w:customStyle="1" w:styleId="Contenidodelatabla">
    <w:name w:val="Contenido de la tabla"/>
    <w:uiPriority w:val="99"/>
    <w:rsid w:val="00C43B9A"/>
    <w:pPr>
      <w:autoSpaceDE w:val="0"/>
      <w:autoSpaceDN w:val="0"/>
      <w:adjustRightInd w:val="0"/>
      <w:spacing w:before="240" w:after="360"/>
      <w:jc w:val="both"/>
    </w:pPr>
    <w:rPr>
      <w:rFonts w:ascii="Book Antiqua" w:hAnsi="Book Antiqua" w:cs="Book Antiqua"/>
      <w:sz w:val="24"/>
      <w:szCs w:val="24"/>
      <w:lang w:val="es-ES" w:eastAsia="es-ES"/>
    </w:rPr>
  </w:style>
  <w:style w:type="paragraph" w:customStyle="1" w:styleId="Encabezadodelatabla">
    <w:name w:val="Encabezado de la tabla"/>
    <w:uiPriority w:val="99"/>
    <w:rsid w:val="00C43B9A"/>
    <w:pPr>
      <w:autoSpaceDE w:val="0"/>
      <w:autoSpaceDN w:val="0"/>
      <w:adjustRightInd w:val="0"/>
      <w:spacing w:before="240" w:after="360"/>
      <w:jc w:val="center"/>
    </w:pPr>
    <w:rPr>
      <w:rFonts w:ascii="Book Antiqua" w:hAnsi="Book Antiqua" w:cs="Book Antiqua"/>
      <w:b/>
      <w:bCs/>
      <w:sz w:val="24"/>
      <w:szCs w:val="24"/>
      <w:lang w:val="es-ES" w:eastAsia="es-ES"/>
    </w:rPr>
  </w:style>
  <w:style w:type="character" w:styleId="Refdecomentario">
    <w:name w:val="annotation reference"/>
    <w:basedOn w:val="Fuentedeprrafopredeter"/>
    <w:uiPriority w:val="99"/>
    <w:rsid w:val="00C43B9A"/>
    <w:rPr>
      <w:rFonts w:cs="Arial"/>
      <w:sz w:val="16"/>
      <w:szCs w:val="16"/>
    </w:rPr>
  </w:style>
  <w:style w:type="paragraph" w:styleId="Textocomentario">
    <w:name w:val="annotation text"/>
    <w:basedOn w:val="Normal"/>
    <w:uiPriority w:val="99"/>
    <w:rsid w:val="00C43B9A"/>
    <w:pPr>
      <w:autoSpaceDE w:val="0"/>
      <w:autoSpaceDN w:val="0"/>
      <w:adjustRightInd w:val="0"/>
      <w:spacing w:before="240" w:after="360"/>
      <w:jc w:val="both"/>
    </w:pPr>
    <w:rPr>
      <w:rFonts w:ascii="Book Antiqua" w:hAnsi="Book Antiqua" w:cs="Book Antiqua"/>
      <w:lang w:val="es-ES"/>
    </w:rPr>
  </w:style>
  <w:style w:type="paragraph" w:styleId="Asuntodelcomentario">
    <w:name w:val="annotation subject"/>
    <w:basedOn w:val="Textocomentario"/>
    <w:next w:val="Textocomentario"/>
    <w:uiPriority w:val="99"/>
    <w:rsid w:val="00C43B9A"/>
    <w:rPr>
      <w:b/>
      <w:bCs/>
    </w:rPr>
  </w:style>
  <w:style w:type="character" w:customStyle="1" w:styleId="TextocomentarioCar">
    <w:name w:val="Texto comentario Car"/>
    <w:uiPriority w:val="99"/>
    <w:rsid w:val="00C43B9A"/>
    <w:rPr>
      <w:rFonts w:ascii="Book Antiqua" w:hAnsi="Book Antiqua" w:cs="Book Antiqua"/>
    </w:rPr>
  </w:style>
  <w:style w:type="character" w:customStyle="1" w:styleId="EncabezadoCar">
    <w:name w:val="Encabezado Car"/>
    <w:aliases w:val="encabezado Car"/>
    <w:uiPriority w:val="99"/>
    <w:rsid w:val="00C43B9A"/>
    <w:rPr>
      <w:rFonts w:cs="Arial"/>
    </w:rPr>
  </w:style>
  <w:style w:type="character" w:customStyle="1" w:styleId="AsuntodelcomentarioCar">
    <w:name w:val="Asunto del comentario Car"/>
    <w:uiPriority w:val="99"/>
    <w:rsid w:val="00C43B9A"/>
    <w:rPr>
      <w:rFonts w:ascii="Book Antiqua" w:hAnsi="Book Antiqua" w:cs="Book Antiqua"/>
      <w:b/>
      <w:bCs/>
    </w:rPr>
  </w:style>
  <w:style w:type="character" w:customStyle="1" w:styleId="encabezadoCarCar">
    <w:name w:val="encabezado Car Car"/>
    <w:uiPriority w:val="99"/>
    <w:rsid w:val="00A61A32"/>
    <w:rPr>
      <w:rFonts w:ascii="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1117">
      <w:bodyDiv w:val="1"/>
      <w:marLeft w:val="0"/>
      <w:marRight w:val="0"/>
      <w:marTop w:val="0"/>
      <w:marBottom w:val="0"/>
      <w:divBdr>
        <w:top w:val="none" w:sz="0" w:space="0" w:color="auto"/>
        <w:left w:val="none" w:sz="0" w:space="0" w:color="auto"/>
        <w:bottom w:val="none" w:sz="0" w:space="0" w:color="auto"/>
        <w:right w:val="none" w:sz="0" w:space="0" w:color="auto"/>
      </w:divBdr>
    </w:div>
    <w:div w:id="112600252">
      <w:bodyDiv w:val="1"/>
      <w:marLeft w:val="0"/>
      <w:marRight w:val="0"/>
      <w:marTop w:val="0"/>
      <w:marBottom w:val="0"/>
      <w:divBdr>
        <w:top w:val="none" w:sz="0" w:space="0" w:color="auto"/>
        <w:left w:val="none" w:sz="0" w:space="0" w:color="auto"/>
        <w:bottom w:val="none" w:sz="0" w:space="0" w:color="auto"/>
        <w:right w:val="none" w:sz="0" w:space="0" w:color="auto"/>
      </w:divBdr>
    </w:div>
    <w:div w:id="158279282">
      <w:bodyDiv w:val="1"/>
      <w:marLeft w:val="0"/>
      <w:marRight w:val="0"/>
      <w:marTop w:val="0"/>
      <w:marBottom w:val="0"/>
      <w:divBdr>
        <w:top w:val="none" w:sz="0" w:space="0" w:color="auto"/>
        <w:left w:val="none" w:sz="0" w:space="0" w:color="auto"/>
        <w:bottom w:val="none" w:sz="0" w:space="0" w:color="auto"/>
        <w:right w:val="none" w:sz="0" w:space="0" w:color="auto"/>
      </w:divBdr>
    </w:div>
    <w:div w:id="216363540">
      <w:bodyDiv w:val="1"/>
      <w:marLeft w:val="0"/>
      <w:marRight w:val="0"/>
      <w:marTop w:val="0"/>
      <w:marBottom w:val="0"/>
      <w:divBdr>
        <w:top w:val="none" w:sz="0" w:space="0" w:color="auto"/>
        <w:left w:val="none" w:sz="0" w:space="0" w:color="auto"/>
        <w:bottom w:val="none" w:sz="0" w:space="0" w:color="auto"/>
        <w:right w:val="none" w:sz="0" w:space="0" w:color="auto"/>
      </w:divBdr>
    </w:div>
    <w:div w:id="245192162">
      <w:bodyDiv w:val="1"/>
      <w:marLeft w:val="0"/>
      <w:marRight w:val="0"/>
      <w:marTop w:val="0"/>
      <w:marBottom w:val="0"/>
      <w:divBdr>
        <w:top w:val="none" w:sz="0" w:space="0" w:color="auto"/>
        <w:left w:val="none" w:sz="0" w:space="0" w:color="auto"/>
        <w:bottom w:val="none" w:sz="0" w:space="0" w:color="auto"/>
        <w:right w:val="none" w:sz="0" w:space="0" w:color="auto"/>
      </w:divBdr>
    </w:div>
    <w:div w:id="256912526">
      <w:bodyDiv w:val="1"/>
      <w:marLeft w:val="0"/>
      <w:marRight w:val="0"/>
      <w:marTop w:val="0"/>
      <w:marBottom w:val="0"/>
      <w:divBdr>
        <w:top w:val="none" w:sz="0" w:space="0" w:color="auto"/>
        <w:left w:val="none" w:sz="0" w:space="0" w:color="auto"/>
        <w:bottom w:val="none" w:sz="0" w:space="0" w:color="auto"/>
        <w:right w:val="none" w:sz="0" w:space="0" w:color="auto"/>
      </w:divBdr>
    </w:div>
    <w:div w:id="386220999">
      <w:bodyDiv w:val="1"/>
      <w:marLeft w:val="0"/>
      <w:marRight w:val="0"/>
      <w:marTop w:val="0"/>
      <w:marBottom w:val="0"/>
      <w:divBdr>
        <w:top w:val="none" w:sz="0" w:space="0" w:color="auto"/>
        <w:left w:val="none" w:sz="0" w:space="0" w:color="auto"/>
        <w:bottom w:val="none" w:sz="0" w:space="0" w:color="auto"/>
        <w:right w:val="none" w:sz="0" w:space="0" w:color="auto"/>
      </w:divBdr>
    </w:div>
    <w:div w:id="438911511">
      <w:bodyDiv w:val="1"/>
      <w:marLeft w:val="0"/>
      <w:marRight w:val="0"/>
      <w:marTop w:val="0"/>
      <w:marBottom w:val="0"/>
      <w:divBdr>
        <w:top w:val="none" w:sz="0" w:space="0" w:color="auto"/>
        <w:left w:val="none" w:sz="0" w:space="0" w:color="auto"/>
        <w:bottom w:val="none" w:sz="0" w:space="0" w:color="auto"/>
        <w:right w:val="none" w:sz="0" w:space="0" w:color="auto"/>
      </w:divBdr>
    </w:div>
    <w:div w:id="549994309">
      <w:bodyDiv w:val="1"/>
      <w:marLeft w:val="0"/>
      <w:marRight w:val="0"/>
      <w:marTop w:val="0"/>
      <w:marBottom w:val="0"/>
      <w:divBdr>
        <w:top w:val="none" w:sz="0" w:space="0" w:color="auto"/>
        <w:left w:val="none" w:sz="0" w:space="0" w:color="auto"/>
        <w:bottom w:val="none" w:sz="0" w:space="0" w:color="auto"/>
        <w:right w:val="none" w:sz="0" w:space="0" w:color="auto"/>
      </w:divBdr>
    </w:div>
    <w:div w:id="561794331">
      <w:bodyDiv w:val="1"/>
      <w:marLeft w:val="0"/>
      <w:marRight w:val="0"/>
      <w:marTop w:val="0"/>
      <w:marBottom w:val="0"/>
      <w:divBdr>
        <w:top w:val="none" w:sz="0" w:space="0" w:color="auto"/>
        <w:left w:val="none" w:sz="0" w:space="0" w:color="auto"/>
        <w:bottom w:val="none" w:sz="0" w:space="0" w:color="auto"/>
        <w:right w:val="none" w:sz="0" w:space="0" w:color="auto"/>
      </w:divBdr>
    </w:div>
    <w:div w:id="608439938">
      <w:bodyDiv w:val="1"/>
      <w:marLeft w:val="0"/>
      <w:marRight w:val="0"/>
      <w:marTop w:val="0"/>
      <w:marBottom w:val="0"/>
      <w:divBdr>
        <w:top w:val="none" w:sz="0" w:space="0" w:color="auto"/>
        <w:left w:val="none" w:sz="0" w:space="0" w:color="auto"/>
        <w:bottom w:val="none" w:sz="0" w:space="0" w:color="auto"/>
        <w:right w:val="none" w:sz="0" w:space="0" w:color="auto"/>
      </w:divBdr>
    </w:div>
    <w:div w:id="672223441">
      <w:bodyDiv w:val="1"/>
      <w:marLeft w:val="0"/>
      <w:marRight w:val="0"/>
      <w:marTop w:val="0"/>
      <w:marBottom w:val="0"/>
      <w:divBdr>
        <w:top w:val="none" w:sz="0" w:space="0" w:color="auto"/>
        <w:left w:val="none" w:sz="0" w:space="0" w:color="auto"/>
        <w:bottom w:val="none" w:sz="0" w:space="0" w:color="auto"/>
        <w:right w:val="none" w:sz="0" w:space="0" w:color="auto"/>
      </w:divBdr>
    </w:div>
    <w:div w:id="722484122">
      <w:bodyDiv w:val="1"/>
      <w:marLeft w:val="0"/>
      <w:marRight w:val="0"/>
      <w:marTop w:val="0"/>
      <w:marBottom w:val="0"/>
      <w:divBdr>
        <w:top w:val="none" w:sz="0" w:space="0" w:color="auto"/>
        <w:left w:val="none" w:sz="0" w:space="0" w:color="auto"/>
        <w:bottom w:val="none" w:sz="0" w:space="0" w:color="auto"/>
        <w:right w:val="none" w:sz="0" w:space="0" w:color="auto"/>
      </w:divBdr>
    </w:div>
    <w:div w:id="811868320">
      <w:bodyDiv w:val="1"/>
      <w:marLeft w:val="0"/>
      <w:marRight w:val="0"/>
      <w:marTop w:val="0"/>
      <w:marBottom w:val="0"/>
      <w:divBdr>
        <w:top w:val="none" w:sz="0" w:space="0" w:color="auto"/>
        <w:left w:val="none" w:sz="0" w:space="0" w:color="auto"/>
        <w:bottom w:val="none" w:sz="0" w:space="0" w:color="auto"/>
        <w:right w:val="none" w:sz="0" w:space="0" w:color="auto"/>
      </w:divBdr>
    </w:div>
    <w:div w:id="845636201">
      <w:bodyDiv w:val="1"/>
      <w:marLeft w:val="0"/>
      <w:marRight w:val="0"/>
      <w:marTop w:val="0"/>
      <w:marBottom w:val="0"/>
      <w:divBdr>
        <w:top w:val="none" w:sz="0" w:space="0" w:color="auto"/>
        <w:left w:val="none" w:sz="0" w:space="0" w:color="auto"/>
        <w:bottom w:val="none" w:sz="0" w:space="0" w:color="auto"/>
        <w:right w:val="none" w:sz="0" w:space="0" w:color="auto"/>
      </w:divBdr>
    </w:div>
    <w:div w:id="1061093865">
      <w:bodyDiv w:val="1"/>
      <w:marLeft w:val="0"/>
      <w:marRight w:val="0"/>
      <w:marTop w:val="0"/>
      <w:marBottom w:val="0"/>
      <w:divBdr>
        <w:top w:val="none" w:sz="0" w:space="0" w:color="auto"/>
        <w:left w:val="none" w:sz="0" w:space="0" w:color="auto"/>
        <w:bottom w:val="none" w:sz="0" w:space="0" w:color="auto"/>
        <w:right w:val="none" w:sz="0" w:space="0" w:color="auto"/>
      </w:divBdr>
    </w:div>
    <w:div w:id="1209562007">
      <w:bodyDiv w:val="1"/>
      <w:marLeft w:val="0"/>
      <w:marRight w:val="0"/>
      <w:marTop w:val="0"/>
      <w:marBottom w:val="0"/>
      <w:divBdr>
        <w:top w:val="none" w:sz="0" w:space="0" w:color="auto"/>
        <w:left w:val="none" w:sz="0" w:space="0" w:color="auto"/>
        <w:bottom w:val="none" w:sz="0" w:space="0" w:color="auto"/>
        <w:right w:val="none" w:sz="0" w:space="0" w:color="auto"/>
      </w:divBdr>
    </w:div>
    <w:div w:id="1281840587">
      <w:bodyDiv w:val="1"/>
      <w:marLeft w:val="0"/>
      <w:marRight w:val="0"/>
      <w:marTop w:val="0"/>
      <w:marBottom w:val="0"/>
      <w:divBdr>
        <w:top w:val="none" w:sz="0" w:space="0" w:color="auto"/>
        <w:left w:val="none" w:sz="0" w:space="0" w:color="auto"/>
        <w:bottom w:val="none" w:sz="0" w:space="0" w:color="auto"/>
        <w:right w:val="none" w:sz="0" w:space="0" w:color="auto"/>
      </w:divBdr>
    </w:div>
    <w:div w:id="1304964046">
      <w:bodyDiv w:val="1"/>
      <w:marLeft w:val="0"/>
      <w:marRight w:val="0"/>
      <w:marTop w:val="0"/>
      <w:marBottom w:val="0"/>
      <w:divBdr>
        <w:top w:val="none" w:sz="0" w:space="0" w:color="auto"/>
        <w:left w:val="none" w:sz="0" w:space="0" w:color="auto"/>
        <w:bottom w:val="none" w:sz="0" w:space="0" w:color="auto"/>
        <w:right w:val="none" w:sz="0" w:space="0" w:color="auto"/>
      </w:divBdr>
    </w:div>
    <w:div w:id="1309284443">
      <w:bodyDiv w:val="1"/>
      <w:marLeft w:val="0"/>
      <w:marRight w:val="0"/>
      <w:marTop w:val="0"/>
      <w:marBottom w:val="0"/>
      <w:divBdr>
        <w:top w:val="none" w:sz="0" w:space="0" w:color="auto"/>
        <w:left w:val="none" w:sz="0" w:space="0" w:color="auto"/>
        <w:bottom w:val="none" w:sz="0" w:space="0" w:color="auto"/>
        <w:right w:val="none" w:sz="0" w:space="0" w:color="auto"/>
      </w:divBdr>
    </w:div>
    <w:div w:id="1309898041">
      <w:bodyDiv w:val="1"/>
      <w:marLeft w:val="0"/>
      <w:marRight w:val="0"/>
      <w:marTop w:val="0"/>
      <w:marBottom w:val="0"/>
      <w:divBdr>
        <w:top w:val="none" w:sz="0" w:space="0" w:color="auto"/>
        <w:left w:val="none" w:sz="0" w:space="0" w:color="auto"/>
        <w:bottom w:val="none" w:sz="0" w:space="0" w:color="auto"/>
        <w:right w:val="none" w:sz="0" w:space="0" w:color="auto"/>
      </w:divBdr>
    </w:div>
    <w:div w:id="1313756224">
      <w:bodyDiv w:val="1"/>
      <w:marLeft w:val="0"/>
      <w:marRight w:val="0"/>
      <w:marTop w:val="0"/>
      <w:marBottom w:val="0"/>
      <w:divBdr>
        <w:top w:val="none" w:sz="0" w:space="0" w:color="auto"/>
        <w:left w:val="none" w:sz="0" w:space="0" w:color="auto"/>
        <w:bottom w:val="none" w:sz="0" w:space="0" w:color="auto"/>
        <w:right w:val="none" w:sz="0" w:space="0" w:color="auto"/>
      </w:divBdr>
    </w:div>
    <w:div w:id="1391271266">
      <w:bodyDiv w:val="1"/>
      <w:marLeft w:val="0"/>
      <w:marRight w:val="0"/>
      <w:marTop w:val="0"/>
      <w:marBottom w:val="0"/>
      <w:divBdr>
        <w:top w:val="none" w:sz="0" w:space="0" w:color="auto"/>
        <w:left w:val="none" w:sz="0" w:space="0" w:color="auto"/>
        <w:bottom w:val="none" w:sz="0" w:space="0" w:color="auto"/>
        <w:right w:val="none" w:sz="0" w:space="0" w:color="auto"/>
      </w:divBdr>
    </w:div>
    <w:div w:id="1414936514">
      <w:bodyDiv w:val="1"/>
      <w:marLeft w:val="0"/>
      <w:marRight w:val="0"/>
      <w:marTop w:val="0"/>
      <w:marBottom w:val="0"/>
      <w:divBdr>
        <w:top w:val="none" w:sz="0" w:space="0" w:color="auto"/>
        <w:left w:val="none" w:sz="0" w:space="0" w:color="auto"/>
        <w:bottom w:val="none" w:sz="0" w:space="0" w:color="auto"/>
        <w:right w:val="none" w:sz="0" w:space="0" w:color="auto"/>
      </w:divBdr>
    </w:div>
    <w:div w:id="1446580885">
      <w:bodyDiv w:val="1"/>
      <w:marLeft w:val="0"/>
      <w:marRight w:val="0"/>
      <w:marTop w:val="0"/>
      <w:marBottom w:val="0"/>
      <w:divBdr>
        <w:top w:val="none" w:sz="0" w:space="0" w:color="auto"/>
        <w:left w:val="none" w:sz="0" w:space="0" w:color="auto"/>
        <w:bottom w:val="none" w:sz="0" w:space="0" w:color="auto"/>
        <w:right w:val="none" w:sz="0" w:space="0" w:color="auto"/>
      </w:divBdr>
    </w:div>
    <w:div w:id="1478107401">
      <w:bodyDiv w:val="1"/>
      <w:marLeft w:val="0"/>
      <w:marRight w:val="0"/>
      <w:marTop w:val="0"/>
      <w:marBottom w:val="0"/>
      <w:divBdr>
        <w:top w:val="none" w:sz="0" w:space="0" w:color="auto"/>
        <w:left w:val="none" w:sz="0" w:space="0" w:color="auto"/>
        <w:bottom w:val="none" w:sz="0" w:space="0" w:color="auto"/>
        <w:right w:val="none" w:sz="0" w:space="0" w:color="auto"/>
      </w:divBdr>
    </w:div>
    <w:div w:id="1547527182">
      <w:bodyDiv w:val="1"/>
      <w:marLeft w:val="0"/>
      <w:marRight w:val="0"/>
      <w:marTop w:val="0"/>
      <w:marBottom w:val="0"/>
      <w:divBdr>
        <w:top w:val="none" w:sz="0" w:space="0" w:color="auto"/>
        <w:left w:val="none" w:sz="0" w:space="0" w:color="auto"/>
        <w:bottom w:val="none" w:sz="0" w:space="0" w:color="auto"/>
        <w:right w:val="none" w:sz="0" w:space="0" w:color="auto"/>
      </w:divBdr>
    </w:div>
    <w:div w:id="1646395651">
      <w:bodyDiv w:val="1"/>
      <w:marLeft w:val="0"/>
      <w:marRight w:val="0"/>
      <w:marTop w:val="0"/>
      <w:marBottom w:val="0"/>
      <w:divBdr>
        <w:top w:val="none" w:sz="0" w:space="0" w:color="auto"/>
        <w:left w:val="none" w:sz="0" w:space="0" w:color="auto"/>
        <w:bottom w:val="none" w:sz="0" w:space="0" w:color="auto"/>
        <w:right w:val="none" w:sz="0" w:space="0" w:color="auto"/>
      </w:divBdr>
    </w:div>
    <w:div w:id="1673603357">
      <w:bodyDiv w:val="1"/>
      <w:marLeft w:val="0"/>
      <w:marRight w:val="0"/>
      <w:marTop w:val="0"/>
      <w:marBottom w:val="0"/>
      <w:divBdr>
        <w:top w:val="none" w:sz="0" w:space="0" w:color="auto"/>
        <w:left w:val="none" w:sz="0" w:space="0" w:color="auto"/>
        <w:bottom w:val="none" w:sz="0" w:space="0" w:color="auto"/>
        <w:right w:val="none" w:sz="0" w:space="0" w:color="auto"/>
      </w:divBdr>
    </w:div>
    <w:div w:id="1688869998">
      <w:bodyDiv w:val="1"/>
      <w:marLeft w:val="0"/>
      <w:marRight w:val="0"/>
      <w:marTop w:val="0"/>
      <w:marBottom w:val="0"/>
      <w:divBdr>
        <w:top w:val="none" w:sz="0" w:space="0" w:color="auto"/>
        <w:left w:val="none" w:sz="0" w:space="0" w:color="auto"/>
        <w:bottom w:val="none" w:sz="0" w:space="0" w:color="auto"/>
        <w:right w:val="none" w:sz="0" w:space="0" w:color="auto"/>
      </w:divBdr>
    </w:div>
    <w:div w:id="1710718915">
      <w:bodyDiv w:val="1"/>
      <w:marLeft w:val="0"/>
      <w:marRight w:val="0"/>
      <w:marTop w:val="0"/>
      <w:marBottom w:val="0"/>
      <w:divBdr>
        <w:top w:val="none" w:sz="0" w:space="0" w:color="auto"/>
        <w:left w:val="none" w:sz="0" w:space="0" w:color="auto"/>
        <w:bottom w:val="none" w:sz="0" w:space="0" w:color="auto"/>
        <w:right w:val="none" w:sz="0" w:space="0" w:color="auto"/>
      </w:divBdr>
    </w:div>
    <w:div w:id="1728916653">
      <w:bodyDiv w:val="1"/>
      <w:marLeft w:val="0"/>
      <w:marRight w:val="0"/>
      <w:marTop w:val="0"/>
      <w:marBottom w:val="0"/>
      <w:divBdr>
        <w:top w:val="none" w:sz="0" w:space="0" w:color="auto"/>
        <w:left w:val="none" w:sz="0" w:space="0" w:color="auto"/>
        <w:bottom w:val="none" w:sz="0" w:space="0" w:color="auto"/>
        <w:right w:val="none" w:sz="0" w:space="0" w:color="auto"/>
      </w:divBdr>
    </w:div>
    <w:div w:id="1818256816">
      <w:bodyDiv w:val="1"/>
      <w:marLeft w:val="0"/>
      <w:marRight w:val="0"/>
      <w:marTop w:val="0"/>
      <w:marBottom w:val="0"/>
      <w:divBdr>
        <w:top w:val="none" w:sz="0" w:space="0" w:color="auto"/>
        <w:left w:val="none" w:sz="0" w:space="0" w:color="auto"/>
        <w:bottom w:val="none" w:sz="0" w:space="0" w:color="auto"/>
        <w:right w:val="none" w:sz="0" w:space="0" w:color="auto"/>
      </w:divBdr>
    </w:div>
    <w:div w:id="1851138679">
      <w:bodyDiv w:val="1"/>
      <w:marLeft w:val="0"/>
      <w:marRight w:val="0"/>
      <w:marTop w:val="0"/>
      <w:marBottom w:val="0"/>
      <w:divBdr>
        <w:top w:val="none" w:sz="0" w:space="0" w:color="auto"/>
        <w:left w:val="none" w:sz="0" w:space="0" w:color="auto"/>
        <w:bottom w:val="none" w:sz="0" w:space="0" w:color="auto"/>
        <w:right w:val="none" w:sz="0" w:space="0" w:color="auto"/>
      </w:divBdr>
    </w:div>
    <w:div w:id="1992950409">
      <w:bodyDiv w:val="1"/>
      <w:marLeft w:val="0"/>
      <w:marRight w:val="0"/>
      <w:marTop w:val="0"/>
      <w:marBottom w:val="0"/>
      <w:divBdr>
        <w:top w:val="none" w:sz="0" w:space="0" w:color="auto"/>
        <w:left w:val="none" w:sz="0" w:space="0" w:color="auto"/>
        <w:bottom w:val="none" w:sz="0" w:space="0" w:color="auto"/>
        <w:right w:val="none" w:sz="0" w:space="0" w:color="auto"/>
      </w:divBdr>
    </w:div>
    <w:div w:id="20315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0.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5.xlsx"/></Relationships>
</file>

<file path=word/charts/_rels/chart50.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package" Target="../embeddings/Microsoft_Excel_Worksheet40.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es-CR" sz="1200" b="0"/>
              <a:t>Gráfico N° 1 </a:t>
            </a:r>
            <a:r>
              <a:rPr lang="es-CR" sz="1200"/>
              <a:t>
Volumen anual de personas sentenciadas desde el 2008</a:t>
            </a:r>
          </a:p>
        </c:rich>
      </c:tx>
      <c:layout>
        <c:manualLayout>
          <c:xMode val="edge"/>
          <c:yMode val="edge"/>
          <c:x val="0.17296563448338004"/>
          <c:y val="2.3689483532003241E-2"/>
        </c:manualLayout>
      </c:layout>
      <c:overlay val="0"/>
      <c:spPr>
        <a:noFill/>
        <a:ln w="25350">
          <a:noFill/>
        </a:ln>
      </c:spPr>
    </c:title>
    <c:autoTitleDeleted val="0"/>
    <c:plotArea>
      <c:layout>
        <c:manualLayout>
          <c:layoutTarget val="inner"/>
          <c:xMode val="edge"/>
          <c:yMode val="edge"/>
          <c:x val="0.13298164320739941"/>
          <c:y val="0.20627793147478191"/>
          <c:w val="0.80973451327433665"/>
          <c:h val="0.60538116591928248"/>
        </c:manualLayout>
      </c:layout>
      <c:lineChart>
        <c:grouping val="standard"/>
        <c:varyColors val="0"/>
        <c:ser>
          <c:idx val="0"/>
          <c:order val="0"/>
          <c:tx>
            <c:strRef>
              <c:f>Sentenciados!$B$3</c:f>
              <c:strCache>
                <c:ptCount val="1"/>
                <c:pt idx="0">
                  <c:v>Sentenciados</c:v>
                </c:pt>
              </c:strCache>
            </c:strRef>
          </c:tx>
          <c:spPr>
            <a:ln w="12675">
              <a:solidFill>
                <a:srgbClr val="000000"/>
              </a:solidFill>
              <a:prstDash val="solid"/>
            </a:ln>
          </c:spPr>
          <c:marker>
            <c:symbol val="star"/>
            <c:size val="4"/>
            <c:spPr>
              <a:solidFill>
                <a:srgbClr val="FFFFFF"/>
              </a:solidFill>
              <a:ln>
                <a:solidFill>
                  <a:srgbClr val="000000"/>
                </a:solidFill>
                <a:prstDash val="solid"/>
              </a:ln>
            </c:spPr>
          </c:marker>
          <c:dLbls>
            <c:spPr>
              <a:noFill/>
              <a:ln>
                <a:noFill/>
              </a:ln>
              <a:effectLst/>
            </c:spPr>
            <c:txPr>
              <a:bodyPr/>
              <a:lstStyle/>
              <a:p>
                <a:pPr>
                  <a:defRPr sz="1000"/>
                </a:pPr>
                <a:endParaRPr lang="es-C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Sentenciados!$A$10:$A$17</c:f>
              <c:numCache>
                <c:formatCode>#,##0</c:formatCode>
                <c:ptCount val="8"/>
                <c:pt idx="0">
                  <c:v>2008</c:v>
                </c:pt>
                <c:pt idx="1">
                  <c:v>2009</c:v>
                </c:pt>
                <c:pt idx="2">
                  <c:v>2010</c:v>
                </c:pt>
                <c:pt idx="3">
                  <c:v>2011</c:v>
                </c:pt>
                <c:pt idx="4">
                  <c:v>2012</c:v>
                </c:pt>
                <c:pt idx="5">
                  <c:v>2013</c:v>
                </c:pt>
                <c:pt idx="6">
                  <c:v>2014</c:v>
                </c:pt>
                <c:pt idx="7">
                  <c:v>2015</c:v>
                </c:pt>
              </c:numCache>
            </c:numRef>
          </c:cat>
          <c:val>
            <c:numRef>
              <c:f>Sentenciados!$B$10:$B$17</c:f>
              <c:numCache>
                <c:formatCode>#,##0</c:formatCode>
                <c:ptCount val="8"/>
                <c:pt idx="0">
                  <c:v>7662</c:v>
                </c:pt>
                <c:pt idx="1">
                  <c:v>8818</c:v>
                </c:pt>
                <c:pt idx="2">
                  <c:v>9895</c:v>
                </c:pt>
                <c:pt idx="3">
                  <c:v>10997</c:v>
                </c:pt>
                <c:pt idx="4">
                  <c:v>12335</c:v>
                </c:pt>
                <c:pt idx="5">
                  <c:v>13268</c:v>
                </c:pt>
                <c:pt idx="6">
                  <c:v>13360</c:v>
                </c:pt>
                <c:pt idx="7">
                  <c:v>12966</c:v>
                </c:pt>
              </c:numCache>
            </c:numRef>
          </c:val>
          <c:smooth val="1"/>
          <c:extLst xmlns:c16r2="http://schemas.microsoft.com/office/drawing/2015/06/chart">
            <c:ext xmlns:c16="http://schemas.microsoft.com/office/drawing/2014/chart" uri="{C3380CC4-5D6E-409C-BE32-E72D297353CC}">
              <c16:uniqueId val="{00000000-8C37-4C69-AC65-DDF9891948A3}"/>
            </c:ext>
          </c:extLst>
        </c:ser>
        <c:dLbls>
          <c:showLegendKey val="0"/>
          <c:showVal val="0"/>
          <c:showCatName val="0"/>
          <c:showSerName val="0"/>
          <c:showPercent val="0"/>
          <c:showBubbleSize val="0"/>
        </c:dLbls>
        <c:marker val="1"/>
        <c:smooth val="0"/>
        <c:axId val="272145128"/>
        <c:axId val="272145520"/>
      </c:lineChart>
      <c:catAx>
        <c:axId val="272145128"/>
        <c:scaling>
          <c:orientation val="minMax"/>
        </c:scaling>
        <c:delete val="0"/>
        <c:axPos val="b"/>
        <c:title>
          <c:tx>
            <c:rich>
              <a:bodyPr/>
              <a:lstStyle/>
              <a:p>
                <a:pPr>
                  <a:defRPr sz="1198" b="0" i="0" u="none" strike="noStrike" baseline="0">
                    <a:solidFill>
                      <a:srgbClr val="000000"/>
                    </a:solidFill>
                    <a:latin typeface="Times New Roman"/>
                    <a:ea typeface="Times New Roman"/>
                    <a:cs typeface="Times New Roman"/>
                  </a:defRPr>
                </a:pPr>
                <a:r>
                  <a:rPr lang="es-CR"/>
                  <a:t>Año</a:t>
                </a:r>
              </a:p>
            </c:rich>
          </c:tx>
          <c:layout>
            <c:manualLayout>
              <c:xMode val="edge"/>
              <c:yMode val="edge"/>
              <c:x val="0.48163109070447568"/>
              <c:y val="0.89588666281579654"/>
            </c:manualLayout>
          </c:layout>
          <c:overlay val="0"/>
          <c:spPr>
            <a:noFill/>
            <a:ln w="25350">
              <a:noFill/>
            </a:ln>
          </c:spPr>
        </c:title>
        <c:numFmt formatCode="#,##0" sourceLinked="1"/>
        <c:majorTickMark val="out"/>
        <c:minorTickMark val="none"/>
        <c:tickLblPos val="nextTo"/>
        <c:spPr>
          <a:ln w="3169">
            <a:solidFill>
              <a:srgbClr val="000000"/>
            </a:solidFill>
            <a:prstDash val="solid"/>
          </a:ln>
        </c:spPr>
        <c:txPr>
          <a:bodyPr rot="-2700000" vert="horz"/>
          <a:lstStyle/>
          <a:p>
            <a:pPr>
              <a:defRPr sz="848" b="0" i="0" u="none" strike="noStrike" baseline="0">
                <a:solidFill>
                  <a:srgbClr val="000000"/>
                </a:solidFill>
                <a:latin typeface="Times New Roman"/>
                <a:ea typeface="Times New Roman"/>
                <a:cs typeface="Times New Roman"/>
              </a:defRPr>
            </a:pPr>
            <a:endParaRPr lang="es-CR"/>
          </a:p>
        </c:txPr>
        <c:crossAx val="272145520"/>
        <c:crosses val="autoZero"/>
        <c:auto val="1"/>
        <c:lblAlgn val="ctr"/>
        <c:lblOffset val="0"/>
        <c:tickLblSkip val="1"/>
        <c:tickMarkSkip val="1"/>
        <c:noMultiLvlLbl val="0"/>
      </c:catAx>
      <c:valAx>
        <c:axId val="272145520"/>
        <c:scaling>
          <c:orientation val="minMax"/>
          <c:max val="20000"/>
          <c:min val="0"/>
        </c:scaling>
        <c:delete val="0"/>
        <c:axPos val="l"/>
        <c:title>
          <c:tx>
            <c:rich>
              <a:bodyPr/>
              <a:lstStyle/>
              <a:p>
                <a:pPr>
                  <a:defRPr sz="1198" b="0" i="0" u="none" strike="noStrike" baseline="0">
                    <a:solidFill>
                      <a:srgbClr val="000000"/>
                    </a:solidFill>
                    <a:latin typeface="Times New Roman"/>
                    <a:ea typeface="Times New Roman"/>
                    <a:cs typeface="Times New Roman"/>
                  </a:defRPr>
                </a:pPr>
                <a:r>
                  <a:rPr lang="es-CR"/>
                  <a:t>Personas</a:t>
                </a:r>
              </a:p>
            </c:rich>
          </c:tx>
          <c:layout>
            <c:manualLayout>
              <c:xMode val="edge"/>
              <c:yMode val="edge"/>
              <c:x val="0"/>
              <c:y val="0.44394615268401683"/>
            </c:manualLayout>
          </c:layout>
          <c:overlay val="0"/>
          <c:spPr>
            <a:noFill/>
            <a:ln w="25350">
              <a:noFill/>
            </a:ln>
          </c:spPr>
        </c:title>
        <c:numFmt formatCode="#,##0" sourceLinked="1"/>
        <c:majorTickMark val="out"/>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es-CR"/>
          </a:p>
        </c:txPr>
        <c:crossAx val="272145128"/>
        <c:crosses val="autoZero"/>
        <c:crossBetween val="between"/>
        <c:majorUnit val="20000"/>
      </c:valAx>
      <c:spPr>
        <a:solidFill>
          <a:srgbClr val="FFFFFF"/>
        </a:solidFill>
        <a:ln w="12675">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3169">
      <a:solidFill>
        <a:srgbClr val="000000"/>
      </a:solidFill>
      <a:prstDash val="solid"/>
    </a:ln>
  </c:spPr>
  <c:txPr>
    <a:bodyPr/>
    <a:lstStyle/>
    <a:p>
      <a:pPr>
        <a:defRPr sz="1497"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56" b="1" i="0" u="none" strike="noStrike" baseline="0">
                <a:solidFill>
                  <a:srgbClr val="000000"/>
                </a:solidFill>
                <a:latin typeface="Times New Roman"/>
                <a:ea typeface="Times New Roman"/>
                <a:cs typeface="Times New Roman"/>
              </a:defRPr>
            </a:pPr>
            <a:r>
              <a:rPr lang="es-CR"/>
              <a:t>Gráfico N° 9 
Número de personas condenadas 
según sexo desde el 2009</a:t>
            </a:r>
          </a:p>
        </c:rich>
      </c:tx>
      <c:layout>
        <c:manualLayout>
          <c:xMode val="edge"/>
          <c:yMode val="edge"/>
          <c:x val="0.26872246696035418"/>
          <c:y val="1.9417475728155487E-2"/>
        </c:manualLayout>
      </c:layout>
      <c:overlay val="0"/>
      <c:spPr>
        <a:noFill/>
        <a:ln w="19048">
          <a:noFill/>
        </a:ln>
      </c:spPr>
    </c:title>
    <c:autoTitleDeleted val="0"/>
    <c:plotArea>
      <c:layout>
        <c:manualLayout>
          <c:layoutTarget val="inner"/>
          <c:xMode val="edge"/>
          <c:yMode val="edge"/>
          <c:x val="0.11600587371512502"/>
          <c:y val="0.26213592233009703"/>
          <c:w val="0.83259911894273131"/>
          <c:h val="0.57281553398058671"/>
        </c:manualLayout>
      </c:layout>
      <c:lineChart>
        <c:grouping val="standard"/>
        <c:varyColors val="0"/>
        <c:ser>
          <c:idx val="1"/>
          <c:order val="0"/>
          <c:tx>
            <c:v>Hombres</c:v>
          </c:tx>
          <c:spPr>
            <a:ln w="9524">
              <a:solidFill>
                <a:srgbClr val="000000"/>
              </a:solidFill>
              <a:prstDash val="solid"/>
            </a:ln>
          </c:spPr>
          <c:marker>
            <c:symbol val="square"/>
            <c:size val="3"/>
            <c:spPr>
              <a:solidFill>
                <a:srgbClr val="000000"/>
              </a:solidFill>
              <a:ln>
                <a:solidFill>
                  <a:srgbClr val="000000"/>
                </a:solidFill>
                <a:prstDash val="solid"/>
              </a:ln>
            </c:spPr>
          </c:marker>
          <c:dLbls>
            <c:dLbl>
              <c:idx val="0"/>
              <c:layout>
                <c:manualLayout>
                  <c:x val="-5.188291869725014E-2"/>
                  <c:y val="4.580774941609139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6B2-4EF2-B2F4-E726FB2D0AEB}"/>
                </c:ext>
                <c:ext xmlns:c15="http://schemas.microsoft.com/office/drawing/2012/chart" uri="{CE6537A1-D6FC-4f65-9D91-7224C49458BB}"/>
              </c:extLst>
            </c:dLbl>
            <c:dLbl>
              <c:idx val="1"/>
              <c:layout>
                <c:manualLayout>
                  <c:x val="-5.1148837380158775E-2"/>
                  <c:y val="4.500197118964919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6B2-4EF2-B2F4-E726FB2D0AEB}"/>
                </c:ext>
                <c:ext xmlns:c15="http://schemas.microsoft.com/office/drawing/2012/chart" uri="{CE6537A1-D6FC-4f65-9D91-7224C49458BB}"/>
              </c:extLst>
            </c:dLbl>
            <c:dLbl>
              <c:idx val="2"/>
              <c:layout>
                <c:manualLayout>
                  <c:x val="-5.1883002870253957E-2"/>
                  <c:y val="5.303979727010733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6B2-4EF2-B2F4-E726FB2D0AEB}"/>
                </c:ext>
                <c:ext xmlns:c15="http://schemas.microsoft.com/office/drawing/2012/chart" uri="{CE6537A1-D6FC-4f65-9D91-7224C49458BB}"/>
              </c:extLst>
            </c:dLbl>
            <c:dLbl>
              <c:idx val="3"/>
              <c:layout>
                <c:manualLayout>
                  <c:x val="-5.1148739579144675E-2"/>
                  <c:y val="4.97602894787651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6B2-4EF2-B2F4-E726FB2D0AEB}"/>
                </c:ext>
                <c:ext xmlns:c15="http://schemas.microsoft.com/office/drawing/2012/chart" uri="{CE6537A1-D6FC-4f65-9D91-7224C49458BB}"/>
              </c:extLst>
            </c:dLbl>
            <c:dLbl>
              <c:idx val="4"/>
              <c:layout>
                <c:manualLayout>
                  <c:x val="-2.4150317817622075E-2"/>
                  <c:y val="2.643656362601946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6B2-4EF2-B2F4-E726FB2D0AEB}"/>
                </c:ext>
                <c:ext xmlns:c15="http://schemas.microsoft.com/office/drawing/2012/chart" uri="{CE6537A1-D6FC-4f65-9D91-7224C49458BB}"/>
              </c:extLst>
            </c:dLbl>
            <c:dLbl>
              <c:idx val="5"/>
              <c:layout>
                <c:manualLayout>
                  <c:x val="-2.0311819346862069E-2"/>
                  <c:y val="3.00514976829735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6B2-4EF2-B2F4-E726FB2D0AEB}"/>
                </c:ext>
                <c:ext xmlns:c15="http://schemas.microsoft.com/office/drawing/2012/chart" uri="{CE6537A1-D6FC-4f65-9D91-7224C49458BB}"/>
              </c:extLst>
            </c:dLbl>
            <c:dLbl>
              <c:idx val="6"/>
              <c:layout>
                <c:manualLayout>
                  <c:x val="-2.079963022879595E-2"/>
                  <c:y val="2.27574435805045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6B2-4EF2-B2F4-E726FB2D0AEB}"/>
                </c:ext>
                <c:ext xmlns:c15="http://schemas.microsoft.com/office/drawing/2012/chart" uri="{CE6537A1-D6FC-4f65-9D91-7224C49458BB}"/>
              </c:extLst>
            </c:dLbl>
            <c:spPr>
              <a:noFill/>
              <a:ln w="19048">
                <a:noFill/>
              </a:ln>
            </c:spPr>
            <c:txPr>
              <a:bodyPr/>
              <a:lstStyle/>
              <a:p>
                <a:pPr>
                  <a:defRPr sz="900" b="0" i="0" u="none" strike="noStrike" baseline="0">
                    <a:solidFill>
                      <a:srgbClr val="000000"/>
                    </a:solidFill>
                    <a:latin typeface="Times New Roman"/>
                    <a:ea typeface="Times New Roman"/>
                    <a:cs typeface="Times New Roman"/>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Condenados!$A$6:$A$12</c:f>
              <c:strCache>
                <c:ptCount val="7"/>
                <c:pt idx="0">
                  <c:v>2009</c:v>
                </c:pt>
                <c:pt idx="1">
                  <c:v>2010</c:v>
                </c:pt>
                <c:pt idx="2">
                  <c:v>2011</c:v>
                </c:pt>
                <c:pt idx="3">
                  <c:v>2012</c:v>
                </c:pt>
                <c:pt idx="4">
                  <c:v>2013</c:v>
                </c:pt>
                <c:pt idx="5">
                  <c:v>2014</c:v>
                </c:pt>
                <c:pt idx="6">
                  <c:v>2015</c:v>
                </c:pt>
              </c:strCache>
            </c:strRef>
          </c:cat>
          <c:val>
            <c:numRef>
              <c:f>Condenados!$B$6:$B$12</c:f>
              <c:numCache>
                <c:formatCode>General</c:formatCode>
                <c:ptCount val="7"/>
                <c:pt idx="0">
                  <c:v>4517</c:v>
                </c:pt>
                <c:pt idx="1">
                  <c:v>5534</c:v>
                </c:pt>
                <c:pt idx="2">
                  <c:v>6423</c:v>
                </c:pt>
                <c:pt idx="3">
                  <c:v>7363</c:v>
                </c:pt>
                <c:pt idx="4">
                  <c:v>8062</c:v>
                </c:pt>
                <c:pt idx="5">
                  <c:v>8083</c:v>
                </c:pt>
                <c:pt idx="6">
                  <c:v>8219</c:v>
                </c:pt>
              </c:numCache>
            </c:numRef>
          </c:val>
          <c:smooth val="1"/>
          <c:extLst xmlns:c16r2="http://schemas.microsoft.com/office/drawing/2015/06/chart">
            <c:ext xmlns:c16="http://schemas.microsoft.com/office/drawing/2014/chart" uri="{C3380CC4-5D6E-409C-BE32-E72D297353CC}">
              <c16:uniqueId val="{00000007-06B2-4EF2-B2F4-E726FB2D0AEB}"/>
            </c:ext>
          </c:extLst>
        </c:ser>
        <c:ser>
          <c:idx val="2"/>
          <c:order val="1"/>
          <c:tx>
            <c:v>Mujeres</c:v>
          </c:tx>
          <c:spPr>
            <a:ln w="9524">
              <a:solidFill>
                <a:srgbClr val="000000"/>
              </a:solidFill>
              <a:prstDash val="sysDash"/>
            </a:ln>
          </c:spPr>
          <c:marker>
            <c:symbol val="triangle"/>
            <c:size val="3"/>
            <c:spPr>
              <a:solidFill>
                <a:srgbClr val="000000"/>
              </a:solidFill>
              <a:ln>
                <a:solidFill>
                  <a:srgbClr val="000000"/>
                </a:solidFill>
                <a:prstDash val="solid"/>
              </a:ln>
            </c:spPr>
          </c:marker>
          <c:dLbls>
            <c:dLbl>
              <c:idx val="0"/>
              <c:layout>
                <c:manualLayout>
                  <c:x val="-4.4540774791229525E-2"/>
                  <c:y val="-5.757411554924790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6B2-4EF2-B2F4-E726FB2D0AEB}"/>
                </c:ext>
                <c:ext xmlns:c15="http://schemas.microsoft.com/office/drawing/2012/chart" uri="{CE6537A1-D6FC-4f65-9D91-7224C49458BB}"/>
              </c:extLst>
            </c:dLbl>
            <c:dLbl>
              <c:idx val="1"/>
              <c:layout>
                <c:manualLayout>
                  <c:x val="-4.0869835911730094E-2"/>
                  <c:y val="-6.148237071578631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6B2-4EF2-B2F4-E726FB2D0AEB}"/>
                </c:ext>
                <c:ext xmlns:c15="http://schemas.microsoft.com/office/drawing/2012/chart" uri="{CE6537A1-D6FC-4f65-9D91-7224C49458BB}"/>
              </c:extLst>
            </c:dLbl>
            <c:dLbl>
              <c:idx val="2"/>
              <c:layout>
                <c:manualLayout>
                  <c:x val="-4.4540858964233307E-2"/>
                  <c:y val="-6.189878443860711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6B2-4EF2-B2F4-E726FB2D0AEB}"/>
                </c:ext>
                <c:ext xmlns:c15="http://schemas.microsoft.com/office/drawing/2012/chart" uri="{CE6537A1-D6FC-4f65-9D91-7224C49458BB}"/>
              </c:extLst>
            </c:dLbl>
            <c:dLbl>
              <c:idx val="3"/>
              <c:layout>
                <c:manualLayout>
                  <c:x val="-4.0869738110716487E-2"/>
                  <c:y val="-5.495296320916217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6B2-4EF2-B2F4-E726FB2D0AEB}"/>
                </c:ext>
                <c:ext xmlns:c15="http://schemas.microsoft.com/office/drawing/2012/chart" uri="{CE6537A1-D6FC-4f65-9D91-7224C49458BB}"/>
              </c:extLst>
            </c:dLbl>
            <c:dLbl>
              <c:idx val="4"/>
              <c:layout>
                <c:manualLayout>
                  <c:x val="-4.4540943137237193E-2"/>
                  <c:y val="-5.054388756293060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6B2-4EF2-B2F4-E726FB2D0AEB}"/>
                </c:ext>
                <c:ext xmlns:c15="http://schemas.microsoft.com/office/drawing/2012/chart" uri="{CE6537A1-D6FC-4f65-9D91-7224C49458BB}"/>
              </c:extLst>
            </c:dLbl>
            <c:dLbl>
              <c:idx val="5"/>
              <c:layout>
                <c:manualLayout>
                  <c:x val="-2.031181934686211E-2"/>
                  <c:y val="-3.892585394018913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6B2-4EF2-B2F4-E726FB2D0AEB}"/>
                </c:ext>
                <c:ext xmlns:c15="http://schemas.microsoft.com/office/drawing/2012/chart" uri="{CE6537A1-D6FC-4f65-9D91-7224C49458BB}"/>
              </c:extLst>
            </c:dLbl>
            <c:dLbl>
              <c:idx val="6"/>
              <c:layout>
                <c:manualLayout>
                  <c:x val="-3.4003301008681992E-2"/>
                  <c:y val="-4.21066463980074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6B2-4EF2-B2F4-E726FB2D0AEB}"/>
                </c:ext>
                <c:ext xmlns:c15="http://schemas.microsoft.com/office/drawing/2012/chart" uri="{CE6537A1-D6FC-4f65-9D91-7224C49458BB}"/>
              </c:extLst>
            </c:dLbl>
            <c:spPr>
              <a:noFill/>
              <a:ln w="19048">
                <a:noFill/>
              </a:ln>
            </c:spPr>
            <c:txPr>
              <a:bodyPr/>
              <a:lstStyle/>
              <a:p>
                <a:pPr>
                  <a:defRPr sz="900" b="0" i="0" u="none" strike="noStrike" baseline="0">
                    <a:solidFill>
                      <a:srgbClr val="000000"/>
                    </a:solidFill>
                    <a:latin typeface="Times New Roman"/>
                    <a:ea typeface="Times New Roman"/>
                    <a:cs typeface="Times New Roman"/>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Condenados!$A$6:$A$12</c:f>
              <c:strCache>
                <c:ptCount val="7"/>
                <c:pt idx="0">
                  <c:v>2009</c:v>
                </c:pt>
                <c:pt idx="1">
                  <c:v>2010</c:v>
                </c:pt>
                <c:pt idx="2">
                  <c:v>2011</c:v>
                </c:pt>
                <c:pt idx="3">
                  <c:v>2012</c:v>
                </c:pt>
                <c:pt idx="4">
                  <c:v>2013</c:v>
                </c:pt>
                <c:pt idx="5">
                  <c:v>2014</c:v>
                </c:pt>
                <c:pt idx="6">
                  <c:v>2015</c:v>
                </c:pt>
              </c:strCache>
            </c:strRef>
          </c:cat>
          <c:val>
            <c:numRef>
              <c:f>Condenados!$C$6:$C$12</c:f>
              <c:numCache>
                <c:formatCode>General</c:formatCode>
                <c:ptCount val="7"/>
                <c:pt idx="0">
                  <c:v>452</c:v>
                </c:pt>
                <c:pt idx="1">
                  <c:v>505</c:v>
                </c:pt>
                <c:pt idx="2">
                  <c:v>651</c:v>
                </c:pt>
                <c:pt idx="3">
                  <c:v>722</c:v>
                </c:pt>
                <c:pt idx="4">
                  <c:v>715</c:v>
                </c:pt>
                <c:pt idx="5">
                  <c:v>745</c:v>
                </c:pt>
                <c:pt idx="6">
                  <c:v>652</c:v>
                </c:pt>
              </c:numCache>
            </c:numRef>
          </c:val>
          <c:smooth val="1"/>
          <c:extLst xmlns:c16r2="http://schemas.microsoft.com/office/drawing/2015/06/chart">
            <c:ext xmlns:c16="http://schemas.microsoft.com/office/drawing/2014/chart" uri="{C3380CC4-5D6E-409C-BE32-E72D297353CC}">
              <c16:uniqueId val="{0000000F-06B2-4EF2-B2F4-E726FB2D0AEB}"/>
            </c:ext>
          </c:extLst>
        </c:ser>
        <c:dLbls>
          <c:showLegendKey val="0"/>
          <c:showVal val="0"/>
          <c:showCatName val="0"/>
          <c:showSerName val="0"/>
          <c:showPercent val="0"/>
          <c:showBubbleSize val="0"/>
        </c:dLbls>
        <c:marker val="1"/>
        <c:smooth val="0"/>
        <c:axId val="286409496"/>
        <c:axId val="286247744"/>
      </c:lineChart>
      <c:catAx>
        <c:axId val="286409496"/>
        <c:scaling>
          <c:orientation val="minMax"/>
        </c:scaling>
        <c:delete val="0"/>
        <c:axPos val="b"/>
        <c:title>
          <c:tx>
            <c:rich>
              <a:bodyPr/>
              <a:lstStyle/>
              <a:p>
                <a:pPr>
                  <a:defRPr sz="900"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0282842215788615"/>
              <c:y val="0.90003240397150241"/>
            </c:manualLayout>
          </c:layout>
          <c:overlay val="0"/>
          <c:spPr>
            <a:noFill/>
            <a:ln w="19048">
              <a:noFill/>
            </a:ln>
          </c:spPr>
        </c:title>
        <c:numFmt formatCode="General" sourceLinked="1"/>
        <c:majorTickMark val="out"/>
        <c:minorTickMark val="none"/>
        <c:tickLblPos val="nextTo"/>
        <c:spPr>
          <a:ln w="2381">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s-CR"/>
          </a:p>
        </c:txPr>
        <c:crossAx val="286247744"/>
        <c:crosses val="autoZero"/>
        <c:auto val="1"/>
        <c:lblAlgn val="ctr"/>
        <c:lblOffset val="100"/>
        <c:tickLblSkip val="1"/>
        <c:tickMarkSkip val="1"/>
        <c:noMultiLvlLbl val="0"/>
      </c:catAx>
      <c:valAx>
        <c:axId val="286247744"/>
        <c:scaling>
          <c:orientation val="minMax"/>
          <c:max val="9000"/>
          <c:min val="0"/>
        </c:scaling>
        <c:delete val="0"/>
        <c:axPos val="l"/>
        <c:majorGridlines>
          <c:spPr>
            <a:ln w="2381">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es-CR"/>
                  <a:t>Personas</a:t>
                </a:r>
              </a:p>
            </c:rich>
          </c:tx>
          <c:layout>
            <c:manualLayout>
              <c:xMode val="edge"/>
              <c:yMode val="edge"/>
              <c:x val="5.8737151248164504E-3"/>
              <c:y val="0.47087378640776867"/>
            </c:manualLayout>
          </c:layout>
          <c:overlay val="0"/>
          <c:spPr>
            <a:noFill/>
            <a:ln w="19048">
              <a:noFill/>
            </a:ln>
          </c:spPr>
        </c:title>
        <c:numFmt formatCode="General" sourceLinked="1"/>
        <c:majorTickMark val="out"/>
        <c:minorTickMark val="none"/>
        <c:tickLblPos val="nextTo"/>
        <c:spPr>
          <a:ln w="2381">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s-CR"/>
          </a:p>
        </c:txPr>
        <c:crossAx val="286409496"/>
        <c:crosses val="autoZero"/>
        <c:crossBetween val="between"/>
        <c:majorUnit val="9000"/>
      </c:valAx>
      <c:spPr>
        <a:gradFill rotWithShape="0">
          <a:gsLst>
            <a:gs pos="0">
              <a:srgbClr val="FFFFFF"/>
            </a:gs>
            <a:gs pos="100000">
              <a:srgbClr val="C0C0C0"/>
            </a:gs>
          </a:gsLst>
          <a:lin ang="2700000" scaled="1"/>
        </a:gradFill>
        <a:ln w="9524">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2381">
      <a:solidFill>
        <a:srgbClr val="000000"/>
      </a:solidFill>
      <a:prstDash val="solid"/>
    </a:ln>
  </c:spPr>
  <c:txPr>
    <a:bodyPr/>
    <a:lstStyle/>
    <a:p>
      <a:pPr>
        <a:defRPr sz="900"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es-CR" sz="1400"/>
              <a:t>Gráfico N° 10
Distribución porcentual de personas condenadas 
según sexo durante el 2015</a:t>
            </a:r>
          </a:p>
        </c:rich>
      </c:tx>
      <c:layout>
        <c:manualLayout>
          <c:xMode val="edge"/>
          <c:yMode val="edge"/>
          <c:x val="0.15469497599518178"/>
          <c:y val="1.9021861049420184E-2"/>
        </c:manualLayout>
      </c:layout>
      <c:overlay val="0"/>
      <c:spPr>
        <a:noFill/>
        <a:ln w="1904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5089075880259796E-2"/>
          <c:y val="0.39982810642259564"/>
          <c:w val="0.6841186736474697"/>
          <c:h val="0.42119565217391303"/>
        </c:manualLayout>
      </c:layout>
      <c:pie3DChart>
        <c:varyColors val="1"/>
        <c:ser>
          <c:idx val="1"/>
          <c:order val="0"/>
          <c:spPr>
            <a:solidFill>
              <a:srgbClr val="993366"/>
            </a:solidFill>
            <a:ln w="9520">
              <a:solidFill>
                <a:srgbClr val="000000"/>
              </a:solidFill>
              <a:prstDash val="solid"/>
            </a:ln>
          </c:spPr>
          <c:explosion val="25"/>
          <c:dPt>
            <c:idx val="0"/>
            <c:bubble3D val="0"/>
            <c:spPr>
              <a:solidFill>
                <a:srgbClr val="9999FF"/>
              </a:solidFill>
              <a:ln w="9520">
                <a:solidFill>
                  <a:srgbClr val="000000"/>
                </a:solidFill>
                <a:prstDash val="solid"/>
              </a:ln>
            </c:spPr>
            <c:extLst xmlns:c16r2="http://schemas.microsoft.com/office/drawing/2015/06/chart">
              <c:ext xmlns:c16="http://schemas.microsoft.com/office/drawing/2014/chart" uri="{C3380CC4-5D6E-409C-BE32-E72D297353CC}">
                <c16:uniqueId val="{00000000-04C3-4F30-AB0B-8669B711595F}"/>
              </c:ext>
            </c:extLst>
          </c:dPt>
          <c:dLbls>
            <c:dLbl>
              <c:idx val="0"/>
              <c:layout>
                <c:manualLayout>
                  <c:x val="0.22927771483926795"/>
                  <c:y val="-4.9980931870695716E-2"/>
                </c:manualLayout>
              </c:layout>
              <c:tx>
                <c:rich>
                  <a:bodyPr/>
                  <a:lstStyle/>
                  <a:p>
                    <a:r>
                      <a:rPr lang="en-US"/>
                      <a:t>Masculino
</a:t>
                    </a:r>
                    <a:r>
                      <a:rPr lang="en-US" sz="1400" b="1"/>
                      <a:t>93%</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04C3-4F30-AB0B-8669B711595F}"/>
                </c:ext>
                <c:ext xmlns:c15="http://schemas.microsoft.com/office/drawing/2012/chart" uri="{CE6537A1-D6FC-4f65-9D91-7224C49458BB}"/>
              </c:extLst>
            </c:dLbl>
            <c:dLbl>
              <c:idx val="1"/>
              <c:layout>
                <c:manualLayout>
                  <c:x val="-0.10901198834997601"/>
                  <c:y val="-4.7706496623819511E-2"/>
                </c:manualLayout>
              </c:layout>
              <c:tx>
                <c:rich>
                  <a:bodyPr/>
                  <a:lstStyle/>
                  <a:p>
                    <a:r>
                      <a:rPr lang="en-US"/>
                      <a:t>Femenino
</a:t>
                    </a:r>
                    <a:r>
                      <a:rPr lang="en-US" sz="1400" b="1"/>
                      <a:t>7%</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4C3-4F30-AB0B-8669B711595F}"/>
                </c:ext>
                <c:ext xmlns:c15="http://schemas.microsoft.com/office/drawing/2012/chart" uri="{CE6537A1-D6FC-4f65-9D91-7224C49458BB}"/>
              </c:extLst>
            </c:dLbl>
            <c:spPr>
              <a:noFill/>
              <a:ln>
                <a:noFill/>
              </a:ln>
              <a:effectLst/>
            </c:spPr>
            <c:txPr>
              <a:bodyPr/>
              <a:lstStyle/>
              <a:p>
                <a:pPr>
                  <a:defRPr sz="1200"/>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Sentenciados!$A$6:$A$7</c:f>
              <c:strCache>
                <c:ptCount val="2"/>
                <c:pt idx="0">
                  <c:v>Masculino</c:v>
                </c:pt>
                <c:pt idx="1">
                  <c:v>Femenino</c:v>
                </c:pt>
              </c:strCache>
            </c:strRef>
          </c:cat>
          <c:val>
            <c:numRef>
              <c:f>Sentenciados!$C$6:$C$7</c:f>
              <c:numCache>
                <c:formatCode>General</c:formatCode>
                <c:ptCount val="2"/>
                <c:pt idx="0">
                  <c:v>8219</c:v>
                </c:pt>
                <c:pt idx="1">
                  <c:v>652</c:v>
                </c:pt>
              </c:numCache>
            </c:numRef>
          </c:val>
          <c:extLst xmlns:c16r2="http://schemas.microsoft.com/office/drawing/2015/06/chart">
            <c:ext xmlns:c16="http://schemas.microsoft.com/office/drawing/2014/chart" uri="{C3380CC4-5D6E-409C-BE32-E72D297353CC}">
              <c16:uniqueId val="{00000002-04C3-4F30-AB0B-8669B711595F}"/>
            </c:ext>
          </c:extLst>
        </c:ser>
        <c:dLbls>
          <c:showLegendKey val="0"/>
          <c:showVal val="0"/>
          <c:showCatName val="0"/>
          <c:showSerName val="0"/>
          <c:showPercent val="0"/>
          <c:showBubbleSize val="0"/>
          <c:showLeaderLines val="1"/>
        </c:dLbls>
      </c:pie3DChart>
      <c:spPr>
        <a:noFill/>
        <a:ln w="19040">
          <a:noFill/>
        </a:ln>
      </c:spPr>
    </c:plotArea>
    <c:plotVisOnly val="1"/>
    <c:dispBlanksAs val="zero"/>
    <c:showDLblsOverMax val="0"/>
  </c:chart>
  <c:spPr>
    <a:gradFill rotWithShape="0">
      <a:gsLst>
        <a:gs pos="0">
          <a:srgbClr val="99CCFF"/>
        </a:gs>
        <a:gs pos="100000">
          <a:srgbClr val="FFFF99"/>
        </a:gs>
      </a:gsLst>
      <a:lin ang="2700000" scaled="1"/>
    </a:gradFill>
    <a:ln w="2380">
      <a:solidFill>
        <a:srgbClr val="000000"/>
      </a:solidFill>
      <a:prstDash val="solid"/>
    </a:ln>
  </c:spPr>
  <c:txPr>
    <a:bodyPr/>
    <a:lstStyle/>
    <a:p>
      <a:pPr>
        <a:defRPr sz="900"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54" b="1" i="0" u="none" strike="noStrike" baseline="0">
                <a:solidFill>
                  <a:srgbClr val="000000"/>
                </a:solidFill>
                <a:latin typeface="Times New Roman"/>
                <a:ea typeface="Times New Roman"/>
                <a:cs typeface="Times New Roman"/>
              </a:defRPr>
            </a:pPr>
            <a:r>
              <a:rPr lang="es-CR"/>
              <a:t>Gráfico N° 11 
Distibución del volumen de personas condenadas según grupo de edad durante el 2015</a:t>
            </a:r>
          </a:p>
        </c:rich>
      </c:tx>
      <c:layout>
        <c:manualLayout>
          <c:xMode val="edge"/>
          <c:yMode val="edge"/>
          <c:x val="0.13268156424580893"/>
          <c:y val="1.9578313253012083E-2"/>
        </c:manualLayout>
      </c:layout>
      <c:overlay val="0"/>
      <c:spPr>
        <a:noFill/>
        <a:ln w="19023">
          <a:noFill/>
        </a:ln>
      </c:spPr>
    </c:title>
    <c:autoTitleDeleted val="0"/>
    <c:plotArea>
      <c:layout>
        <c:manualLayout>
          <c:layoutTarget val="inner"/>
          <c:xMode val="edge"/>
          <c:yMode val="edge"/>
          <c:x val="0.22871771167953989"/>
          <c:y val="0.17425101404400795"/>
          <c:w val="0.73743016759776536"/>
          <c:h val="0.7048192771084385"/>
        </c:manualLayout>
      </c:layout>
      <c:barChart>
        <c:barDir val="bar"/>
        <c:grouping val="clustered"/>
        <c:varyColors val="0"/>
        <c:ser>
          <c:idx val="0"/>
          <c:order val="0"/>
          <c:spPr>
            <a:solidFill>
              <a:srgbClr val="9999FF"/>
            </a:solidFill>
            <a:ln w="9511">
              <a:solidFill>
                <a:srgbClr val="000000"/>
              </a:solidFill>
              <a:prstDash val="solid"/>
            </a:ln>
          </c:spPr>
          <c:invertIfNegative val="0"/>
          <c:dLbls>
            <c:spPr>
              <a:noFill/>
              <a:ln w="19023">
                <a:noFill/>
              </a:ln>
            </c:spPr>
            <c:txPr>
              <a:bodyPr/>
              <a:lstStyle/>
              <a:p>
                <a:pPr>
                  <a:defRPr sz="899" b="1" i="0" u="none" strike="noStrike" baseline="0">
                    <a:solidFill>
                      <a:srgbClr val="FFFF00"/>
                    </a:solidFill>
                    <a:latin typeface="Times New Roman"/>
                    <a:ea typeface="Times New Roman"/>
                    <a:cs typeface="Times New Roman"/>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Hoja1!$A$22:$A$32</c:f>
              <c:strCache>
                <c:ptCount val="11"/>
                <c:pt idx="0">
                  <c:v>65 años y más</c:v>
                </c:pt>
                <c:pt idx="1">
                  <c:v>60 a 64 años</c:v>
                </c:pt>
                <c:pt idx="2">
                  <c:v>55 a 59 años</c:v>
                </c:pt>
                <c:pt idx="3">
                  <c:v>50 a 54 años</c:v>
                </c:pt>
                <c:pt idx="4">
                  <c:v>45 a 49 años</c:v>
                </c:pt>
                <c:pt idx="5">
                  <c:v>40 a 44 años</c:v>
                </c:pt>
                <c:pt idx="6">
                  <c:v>35 a 39 años</c:v>
                </c:pt>
                <c:pt idx="7">
                  <c:v>30 a 34 años</c:v>
                </c:pt>
                <c:pt idx="8">
                  <c:v>25 a 29 años</c:v>
                </c:pt>
                <c:pt idx="9">
                  <c:v>20 a 24 años</c:v>
                </c:pt>
                <c:pt idx="10">
                  <c:v>18 a 19 años</c:v>
                </c:pt>
              </c:strCache>
            </c:strRef>
          </c:cat>
          <c:val>
            <c:numRef>
              <c:f>Hoja1!$C$22:$C$32</c:f>
              <c:numCache>
                <c:formatCode>General</c:formatCode>
                <c:ptCount val="11"/>
                <c:pt idx="0">
                  <c:v>185</c:v>
                </c:pt>
                <c:pt idx="1">
                  <c:v>173</c:v>
                </c:pt>
                <c:pt idx="2">
                  <c:v>362</c:v>
                </c:pt>
                <c:pt idx="3">
                  <c:v>463</c:v>
                </c:pt>
                <c:pt idx="4">
                  <c:v>579</c:v>
                </c:pt>
                <c:pt idx="5">
                  <c:v>756</c:v>
                </c:pt>
                <c:pt idx="6" formatCode="#,##0">
                  <c:v>1045</c:v>
                </c:pt>
                <c:pt idx="7" formatCode="#,##0">
                  <c:v>1545</c:v>
                </c:pt>
                <c:pt idx="8" formatCode="#,##0">
                  <c:v>1813</c:v>
                </c:pt>
                <c:pt idx="9" formatCode="#,##0">
                  <c:v>1602</c:v>
                </c:pt>
                <c:pt idx="10">
                  <c:v>348</c:v>
                </c:pt>
              </c:numCache>
            </c:numRef>
          </c:val>
          <c:extLst xmlns:c16r2="http://schemas.microsoft.com/office/drawing/2015/06/chart">
            <c:ext xmlns:c16="http://schemas.microsoft.com/office/drawing/2014/chart" uri="{C3380CC4-5D6E-409C-BE32-E72D297353CC}">
              <c16:uniqueId val="{00000000-8814-4511-A31D-FD11A81BF073}"/>
            </c:ext>
          </c:extLst>
        </c:ser>
        <c:dLbls>
          <c:showLegendKey val="0"/>
          <c:showVal val="1"/>
          <c:showCatName val="0"/>
          <c:showSerName val="0"/>
          <c:showPercent val="0"/>
          <c:showBubbleSize val="0"/>
        </c:dLbls>
        <c:gapWidth val="50"/>
        <c:axId val="286249312"/>
        <c:axId val="286916336"/>
      </c:barChart>
      <c:catAx>
        <c:axId val="286249312"/>
        <c:scaling>
          <c:orientation val="minMax"/>
        </c:scaling>
        <c:delete val="0"/>
        <c:axPos val="l"/>
        <c:title>
          <c:tx>
            <c:rich>
              <a:bodyPr/>
              <a:lstStyle/>
              <a:p>
                <a:pPr>
                  <a:defRPr sz="899" b="1" i="0" u="none" strike="noStrike" baseline="0">
                    <a:solidFill>
                      <a:srgbClr val="000000"/>
                    </a:solidFill>
                    <a:latin typeface="Times New Roman"/>
                    <a:ea typeface="Times New Roman"/>
                    <a:cs typeface="Times New Roman"/>
                  </a:defRPr>
                </a:pPr>
                <a:r>
                  <a:rPr lang="es-CR"/>
                  <a:t>Grupos de edad</a:t>
                </a:r>
              </a:p>
            </c:rich>
          </c:tx>
          <c:layout>
            <c:manualLayout>
              <c:xMode val="edge"/>
              <c:yMode val="edge"/>
              <c:x val="1.2569832402234637E-2"/>
              <c:y val="0.43674698795181027"/>
            </c:manualLayout>
          </c:layout>
          <c:overlay val="0"/>
          <c:spPr>
            <a:noFill/>
            <a:ln w="19023">
              <a:noFill/>
            </a:ln>
          </c:spPr>
        </c:title>
        <c:numFmt formatCode="General" sourceLinked="1"/>
        <c:majorTickMark val="out"/>
        <c:minorTickMark val="none"/>
        <c:tickLblPos val="nextTo"/>
        <c:spPr>
          <a:ln w="2378">
            <a:solidFill>
              <a:srgbClr val="000000"/>
            </a:solidFill>
            <a:prstDash val="solid"/>
          </a:ln>
        </c:spPr>
        <c:txPr>
          <a:bodyPr rot="0" vert="horz"/>
          <a:lstStyle/>
          <a:p>
            <a:pPr>
              <a:defRPr sz="824" b="0" i="0" u="none" strike="noStrike" baseline="0">
                <a:solidFill>
                  <a:srgbClr val="000000"/>
                </a:solidFill>
                <a:latin typeface="Times New Roman"/>
                <a:ea typeface="Times New Roman"/>
                <a:cs typeface="Times New Roman"/>
              </a:defRPr>
            </a:pPr>
            <a:endParaRPr lang="es-CR"/>
          </a:p>
        </c:txPr>
        <c:crossAx val="286916336"/>
        <c:crosses val="autoZero"/>
        <c:auto val="1"/>
        <c:lblAlgn val="ctr"/>
        <c:lblOffset val="100"/>
        <c:tickLblSkip val="1"/>
        <c:tickMarkSkip val="1"/>
        <c:noMultiLvlLbl val="0"/>
      </c:catAx>
      <c:valAx>
        <c:axId val="286916336"/>
        <c:scaling>
          <c:orientation val="minMax"/>
          <c:max val="2200"/>
        </c:scaling>
        <c:delete val="0"/>
        <c:axPos val="b"/>
        <c:title>
          <c:tx>
            <c:rich>
              <a:bodyPr/>
              <a:lstStyle/>
              <a:p>
                <a:pPr>
                  <a:defRPr sz="899" b="1" i="0" u="none" strike="noStrike" baseline="0">
                    <a:solidFill>
                      <a:srgbClr val="000000"/>
                    </a:solidFill>
                    <a:latin typeface="Times New Roman"/>
                    <a:ea typeface="Times New Roman"/>
                    <a:cs typeface="Times New Roman"/>
                  </a:defRPr>
                </a:pPr>
                <a:r>
                  <a:rPr lang="es-CR"/>
                  <a:t>Número de casos</a:t>
                </a:r>
              </a:p>
            </c:rich>
          </c:tx>
          <c:layout>
            <c:manualLayout>
              <c:xMode val="edge"/>
              <c:yMode val="edge"/>
              <c:x val="0.50837988826815661"/>
              <c:y val="0.92921686746987964"/>
            </c:manualLayout>
          </c:layout>
          <c:overlay val="0"/>
          <c:spPr>
            <a:noFill/>
            <a:ln w="19023">
              <a:noFill/>
            </a:ln>
          </c:spPr>
        </c:title>
        <c:numFmt formatCode="General" sourceLinked="1"/>
        <c:majorTickMark val="out"/>
        <c:minorTickMark val="none"/>
        <c:tickLblPos val="nextTo"/>
        <c:spPr>
          <a:ln w="2378">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es-CR"/>
          </a:p>
        </c:txPr>
        <c:crossAx val="286249312"/>
        <c:crosses val="autoZero"/>
        <c:crossBetween val="between"/>
        <c:majorUnit val="2200"/>
      </c:valAx>
      <c:spPr>
        <a:solidFill>
          <a:srgbClr val="FFFFCC"/>
        </a:solidFill>
        <a:ln w="9511">
          <a:solidFill>
            <a:srgbClr val="808080"/>
          </a:solidFill>
          <a:prstDash val="solid"/>
        </a:ln>
      </c:spPr>
    </c:plotArea>
    <c:plotVisOnly val="1"/>
    <c:dispBlanksAs val="gap"/>
    <c:showDLblsOverMax val="0"/>
  </c:chart>
  <c:spPr>
    <a:gradFill rotWithShape="0">
      <a:gsLst>
        <a:gs pos="0">
          <a:srgbClr val="99CCFF"/>
        </a:gs>
        <a:gs pos="50000">
          <a:srgbClr val="99CCFF">
            <a:gamma/>
            <a:tint val="31765"/>
            <a:invGamma/>
          </a:srgbClr>
        </a:gs>
        <a:gs pos="100000">
          <a:srgbClr val="99CCFF"/>
        </a:gs>
      </a:gsLst>
      <a:lin ang="5400000" scaled="1"/>
    </a:gradFill>
    <a:ln w="2378">
      <a:solidFill>
        <a:srgbClr val="000000"/>
      </a:solidFill>
      <a:prstDash val="solid"/>
    </a:ln>
  </c:spPr>
  <c:txPr>
    <a:bodyPr/>
    <a:lstStyle/>
    <a:p>
      <a:pPr>
        <a:defRPr sz="899"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3" b="1" i="0" u="none" strike="noStrike" baseline="0">
                <a:solidFill>
                  <a:srgbClr val="000000"/>
                </a:solidFill>
                <a:latin typeface="Times New Roman"/>
                <a:ea typeface="Times New Roman"/>
                <a:cs typeface="Times New Roman"/>
              </a:defRPr>
            </a:pPr>
            <a:r>
              <a:rPr lang="es-CR" sz="1400" b="0"/>
              <a:t>Gráfico N° 11 </a:t>
            </a:r>
            <a:r>
              <a:rPr lang="es-CR" sz="1400"/>
              <a:t>
Distibución del volumen de personas condenadas según pena o medidad impuesta durante el 2015</a:t>
            </a:r>
          </a:p>
        </c:rich>
      </c:tx>
      <c:layout>
        <c:manualLayout>
          <c:xMode val="edge"/>
          <c:yMode val="edge"/>
          <c:x val="0.11263318112633212"/>
          <c:y val="1.9815059445178487E-2"/>
        </c:manualLayout>
      </c:layout>
      <c:overlay val="0"/>
      <c:spPr>
        <a:noFill/>
        <a:ln w="19031">
          <a:noFill/>
        </a:ln>
      </c:spPr>
    </c:title>
    <c:autoTitleDeleted val="0"/>
    <c:plotArea>
      <c:layout>
        <c:manualLayout>
          <c:layoutTarget val="inner"/>
          <c:xMode val="edge"/>
          <c:yMode val="edge"/>
          <c:x val="0.24048706240487094"/>
          <c:y val="0.14134742404227346"/>
          <c:w val="0.71841704718417065"/>
          <c:h val="0.74900924702774163"/>
        </c:manualLayout>
      </c:layout>
      <c:barChart>
        <c:barDir val="bar"/>
        <c:grouping val="clustered"/>
        <c:varyColors val="0"/>
        <c:ser>
          <c:idx val="0"/>
          <c:order val="0"/>
          <c:spPr>
            <a:solidFill>
              <a:srgbClr val="9999FF"/>
            </a:solidFill>
            <a:ln w="9515">
              <a:solidFill>
                <a:srgbClr val="000000"/>
              </a:solidFill>
              <a:prstDash val="solid"/>
            </a:ln>
          </c:spPr>
          <c:invertIfNegative val="0"/>
          <c:dLbls>
            <c:dLbl>
              <c:idx val="1"/>
              <c:layout>
                <c:manualLayout>
                  <c:x val="-5.166289958023893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E15-42D1-8E03-B3E45D2905EA}"/>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0E15-42D1-8E03-B3E45D2905EA}"/>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2-0E15-42D1-8E03-B3E45D2905EA}"/>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3-0E15-42D1-8E03-B3E45D2905EA}"/>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4-0E15-42D1-8E03-B3E45D2905EA}"/>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5-0E15-42D1-8E03-B3E45D2905EA}"/>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6-0E15-42D1-8E03-B3E45D2905EA}"/>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7-0E15-42D1-8E03-B3E45D2905EA}"/>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8-0E15-42D1-8E03-B3E45D2905EA}"/>
                </c:ext>
                <c:ext xmlns:c15="http://schemas.microsoft.com/office/drawing/2012/chart" uri="{CE6537A1-D6FC-4f65-9D91-7224C49458BB}"/>
              </c:extLst>
            </c:dLbl>
            <c:dLbl>
              <c:idx val="10"/>
              <c:layout>
                <c:manualLayout>
                  <c:x val="-1.5068345710903043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E15-42D1-8E03-B3E45D2905EA}"/>
                </c:ext>
                <c:ext xmlns:c15="http://schemas.microsoft.com/office/drawing/2012/chart" uri="{CE6537A1-D6FC-4f65-9D91-7224C49458BB}"/>
              </c:extLst>
            </c:dLbl>
            <c:dLbl>
              <c:idx val="15"/>
              <c:layout>
                <c:manualLayout>
                  <c:x val="-8.6104832633731726E-3"/>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E15-42D1-8E03-B3E45D2905EA}"/>
                </c:ext>
                <c:ext xmlns:c15="http://schemas.microsoft.com/office/drawing/2012/chart" uri="{CE6537A1-D6FC-4f65-9D91-7224C49458BB}"/>
              </c:extLst>
            </c:dLbl>
            <c:dLbl>
              <c:idx val="19"/>
              <c:layout>
                <c:manualLayout>
                  <c:x val="-4.3052416316865898E-3"/>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E15-42D1-8E03-B3E45D2905EA}"/>
                </c:ext>
                <c:ext xmlns:c15="http://schemas.microsoft.com/office/drawing/2012/chart" uri="{CE6537A1-D6FC-4f65-9D91-7224C49458BB}"/>
              </c:extLst>
            </c:dLbl>
            <c:numFmt formatCode="#,##0" sourceLinked="0"/>
            <c:spPr>
              <a:noFill/>
              <a:ln w="19031">
                <a:noFill/>
              </a:ln>
            </c:spPr>
            <c:txPr>
              <a:bodyPr/>
              <a:lstStyle/>
              <a:p>
                <a:pPr>
                  <a:defRPr sz="768" b="1" i="0" u="none" strike="noStrike" baseline="0">
                    <a:solidFill>
                      <a:srgbClr val="FFFF00"/>
                    </a:solidFill>
                    <a:latin typeface="Times New Roman"/>
                    <a:ea typeface="Times New Roman"/>
                    <a:cs typeface="Times New Roman"/>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Hoja1!$A$3:$A$22</c:f>
              <c:strCache>
                <c:ptCount val="20"/>
                <c:pt idx="0">
                  <c:v>Pena  Alterna </c:v>
                </c:pt>
                <c:pt idx="1">
                  <c:v>Ejecución  Condicional </c:v>
                </c:pt>
                <c:pt idx="2">
                  <c:v>Medida de Seguridad </c:v>
                </c:pt>
                <c:pt idx="3">
                  <c:v>Arresto domiciliario</c:v>
                </c:pt>
                <c:pt idx="4">
                  <c:v>45 a 50 años</c:v>
                </c:pt>
                <c:pt idx="5">
                  <c:v>40 a menos de 45 años</c:v>
                </c:pt>
                <c:pt idx="6">
                  <c:v>35 a menos de 40 años</c:v>
                </c:pt>
                <c:pt idx="7">
                  <c:v>30 a menos de 35 años</c:v>
                </c:pt>
                <c:pt idx="8">
                  <c:v>25 a menos de 30 años</c:v>
                </c:pt>
                <c:pt idx="9">
                  <c:v>20 a menos de 25 años</c:v>
                </c:pt>
                <c:pt idx="10">
                  <c:v>15 a menos de 20 años</c:v>
                </c:pt>
                <c:pt idx="11">
                  <c:v>10 a menos de 15 años</c:v>
                </c:pt>
                <c:pt idx="12">
                  <c:v>7 a menos de 10 años</c:v>
                </c:pt>
                <c:pt idx="13">
                  <c:v>5 a menos de 7 años</c:v>
                </c:pt>
                <c:pt idx="14">
                  <c:v>3 a menos de 5 años</c:v>
                </c:pt>
                <c:pt idx="15">
                  <c:v>2 a menos de 3 años</c:v>
                </c:pt>
                <c:pt idx="16">
                  <c:v>1 a menos de 2 años</c:v>
                </c:pt>
                <c:pt idx="17">
                  <c:v>6 a menos de 1 año</c:v>
                </c:pt>
                <c:pt idx="18">
                  <c:v>Menos de 6 meses</c:v>
                </c:pt>
                <c:pt idx="19">
                  <c:v>Días multa </c:v>
                </c:pt>
              </c:strCache>
            </c:strRef>
          </c:cat>
          <c:val>
            <c:numRef>
              <c:f>Hoja1!$C$3:$C$22</c:f>
              <c:numCache>
                <c:formatCode>General</c:formatCode>
                <c:ptCount val="20"/>
                <c:pt idx="0">
                  <c:v>256</c:v>
                </c:pt>
                <c:pt idx="1">
                  <c:v>2968</c:v>
                </c:pt>
                <c:pt idx="2">
                  <c:v>45</c:v>
                </c:pt>
                <c:pt idx="3">
                  <c:v>14</c:v>
                </c:pt>
                <c:pt idx="4">
                  <c:v>18</c:v>
                </c:pt>
                <c:pt idx="5">
                  <c:v>12</c:v>
                </c:pt>
                <c:pt idx="6">
                  <c:v>28</c:v>
                </c:pt>
                <c:pt idx="7">
                  <c:v>42</c:v>
                </c:pt>
                <c:pt idx="8">
                  <c:v>48</c:v>
                </c:pt>
                <c:pt idx="9">
                  <c:v>67</c:v>
                </c:pt>
                <c:pt idx="10">
                  <c:v>103</c:v>
                </c:pt>
                <c:pt idx="11">
                  <c:v>356</c:v>
                </c:pt>
                <c:pt idx="12">
                  <c:v>658</c:v>
                </c:pt>
                <c:pt idx="13">
                  <c:v>1292</c:v>
                </c:pt>
                <c:pt idx="14">
                  <c:v>1239</c:v>
                </c:pt>
                <c:pt idx="15">
                  <c:v>140</c:v>
                </c:pt>
                <c:pt idx="16">
                  <c:v>289</c:v>
                </c:pt>
                <c:pt idx="17">
                  <c:v>386</c:v>
                </c:pt>
                <c:pt idx="18">
                  <c:v>755</c:v>
                </c:pt>
                <c:pt idx="19">
                  <c:v>155</c:v>
                </c:pt>
              </c:numCache>
            </c:numRef>
          </c:val>
          <c:extLst xmlns:c16r2="http://schemas.microsoft.com/office/drawing/2015/06/chart">
            <c:ext xmlns:c16="http://schemas.microsoft.com/office/drawing/2014/chart" uri="{C3380CC4-5D6E-409C-BE32-E72D297353CC}">
              <c16:uniqueId val="{0000000C-0E15-42D1-8E03-B3E45D2905EA}"/>
            </c:ext>
          </c:extLst>
        </c:ser>
        <c:dLbls>
          <c:showLegendKey val="0"/>
          <c:showVal val="1"/>
          <c:showCatName val="0"/>
          <c:showSerName val="0"/>
          <c:showPercent val="0"/>
          <c:showBubbleSize val="0"/>
        </c:dLbls>
        <c:gapWidth val="50"/>
        <c:axId val="286917120"/>
        <c:axId val="286917512"/>
      </c:barChart>
      <c:catAx>
        <c:axId val="286917120"/>
        <c:scaling>
          <c:orientation val="minMax"/>
        </c:scaling>
        <c:delete val="0"/>
        <c:axPos val="l"/>
        <c:title>
          <c:tx>
            <c:rich>
              <a:bodyPr/>
              <a:lstStyle/>
              <a:p>
                <a:pPr>
                  <a:defRPr sz="862" b="1" i="0" u="none" strike="noStrike" baseline="0">
                    <a:solidFill>
                      <a:srgbClr val="000000"/>
                    </a:solidFill>
                    <a:latin typeface="Times New Roman"/>
                    <a:ea typeface="Times New Roman"/>
                    <a:cs typeface="Times New Roman"/>
                  </a:defRPr>
                </a:pPr>
                <a:r>
                  <a:rPr lang="es-CR"/>
                  <a:t>Grupos de edad</a:t>
                </a:r>
              </a:p>
            </c:rich>
          </c:tx>
          <c:layout>
            <c:manualLayout>
              <c:xMode val="edge"/>
              <c:yMode val="edge"/>
              <c:x val="1.3698630136986301E-2"/>
              <c:y val="0.4451783355350068"/>
            </c:manualLayout>
          </c:layout>
          <c:overlay val="0"/>
          <c:spPr>
            <a:noFill/>
            <a:ln w="19031">
              <a:noFill/>
            </a:ln>
          </c:spPr>
        </c:title>
        <c:numFmt formatCode="General" sourceLinked="1"/>
        <c:majorTickMark val="out"/>
        <c:minorTickMark val="none"/>
        <c:tickLblPos val="nextTo"/>
        <c:spPr>
          <a:ln w="2379">
            <a:solidFill>
              <a:srgbClr val="000000"/>
            </a:solidFill>
            <a:prstDash val="solid"/>
          </a:ln>
        </c:spPr>
        <c:txPr>
          <a:bodyPr rot="0" vert="horz"/>
          <a:lstStyle/>
          <a:p>
            <a:pPr>
              <a:defRPr sz="693" b="0" i="0" u="none" strike="noStrike" baseline="0">
                <a:solidFill>
                  <a:srgbClr val="000000"/>
                </a:solidFill>
                <a:latin typeface="Times New Roman"/>
                <a:ea typeface="Times New Roman"/>
                <a:cs typeface="Times New Roman"/>
              </a:defRPr>
            </a:pPr>
            <a:endParaRPr lang="es-CR"/>
          </a:p>
        </c:txPr>
        <c:crossAx val="286917512"/>
        <c:crosses val="autoZero"/>
        <c:auto val="1"/>
        <c:lblAlgn val="ctr"/>
        <c:lblOffset val="100"/>
        <c:tickLblSkip val="1"/>
        <c:tickMarkSkip val="1"/>
        <c:noMultiLvlLbl val="0"/>
      </c:catAx>
      <c:valAx>
        <c:axId val="286917512"/>
        <c:scaling>
          <c:orientation val="minMax"/>
          <c:max val="3000"/>
        </c:scaling>
        <c:delete val="0"/>
        <c:axPos val="b"/>
        <c:title>
          <c:tx>
            <c:rich>
              <a:bodyPr/>
              <a:lstStyle/>
              <a:p>
                <a:pPr>
                  <a:defRPr sz="862" b="1" i="0" u="none" strike="noStrike" baseline="0">
                    <a:solidFill>
                      <a:srgbClr val="000000"/>
                    </a:solidFill>
                    <a:latin typeface="Times New Roman"/>
                    <a:ea typeface="Times New Roman"/>
                    <a:cs typeface="Times New Roman"/>
                  </a:defRPr>
                </a:pPr>
                <a:r>
                  <a:rPr lang="es-CR"/>
                  <a:t>Número de casos</a:t>
                </a:r>
              </a:p>
            </c:rich>
          </c:tx>
          <c:layout>
            <c:manualLayout>
              <c:xMode val="edge"/>
              <c:yMode val="edge"/>
              <c:x val="0.51141552511415456"/>
              <c:y val="0.94055482166446502"/>
            </c:manualLayout>
          </c:layout>
          <c:overlay val="0"/>
          <c:spPr>
            <a:noFill/>
            <a:ln w="19031">
              <a:noFill/>
            </a:ln>
          </c:spPr>
        </c:title>
        <c:numFmt formatCode="General" sourceLinked="1"/>
        <c:majorTickMark val="out"/>
        <c:minorTickMark val="none"/>
        <c:tickLblPos val="nextTo"/>
        <c:spPr>
          <a:ln w="2379">
            <a:solidFill>
              <a:srgbClr val="000000"/>
            </a:solidFill>
            <a:prstDash val="solid"/>
          </a:ln>
        </c:spPr>
        <c:txPr>
          <a:bodyPr rot="0" vert="horz"/>
          <a:lstStyle/>
          <a:p>
            <a:pPr>
              <a:defRPr sz="862" b="0" i="0" u="none" strike="noStrike" baseline="0">
                <a:solidFill>
                  <a:srgbClr val="000000"/>
                </a:solidFill>
                <a:latin typeface="Times New Roman"/>
                <a:ea typeface="Times New Roman"/>
                <a:cs typeface="Times New Roman"/>
              </a:defRPr>
            </a:pPr>
            <a:endParaRPr lang="es-CR"/>
          </a:p>
        </c:txPr>
        <c:crossAx val="286917120"/>
        <c:crosses val="autoZero"/>
        <c:crossBetween val="between"/>
        <c:majorUnit val="3000"/>
        <c:minorUnit val="3000"/>
      </c:valAx>
      <c:spPr>
        <a:solidFill>
          <a:srgbClr val="FFFFCC"/>
        </a:solidFill>
        <a:ln w="9515">
          <a:solidFill>
            <a:srgbClr val="808080"/>
          </a:solidFill>
          <a:prstDash val="solid"/>
        </a:ln>
      </c:spPr>
    </c:plotArea>
    <c:plotVisOnly val="1"/>
    <c:dispBlanksAs val="gap"/>
    <c:showDLblsOverMax val="0"/>
  </c:chart>
  <c:spPr>
    <a:gradFill rotWithShape="0">
      <a:gsLst>
        <a:gs pos="0">
          <a:srgbClr val="99CCFF"/>
        </a:gs>
        <a:gs pos="50000">
          <a:srgbClr val="99CCFF">
            <a:gamma/>
            <a:tint val="31765"/>
            <a:invGamma/>
          </a:srgbClr>
        </a:gs>
        <a:gs pos="100000">
          <a:srgbClr val="99CCFF"/>
        </a:gs>
      </a:gsLst>
      <a:lin ang="5400000" scaled="1"/>
    </a:gradFill>
    <a:ln w="2379">
      <a:solidFill>
        <a:srgbClr val="000000"/>
      </a:solidFill>
      <a:prstDash val="solid"/>
    </a:ln>
  </c:spPr>
  <c:txPr>
    <a:bodyPr/>
    <a:lstStyle/>
    <a:p>
      <a:pPr>
        <a:defRPr sz="862"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34" b="1" i="0" u="none" strike="noStrike" baseline="0">
                <a:solidFill>
                  <a:srgbClr val="000000"/>
                </a:solidFill>
                <a:latin typeface="Times New Roman"/>
                <a:ea typeface="Times New Roman"/>
                <a:cs typeface="Times New Roman"/>
              </a:defRPr>
            </a:pPr>
            <a:r>
              <a:rPr lang="es-CR"/>
              <a:t>Gráfico N° 12 
Distibución del volumen de personas condenadas </a:t>
            </a:r>
            <a:r>
              <a:rPr lang="es-CR" sz="1234" b="1" i="0" u="none" strike="noStrike" baseline="0"/>
              <a:t>durante el 2015 </a:t>
            </a:r>
            <a:r>
              <a:rPr lang="es-CR"/>
              <a:t>según Título de delito o ley infringida y por sexo</a:t>
            </a:r>
          </a:p>
        </c:rich>
      </c:tx>
      <c:layout>
        <c:manualLayout>
          <c:xMode val="edge"/>
          <c:yMode val="edge"/>
          <c:x val="0.12747875354107649"/>
          <c:y val="1.9083969465648869E-2"/>
        </c:manualLayout>
      </c:layout>
      <c:overlay val="0"/>
      <c:spPr>
        <a:noFill/>
        <a:ln w="19003">
          <a:noFill/>
        </a:ln>
      </c:spPr>
    </c:title>
    <c:autoTitleDeleted val="0"/>
    <c:plotArea>
      <c:layout>
        <c:manualLayout>
          <c:layoutTarget val="inner"/>
          <c:xMode val="edge"/>
          <c:yMode val="edge"/>
          <c:x val="0.34702549575071007"/>
          <c:y val="0.21564885496183292"/>
          <c:w val="0.60906515580736187"/>
          <c:h val="0.63358778625954193"/>
        </c:manualLayout>
      </c:layout>
      <c:barChart>
        <c:barDir val="bar"/>
        <c:grouping val="clustered"/>
        <c:varyColors val="0"/>
        <c:ser>
          <c:idx val="0"/>
          <c:order val="0"/>
          <c:tx>
            <c:strRef>
              <c:f>Hoja1!$B$1</c:f>
              <c:strCache>
                <c:ptCount val="1"/>
                <c:pt idx="0">
                  <c:v>Hombres</c:v>
                </c:pt>
              </c:strCache>
            </c:strRef>
          </c:tx>
          <c:spPr>
            <a:solidFill>
              <a:srgbClr val="0000FF"/>
            </a:solidFill>
            <a:ln w="950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Hoja1!$A$2:$A$9</c:f>
              <c:strCache>
                <c:ptCount val="8"/>
                <c:pt idx="0">
                  <c:v>Otros</c:v>
                </c:pt>
                <c:pt idx="1">
                  <c:v>Contra la Autoridad Pública</c:v>
                </c:pt>
                <c:pt idx="2">
                  <c:v>Contra la Seguridad Común</c:v>
                </c:pt>
                <c:pt idx="3">
                  <c:v>Inf. Ley Penal.Viol. Contra Mujer</c:v>
                </c:pt>
                <c:pt idx="4">
                  <c:v>Sexuales</c:v>
                </c:pt>
                <c:pt idx="5">
                  <c:v>Contra la Vida</c:v>
                </c:pt>
                <c:pt idx="6">
                  <c:v>Inf. Ley de Sicotrópicos</c:v>
                </c:pt>
                <c:pt idx="7">
                  <c:v>Contra la Propiedad</c:v>
                </c:pt>
              </c:strCache>
            </c:strRef>
          </c:cat>
          <c:val>
            <c:numRef>
              <c:f>Hoja1!$B$2:$B$9</c:f>
              <c:numCache>
                <c:formatCode>#,##0</c:formatCode>
                <c:ptCount val="8"/>
                <c:pt idx="0">
                  <c:v>908</c:v>
                </c:pt>
                <c:pt idx="1">
                  <c:v>328</c:v>
                </c:pt>
                <c:pt idx="2">
                  <c:v>460</c:v>
                </c:pt>
                <c:pt idx="3">
                  <c:v>517</c:v>
                </c:pt>
                <c:pt idx="4">
                  <c:v>633</c:v>
                </c:pt>
                <c:pt idx="5">
                  <c:v>802</c:v>
                </c:pt>
                <c:pt idx="6">
                  <c:v>1004</c:v>
                </c:pt>
                <c:pt idx="7">
                  <c:v>3567</c:v>
                </c:pt>
              </c:numCache>
            </c:numRef>
          </c:val>
          <c:extLst xmlns:c16r2="http://schemas.microsoft.com/office/drawing/2015/06/chart">
            <c:ext xmlns:c16="http://schemas.microsoft.com/office/drawing/2014/chart" uri="{C3380CC4-5D6E-409C-BE32-E72D297353CC}">
              <c16:uniqueId val="{00000000-5489-4055-B7A8-5F0E5FD4C213}"/>
            </c:ext>
          </c:extLst>
        </c:ser>
        <c:ser>
          <c:idx val="1"/>
          <c:order val="1"/>
          <c:tx>
            <c:strRef>
              <c:f>Hoja1!$C$1</c:f>
              <c:strCache>
                <c:ptCount val="1"/>
                <c:pt idx="0">
                  <c:v>Mujeres</c:v>
                </c:pt>
              </c:strCache>
            </c:strRef>
          </c:tx>
          <c:spPr>
            <a:solidFill>
              <a:srgbClr val="FF99CC"/>
            </a:solidFill>
            <a:ln w="950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Hoja1!$A$2:$A$9</c:f>
              <c:strCache>
                <c:ptCount val="8"/>
                <c:pt idx="0">
                  <c:v>Otros</c:v>
                </c:pt>
                <c:pt idx="1">
                  <c:v>Contra la Autoridad Pública</c:v>
                </c:pt>
                <c:pt idx="2">
                  <c:v>Contra la Seguridad Común</c:v>
                </c:pt>
                <c:pt idx="3">
                  <c:v>Inf. Ley Penal.Viol. Contra Mujer</c:v>
                </c:pt>
                <c:pt idx="4">
                  <c:v>Sexuales</c:v>
                </c:pt>
                <c:pt idx="5">
                  <c:v>Contra la Vida</c:v>
                </c:pt>
                <c:pt idx="6">
                  <c:v>Inf. Ley de Sicotrópicos</c:v>
                </c:pt>
                <c:pt idx="7">
                  <c:v>Contra la Propiedad</c:v>
                </c:pt>
              </c:strCache>
            </c:strRef>
          </c:cat>
          <c:val>
            <c:numRef>
              <c:f>Hoja1!$C$2:$C$9</c:f>
              <c:numCache>
                <c:formatCode>#,##0</c:formatCode>
                <c:ptCount val="8"/>
                <c:pt idx="0">
                  <c:v>80</c:v>
                </c:pt>
                <c:pt idx="1">
                  <c:v>33</c:v>
                </c:pt>
                <c:pt idx="2">
                  <c:v>16</c:v>
                </c:pt>
                <c:pt idx="3">
                  <c:v>0</c:v>
                </c:pt>
                <c:pt idx="4">
                  <c:v>14</c:v>
                </c:pt>
                <c:pt idx="5">
                  <c:v>102</c:v>
                </c:pt>
                <c:pt idx="6">
                  <c:v>129</c:v>
                </c:pt>
                <c:pt idx="7">
                  <c:v>278</c:v>
                </c:pt>
              </c:numCache>
            </c:numRef>
          </c:val>
          <c:extLst xmlns:c16r2="http://schemas.microsoft.com/office/drawing/2015/06/chart">
            <c:ext xmlns:c16="http://schemas.microsoft.com/office/drawing/2014/chart" uri="{C3380CC4-5D6E-409C-BE32-E72D297353CC}">
              <c16:uniqueId val="{00000001-5489-4055-B7A8-5F0E5FD4C213}"/>
            </c:ext>
          </c:extLst>
        </c:ser>
        <c:dLbls>
          <c:showLegendKey val="0"/>
          <c:showVal val="1"/>
          <c:showCatName val="0"/>
          <c:showSerName val="0"/>
          <c:showPercent val="0"/>
          <c:showBubbleSize val="0"/>
        </c:dLbls>
        <c:gapWidth val="50"/>
        <c:axId val="367527688"/>
        <c:axId val="367528080"/>
      </c:barChart>
      <c:catAx>
        <c:axId val="367527688"/>
        <c:scaling>
          <c:orientation val="minMax"/>
        </c:scaling>
        <c:delete val="0"/>
        <c:axPos val="l"/>
        <c:title>
          <c:tx>
            <c:rich>
              <a:bodyPr/>
              <a:lstStyle/>
              <a:p>
                <a:pPr>
                  <a:defRPr sz="898" b="1" i="0" u="none" strike="noStrike" baseline="0">
                    <a:solidFill>
                      <a:srgbClr val="000000"/>
                    </a:solidFill>
                    <a:latin typeface="Times New Roman"/>
                    <a:ea typeface="Times New Roman"/>
                    <a:cs typeface="Times New Roman"/>
                  </a:defRPr>
                </a:pPr>
                <a:r>
                  <a:rPr lang="es-CR"/>
                  <a:t>Título del delito o ley 
infringida</a:t>
                </a:r>
              </a:p>
            </c:rich>
          </c:tx>
          <c:layout>
            <c:manualLayout>
              <c:xMode val="edge"/>
              <c:yMode val="edge"/>
              <c:x val="4.2492917847026497E-3"/>
              <c:y val="0.32251908396947043"/>
            </c:manualLayout>
          </c:layout>
          <c:overlay val="0"/>
          <c:spPr>
            <a:noFill/>
            <a:ln w="19003">
              <a:noFill/>
            </a:ln>
          </c:spPr>
        </c:title>
        <c:numFmt formatCode="General" sourceLinked="1"/>
        <c:majorTickMark val="out"/>
        <c:minorTickMark val="none"/>
        <c:tickLblPos val="nextTo"/>
        <c:spPr>
          <a:ln w="2375">
            <a:solidFill>
              <a:srgbClr val="000000"/>
            </a:solidFill>
            <a:prstDash val="solid"/>
          </a:ln>
        </c:spPr>
        <c:txPr>
          <a:bodyPr rot="0" vert="horz"/>
          <a:lstStyle/>
          <a:p>
            <a:pPr>
              <a:defRPr sz="804" b="0" i="0" u="none" strike="noStrike" baseline="0">
                <a:solidFill>
                  <a:srgbClr val="000000"/>
                </a:solidFill>
                <a:latin typeface="Times New Roman"/>
                <a:ea typeface="Times New Roman"/>
                <a:cs typeface="Times New Roman"/>
              </a:defRPr>
            </a:pPr>
            <a:endParaRPr lang="es-CR"/>
          </a:p>
        </c:txPr>
        <c:crossAx val="367528080"/>
        <c:crosses val="autoZero"/>
        <c:auto val="1"/>
        <c:lblAlgn val="ctr"/>
        <c:lblOffset val="100"/>
        <c:tickLblSkip val="1"/>
        <c:tickMarkSkip val="1"/>
        <c:noMultiLvlLbl val="0"/>
      </c:catAx>
      <c:valAx>
        <c:axId val="367528080"/>
        <c:scaling>
          <c:orientation val="minMax"/>
          <c:max val="4500"/>
        </c:scaling>
        <c:delete val="0"/>
        <c:axPos val="b"/>
        <c:title>
          <c:tx>
            <c:rich>
              <a:bodyPr/>
              <a:lstStyle/>
              <a:p>
                <a:pPr>
                  <a:defRPr sz="898" b="1" i="0" u="none" strike="noStrike" baseline="0">
                    <a:solidFill>
                      <a:srgbClr val="000000"/>
                    </a:solidFill>
                    <a:latin typeface="Times New Roman"/>
                    <a:ea typeface="Times New Roman"/>
                    <a:cs typeface="Times New Roman"/>
                  </a:defRPr>
                </a:pPr>
                <a:r>
                  <a:rPr lang="es-CR"/>
                  <a:t>Número de casos</a:t>
                </a:r>
              </a:p>
            </c:rich>
          </c:tx>
          <c:layout>
            <c:manualLayout>
              <c:xMode val="edge"/>
              <c:yMode val="edge"/>
              <c:x val="0.56515580736544291"/>
              <c:y val="0.87786259541984735"/>
            </c:manualLayout>
          </c:layout>
          <c:overlay val="0"/>
          <c:spPr>
            <a:noFill/>
            <a:ln w="19003">
              <a:noFill/>
            </a:ln>
          </c:spPr>
        </c:title>
        <c:numFmt formatCode="#,##0" sourceLinked="1"/>
        <c:majorTickMark val="out"/>
        <c:minorTickMark val="none"/>
        <c:tickLblPos val="nextTo"/>
        <c:spPr>
          <a:ln w="2375">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es-CR"/>
          </a:p>
        </c:txPr>
        <c:crossAx val="367527688"/>
        <c:crosses val="autoZero"/>
        <c:crossBetween val="between"/>
        <c:majorUnit val="4500"/>
        <c:minorUnit val="4500"/>
      </c:valAx>
      <c:spPr>
        <a:solidFill>
          <a:srgbClr val="FFFFCC"/>
        </a:solidFill>
        <a:ln w="9502">
          <a:solidFill>
            <a:srgbClr val="808080"/>
          </a:solidFill>
          <a:prstDash val="solid"/>
        </a:ln>
      </c:spPr>
    </c:plotArea>
    <c:legend>
      <c:legendPos val="r"/>
      <c:layout>
        <c:manualLayout>
          <c:xMode val="edge"/>
          <c:yMode val="edge"/>
          <c:x val="0.66997167138811153"/>
          <c:y val="0.4236641221374064"/>
          <c:w val="0.16278602402044021"/>
          <c:h val="9.3511450381680655E-2"/>
        </c:manualLayout>
      </c:layout>
      <c:overlay val="0"/>
      <c:spPr>
        <a:solidFill>
          <a:srgbClr val="FFFFFF"/>
        </a:solidFill>
        <a:ln w="2375">
          <a:solidFill>
            <a:srgbClr val="000000"/>
          </a:solidFill>
          <a:prstDash val="solid"/>
        </a:ln>
        <a:effectLst>
          <a:outerShdw dist="35921" dir="2700000" algn="br">
            <a:srgbClr val="000000"/>
          </a:outerShdw>
        </a:effectLst>
      </c:spPr>
      <c:txPr>
        <a:bodyPr/>
        <a:lstStyle/>
        <a:p>
          <a:pPr>
            <a:defRPr sz="1400" b="0" i="0" u="none" strike="noStrike" baseline="0">
              <a:solidFill>
                <a:srgbClr val="000000"/>
              </a:solidFill>
              <a:latin typeface="Times New Roman"/>
              <a:ea typeface="Times New Roman"/>
              <a:cs typeface="Times New Roman"/>
            </a:defRPr>
          </a:pPr>
          <a:endParaRPr lang="es-CR"/>
        </a:p>
      </c:txPr>
    </c:legend>
    <c:plotVisOnly val="1"/>
    <c:dispBlanksAs val="gap"/>
    <c:showDLblsOverMax val="0"/>
  </c:chart>
  <c:spPr>
    <a:gradFill rotWithShape="0">
      <a:gsLst>
        <a:gs pos="0">
          <a:srgbClr val="99CCFF"/>
        </a:gs>
        <a:gs pos="50000">
          <a:srgbClr val="99CCFF">
            <a:gamma/>
            <a:tint val="31765"/>
            <a:invGamma/>
          </a:srgbClr>
        </a:gs>
        <a:gs pos="100000">
          <a:srgbClr val="99CCFF"/>
        </a:gs>
      </a:gsLst>
      <a:lin ang="5400000" scaled="1"/>
    </a:gradFill>
    <a:ln w="2375">
      <a:solidFill>
        <a:srgbClr val="000000"/>
      </a:solidFill>
      <a:prstDash val="solid"/>
    </a:ln>
  </c:spPr>
  <c:txPr>
    <a:bodyPr/>
    <a:lstStyle/>
    <a:p>
      <a:pPr>
        <a:defRPr sz="898"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29" b="1" i="0" u="none" strike="noStrike" kern="1200" baseline="0">
                <a:solidFill>
                  <a:srgbClr val="000000"/>
                </a:solidFill>
                <a:latin typeface="Times New Roman"/>
                <a:ea typeface="Times New Roman"/>
                <a:cs typeface="Times New Roman"/>
              </a:defRPr>
            </a:pPr>
            <a:r>
              <a:rPr lang="es-CR"/>
              <a:t>8.871 
Personas</a:t>
            </a:r>
          </a:p>
        </c:rich>
      </c:tx>
      <c:layout>
        <c:manualLayout>
          <c:xMode val="edge"/>
          <c:yMode val="edge"/>
          <c:x val="0.76018099547511364"/>
          <c:y val="0"/>
        </c:manualLayout>
      </c:layout>
      <c:overlay val="0"/>
      <c:spPr>
        <a:solidFill>
          <a:srgbClr val="FFFFFF"/>
        </a:solidFill>
        <a:ln w="9508">
          <a:solidFill>
            <a:srgbClr val="000000"/>
          </a:solidFill>
          <a:prstDash val="solid"/>
        </a:ln>
        <a:effectLst>
          <a:outerShdw dist="35921" dir="2700000" algn="br">
            <a:srgbClr val="000000"/>
          </a:outerShdw>
        </a:effectLst>
      </c:spPr>
    </c:title>
    <c:autoTitleDeleted val="0"/>
    <c:view3D>
      <c:rotX val="35"/>
      <c:rotY val="0"/>
      <c:rAngAx val="0"/>
      <c:perspective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009070009865767"/>
          <c:y val="0.21146504849743236"/>
          <c:w val="0.6560176653450237"/>
          <c:h val="0.59190689151293929"/>
        </c:manualLayout>
      </c:layout>
      <c:pie3DChart>
        <c:varyColors val="1"/>
        <c:ser>
          <c:idx val="0"/>
          <c:order val="0"/>
          <c:tx>
            <c:strRef>
              <c:f>Sheet1!$A$2</c:f>
              <c:strCache>
                <c:ptCount val="1"/>
              </c:strCache>
            </c:strRef>
          </c:tx>
          <c:explosion val="12"/>
          <c:dPt>
            <c:idx val="0"/>
            <c:bubble3D val="0"/>
            <c:spPr>
              <a:solidFill>
                <a:schemeClr val="accent1">
                  <a:shade val="45000"/>
                </a:schemeClr>
              </a:solidFill>
              <a:ln>
                <a:noFill/>
              </a:ln>
              <a:effectLst/>
              <a:sp3d/>
            </c:spPr>
            <c:extLst xmlns:c16r2="http://schemas.microsoft.com/office/drawing/2015/06/chart">
              <c:ext xmlns:c16="http://schemas.microsoft.com/office/drawing/2014/chart" uri="{C3380CC4-5D6E-409C-BE32-E72D297353CC}">
                <c16:uniqueId val="{00000000-C202-40FF-BBCD-EEB29364262A}"/>
              </c:ext>
            </c:extLst>
          </c:dPt>
          <c:dPt>
            <c:idx val="1"/>
            <c:bubble3D val="0"/>
            <c:spPr>
              <a:solidFill>
                <a:schemeClr val="accent1">
                  <a:shade val="61000"/>
                </a:schemeClr>
              </a:solidFill>
              <a:ln>
                <a:noFill/>
              </a:ln>
              <a:effectLst/>
              <a:sp3d/>
            </c:spPr>
            <c:extLst xmlns:c16r2="http://schemas.microsoft.com/office/drawing/2015/06/chart">
              <c:ext xmlns:c16="http://schemas.microsoft.com/office/drawing/2014/chart" uri="{C3380CC4-5D6E-409C-BE32-E72D297353CC}">
                <c16:uniqueId val="{00000001-C202-40FF-BBCD-EEB29364262A}"/>
              </c:ext>
            </c:extLst>
          </c:dPt>
          <c:dPt>
            <c:idx val="2"/>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02-C202-40FF-BBCD-EEB29364262A}"/>
              </c:ext>
            </c:extLst>
          </c:dPt>
          <c:dPt>
            <c:idx val="3"/>
            <c:bubble3D val="0"/>
            <c:spPr>
              <a:solidFill>
                <a:schemeClr val="accent1">
                  <a:shade val="92000"/>
                </a:schemeClr>
              </a:solidFill>
              <a:ln>
                <a:noFill/>
              </a:ln>
              <a:effectLst/>
              <a:sp3d/>
            </c:spPr>
            <c:extLst xmlns:c16r2="http://schemas.microsoft.com/office/drawing/2015/06/chart">
              <c:ext xmlns:c16="http://schemas.microsoft.com/office/drawing/2014/chart" uri="{C3380CC4-5D6E-409C-BE32-E72D297353CC}">
                <c16:uniqueId val="{00000003-C202-40FF-BBCD-EEB29364262A}"/>
              </c:ext>
            </c:extLst>
          </c:dPt>
          <c:dPt>
            <c:idx val="4"/>
            <c:bubble3D val="0"/>
            <c:spPr>
              <a:solidFill>
                <a:schemeClr val="accent1">
                  <a:tint val="93000"/>
                </a:schemeClr>
              </a:solidFill>
              <a:ln>
                <a:noFill/>
              </a:ln>
              <a:effectLst/>
              <a:sp3d/>
            </c:spPr>
            <c:extLst xmlns:c16r2="http://schemas.microsoft.com/office/drawing/2015/06/chart">
              <c:ext xmlns:c16="http://schemas.microsoft.com/office/drawing/2014/chart" uri="{C3380CC4-5D6E-409C-BE32-E72D297353CC}">
                <c16:uniqueId val="{00000004-C202-40FF-BBCD-EEB29364262A}"/>
              </c:ext>
            </c:extLst>
          </c:dPt>
          <c:dPt>
            <c:idx val="5"/>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05-C202-40FF-BBCD-EEB29364262A}"/>
              </c:ext>
            </c:extLst>
          </c:dPt>
          <c:dPt>
            <c:idx val="6"/>
            <c:bubble3D val="0"/>
            <c:spPr>
              <a:solidFill>
                <a:schemeClr val="accent1">
                  <a:tint val="62000"/>
                </a:schemeClr>
              </a:solidFill>
              <a:ln>
                <a:noFill/>
              </a:ln>
              <a:effectLst/>
              <a:sp3d/>
            </c:spPr>
            <c:extLst xmlns:c16r2="http://schemas.microsoft.com/office/drawing/2015/06/chart">
              <c:ext xmlns:c16="http://schemas.microsoft.com/office/drawing/2014/chart" uri="{C3380CC4-5D6E-409C-BE32-E72D297353CC}">
                <c16:uniqueId val="{00000006-C202-40FF-BBCD-EEB29364262A}"/>
              </c:ext>
            </c:extLst>
          </c:dPt>
          <c:dPt>
            <c:idx val="7"/>
            <c:bubble3D val="0"/>
            <c:spPr>
              <a:solidFill>
                <a:schemeClr val="accent1">
                  <a:tint val="46000"/>
                </a:schemeClr>
              </a:solidFill>
              <a:ln>
                <a:noFill/>
              </a:ln>
              <a:effectLst/>
              <a:sp3d/>
            </c:spPr>
            <c:extLst xmlns:c16r2="http://schemas.microsoft.com/office/drawing/2015/06/chart">
              <c:ext xmlns:c16="http://schemas.microsoft.com/office/drawing/2014/chart" uri="{C3380CC4-5D6E-409C-BE32-E72D297353CC}">
                <c16:uniqueId val="{00000007-C202-40FF-BBCD-EEB29364262A}"/>
              </c:ext>
            </c:extLst>
          </c:dPt>
          <c:dLbls>
            <c:dLbl>
              <c:idx val="0"/>
              <c:layout>
                <c:manualLayout>
                  <c:x val="-0.18696785242270308"/>
                  <c:y val="5.6357076402913757E-3"/>
                </c:manualLayout>
              </c:layout>
              <c:tx>
                <c:rich>
                  <a:bodyPr/>
                  <a:lstStyle/>
                  <a:p>
                    <a:r>
                      <a:rPr lang="en-US"/>
                      <a:t>Contra la Propiedad
</a:t>
                    </a:r>
                    <a:r>
                      <a:rPr lang="en-US" sz="1000" b="1"/>
                      <a:t>43%</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C202-40FF-BBCD-EEB29364262A}"/>
                </c:ext>
                <c:ext xmlns:c15="http://schemas.microsoft.com/office/drawing/2012/chart" uri="{CE6537A1-D6FC-4f65-9D91-7224C49458BB}"/>
              </c:extLst>
            </c:dLbl>
            <c:dLbl>
              <c:idx val="1"/>
              <c:layout>
                <c:manualLayout>
                  <c:x val="-6.840667522942631E-3"/>
                  <c:y val="-0.22439004158195849"/>
                </c:manualLayout>
              </c:layout>
              <c:tx>
                <c:rich>
                  <a:bodyPr/>
                  <a:lstStyle/>
                  <a:p>
                    <a:r>
                      <a:rPr lang="en-US"/>
                      <a:t>Inf. Ley</a:t>
                    </a:r>
                  </a:p>
                  <a:p>
                    <a:r>
                      <a:rPr lang="en-US"/>
                      <a:t>de Sicotrópicos
</a:t>
                    </a:r>
                    <a:r>
                      <a:rPr lang="en-US" sz="1000" b="1"/>
                      <a:t>13%</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202-40FF-BBCD-EEB29364262A}"/>
                </c:ext>
                <c:ext xmlns:c15="http://schemas.microsoft.com/office/drawing/2012/chart" uri="{CE6537A1-D6FC-4f65-9D91-7224C49458BB}"/>
              </c:extLst>
            </c:dLbl>
            <c:dLbl>
              <c:idx val="2"/>
              <c:layout>
                <c:manualLayout>
                  <c:x val="-1.6343701718136362E-3"/>
                  <c:y val="3.113178576020945E-2"/>
                </c:manualLayout>
              </c:layout>
              <c:tx>
                <c:rich>
                  <a:bodyPr/>
                  <a:lstStyle/>
                  <a:p>
                    <a:r>
                      <a:rPr lang="en-US"/>
                      <a:t>Contra la</a:t>
                    </a:r>
                  </a:p>
                  <a:p>
                    <a:r>
                      <a:rPr lang="en-US"/>
                      <a:t>Vida </a:t>
                    </a:r>
                    <a:r>
                      <a:rPr lang="en-US" sz="1000" b="1"/>
                      <a:t>10%</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C202-40FF-BBCD-EEB29364262A}"/>
                </c:ext>
                <c:ext xmlns:c15="http://schemas.microsoft.com/office/drawing/2012/chart" uri="{CE6537A1-D6FC-4f65-9D91-7224C49458BB}"/>
              </c:extLst>
            </c:dLbl>
            <c:dLbl>
              <c:idx val="3"/>
              <c:layout>
                <c:manualLayout>
                  <c:x val="0.10360589899666797"/>
                  <c:y val="-9.409636278690689E-2"/>
                </c:manualLayout>
              </c:layout>
              <c:tx>
                <c:rich>
                  <a:bodyPr/>
                  <a:lstStyle/>
                  <a:p>
                    <a:r>
                      <a:rPr lang="en-US"/>
                      <a:t>Sexuales
</a:t>
                    </a:r>
                    <a:r>
                      <a:rPr lang="en-US" sz="1000" b="1"/>
                      <a:t>7%</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202-40FF-BBCD-EEB29364262A}"/>
                </c:ext>
                <c:ext xmlns:c15="http://schemas.microsoft.com/office/drawing/2012/chart" uri="{CE6537A1-D6FC-4f65-9D91-7224C49458BB}"/>
              </c:extLst>
            </c:dLbl>
            <c:dLbl>
              <c:idx val="4"/>
              <c:layout>
                <c:manualLayout>
                  <c:x val="-3.0091816980324395E-2"/>
                  <c:y val="7.9867783097718179E-2"/>
                </c:manualLayout>
              </c:layout>
              <c:tx>
                <c:rich>
                  <a:bodyPr/>
                  <a:lstStyle/>
                  <a:p>
                    <a:r>
                      <a:rPr lang="en-US"/>
                      <a:t>Inf. Ley Penal.Viol. Contra Mujer
</a:t>
                    </a:r>
                    <a:r>
                      <a:rPr lang="en-US" sz="1000" b="1"/>
                      <a:t>6%</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C202-40FF-BBCD-EEB29364262A}"/>
                </c:ext>
                <c:ext xmlns:c15="http://schemas.microsoft.com/office/drawing/2012/chart" uri="{CE6537A1-D6FC-4f65-9D91-7224C49458BB}"/>
              </c:extLst>
            </c:dLbl>
            <c:dLbl>
              <c:idx val="5"/>
              <c:layout>
                <c:manualLayout>
                  <c:x val="-9.812857780112616E-2"/>
                  <c:y val="-5.3907803379732798E-2"/>
                </c:manualLayout>
              </c:layout>
              <c:tx>
                <c:rich>
                  <a:bodyPr/>
                  <a:lstStyle/>
                  <a:p>
                    <a:r>
                      <a:rPr lang="en-US"/>
                      <a:t>Contra la Seguridad Común
</a:t>
                    </a:r>
                    <a:r>
                      <a:rPr lang="en-US" sz="1000" b="1"/>
                      <a:t>6%</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202-40FF-BBCD-EEB29364262A}"/>
                </c:ext>
                <c:ext xmlns:c15="http://schemas.microsoft.com/office/drawing/2012/chart" uri="{CE6537A1-D6FC-4f65-9D91-7224C49458BB}"/>
              </c:extLst>
            </c:dLbl>
            <c:dLbl>
              <c:idx val="6"/>
              <c:layout>
                <c:manualLayout>
                  <c:x val="4.3486175135973595E-2"/>
                  <c:y val="-0.14657879439532906"/>
                </c:manualLayout>
              </c:layout>
              <c:tx>
                <c:rich>
                  <a:bodyPr/>
                  <a:lstStyle/>
                  <a:p>
                    <a:r>
                      <a:rPr lang="en-US"/>
                      <a:t>Contra la Autoridad Pública
</a:t>
                    </a:r>
                    <a:r>
                      <a:rPr lang="en-US" sz="1000" b="1"/>
                      <a:t>4%</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C202-40FF-BBCD-EEB29364262A}"/>
                </c:ext>
                <c:ext xmlns:c15="http://schemas.microsoft.com/office/drawing/2012/chart" uri="{CE6537A1-D6FC-4f65-9D91-7224C49458BB}"/>
              </c:extLst>
            </c:dLbl>
            <c:dLbl>
              <c:idx val="7"/>
              <c:layout>
                <c:manualLayout>
                  <c:x val="7.4499497403250292E-2"/>
                  <c:y val="9.4570786720824168E-2"/>
                </c:manualLayout>
              </c:layout>
              <c:tx>
                <c:rich>
                  <a:bodyPr/>
                  <a:lstStyle/>
                  <a:p>
                    <a:r>
                      <a:rPr lang="en-US"/>
                      <a:t>Otros
</a:t>
                    </a:r>
                    <a:r>
                      <a:rPr lang="en-US" sz="1000" b="1"/>
                      <a:t>11%</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202-40FF-BBCD-EEB29364262A}"/>
                </c:ext>
                <c:ext xmlns:c15="http://schemas.microsoft.com/office/drawing/2012/chart" uri="{CE6537A1-D6FC-4f65-9D91-7224C49458BB}"/>
              </c:extLst>
            </c:dLbl>
            <c:numFmt formatCode="0%" sourceLinked="0"/>
            <c:spPr>
              <a:noFill/>
              <a:ln w="19016">
                <a:noFill/>
              </a:ln>
              <a:effectLst/>
            </c:spPr>
            <c:txPr>
              <a:bodyPr rot="0" spcFirstLastPara="1" vertOverflow="ellipsis" vert="horz" wrap="square" anchor="ctr" anchorCtr="1"/>
              <a:lstStyle/>
              <a:p>
                <a:pPr>
                  <a:defRPr sz="800"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Sheet1!$B$1:$I$1</c:f>
              <c:strCache>
                <c:ptCount val="8"/>
                <c:pt idx="0">
                  <c:v>Contra la Propiedad</c:v>
                </c:pt>
                <c:pt idx="1">
                  <c:v>Inf. Ley de Sicotrópicos</c:v>
                </c:pt>
                <c:pt idx="2">
                  <c:v>Contra la Vida</c:v>
                </c:pt>
                <c:pt idx="3">
                  <c:v>Sexuales</c:v>
                </c:pt>
                <c:pt idx="4">
                  <c:v>Inf. Ley Penal.Viol. Contra Mujer</c:v>
                </c:pt>
                <c:pt idx="5">
                  <c:v>Contra la Seguridad Común</c:v>
                </c:pt>
                <c:pt idx="6">
                  <c:v>Contra la Autoridad Pública</c:v>
                </c:pt>
                <c:pt idx="7">
                  <c:v>Otros</c:v>
                </c:pt>
              </c:strCache>
            </c:strRef>
          </c:cat>
          <c:val>
            <c:numRef>
              <c:f>Sheet1!$B$2:$I$2</c:f>
              <c:numCache>
                <c:formatCode>General</c:formatCode>
                <c:ptCount val="8"/>
                <c:pt idx="0">
                  <c:v>3845</c:v>
                </c:pt>
                <c:pt idx="1">
                  <c:v>1133</c:v>
                </c:pt>
                <c:pt idx="2">
                  <c:v>904</c:v>
                </c:pt>
                <c:pt idx="3">
                  <c:v>647</c:v>
                </c:pt>
                <c:pt idx="4">
                  <c:v>517</c:v>
                </c:pt>
                <c:pt idx="5">
                  <c:v>476</c:v>
                </c:pt>
                <c:pt idx="6">
                  <c:v>361</c:v>
                </c:pt>
                <c:pt idx="7">
                  <c:v>988</c:v>
                </c:pt>
              </c:numCache>
            </c:numRef>
          </c:val>
          <c:extLst xmlns:c16r2="http://schemas.microsoft.com/office/drawing/2015/06/chart">
            <c:ext xmlns:c16="http://schemas.microsoft.com/office/drawing/2014/chart" uri="{C3380CC4-5D6E-409C-BE32-E72D297353CC}">
              <c16:uniqueId val="{00000008-C202-40FF-BBCD-EEB29364262A}"/>
            </c:ext>
          </c:extLst>
        </c:ser>
        <c:ser>
          <c:idx val="1"/>
          <c:order val="1"/>
          <c:tx>
            <c:strRef>
              <c:f>Sheet1!$A$3</c:f>
              <c:strCache>
                <c:ptCount val="1"/>
              </c:strCache>
            </c:strRef>
          </c:tx>
          <c:explosion val="12"/>
          <c:dPt>
            <c:idx val="0"/>
            <c:bubble3D val="0"/>
            <c:spPr>
              <a:solidFill>
                <a:schemeClr val="accent1">
                  <a:shade val="45000"/>
                </a:schemeClr>
              </a:solidFill>
              <a:ln>
                <a:noFill/>
              </a:ln>
              <a:effectLst/>
              <a:sp3d/>
            </c:spPr>
            <c:extLst xmlns:c16r2="http://schemas.microsoft.com/office/drawing/2015/06/chart">
              <c:ext xmlns:c16="http://schemas.microsoft.com/office/drawing/2014/chart" uri="{C3380CC4-5D6E-409C-BE32-E72D297353CC}">
                <c16:uniqueId val="{00000009-C202-40FF-BBCD-EEB29364262A}"/>
              </c:ext>
            </c:extLst>
          </c:dPt>
          <c:dPt>
            <c:idx val="1"/>
            <c:bubble3D val="0"/>
            <c:spPr>
              <a:solidFill>
                <a:schemeClr val="accent1">
                  <a:shade val="61000"/>
                </a:schemeClr>
              </a:solidFill>
              <a:ln>
                <a:noFill/>
              </a:ln>
              <a:effectLst/>
              <a:sp3d/>
            </c:spPr>
            <c:extLst xmlns:c16r2="http://schemas.microsoft.com/office/drawing/2015/06/chart">
              <c:ext xmlns:c16="http://schemas.microsoft.com/office/drawing/2014/chart" uri="{C3380CC4-5D6E-409C-BE32-E72D297353CC}">
                <c16:uniqueId val="{00000013-9CC3-4367-A0BC-702F0980C36B}"/>
              </c:ext>
            </c:extLst>
          </c:dPt>
          <c:dPt>
            <c:idx val="2"/>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0A-C202-40FF-BBCD-EEB29364262A}"/>
              </c:ext>
            </c:extLst>
          </c:dPt>
          <c:dPt>
            <c:idx val="3"/>
            <c:bubble3D val="0"/>
            <c:spPr>
              <a:solidFill>
                <a:schemeClr val="accent1">
                  <a:shade val="92000"/>
                </a:schemeClr>
              </a:solidFill>
              <a:ln>
                <a:noFill/>
              </a:ln>
              <a:effectLst/>
              <a:sp3d/>
            </c:spPr>
            <c:extLst xmlns:c16r2="http://schemas.microsoft.com/office/drawing/2015/06/chart">
              <c:ext xmlns:c16="http://schemas.microsoft.com/office/drawing/2014/chart" uri="{C3380CC4-5D6E-409C-BE32-E72D297353CC}">
                <c16:uniqueId val="{0000000B-C202-40FF-BBCD-EEB29364262A}"/>
              </c:ext>
            </c:extLst>
          </c:dPt>
          <c:dPt>
            <c:idx val="4"/>
            <c:bubble3D val="0"/>
            <c:spPr>
              <a:solidFill>
                <a:schemeClr val="accent1">
                  <a:tint val="93000"/>
                </a:schemeClr>
              </a:solidFill>
              <a:ln>
                <a:noFill/>
              </a:ln>
              <a:effectLst/>
              <a:sp3d/>
            </c:spPr>
            <c:extLst xmlns:c16r2="http://schemas.microsoft.com/office/drawing/2015/06/chart">
              <c:ext xmlns:c16="http://schemas.microsoft.com/office/drawing/2014/chart" uri="{C3380CC4-5D6E-409C-BE32-E72D297353CC}">
                <c16:uniqueId val="{0000000C-C202-40FF-BBCD-EEB29364262A}"/>
              </c:ext>
            </c:extLst>
          </c:dPt>
          <c:dPt>
            <c:idx val="5"/>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0D-C202-40FF-BBCD-EEB29364262A}"/>
              </c:ext>
            </c:extLst>
          </c:dPt>
          <c:dPt>
            <c:idx val="6"/>
            <c:bubble3D val="0"/>
            <c:spPr>
              <a:solidFill>
                <a:schemeClr val="accent1">
                  <a:tint val="62000"/>
                </a:schemeClr>
              </a:solidFill>
              <a:ln>
                <a:noFill/>
              </a:ln>
              <a:effectLst/>
              <a:sp3d/>
            </c:spPr>
            <c:extLst xmlns:c16r2="http://schemas.microsoft.com/office/drawing/2015/06/chart">
              <c:ext xmlns:c16="http://schemas.microsoft.com/office/drawing/2014/chart" uri="{C3380CC4-5D6E-409C-BE32-E72D297353CC}">
                <c16:uniqueId val="{0000000E-C202-40FF-BBCD-EEB29364262A}"/>
              </c:ext>
            </c:extLst>
          </c:dPt>
          <c:dPt>
            <c:idx val="7"/>
            <c:bubble3D val="0"/>
            <c:spPr>
              <a:solidFill>
                <a:schemeClr val="accent1">
                  <a:tint val="46000"/>
                </a:schemeClr>
              </a:solidFill>
              <a:ln>
                <a:noFill/>
              </a:ln>
              <a:effectLst/>
              <a:sp3d/>
            </c:spPr>
            <c:extLst xmlns:c16r2="http://schemas.microsoft.com/office/drawing/2015/06/chart">
              <c:ext xmlns:c16="http://schemas.microsoft.com/office/drawing/2014/chart" uri="{C3380CC4-5D6E-409C-BE32-E72D297353CC}">
                <c16:uniqueId val="{0000000F-C202-40FF-BBCD-EEB29364262A}"/>
              </c:ext>
            </c:extLst>
          </c:dPt>
          <c:dLbls>
            <c:numFmt formatCode="0%" sourceLinked="0"/>
            <c:spPr>
              <a:noFill/>
              <a:ln w="19016">
                <a:noFill/>
              </a:ln>
              <a:effectLst/>
            </c:spPr>
            <c:txPr>
              <a:bodyPr rot="0" spcFirstLastPara="1" vertOverflow="ellipsis" vert="horz" wrap="square" lIns="38100" tIns="19050" rIns="38100" bIns="19050" anchor="ctr" anchorCtr="1">
                <a:spAutoFit/>
              </a:bodyPr>
              <a:lstStyle/>
              <a:p>
                <a:pPr>
                  <a:defRPr sz="824"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Sheet1!$B$1:$I$1</c:f>
              <c:strCache>
                <c:ptCount val="8"/>
                <c:pt idx="0">
                  <c:v>Contra la Propiedad</c:v>
                </c:pt>
                <c:pt idx="1">
                  <c:v>Inf. Ley de Sicotrópicos</c:v>
                </c:pt>
                <c:pt idx="2">
                  <c:v>Contra la Vida</c:v>
                </c:pt>
                <c:pt idx="3">
                  <c:v>Sexuales</c:v>
                </c:pt>
                <c:pt idx="4">
                  <c:v>Inf. Ley Penal.Viol. Contra Mujer</c:v>
                </c:pt>
                <c:pt idx="5">
                  <c:v>Contra la Seguridad Común</c:v>
                </c:pt>
                <c:pt idx="6">
                  <c:v>Contra la Autoridad Pública</c:v>
                </c:pt>
                <c:pt idx="7">
                  <c:v>Otros</c:v>
                </c:pt>
              </c:strCache>
            </c:strRef>
          </c:cat>
          <c:val>
            <c:numRef>
              <c:f>Sheet1!$B$3:$I$3</c:f>
              <c:numCache>
                <c:formatCode>General</c:formatCode>
                <c:ptCount val="8"/>
              </c:numCache>
            </c:numRef>
          </c:val>
          <c:extLst xmlns:c16r2="http://schemas.microsoft.com/office/drawing/2015/06/chart">
            <c:ext xmlns:c16="http://schemas.microsoft.com/office/drawing/2014/chart" uri="{C3380CC4-5D6E-409C-BE32-E72D297353CC}">
              <c16:uniqueId val="{00000010-C202-40FF-BBCD-EEB29364262A}"/>
            </c:ext>
          </c:extLst>
        </c:ser>
        <c:ser>
          <c:idx val="2"/>
          <c:order val="2"/>
          <c:tx>
            <c:strRef>
              <c:f>Sheet1!$A$4</c:f>
              <c:strCache>
                <c:ptCount val="1"/>
              </c:strCache>
            </c:strRef>
          </c:tx>
          <c:explosion val="12"/>
          <c:dPt>
            <c:idx val="0"/>
            <c:bubble3D val="0"/>
            <c:spPr>
              <a:solidFill>
                <a:schemeClr val="accent1">
                  <a:shade val="45000"/>
                </a:schemeClr>
              </a:solidFill>
              <a:ln>
                <a:noFill/>
              </a:ln>
              <a:effectLst/>
              <a:sp3d/>
            </c:spPr>
            <c:extLst xmlns:c16r2="http://schemas.microsoft.com/office/drawing/2015/06/chart">
              <c:ext xmlns:c16="http://schemas.microsoft.com/office/drawing/2014/chart" uri="{C3380CC4-5D6E-409C-BE32-E72D297353CC}">
                <c16:uniqueId val="{00000011-C202-40FF-BBCD-EEB29364262A}"/>
              </c:ext>
            </c:extLst>
          </c:dPt>
          <c:dPt>
            <c:idx val="1"/>
            <c:bubble3D val="0"/>
            <c:spPr>
              <a:solidFill>
                <a:schemeClr val="accent1">
                  <a:shade val="61000"/>
                </a:schemeClr>
              </a:solidFill>
              <a:ln>
                <a:noFill/>
              </a:ln>
              <a:effectLst/>
              <a:sp3d/>
            </c:spPr>
            <c:extLst xmlns:c16r2="http://schemas.microsoft.com/office/drawing/2015/06/chart">
              <c:ext xmlns:c16="http://schemas.microsoft.com/office/drawing/2014/chart" uri="{C3380CC4-5D6E-409C-BE32-E72D297353CC}">
                <c16:uniqueId val="{00000012-C202-40FF-BBCD-EEB29364262A}"/>
              </c:ext>
            </c:extLst>
          </c:dPt>
          <c:dPt>
            <c:idx val="2"/>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25-9CC3-4367-A0BC-702F0980C36B}"/>
              </c:ext>
            </c:extLst>
          </c:dPt>
          <c:dPt>
            <c:idx val="3"/>
            <c:bubble3D val="0"/>
            <c:spPr>
              <a:solidFill>
                <a:schemeClr val="accent1">
                  <a:shade val="92000"/>
                </a:schemeClr>
              </a:solidFill>
              <a:ln>
                <a:noFill/>
              </a:ln>
              <a:effectLst/>
              <a:sp3d/>
            </c:spPr>
            <c:extLst xmlns:c16r2="http://schemas.microsoft.com/office/drawing/2015/06/chart">
              <c:ext xmlns:c16="http://schemas.microsoft.com/office/drawing/2014/chart" uri="{C3380CC4-5D6E-409C-BE32-E72D297353CC}">
                <c16:uniqueId val="{00000013-C202-40FF-BBCD-EEB29364262A}"/>
              </c:ext>
            </c:extLst>
          </c:dPt>
          <c:dPt>
            <c:idx val="4"/>
            <c:bubble3D val="0"/>
            <c:spPr>
              <a:solidFill>
                <a:schemeClr val="accent1">
                  <a:tint val="93000"/>
                </a:schemeClr>
              </a:solidFill>
              <a:ln>
                <a:noFill/>
              </a:ln>
              <a:effectLst/>
              <a:sp3d/>
            </c:spPr>
            <c:extLst xmlns:c16r2="http://schemas.microsoft.com/office/drawing/2015/06/chart">
              <c:ext xmlns:c16="http://schemas.microsoft.com/office/drawing/2014/chart" uri="{C3380CC4-5D6E-409C-BE32-E72D297353CC}">
                <c16:uniqueId val="{00000014-C202-40FF-BBCD-EEB29364262A}"/>
              </c:ext>
            </c:extLst>
          </c:dPt>
          <c:dPt>
            <c:idx val="5"/>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15-C202-40FF-BBCD-EEB29364262A}"/>
              </c:ext>
            </c:extLst>
          </c:dPt>
          <c:dPt>
            <c:idx val="6"/>
            <c:bubble3D val="0"/>
            <c:spPr>
              <a:solidFill>
                <a:schemeClr val="accent1">
                  <a:tint val="62000"/>
                </a:schemeClr>
              </a:solidFill>
              <a:ln>
                <a:noFill/>
              </a:ln>
              <a:effectLst/>
              <a:sp3d/>
            </c:spPr>
            <c:extLst xmlns:c16r2="http://schemas.microsoft.com/office/drawing/2015/06/chart">
              <c:ext xmlns:c16="http://schemas.microsoft.com/office/drawing/2014/chart" uri="{C3380CC4-5D6E-409C-BE32-E72D297353CC}">
                <c16:uniqueId val="{00000016-C202-40FF-BBCD-EEB29364262A}"/>
              </c:ext>
            </c:extLst>
          </c:dPt>
          <c:dPt>
            <c:idx val="7"/>
            <c:bubble3D val="0"/>
            <c:spPr>
              <a:solidFill>
                <a:schemeClr val="accent1">
                  <a:tint val="46000"/>
                </a:schemeClr>
              </a:solidFill>
              <a:ln>
                <a:noFill/>
              </a:ln>
              <a:effectLst/>
              <a:sp3d/>
            </c:spPr>
            <c:extLst xmlns:c16r2="http://schemas.microsoft.com/office/drawing/2015/06/chart">
              <c:ext xmlns:c16="http://schemas.microsoft.com/office/drawing/2014/chart" uri="{C3380CC4-5D6E-409C-BE32-E72D297353CC}">
                <c16:uniqueId val="{00000017-C202-40FF-BBCD-EEB29364262A}"/>
              </c:ext>
            </c:extLst>
          </c:dPt>
          <c:dLbls>
            <c:numFmt formatCode="0%" sourceLinked="0"/>
            <c:spPr>
              <a:noFill/>
              <a:ln w="19016">
                <a:noFill/>
              </a:ln>
              <a:effectLst/>
            </c:spPr>
            <c:txPr>
              <a:bodyPr rot="0" spcFirstLastPara="1" vertOverflow="ellipsis" vert="horz" wrap="square" lIns="38100" tIns="19050" rIns="38100" bIns="19050" anchor="ctr" anchorCtr="1">
                <a:spAutoFit/>
              </a:bodyPr>
              <a:lstStyle/>
              <a:p>
                <a:pPr>
                  <a:defRPr sz="824"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Sheet1!$B$1:$I$1</c:f>
              <c:strCache>
                <c:ptCount val="8"/>
                <c:pt idx="0">
                  <c:v>Contra la Propiedad</c:v>
                </c:pt>
                <c:pt idx="1">
                  <c:v>Inf. Ley de Sicotrópicos</c:v>
                </c:pt>
                <c:pt idx="2">
                  <c:v>Contra la Vida</c:v>
                </c:pt>
                <c:pt idx="3">
                  <c:v>Sexuales</c:v>
                </c:pt>
                <c:pt idx="4">
                  <c:v>Inf. Ley Penal.Viol. Contra Mujer</c:v>
                </c:pt>
                <c:pt idx="5">
                  <c:v>Contra la Seguridad Común</c:v>
                </c:pt>
                <c:pt idx="6">
                  <c:v>Contra la Autoridad Pública</c:v>
                </c:pt>
                <c:pt idx="7">
                  <c:v>Otros</c:v>
                </c:pt>
              </c:strCache>
            </c:strRef>
          </c:cat>
          <c:val>
            <c:numRef>
              <c:f>Sheet1!$B$4:$I$4</c:f>
              <c:numCache>
                <c:formatCode>General</c:formatCode>
                <c:ptCount val="8"/>
              </c:numCache>
            </c:numRef>
          </c:val>
          <c:extLst xmlns:c16r2="http://schemas.microsoft.com/office/drawing/2015/06/chart">
            <c:ext xmlns:c16="http://schemas.microsoft.com/office/drawing/2014/chart" uri="{C3380CC4-5D6E-409C-BE32-E72D297353CC}">
              <c16:uniqueId val="{00000018-C202-40FF-BBCD-EEB29364262A}"/>
            </c:ext>
          </c:extLst>
        </c:ser>
        <c:ser>
          <c:idx val="3"/>
          <c:order val="3"/>
          <c:tx>
            <c:strRef>
              <c:f>Sheet1!$A$5</c:f>
              <c:strCache>
                <c:ptCount val="1"/>
              </c:strCache>
            </c:strRef>
          </c:tx>
          <c:explosion val="12"/>
          <c:dPt>
            <c:idx val="0"/>
            <c:bubble3D val="0"/>
            <c:spPr>
              <a:solidFill>
                <a:schemeClr val="accent1">
                  <a:shade val="45000"/>
                </a:schemeClr>
              </a:solidFill>
              <a:ln>
                <a:noFill/>
              </a:ln>
              <a:effectLst/>
              <a:sp3d/>
            </c:spPr>
            <c:extLst xmlns:c16r2="http://schemas.microsoft.com/office/drawing/2015/06/chart">
              <c:ext xmlns:c16="http://schemas.microsoft.com/office/drawing/2014/chart" uri="{C3380CC4-5D6E-409C-BE32-E72D297353CC}">
                <c16:uniqueId val="{00000019-C202-40FF-BBCD-EEB29364262A}"/>
              </c:ext>
            </c:extLst>
          </c:dPt>
          <c:dPt>
            <c:idx val="1"/>
            <c:bubble3D val="0"/>
            <c:spPr>
              <a:solidFill>
                <a:schemeClr val="accent1">
                  <a:shade val="61000"/>
                </a:schemeClr>
              </a:solidFill>
              <a:ln>
                <a:noFill/>
              </a:ln>
              <a:effectLst/>
              <a:sp3d/>
            </c:spPr>
            <c:extLst xmlns:c16r2="http://schemas.microsoft.com/office/drawing/2015/06/chart">
              <c:ext xmlns:c16="http://schemas.microsoft.com/office/drawing/2014/chart" uri="{C3380CC4-5D6E-409C-BE32-E72D297353CC}">
                <c16:uniqueId val="{0000001A-C202-40FF-BBCD-EEB29364262A}"/>
              </c:ext>
            </c:extLst>
          </c:dPt>
          <c:dPt>
            <c:idx val="2"/>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1B-C202-40FF-BBCD-EEB29364262A}"/>
              </c:ext>
            </c:extLst>
          </c:dPt>
          <c:dPt>
            <c:idx val="3"/>
            <c:bubble3D val="0"/>
            <c:spPr>
              <a:solidFill>
                <a:schemeClr val="accent1">
                  <a:shade val="92000"/>
                </a:schemeClr>
              </a:solidFill>
              <a:ln>
                <a:noFill/>
              </a:ln>
              <a:effectLst/>
              <a:sp3d/>
            </c:spPr>
            <c:extLst xmlns:c16r2="http://schemas.microsoft.com/office/drawing/2015/06/chart">
              <c:ext xmlns:c16="http://schemas.microsoft.com/office/drawing/2014/chart" uri="{C3380CC4-5D6E-409C-BE32-E72D297353CC}">
                <c16:uniqueId val="{00000037-9CC3-4367-A0BC-702F0980C36B}"/>
              </c:ext>
            </c:extLst>
          </c:dPt>
          <c:dPt>
            <c:idx val="4"/>
            <c:bubble3D val="0"/>
            <c:spPr>
              <a:solidFill>
                <a:schemeClr val="accent1">
                  <a:tint val="93000"/>
                </a:schemeClr>
              </a:solidFill>
              <a:ln>
                <a:noFill/>
              </a:ln>
              <a:effectLst/>
              <a:sp3d/>
            </c:spPr>
            <c:extLst xmlns:c16r2="http://schemas.microsoft.com/office/drawing/2015/06/chart">
              <c:ext xmlns:c16="http://schemas.microsoft.com/office/drawing/2014/chart" uri="{C3380CC4-5D6E-409C-BE32-E72D297353CC}">
                <c16:uniqueId val="{0000001C-C202-40FF-BBCD-EEB29364262A}"/>
              </c:ext>
            </c:extLst>
          </c:dPt>
          <c:dPt>
            <c:idx val="5"/>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1D-C202-40FF-BBCD-EEB29364262A}"/>
              </c:ext>
            </c:extLst>
          </c:dPt>
          <c:dPt>
            <c:idx val="6"/>
            <c:bubble3D val="0"/>
            <c:spPr>
              <a:solidFill>
                <a:schemeClr val="accent1">
                  <a:tint val="62000"/>
                </a:schemeClr>
              </a:solidFill>
              <a:ln>
                <a:noFill/>
              </a:ln>
              <a:effectLst/>
              <a:sp3d/>
            </c:spPr>
            <c:extLst xmlns:c16r2="http://schemas.microsoft.com/office/drawing/2015/06/chart">
              <c:ext xmlns:c16="http://schemas.microsoft.com/office/drawing/2014/chart" uri="{C3380CC4-5D6E-409C-BE32-E72D297353CC}">
                <c16:uniqueId val="{0000001E-C202-40FF-BBCD-EEB29364262A}"/>
              </c:ext>
            </c:extLst>
          </c:dPt>
          <c:dPt>
            <c:idx val="7"/>
            <c:bubble3D val="0"/>
            <c:spPr>
              <a:solidFill>
                <a:schemeClr val="accent1">
                  <a:tint val="46000"/>
                </a:schemeClr>
              </a:solidFill>
              <a:ln>
                <a:noFill/>
              </a:ln>
              <a:effectLst/>
              <a:sp3d/>
            </c:spPr>
            <c:extLst xmlns:c16r2="http://schemas.microsoft.com/office/drawing/2015/06/chart">
              <c:ext xmlns:c16="http://schemas.microsoft.com/office/drawing/2014/chart" uri="{C3380CC4-5D6E-409C-BE32-E72D297353CC}">
                <c16:uniqueId val="{0000001F-C202-40FF-BBCD-EEB29364262A}"/>
              </c:ext>
            </c:extLst>
          </c:dPt>
          <c:dLbls>
            <c:numFmt formatCode="0%" sourceLinked="0"/>
            <c:spPr>
              <a:noFill/>
              <a:ln w="19016">
                <a:noFill/>
              </a:ln>
              <a:effectLst/>
            </c:spPr>
            <c:txPr>
              <a:bodyPr rot="0" spcFirstLastPara="1" vertOverflow="ellipsis" vert="horz" wrap="square" lIns="38100" tIns="19050" rIns="38100" bIns="19050" anchor="ctr" anchorCtr="1">
                <a:spAutoFit/>
              </a:bodyPr>
              <a:lstStyle/>
              <a:p>
                <a:pPr>
                  <a:defRPr sz="824"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Sheet1!$B$1:$I$1</c:f>
              <c:strCache>
                <c:ptCount val="8"/>
                <c:pt idx="0">
                  <c:v>Contra la Propiedad</c:v>
                </c:pt>
                <c:pt idx="1">
                  <c:v>Inf. Ley de Sicotrópicos</c:v>
                </c:pt>
                <c:pt idx="2">
                  <c:v>Contra la Vida</c:v>
                </c:pt>
                <c:pt idx="3">
                  <c:v>Sexuales</c:v>
                </c:pt>
                <c:pt idx="4">
                  <c:v>Inf. Ley Penal.Viol. Contra Mujer</c:v>
                </c:pt>
                <c:pt idx="5">
                  <c:v>Contra la Seguridad Común</c:v>
                </c:pt>
                <c:pt idx="6">
                  <c:v>Contra la Autoridad Pública</c:v>
                </c:pt>
                <c:pt idx="7">
                  <c:v>Otros</c:v>
                </c:pt>
              </c:strCache>
            </c:strRef>
          </c:cat>
          <c:val>
            <c:numRef>
              <c:f>Sheet1!$B$5:$I$5</c:f>
              <c:numCache>
                <c:formatCode>General</c:formatCode>
                <c:ptCount val="8"/>
              </c:numCache>
            </c:numRef>
          </c:val>
          <c:extLst xmlns:c16r2="http://schemas.microsoft.com/office/drawing/2015/06/chart">
            <c:ext xmlns:c16="http://schemas.microsoft.com/office/drawing/2014/chart" uri="{C3380CC4-5D6E-409C-BE32-E72D297353CC}">
              <c16:uniqueId val="{00000020-C202-40FF-BBCD-EEB29364262A}"/>
            </c:ext>
          </c:extLst>
        </c:ser>
        <c:ser>
          <c:idx val="4"/>
          <c:order val="4"/>
          <c:tx>
            <c:strRef>
              <c:f>Sheet1!$A$6</c:f>
              <c:strCache>
                <c:ptCount val="1"/>
              </c:strCache>
            </c:strRef>
          </c:tx>
          <c:explosion val="12"/>
          <c:dPt>
            <c:idx val="0"/>
            <c:bubble3D val="0"/>
            <c:spPr>
              <a:solidFill>
                <a:schemeClr val="accent1">
                  <a:shade val="45000"/>
                </a:schemeClr>
              </a:solidFill>
              <a:ln>
                <a:noFill/>
              </a:ln>
              <a:effectLst/>
              <a:sp3d/>
            </c:spPr>
            <c:extLst xmlns:c16r2="http://schemas.microsoft.com/office/drawing/2015/06/chart">
              <c:ext xmlns:c16="http://schemas.microsoft.com/office/drawing/2014/chart" uri="{C3380CC4-5D6E-409C-BE32-E72D297353CC}">
                <c16:uniqueId val="{00000021-C202-40FF-BBCD-EEB29364262A}"/>
              </c:ext>
            </c:extLst>
          </c:dPt>
          <c:dPt>
            <c:idx val="1"/>
            <c:bubble3D val="0"/>
            <c:spPr>
              <a:solidFill>
                <a:schemeClr val="accent1">
                  <a:shade val="61000"/>
                </a:schemeClr>
              </a:solidFill>
              <a:ln>
                <a:noFill/>
              </a:ln>
              <a:effectLst/>
              <a:sp3d/>
            </c:spPr>
            <c:extLst xmlns:c16r2="http://schemas.microsoft.com/office/drawing/2015/06/chart">
              <c:ext xmlns:c16="http://schemas.microsoft.com/office/drawing/2014/chart" uri="{C3380CC4-5D6E-409C-BE32-E72D297353CC}">
                <c16:uniqueId val="{00000022-C202-40FF-BBCD-EEB29364262A}"/>
              </c:ext>
            </c:extLst>
          </c:dPt>
          <c:dPt>
            <c:idx val="2"/>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23-C202-40FF-BBCD-EEB29364262A}"/>
              </c:ext>
            </c:extLst>
          </c:dPt>
          <c:dPt>
            <c:idx val="3"/>
            <c:bubble3D val="0"/>
            <c:spPr>
              <a:solidFill>
                <a:schemeClr val="accent1">
                  <a:shade val="92000"/>
                </a:schemeClr>
              </a:solidFill>
              <a:ln>
                <a:noFill/>
              </a:ln>
              <a:effectLst/>
              <a:sp3d/>
            </c:spPr>
            <c:extLst xmlns:c16r2="http://schemas.microsoft.com/office/drawing/2015/06/chart">
              <c:ext xmlns:c16="http://schemas.microsoft.com/office/drawing/2014/chart" uri="{C3380CC4-5D6E-409C-BE32-E72D297353CC}">
                <c16:uniqueId val="{00000024-C202-40FF-BBCD-EEB29364262A}"/>
              </c:ext>
            </c:extLst>
          </c:dPt>
          <c:dPt>
            <c:idx val="4"/>
            <c:bubble3D val="0"/>
            <c:spPr>
              <a:solidFill>
                <a:schemeClr val="accent1">
                  <a:tint val="93000"/>
                </a:schemeClr>
              </a:solidFill>
              <a:ln>
                <a:noFill/>
              </a:ln>
              <a:effectLst/>
              <a:sp3d/>
            </c:spPr>
            <c:extLst xmlns:c16r2="http://schemas.microsoft.com/office/drawing/2015/06/chart">
              <c:ext xmlns:c16="http://schemas.microsoft.com/office/drawing/2014/chart" uri="{C3380CC4-5D6E-409C-BE32-E72D297353CC}">
                <c16:uniqueId val="{00000049-9CC3-4367-A0BC-702F0980C36B}"/>
              </c:ext>
            </c:extLst>
          </c:dPt>
          <c:dPt>
            <c:idx val="5"/>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25-C202-40FF-BBCD-EEB29364262A}"/>
              </c:ext>
            </c:extLst>
          </c:dPt>
          <c:dPt>
            <c:idx val="6"/>
            <c:bubble3D val="0"/>
            <c:spPr>
              <a:solidFill>
                <a:schemeClr val="accent1">
                  <a:tint val="62000"/>
                </a:schemeClr>
              </a:solidFill>
              <a:ln>
                <a:noFill/>
              </a:ln>
              <a:effectLst/>
              <a:sp3d/>
            </c:spPr>
            <c:extLst xmlns:c16r2="http://schemas.microsoft.com/office/drawing/2015/06/chart">
              <c:ext xmlns:c16="http://schemas.microsoft.com/office/drawing/2014/chart" uri="{C3380CC4-5D6E-409C-BE32-E72D297353CC}">
                <c16:uniqueId val="{00000026-C202-40FF-BBCD-EEB29364262A}"/>
              </c:ext>
            </c:extLst>
          </c:dPt>
          <c:dPt>
            <c:idx val="7"/>
            <c:bubble3D val="0"/>
            <c:spPr>
              <a:solidFill>
                <a:schemeClr val="accent1">
                  <a:tint val="46000"/>
                </a:schemeClr>
              </a:solidFill>
              <a:ln>
                <a:noFill/>
              </a:ln>
              <a:effectLst/>
              <a:sp3d/>
            </c:spPr>
            <c:extLst xmlns:c16r2="http://schemas.microsoft.com/office/drawing/2015/06/chart">
              <c:ext xmlns:c16="http://schemas.microsoft.com/office/drawing/2014/chart" uri="{C3380CC4-5D6E-409C-BE32-E72D297353CC}">
                <c16:uniqueId val="{00000027-C202-40FF-BBCD-EEB29364262A}"/>
              </c:ext>
            </c:extLst>
          </c:dPt>
          <c:dLbls>
            <c:numFmt formatCode="0%" sourceLinked="0"/>
            <c:spPr>
              <a:noFill/>
              <a:ln w="19016">
                <a:noFill/>
              </a:ln>
              <a:effectLst/>
            </c:spPr>
            <c:txPr>
              <a:bodyPr rot="0" spcFirstLastPara="1" vertOverflow="ellipsis" vert="horz" wrap="square" lIns="38100" tIns="19050" rIns="38100" bIns="19050" anchor="ctr" anchorCtr="1">
                <a:spAutoFit/>
              </a:bodyPr>
              <a:lstStyle/>
              <a:p>
                <a:pPr>
                  <a:defRPr sz="824"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Sheet1!$B$1:$I$1</c:f>
              <c:strCache>
                <c:ptCount val="8"/>
                <c:pt idx="0">
                  <c:v>Contra la Propiedad</c:v>
                </c:pt>
                <c:pt idx="1">
                  <c:v>Inf. Ley de Sicotrópicos</c:v>
                </c:pt>
                <c:pt idx="2">
                  <c:v>Contra la Vida</c:v>
                </c:pt>
                <c:pt idx="3">
                  <c:v>Sexuales</c:v>
                </c:pt>
                <c:pt idx="4">
                  <c:v>Inf. Ley Penal.Viol. Contra Mujer</c:v>
                </c:pt>
                <c:pt idx="5">
                  <c:v>Contra la Seguridad Común</c:v>
                </c:pt>
                <c:pt idx="6">
                  <c:v>Contra la Autoridad Pública</c:v>
                </c:pt>
                <c:pt idx="7">
                  <c:v>Otros</c:v>
                </c:pt>
              </c:strCache>
            </c:strRef>
          </c:cat>
          <c:val>
            <c:numRef>
              <c:f>Sheet1!$B$6:$I$6</c:f>
              <c:numCache>
                <c:formatCode>General</c:formatCode>
                <c:ptCount val="8"/>
              </c:numCache>
            </c:numRef>
          </c:val>
          <c:extLst xmlns:c16r2="http://schemas.microsoft.com/office/drawing/2015/06/chart">
            <c:ext xmlns:c16="http://schemas.microsoft.com/office/drawing/2014/chart" uri="{C3380CC4-5D6E-409C-BE32-E72D297353CC}">
              <c16:uniqueId val="{00000028-C202-40FF-BBCD-EEB29364262A}"/>
            </c:ext>
          </c:extLst>
        </c:ser>
        <c:ser>
          <c:idx val="5"/>
          <c:order val="5"/>
          <c:tx>
            <c:strRef>
              <c:f>Sheet1!$A$7</c:f>
              <c:strCache>
                <c:ptCount val="1"/>
              </c:strCache>
            </c:strRef>
          </c:tx>
          <c:explosion val="12"/>
          <c:dPt>
            <c:idx val="0"/>
            <c:bubble3D val="0"/>
            <c:spPr>
              <a:solidFill>
                <a:schemeClr val="accent1">
                  <a:shade val="45000"/>
                </a:schemeClr>
              </a:solidFill>
              <a:ln>
                <a:noFill/>
              </a:ln>
              <a:effectLst/>
              <a:sp3d/>
            </c:spPr>
            <c:extLst xmlns:c16r2="http://schemas.microsoft.com/office/drawing/2015/06/chart">
              <c:ext xmlns:c16="http://schemas.microsoft.com/office/drawing/2014/chart" uri="{C3380CC4-5D6E-409C-BE32-E72D297353CC}">
                <c16:uniqueId val="{00000029-C202-40FF-BBCD-EEB29364262A}"/>
              </c:ext>
            </c:extLst>
          </c:dPt>
          <c:dPt>
            <c:idx val="1"/>
            <c:bubble3D val="0"/>
            <c:spPr>
              <a:solidFill>
                <a:schemeClr val="accent1">
                  <a:shade val="61000"/>
                </a:schemeClr>
              </a:solidFill>
              <a:ln>
                <a:noFill/>
              </a:ln>
              <a:effectLst/>
              <a:sp3d/>
            </c:spPr>
            <c:extLst xmlns:c16r2="http://schemas.microsoft.com/office/drawing/2015/06/chart">
              <c:ext xmlns:c16="http://schemas.microsoft.com/office/drawing/2014/chart" uri="{C3380CC4-5D6E-409C-BE32-E72D297353CC}">
                <c16:uniqueId val="{0000002A-C202-40FF-BBCD-EEB29364262A}"/>
              </c:ext>
            </c:extLst>
          </c:dPt>
          <c:dPt>
            <c:idx val="2"/>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2B-C202-40FF-BBCD-EEB29364262A}"/>
              </c:ext>
            </c:extLst>
          </c:dPt>
          <c:dPt>
            <c:idx val="3"/>
            <c:bubble3D val="0"/>
            <c:spPr>
              <a:solidFill>
                <a:schemeClr val="accent1">
                  <a:shade val="92000"/>
                </a:schemeClr>
              </a:solidFill>
              <a:ln>
                <a:noFill/>
              </a:ln>
              <a:effectLst/>
              <a:sp3d/>
            </c:spPr>
            <c:extLst xmlns:c16r2="http://schemas.microsoft.com/office/drawing/2015/06/chart">
              <c:ext xmlns:c16="http://schemas.microsoft.com/office/drawing/2014/chart" uri="{C3380CC4-5D6E-409C-BE32-E72D297353CC}">
                <c16:uniqueId val="{0000002C-C202-40FF-BBCD-EEB29364262A}"/>
              </c:ext>
            </c:extLst>
          </c:dPt>
          <c:dPt>
            <c:idx val="4"/>
            <c:bubble3D val="0"/>
            <c:spPr>
              <a:solidFill>
                <a:schemeClr val="accent1">
                  <a:tint val="93000"/>
                </a:schemeClr>
              </a:solidFill>
              <a:ln>
                <a:noFill/>
              </a:ln>
              <a:effectLst/>
              <a:sp3d/>
            </c:spPr>
            <c:extLst xmlns:c16r2="http://schemas.microsoft.com/office/drawing/2015/06/chart">
              <c:ext xmlns:c16="http://schemas.microsoft.com/office/drawing/2014/chart" uri="{C3380CC4-5D6E-409C-BE32-E72D297353CC}">
                <c16:uniqueId val="{0000002D-C202-40FF-BBCD-EEB29364262A}"/>
              </c:ext>
            </c:extLst>
          </c:dPt>
          <c:dPt>
            <c:idx val="5"/>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5B-9CC3-4367-A0BC-702F0980C36B}"/>
              </c:ext>
            </c:extLst>
          </c:dPt>
          <c:dPt>
            <c:idx val="6"/>
            <c:bubble3D val="0"/>
            <c:spPr>
              <a:solidFill>
                <a:schemeClr val="accent1">
                  <a:tint val="62000"/>
                </a:schemeClr>
              </a:solidFill>
              <a:ln>
                <a:noFill/>
              </a:ln>
              <a:effectLst/>
              <a:sp3d/>
            </c:spPr>
            <c:extLst xmlns:c16r2="http://schemas.microsoft.com/office/drawing/2015/06/chart">
              <c:ext xmlns:c16="http://schemas.microsoft.com/office/drawing/2014/chart" uri="{C3380CC4-5D6E-409C-BE32-E72D297353CC}">
                <c16:uniqueId val="{0000002E-C202-40FF-BBCD-EEB29364262A}"/>
              </c:ext>
            </c:extLst>
          </c:dPt>
          <c:dPt>
            <c:idx val="7"/>
            <c:bubble3D val="0"/>
            <c:spPr>
              <a:solidFill>
                <a:schemeClr val="accent1">
                  <a:tint val="46000"/>
                </a:schemeClr>
              </a:solidFill>
              <a:ln>
                <a:noFill/>
              </a:ln>
              <a:effectLst/>
              <a:sp3d/>
            </c:spPr>
            <c:extLst xmlns:c16r2="http://schemas.microsoft.com/office/drawing/2015/06/chart">
              <c:ext xmlns:c16="http://schemas.microsoft.com/office/drawing/2014/chart" uri="{C3380CC4-5D6E-409C-BE32-E72D297353CC}">
                <c16:uniqueId val="{0000002F-C202-40FF-BBCD-EEB29364262A}"/>
              </c:ext>
            </c:extLst>
          </c:dPt>
          <c:dLbls>
            <c:numFmt formatCode="0%" sourceLinked="0"/>
            <c:spPr>
              <a:noFill/>
              <a:ln w="19016">
                <a:noFill/>
              </a:ln>
              <a:effectLst/>
            </c:spPr>
            <c:txPr>
              <a:bodyPr rot="0" spcFirstLastPara="1" vertOverflow="ellipsis" vert="horz" wrap="square" lIns="38100" tIns="19050" rIns="38100" bIns="19050" anchor="ctr" anchorCtr="1">
                <a:spAutoFit/>
              </a:bodyPr>
              <a:lstStyle/>
              <a:p>
                <a:pPr>
                  <a:defRPr sz="824"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Sheet1!$B$1:$I$1</c:f>
              <c:strCache>
                <c:ptCount val="8"/>
                <c:pt idx="0">
                  <c:v>Contra la Propiedad</c:v>
                </c:pt>
                <c:pt idx="1">
                  <c:v>Inf. Ley de Sicotrópicos</c:v>
                </c:pt>
                <c:pt idx="2">
                  <c:v>Contra la Vida</c:v>
                </c:pt>
                <c:pt idx="3">
                  <c:v>Sexuales</c:v>
                </c:pt>
                <c:pt idx="4">
                  <c:v>Inf. Ley Penal.Viol. Contra Mujer</c:v>
                </c:pt>
                <c:pt idx="5">
                  <c:v>Contra la Seguridad Común</c:v>
                </c:pt>
                <c:pt idx="6">
                  <c:v>Contra la Autoridad Pública</c:v>
                </c:pt>
                <c:pt idx="7">
                  <c:v>Otros</c:v>
                </c:pt>
              </c:strCache>
            </c:strRef>
          </c:cat>
          <c:val>
            <c:numRef>
              <c:f>Sheet1!$B$7:$I$7</c:f>
              <c:numCache>
                <c:formatCode>General</c:formatCode>
                <c:ptCount val="8"/>
              </c:numCache>
            </c:numRef>
          </c:val>
          <c:extLst xmlns:c16r2="http://schemas.microsoft.com/office/drawing/2015/06/chart">
            <c:ext xmlns:c16="http://schemas.microsoft.com/office/drawing/2014/chart" uri="{C3380CC4-5D6E-409C-BE32-E72D297353CC}">
              <c16:uniqueId val="{00000030-C202-40FF-BBCD-EEB29364262A}"/>
            </c:ext>
          </c:extLst>
        </c:ser>
        <c:dLbls>
          <c:showLegendKey val="0"/>
          <c:showVal val="0"/>
          <c:showCatName val="1"/>
          <c:showSerName val="0"/>
          <c:showPercent val="1"/>
          <c:showBubbleSize val="0"/>
          <c:showLeaderLines val="1"/>
        </c:dLbls>
      </c:pie3DChart>
      <c:spPr>
        <a:noFill/>
        <a:ln w="19016">
          <a:noFill/>
        </a:ln>
        <a:effectLst/>
      </c:spPr>
    </c:plotArea>
    <c:plotVisOnly val="1"/>
    <c:dispBlanksAs val="zero"/>
    <c:showDLblsOverMax val="0"/>
  </c:chart>
  <c:spPr>
    <a:noFill/>
    <a:ln w="9525" cap="flat" cmpd="sng" algn="ctr">
      <a:noFill/>
      <a:prstDash val="solid"/>
      <a:round/>
    </a:ln>
    <a:effectLst/>
  </c:spPr>
  <c:txPr>
    <a:bodyPr/>
    <a:lstStyle/>
    <a:p>
      <a:pPr>
        <a:defRPr sz="824"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49" b="1" i="0" u="none" strike="noStrike" kern="1200" baseline="0">
                <a:solidFill>
                  <a:srgbClr val="000000"/>
                </a:solidFill>
                <a:latin typeface="Times New Roman"/>
                <a:ea typeface="Times New Roman"/>
                <a:cs typeface="Times New Roman"/>
              </a:defRPr>
            </a:pPr>
            <a:r>
              <a:rPr lang="es-CR"/>
              <a:t>8.219 
Hombres</a:t>
            </a:r>
          </a:p>
        </c:rich>
      </c:tx>
      <c:layout>
        <c:manualLayout>
          <c:xMode val="edge"/>
          <c:yMode val="edge"/>
          <c:x val="0.69565217391304368"/>
          <c:y val="0"/>
        </c:manualLayout>
      </c:layout>
      <c:overlay val="0"/>
      <c:spPr>
        <a:solidFill>
          <a:srgbClr val="FFFFFF"/>
        </a:solidFill>
        <a:ln w="9517">
          <a:solidFill>
            <a:srgbClr val="000000"/>
          </a:solidFill>
          <a:prstDash val="solid"/>
        </a:ln>
        <a:effectLst>
          <a:outerShdw dist="35921" dir="2700000" algn="br">
            <a:srgbClr val="000000"/>
          </a:outerShdw>
        </a:effectLst>
      </c:spPr>
    </c:title>
    <c:autoTitleDeleted val="0"/>
    <c:view3D>
      <c:rotX val="35"/>
      <c:rotY val="0"/>
      <c:rAngAx val="0"/>
      <c:perspective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101449275362285E-2"/>
          <c:y val="0.25290697674418638"/>
          <c:w val="0.94927536231884424"/>
          <c:h val="0.52325581395349385"/>
        </c:manualLayout>
      </c:layout>
      <c:pie3DChart>
        <c:varyColors val="1"/>
        <c:ser>
          <c:idx val="0"/>
          <c:order val="0"/>
          <c:explosion val="12"/>
          <c:dPt>
            <c:idx val="0"/>
            <c:bubble3D val="0"/>
            <c:spPr>
              <a:solidFill>
                <a:schemeClr val="accent3">
                  <a:shade val="45000"/>
                </a:schemeClr>
              </a:solidFill>
              <a:ln>
                <a:noFill/>
              </a:ln>
              <a:effectLst/>
              <a:sp3d/>
            </c:spPr>
            <c:extLst xmlns:c16r2="http://schemas.microsoft.com/office/drawing/2015/06/chart">
              <c:ext xmlns:c16="http://schemas.microsoft.com/office/drawing/2014/chart" uri="{C3380CC4-5D6E-409C-BE32-E72D297353CC}">
                <c16:uniqueId val="{00000000-BB0C-4BEA-A7DE-D358597F7C1D}"/>
              </c:ext>
            </c:extLst>
          </c:dPt>
          <c:dPt>
            <c:idx val="1"/>
            <c:bubble3D val="0"/>
            <c:spPr>
              <a:solidFill>
                <a:schemeClr val="accent3">
                  <a:shade val="61000"/>
                </a:schemeClr>
              </a:solidFill>
              <a:ln>
                <a:noFill/>
              </a:ln>
              <a:effectLst/>
              <a:sp3d/>
            </c:spPr>
            <c:extLst xmlns:c16r2="http://schemas.microsoft.com/office/drawing/2015/06/chart">
              <c:ext xmlns:c16="http://schemas.microsoft.com/office/drawing/2014/chart" uri="{C3380CC4-5D6E-409C-BE32-E72D297353CC}">
                <c16:uniqueId val="{00000001-BB0C-4BEA-A7DE-D358597F7C1D}"/>
              </c:ext>
            </c:extLst>
          </c:dPt>
          <c:dPt>
            <c:idx val="2"/>
            <c:bubble3D val="0"/>
            <c:spPr>
              <a:solidFill>
                <a:schemeClr val="accent3">
                  <a:shade val="76000"/>
                </a:schemeClr>
              </a:solidFill>
              <a:ln>
                <a:noFill/>
              </a:ln>
              <a:effectLst/>
              <a:sp3d/>
            </c:spPr>
            <c:extLst xmlns:c16r2="http://schemas.microsoft.com/office/drawing/2015/06/chart">
              <c:ext xmlns:c16="http://schemas.microsoft.com/office/drawing/2014/chart" uri="{C3380CC4-5D6E-409C-BE32-E72D297353CC}">
                <c16:uniqueId val="{00000002-BB0C-4BEA-A7DE-D358597F7C1D}"/>
              </c:ext>
            </c:extLst>
          </c:dPt>
          <c:dPt>
            <c:idx val="3"/>
            <c:bubble3D val="0"/>
            <c:spPr>
              <a:solidFill>
                <a:schemeClr val="accent3">
                  <a:shade val="92000"/>
                </a:schemeClr>
              </a:solidFill>
              <a:ln>
                <a:noFill/>
              </a:ln>
              <a:effectLst/>
              <a:sp3d/>
            </c:spPr>
            <c:extLst xmlns:c16r2="http://schemas.microsoft.com/office/drawing/2015/06/chart">
              <c:ext xmlns:c16="http://schemas.microsoft.com/office/drawing/2014/chart" uri="{C3380CC4-5D6E-409C-BE32-E72D297353CC}">
                <c16:uniqueId val="{00000003-BB0C-4BEA-A7DE-D358597F7C1D}"/>
              </c:ext>
            </c:extLst>
          </c:dPt>
          <c:dPt>
            <c:idx val="4"/>
            <c:bubble3D val="0"/>
            <c:spPr>
              <a:solidFill>
                <a:schemeClr val="accent3">
                  <a:tint val="93000"/>
                </a:schemeClr>
              </a:solidFill>
              <a:ln>
                <a:noFill/>
              </a:ln>
              <a:effectLst/>
              <a:sp3d/>
            </c:spPr>
            <c:extLst xmlns:c16r2="http://schemas.microsoft.com/office/drawing/2015/06/chart">
              <c:ext xmlns:c16="http://schemas.microsoft.com/office/drawing/2014/chart" uri="{C3380CC4-5D6E-409C-BE32-E72D297353CC}">
                <c16:uniqueId val="{00000004-BB0C-4BEA-A7DE-D358597F7C1D}"/>
              </c:ext>
            </c:extLst>
          </c:dPt>
          <c:dPt>
            <c:idx val="5"/>
            <c:bubble3D val="0"/>
            <c:spPr>
              <a:solidFill>
                <a:schemeClr val="accent3">
                  <a:tint val="77000"/>
                </a:schemeClr>
              </a:solidFill>
              <a:ln>
                <a:noFill/>
              </a:ln>
              <a:effectLst/>
              <a:sp3d/>
            </c:spPr>
            <c:extLst xmlns:c16r2="http://schemas.microsoft.com/office/drawing/2015/06/chart">
              <c:ext xmlns:c16="http://schemas.microsoft.com/office/drawing/2014/chart" uri="{C3380CC4-5D6E-409C-BE32-E72D297353CC}">
                <c16:uniqueId val="{00000005-BB0C-4BEA-A7DE-D358597F7C1D}"/>
              </c:ext>
            </c:extLst>
          </c:dPt>
          <c:dPt>
            <c:idx val="6"/>
            <c:bubble3D val="0"/>
            <c:spPr>
              <a:solidFill>
                <a:schemeClr val="accent3">
                  <a:tint val="62000"/>
                </a:schemeClr>
              </a:solidFill>
              <a:ln>
                <a:noFill/>
              </a:ln>
              <a:effectLst/>
              <a:sp3d/>
            </c:spPr>
            <c:extLst xmlns:c16r2="http://schemas.microsoft.com/office/drawing/2015/06/chart">
              <c:ext xmlns:c16="http://schemas.microsoft.com/office/drawing/2014/chart" uri="{C3380CC4-5D6E-409C-BE32-E72D297353CC}">
                <c16:uniqueId val="{00000006-BB0C-4BEA-A7DE-D358597F7C1D}"/>
              </c:ext>
            </c:extLst>
          </c:dPt>
          <c:dPt>
            <c:idx val="7"/>
            <c:bubble3D val="0"/>
            <c:spPr>
              <a:solidFill>
                <a:schemeClr val="accent3">
                  <a:tint val="46000"/>
                </a:schemeClr>
              </a:solidFill>
              <a:ln>
                <a:noFill/>
              </a:ln>
              <a:effectLst/>
              <a:sp3d/>
            </c:spPr>
            <c:extLst xmlns:c16r2="http://schemas.microsoft.com/office/drawing/2015/06/chart">
              <c:ext xmlns:c16="http://schemas.microsoft.com/office/drawing/2014/chart" uri="{C3380CC4-5D6E-409C-BE32-E72D297353CC}">
                <c16:uniqueId val="{00000007-BB0C-4BEA-A7DE-D358597F7C1D}"/>
              </c:ext>
            </c:extLst>
          </c:dPt>
          <c:dLbls>
            <c:dLbl>
              <c:idx val="0"/>
              <c:tx>
                <c:rich>
                  <a:bodyPr/>
                  <a:lstStyle/>
                  <a:p>
                    <a:r>
                      <a:rPr lang="en-US"/>
                      <a:t>Contra la Propiedad
</a:t>
                    </a:r>
                    <a:r>
                      <a:rPr lang="en-US" sz="1000" b="1"/>
                      <a:t>43%</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BB0C-4BEA-A7DE-D358597F7C1D}"/>
                </c:ext>
                <c:ext xmlns:c15="http://schemas.microsoft.com/office/drawing/2012/chart" uri="{CE6537A1-D6FC-4f65-9D91-7224C49458BB}"/>
              </c:extLst>
            </c:dLbl>
            <c:dLbl>
              <c:idx val="1"/>
              <c:layout>
                <c:manualLayout>
                  <c:x val="-1.723979556218562E-2"/>
                  <c:y val="-0.18225516315541518"/>
                </c:manualLayout>
              </c:layout>
              <c:tx>
                <c:rich>
                  <a:bodyPr rot="0" spcFirstLastPara="1" vertOverflow="ellipsis" vert="horz" wrap="square" anchor="ctr" anchorCtr="1"/>
                  <a:lstStyle/>
                  <a:p>
                    <a:pPr>
                      <a:defRPr sz="700" b="0" i="0" u="none" strike="noStrike" kern="1200" baseline="0">
                        <a:solidFill>
                          <a:srgbClr val="000000"/>
                        </a:solidFill>
                        <a:latin typeface="Times New Roman"/>
                        <a:ea typeface="Times New Roman"/>
                        <a:cs typeface="Times New Roman"/>
                      </a:defRPr>
                    </a:pPr>
                    <a:r>
                      <a:rPr lang="en-US" sz="700"/>
                      <a:t>Inf. Ley de Sicotrópicos
</a:t>
                    </a:r>
                    <a:r>
                      <a:rPr lang="en-US" sz="1000" b="1"/>
                      <a:t>12%</a:t>
                    </a:r>
                  </a:p>
                </c:rich>
              </c:tx>
              <c:spPr>
                <a:noFill/>
                <a:ln>
                  <a:noFill/>
                </a:ln>
                <a:effectLst/>
              </c:sp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B0C-4BEA-A7DE-D358597F7C1D}"/>
                </c:ext>
                <c:ext xmlns:c15="http://schemas.microsoft.com/office/drawing/2012/chart" uri="{CE6537A1-D6FC-4f65-9D91-7224C49458BB}"/>
              </c:extLst>
            </c:dLbl>
            <c:dLbl>
              <c:idx val="2"/>
              <c:layout>
                <c:manualLayout>
                  <c:x val="0.16256554025007255"/>
                  <c:y val="-0.14973728585018395"/>
                </c:manualLayout>
              </c:layout>
              <c:tx>
                <c:rich>
                  <a:bodyPr rot="0" spcFirstLastPara="1" vertOverflow="ellipsis" vert="horz" wrap="square" anchor="ctr" anchorCtr="1"/>
                  <a:lstStyle/>
                  <a:p>
                    <a:pPr>
                      <a:defRPr sz="700" b="0" i="0" u="none" strike="noStrike" kern="1200" baseline="0">
                        <a:solidFill>
                          <a:srgbClr val="000000"/>
                        </a:solidFill>
                        <a:latin typeface="Times New Roman"/>
                        <a:ea typeface="Times New Roman"/>
                        <a:cs typeface="Times New Roman"/>
                      </a:defRPr>
                    </a:pPr>
                    <a:r>
                      <a:rPr lang="en-US" sz="700"/>
                      <a:t>Contra la Vida
</a:t>
                    </a:r>
                    <a:r>
                      <a:rPr lang="en-US" sz="1000" b="1"/>
                      <a:t>10%</a:t>
                    </a:r>
                  </a:p>
                </c:rich>
              </c:tx>
              <c:spPr>
                <a:noFill/>
                <a:ln>
                  <a:noFill/>
                </a:ln>
                <a:effectLst/>
              </c:sp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BB0C-4BEA-A7DE-D358597F7C1D}"/>
                </c:ext>
                <c:ext xmlns:c15="http://schemas.microsoft.com/office/drawing/2012/chart" uri="{CE6537A1-D6FC-4f65-9D91-7224C49458BB}"/>
              </c:extLst>
            </c:dLbl>
            <c:dLbl>
              <c:idx val="3"/>
              <c:layout>
                <c:manualLayout>
                  <c:x val="8.2139248459551492E-2"/>
                  <c:y val="-8.7774382925506544E-2"/>
                </c:manualLayout>
              </c:layout>
              <c:tx>
                <c:rich>
                  <a:bodyPr/>
                  <a:lstStyle/>
                  <a:p>
                    <a:r>
                      <a:rPr lang="en-US"/>
                      <a:t>Sexuales
</a:t>
                    </a:r>
                    <a:r>
                      <a:rPr lang="en-US" sz="1000" b="1"/>
                      <a:t>8%</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B0C-4BEA-A7DE-D358597F7C1D}"/>
                </c:ext>
                <c:ext xmlns:c15="http://schemas.microsoft.com/office/drawing/2012/chart" uri="{CE6537A1-D6FC-4f65-9D91-7224C49458BB}"/>
              </c:extLst>
            </c:dLbl>
            <c:dLbl>
              <c:idx val="4"/>
              <c:tx>
                <c:rich>
                  <a:bodyPr/>
                  <a:lstStyle/>
                  <a:p>
                    <a:r>
                      <a:rPr lang="en-US"/>
                      <a:t>Inf. Ley Penal.Viol. Contra Mujer
</a:t>
                    </a:r>
                    <a:r>
                      <a:rPr lang="en-US" sz="1000" b="1"/>
                      <a:t>6%</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BB0C-4BEA-A7DE-D358597F7C1D}"/>
                </c:ext>
                <c:ext xmlns:c15="http://schemas.microsoft.com/office/drawing/2012/chart" uri="{CE6537A1-D6FC-4f65-9D91-7224C49458BB}"/>
              </c:extLst>
            </c:dLbl>
            <c:dLbl>
              <c:idx val="5"/>
              <c:layout>
                <c:manualLayout>
                  <c:x val="7.4895006999533597E-3"/>
                  <c:y val="-0.15533414928327791"/>
                </c:manualLayout>
              </c:layout>
              <c:tx>
                <c:rich>
                  <a:bodyPr/>
                  <a:lstStyle/>
                  <a:p>
                    <a:r>
                      <a:rPr lang="en-US"/>
                      <a:t>Contra la Seguridad Común
</a:t>
                    </a:r>
                    <a:r>
                      <a:rPr lang="en-US" sz="1000" b="1"/>
                      <a:t>6%</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B0C-4BEA-A7DE-D358597F7C1D}"/>
                </c:ext>
                <c:ext xmlns:c15="http://schemas.microsoft.com/office/drawing/2012/chart" uri="{CE6537A1-D6FC-4f65-9D91-7224C49458BB}"/>
              </c:extLst>
            </c:dLbl>
            <c:dLbl>
              <c:idx val="6"/>
              <c:layout>
                <c:manualLayout>
                  <c:x val="0.21605850948519478"/>
                  <c:y val="-0.15387492257859939"/>
                </c:manualLayout>
              </c:layout>
              <c:tx>
                <c:rich>
                  <a:bodyPr/>
                  <a:lstStyle/>
                  <a:p>
                    <a:r>
                      <a:rPr lang="en-US"/>
                      <a:t>Contra la Autoridad Pública
</a:t>
                    </a:r>
                    <a:r>
                      <a:rPr lang="en-US" sz="1000" b="1"/>
                      <a:t>4%</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BB0C-4BEA-A7DE-D358597F7C1D}"/>
                </c:ext>
                <c:ext xmlns:c15="http://schemas.microsoft.com/office/drawing/2012/chart" uri="{CE6537A1-D6FC-4f65-9D91-7224C49458BB}"/>
              </c:extLst>
            </c:dLbl>
            <c:dLbl>
              <c:idx val="7"/>
              <c:tx>
                <c:rich>
                  <a:bodyPr/>
                  <a:lstStyle/>
                  <a:p>
                    <a:r>
                      <a:rPr lang="en-US"/>
                      <a:t>Otros
</a:t>
                    </a:r>
                    <a:r>
                      <a:rPr lang="en-US" sz="1000" b="1"/>
                      <a:t>11%</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B0C-4BEA-A7DE-D358597F7C1D}"/>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Sheet1!$A$1:$H$1</c:f>
              <c:strCache>
                <c:ptCount val="8"/>
                <c:pt idx="0">
                  <c:v>Contra la Propiedad</c:v>
                </c:pt>
                <c:pt idx="1">
                  <c:v>Inf. Ley de Sicotrópicos</c:v>
                </c:pt>
                <c:pt idx="2">
                  <c:v>Contra la Vida</c:v>
                </c:pt>
                <c:pt idx="3">
                  <c:v>Sexuales</c:v>
                </c:pt>
                <c:pt idx="4">
                  <c:v>Inf. Ley Penal.Viol. Contra Mujer</c:v>
                </c:pt>
                <c:pt idx="5">
                  <c:v>Contra la Seguridad Común</c:v>
                </c:pt>
                <c:pt idx="6">
                  <c:v>Contra la Autoridad Pública</c:v>
                </c:pt>
                <c:pt idx="7">
                  <c:v>Otros</c:v>
                </c:pt>
              </c:strCache>
            </c:strRef>
          </c:cat>
          <c:val>
            <c:numRef>
              <c:f>Sheet1!$A$2:$H$2</c:f>
              <c:numCache>
                <c:formatCode>General</c:formatCode>
                <c:ptCount val="8"/>
                <c:pt idx="0">
                  <c:v>3567</c:v>
                </c:pt>
                <c:pt idx="1">
                  <c:v>1004</c:v>
                </c:pt>
                <c:pt idx="2">
                  <c:v>802</c:v>
                </c:pt>
                <c:pt idx="3">
                  <c:v>633</c:v>
                </c:pt>
                <c:pt idx="4">
                  <c:v>517</c:v>
                </c:pt>
                <c:pt idx="5">
                  <c:v>460</c:v>
                </c:pt>
                <c:pt idx="6">
                  <c:v>328</c:v>
                </c:pt>
                <c:pt idx="7">
                  <c:v>908</c:v>
                </c:pt>
              </c:numCache>
            </c:numRef>
          </c:val>
          <c:extLst xmlns:c16r2="http://schemas.microsoft.com/office/drawing/2015/06/chart">
            <c:ext xmlns:c16="http://schemas.microsoft.com/office/drawing/2014/chart" uri="{C3380CC4-5D6E-409C-BE32-E72D297353CC}">
              <c16:uniqueId val="{00000008-BB0C-4BEA-A7DE-D358597F7C1D}"/>
            </c:ext>
          </c:extLst>
        </c:ser>
        <c:dLbls>
          <c:showLegendKey val="0"/>
          <c:showVal val="0"/>
          <c:showCatName val="1"/>
          <c:showSerName val="0"/>
          <c:showPercent val="1"/>
          <c:showBubbleSize val="0"/>
          <c:showLeaderLines val="1"/>
        </c:dLbls>
      </c:pie3DChart>
      <c:spPr>
        <a:noFill/>
        <a:ln w="19033">
          <a:noFill/>
        </a:ln>
        <a:effectLst/>
      </c:spPr>
    </c:plotArea>
    <c:plotVisOnly val="1"/>
    <c:dispBlanksAs val="zero"/>
    <c:showDLblsOverMax val="0"/>
  </c:chart>
  <c:spPr>
    <a:noFill/>
    <a:ln w="9525" cap="flat" cmpd="sng" algn="ctr">
      <a:noFill/>
      <a:prstDash val="solid"/>
      <a:round/>
    </a:ln>
    <a:effectLst/>
  </c:spPr>
  <c:txPr>
    <a:bodyPr/>
    <a:lstStyle/>
    <a:p>
      <a:pPr>
        <a:defRPr sz="599" b="0" i="0" u="none" strike="noStrike" baseline="0">
          <a:solidFill>
            <a:srgbClr val="000000"/>
          </a:solidFill>
          <a:latin typeface="Times New Roman"/>
          <a:ea typeface="Times New Roman"/>
          <a:cs typeface="Times New Roman"/>
        </a:defRPr>
      </a:pPr>
      <a:endParaRPr lang="es-C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049" b="1" i="0" u="none" strike="noStrike" kern="1200" baseline="0">
                <a:solidFill>
                  <a:srgbClr val="000000"/>
                </a:solidFill>
                <a:latin typeface="Times New Roman"/>
                <a:ea typeface="Times New Roman"/>
                <a:cs typeface="Times New Roman"/>
              </a:defRPr>
            </a:pPr>
            <a:r>
              <a:rPr lang="es-CR"/>
              <a:t>652
Mujeres</a:t>
            </a:r>
          </a:p>
        </c:rich>
      </c:tx>
      <c:layout>
        <c:manualLayout>
          <c:xMode val="edge"/>
          <c:yMode val="edge"/>
          <c:x val="0.66304347826087739"/>
          <c:y val="0"/>
        </c:manualLayout>
      </c:layout>
      <c:overlay val="0"/>
      <c:spPr>
        <a:solidFill>
          <a:srgbClr val="FFFFFF"/>
        </a:solidFill>
        <a:ln w="9517">
          <a:solidFill>
            <a:srgbClr val="000000"/>
          </a:solidFill>
          <a:prstDash val="solid"/>
        </a:ln>
        <a:effectLst>
          <a:outerShdw dist="35921" dir="2700000" algn="br">
            <a:srgbClr val="000000"/>
          </a:outerShdw>
        </a:effectLst>
      </c:spPr>
    </c:title>
    <c:autoTitleDeleted val="0"/>
    <c:view3D>
      <c:rotX val="35"/>
      <c:rotY val="0"/>
      <c:rAngAx val="0"/>
      <c:perspective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231884057971092E-2"/>
          <c:y val="0.26453488372093031"/>
          <c:w val="0.95289855072463769"/>
          <c:h val="0.52906976744186052"/>
        </c:manualLayout>
      </c:layout>
      <c:pie3DChart>
        <c:varyColors val="1"/>
        <c:ser>
          <c:idx val="0"/>
          <c:order val="0"/>
          <c:tx>
            <c:strRef>
              <c:f>Sheet1!$A$2</c:f>
              <c:strCache>
                <c:ptCount val="1"/>
              </c:strCache>
            </c:strRef>
          </c:tx>
          <c:explosion val="12"/>
          <c:dPt>
            <c:idx val="0"/>
            <c:bubble3D val="0"/>
            <c:spPr>
              <a:solidFill>
                <a:schemeClr val="accent2">
                  <a:shade val="53000"/>
                </a:schemeClr>
              </a:solidFill>
              <a:ln>
                <a:noFill/>
              </a:ln>
              <a:effectLst/>
              <a:sp3d/>
            </c:spPr>
            <c:extLst xmlns:c16r2="http://schemas.microsoft.com/office/drawing/2015/06/chart">
              <c:ext xmlns:c16="http://schemas.microsoft.com/office/drawing/2014/chart" uri="{C3380CC4-5D6E-409C-BE32-E72D297353CC}">
                <c16:uniqueId val="{00000000-BEEF-4419-A821-6E001FB741C9}"/>
              </c:ext>
            </c:extLst>
          </c:dPt>
          <c:dPt>
            <c:idx val="1"/>
            <c:bubble3D val="0"/>
            <c:spPr>
              <a:solidFill>
                <a:schemeClr val="accent2">
                  <a:shade val="76000"/>
                </a:schemeClr>
              </a:solidFill>
              <a:ln>
                <a:noFill/>
              </a:ln>
              <a:effectLst/>
              <a:sp3d/>
            </c:spPr>
            <c:extLst xmlns:c16r2="http://schemas.microsoft.com/office/drawing/2015/06/chart">
              <c:ext xmlns:c16="http://schemas.microsoft.com/office/drawing/2014/chart" uri="{C3380CC4-5D6E-409C-BE32-E72D297353CC}">
                <c16:uniqueId val="{00000001-BEEF-4419-A821-6E001FB741C9}"/>
              </c:ext>
            </c:extLst>
          </c:dPt>
          <c:dPt>
            <c:idx val="2"/>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2-BEEF-4419-A821-6E001FB741C9}"/>
              </c:ext>
            </c:extLst>
          </c:dPt>
          <c:dPt>
            <c:idx val="3"/>
            <c:bubble3D val="0"/>
            <c:spPr>
              <a:solidFill>
                <a:schemeClr val="accent2">
                  <a:tint val="77000"/>
                </a:schemeClr>
              </a:solidFill>
              <a:ln>
                <a:noFill/>
              </a:ln>
              <a:effectLst/>
              <a:sp3d/>
            </c:spPr>
            <c:extLst xmlns:c16r2="http://schemas.microsoft.com/office/drawing/2015/06/chart">
              <c:ext xmlns:c16="http://schemas.microsoft.com/office/drawing/2014/chart" uri="{C3380CC4-5D6E-409C-BE32-E72D297353CC}">
                <c16:uniqueId val="{00000003-BEEF-4419-A821-6E001FB741C9}"/>
              </c:ext>
            </c:extLst>
          </c:dPt>
          <c:dPt>
            <c:idx val="4"/>
            <c:bubble3D val="0"/>
            <c:spPr>
              <a:solidFill>
                <a:schemeClr val="accent2">
                  <a:tint val="54000"/>
                </a:schemeClr>
              </a:solidFill>
              <a:ln>
                <a:noFill/>
              </a:ln>
              <a:effectLst/>
              <a:sp3d/>
            </c:spPr>
            <c:extLst xmlns:c16r2="http://schemas.microsoft.com/office/drawing/2015/06/chart">
              <c:ext xmlns:c16="http://schemas.microsoft.com/office/drawing/2014/chart" uri="{C3380CC4-5D6E-409C-BE32-E72D297353CC}">
                <c16:uniqueId val="{00000004-BEEF-4419-A821-6E001FB741C9}"/>
              </c:ext>
            </c:extLst>
          </c:dPt>
          <c:dLbls>
            <c:dLbl>
              <c:idx val="0"/>
              <c:layout>
                <c:manualLayout>
                  <c:x val="-0.15600875952101903"/>
                  <c:y val="8.7633616742581622E-3"/>
                </c:manualLayout>
              </c:layout>
              <c:tx>
                <c:rich>
                  <a:bodyPr/>
                  <a:lstStyle/>
                  <a:p>
                    <a:r>
                      <a:rPr lang="en-US"/>
                      <a:t>Contra la Propiedad
</a:t>
                    </a:r>
                    <a:r>
                      <a:rPr lang="en-US" sz="1000" b="1"/>
                      <a:t>42%</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BEEF-4419-A821-6E001FB741C9}"/>
                </c:ext>
                <c:ext xmlns:c15="http://schemas.microsoft.com/office/drawing/2012/chart" uri="{CE6537A1-D6FC-4f65-9D91-7224C49458BB}"/>
              </c:extLst>
            </c:dLbl>
            <c:dLbl>
              <c:idx val="1"/>
              <c:layout>
                <c:manualLayout>
                  <c:x val="0.12463541800625388"/>
                  <c:y val="-0.20463668989061726"/>
                </c:manualLayout>
              </c:layout>
              <c:tx>
                <c:rich>
                  <a:bodyPr rot="0" spcFirstLastPara="1" vertOverflow="ellipsis" vert="horz" wrap="square" anchor="ctr" anchorCtr="1"/>
                  <a:lstStyle/>
                  <a:p>
                    <a:pPr>
                      <a:defRPr sz="700" b="0" i="0" u="none" strike="noStrike" kern="1200" baseline="0">
                        <a:solidFill>
                          <a:srgbClr val="000000"/>
                        </a:solidFill>
                        <a:latin typeface="Times New Roman"/>
                        <a:ea typeface="Times New Roman"/>
                        <a:cs typeface="Times New Roman"/>
                      </a:defRPr>
                    </a:pPr>
                    <a:r>
                      <a:rPr lang="en-US" sz="700"/>
                      <a:t>Inf. Ley de Sicotrópicos
</a:t>
                    </a:r>
                    <a:r>
                      <a:rPr lang="en-US" sz="1000" b="1"/>
                      <a:t>20%</a:t>
                    </a:r>
                  </a:p>
                </c:rich>
              </c:tx>
              <c:numFmt formatCode="0%" sourceLinked="0"/>
              <c:spPr>
                <a:noFill/>
                <a:ln w="19033">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EEF-4419-A821-6E001FB741C9}"/>
                </c:ext>
                <c:ext xmlns:c15="http://schemas.microsoft.com/office/drawing/2012/chart" uri="{CE6537A1-D6FC-4f65-9D91-7224C49458BB}"/>
              </c:extLst>
            </c:dLbl>
            <c:dLbl>
              <c:idx val="2"/>
              <c:layout>
                <c:manualLayout>
                  <c:x val="8.8055599442977098E-2"/>
                  <c:y val="-0.100687531672391"/>
                </c:manualLayout>
              </c:layout>
              <c:tx>
                <c:rich>
                  <a:bodyPr/>
                  <a:lstStyle/>
                  <a:p>
                    <a:r>
                      <a:rPr lang="en-US"/>
                      <a:t>Contra la Vida
</a:t>
                    </a:r>
                    <a:r>
                      <a:rPr lang="en-US" sz="1000" b="1"/>
                      <a:t>16%</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BEEF-4419-A821-6E001FB741C9}"/>
                </c:ext>
                <c:ext xmlns:c15="http://schemas.microsoft.com/office/drawing/2012/chart" uri="{CE6537A1-D6FC-4f65-9D91-7224C49458BB}"/>
              </c:extLst>
            </c:dLbl>
            <c:dLbl>
              <c:idx val="3"/>
              <c:tx>
                <c:rich>
                  <a:bodyPr/>
                  <a:lstStyle/>
                  <a:p>
                    <a:r>
                      <a:rPr lang="en-US"/>
                      <a:t>Contra la Autoridad Pública
</a:t>
                    </a:r>
                    <a:r>
                      <a:rPr lang="en-US" sz="1000" b="1"/>
                      <a:t>5%</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EEF-4419-A821-6E001FB741C9}"/>
                </c:ext>
                <c:ext xmlns:c15="http://schemas.microsoft.com/office/drawing/2012/chart" uri="{CE6537A1-D6FC-4f65-9D91-7224C49458BB}"/>
              </c:extLst>
            </c:dLbl>
            <c:dLbl>
              <c:idx val="4"/>
              <c:layout>
                <c:manualLayout>
                  <c:x val="0.16875636112448184"/>
                  <c:y val="9.520387388535409E-2"/>
                </c:manualLayout>
              </c:layout>
              <c:tx>
                <c:rich>
                  <a:bodyPr/>
                  <a:lstStyle/>
                  <a:p>
                    <a:r>
                      <a:rPr lang="en-US"/>
                      <a:t>Otros
</a:t>
                    </a:r>
                    <a:r>
                      <a:rPr lang="en-US" sz="1000" b="1"/>
                      <a:t>17%</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BEEF-4419-A821-6E001FB741C9}"/>
                </c:ext>
                <c:ext xmlns:c15="http://schemas.microsoft.com/office/drawing/2012/chart" uri="{CE6537A1-D6FC-4f65-9D91-7224C49458BB}"/>
              </c:extLst>
            </c:dLbl>
            <c:numFmt formatCode="0%" sourceLinked="0"/>
            <c:spPr>
              <a:noFill/>
              <a:ln w="19033">
                <a:noFill/>
              </a:ln>
              <a:effectLst/>
            </c:spPr>
            <c:txPr>
              <a:bodyPr rot="0" spcFirstLastPara="1" vertOverflow="ellipsis" vert="horz" wrap="square" anchor="ctr" anchorCtr="1"/>
              <a:lstStyle/>
              <a:p>
                <a:pPr>
                  <a:defRPr sz="800"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Contra la Propiedad</c:v>
                </c:pt>
                <c:pt idx="1">
                  <c:v>Inf. Ley de Sicotrópicos</c:v>
                </c:pt>
                <c:pt idx="2">
                  <c:v>Contra la Vida</c:v>
                </c:pt>
                <c:pt idx="3">
                  <c:v>Contra la Autoridad Pública</c:v>
                </c:pt>
                <c:pt idx="4">
                  <c:v>Otros</c:v>
                </c:pt>
              </c:strCache>
            </c:strRef>
          </c:cat>
          <c:val>
            <c:numRef>
              <c:f>Sheet1!$B$2:$F$2</c:f>
              <c:numCache>
                <c:formatCode>General</c:formatCode>
                <c:ptCount val="5"/>
                <c:pt idx="0">
                  <c:v>278</c:v>
                </c:pt>
                <c:pt idx="1">
                  <c:v>129</c:v>
                </c:pt>
                <c:pt idx="2">
                  <c:v>102</c:v>
                </c:pt>
                <c:pt idx="3">
                  <c:v>33</c:v>
                </c:pt>
                <c:pt idx="4">
                  <c:v>110</c:v>
                </c:pt>
              </c:numCache>
            </c:numRef>
          </c:val>
          <c:extLst xmlns:c16r2="http://schemas.microsoft.com/office/drawing/2015/06/chart">
            <c:ext xmlns:c16="http://schemas.microsoft.com/office/drawing/2014/chart" uri="{C3380CC4-5D6E-409C-BE32-E72D297353CC}">
              <c16:uniqueId val="{00000005-BEEF-4419-A821-6E001FB741C9}"/>
            </c:ext>
          </c:extLst>
        </c:ser>
        <c:ser>
          <c:idx val="1"/>
          <c:order val="1"/>
          <c:tx>
            <c:strRef>
              <c:f>Sheet1!$A$3</c:f>
              <c:strCache>
                <c:ptCount val="1"/>
              </c:strCache>
            </c:strRef>
          </c:tx>
          <c:explosion val="12"/>
          <c:dPt>
            <c:idx val="0"/>
            <c:bubble3D val="0"/>
            <c:spPr>
              <a:solidFill>
                <a:schemeClr val="accent2">
                  <a:shade val="53000"/>
                </a:schemeClr>
              </a:solidFill>
              <a:ln>
                <a:noFill/>
              </a:ln>
              <a:effectLst/>
              <a:sp3d/>
            </c:spPr>
            <c:extLst xmlns:c16r2="http://schemas.microsoft.com/office/drawing/2015/06/chart">
              <c:ext xmlns:c16="http://schemas.microsoft.com/office/drawing/2014/chart" uri="{C3380CC4-5D6E-409C-BE32-E72D297353CC}">
                <c16:uniqueId val="{00000006-BEEF-4419-A821-6E001FB741C9}"/>
              </c:ext>
            </c:extLst>
          </c:dPt>
          <c:dPt>
            <c:idx val="1"/>
            <c:bubble3D val="0"/>
            <c:spPr>
              <a:solidFill>
                <a:schemeClr val="accent2">
                  <a:shade val="76000"/>
                </a:schemeClr>
              </a:solidFill>
              <a:ln>
                <a:noFill/>
              </a:ln>
              <a:effectLst/>
              <a:sp3d/>
            </c:spPr>
            <c:extLst xmlns:c16r2="http://schemas.microsoft.com/office/drawing/2015/06/chart">
              <c:ext xmlns:c16="http://schemas.microsoft.com/office/drawing/2014/chart" uri="{C3380CC4-5D6E-409C-BE32-E72D297353CC}">
                <c16:uniqueId val="{0000000D-C15D-4347-9AE2-06E96DDD34B0}"/>
              </c:ext>
            </c:extLst>
          </c:dPt>
          <c:dPt>
            <c:idx val="2"/>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7-BEEF-4419-A821-6E001FB741C9}"/>
              </c:ext>
            </c:extLst>
          </c:dPt>
          <c:dPt>
            <c:idx val="3"/>
            <c:bubble3D val="0"/>
            <c:spPr>
              <a:solidFill>
                <a:schemeClr val="accent2">
                  <a:tint val="77000"/>
                </a:schemeClr>
              </a:solidFill>
              <a:ln>
                <a:noFill/>
              </a:ln>
              <a:effectLst/>
              <a:sp3d/>
            </c:spPr>
            <c:extLst xmlns:c16r2="http://schemas.microsoft.com/office/drawing/2015/06/chart">
              <c:ext xmlns:c16="http://schemas.microsoft.com/office/drawing/2014/chart" uri="{C3380CC4-5D6E-409C-BE32-E72D297353CC}">
                <c16:uniqueId val="{00000008-BEEF-4419-A821-6E001FB741C9}"/>
              </c:ext>
            </c:extLst>
          </c:dPt>
          <c:dPt>
            <c:idx val="4"/>
            <c:bubble3D val="0"/>
            <c:spPr>
              <a:solidFill>
                <a:schemeClr val="accent2">
                  <a:tint val="54000"/>
                </a:schemeClr>
              </a:solidFill>
              <a:ln>
                <a:noFill/>
              </a:ln>
              <a:effectLst/>
              <a:sp3d/>
            </c:spPr>
            <c:extLst xmlns:c16r2="http://schemas.microsoft.com/office/drawing/2015/06/chart">
              <c:ext xmlns:c16="http://schemas.microsoft.com/office/drawing/2014/chart" uri="{C3380CC4-5D6E-409C-BE32-E72D297353CC}">
                <c16:uniqueId val="{00000009-BEEF-4419-A821-6E001FB741C9}"/>
              </c:ext>
            </c:extLst>
          </c:dPt>
          <c:dLbls>
            <c:numFmt formatCode="0%" sourceLinked="0"/>
            <c:spPr>
              <a:noFill/>
              <a:ln w="19033">
                <a:noFill/>
              </a:ln>
              <a:effectLst/>
            </c:spPr>
            <c:txPr>
              <a:bodyPr rot="0" spcFirstLastPara="1" vertOverflow="ellipsis" vert="horz" wrap="square" lIns="38100" tIns="19050" rIns="38100" bIns="19050" anchor="ctr" anchorCtr="1">
                <a:spAutoFit/>
              </a:bodyPr>
              <a:lstStyle/>
              <a:p>
                <a:pPr>
                  <a:defRPr sz="599"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Contra la Propiedad</c:v>
                </c:pt>
                <c:pt idx="1">
                  <c:v>Inf. Ley de Sicotrópicos</c:v>
                </c:pt>
                <c:pt idx="2">
                  <c:v>Contra la Vida</c:v>
                </c:pt>
                <c:pt idx="3">
                  <c:v>Contra la Autoridad Pública</c:v>
                </c:pt>
                <c:pt idx="4">
                  <c:v>Otros</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A-BEEF-4419-A821-6E001FB741C9}"/>
            </c:ext>
          </c:extLst>
        </c:ser>
        <c:ser>
          <c:idx val="2"/>
          <c:order val="2"/>
          <c:tx>
            <c:strRef>
              <c:f>Sheet1!$A$4</c:f>
              <c:strCache>
                <c:ptCount val="1"/>
              </c:strCache>
            </c:strRef>
          </c:tx>
          <c:explosion val="12"/>
          <c:dPt>
            <c:idx val="0"/>
            <c:bubble3D val="0"/>
            <c:spPr>
              <a:solidFill>
                <a:schemeClr val="accent2">
                  <a:shade val="53000"/>
                </a:schemeClr>
              </a:solidFill>
              <a:ln>
                <a:noFill/>
              </a:ln>
              <a:effectLst/>
              <a:sp3d/>
            </c:spPr>
            <c:extLst xmlns:c16r2="http://schemas.microsoft.com/office/drawing/2015/06/chart">
              <c:ext xmlns:c16="http://schemas.microsoft.com/office/drawing/2014/chart" uri="{C3380CC4-5D6E-409C-BE32-E72D297353CC}">
                <c16:uniqueId val="{0000000B-BEEF-4419-A821-6E001FB741C9}"/>
              </c:ext>
            </c:extLst>
          </c:dPt>
          <c:dPt>
            <c:idx val="1"/>
            <c:bubble3D val="0"/>
            <c:spPr>
              <a:solidFill>
                <a:schemeClr val="accent2">
                  <a:shade val="76000"/>
                </a:schemeClr>
              </a:solidFill>
              <a:ln>
                <a:noFill/>
              </a:ln>
              <a:effectLst/>
              <a:sp3d/>
            </c:spPr>
            <c:extLst xmlns:c16r2="http://schemas.microsoft.com/office/drawing/2015/06/chart">
              <c:ext xmlns:c16="http://schemas.microsoft.com/office/drawing/2014/chart" uri="{C3380CC4-5D6E-409C-BE32-E72D297353CC}">
                <c16:uniqueId val="{0000000C-BEEF-4419-A821-6E001FB741C9}"/>
              </c:ext>
            </c:extLst>
          </c:dPt>
          <c:dPt>
            <c:idx val="2"/>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19-C15D-4347-9AE2-06E96DDD34B0}"/>
              </c:ext>
            </c:extLst>
          </c:dPt>
          <c:dPt>
            <c:idx val="3"/>
            <c:bubble3D val="0"/>
            <c:spPr>
              <a:solidFill>
                <a:schemeClr val="accent2">
                  <a:tint val="77000"/>
                </a:schemeClr>
              </a:solidFill>
              <a:ln>
                <a:noFill/>
              </a:ln>
              <a:effectLst/>
              <a:sp3d/>
            </c:spPr>
            <c:extLst xmlns:c16r2="http://schemas.microsoft.com/office/drawing/2015/06/chart">
              <c:ext xmlns:c16="http://schemas.microsoft.com/office/drawing/2014/chart" uri="{C3380CC4-5D6E-409C-BE32-E72D297353CC}">
                <c16:uniqueId val="{0000000D-BEEF-4419-A821-6E001FB741C9}"/>
              </c:ext>
            </c:extLst>
          </c:dPt>
          <c:dPt>
            <c:idx val="4"/>
            <c:bubble3D val="0"/>
            <c:spPr>
              <a:solidFill>
                <a:schemeClr val="accent2">
                  <a:tint val="54000"/>
                </a:schemeClr>
              </a:solidFill>
              <a:ln>
                <a:noFill/>
              </a:ln>
              <a:effectLst/>
              <a:sp3d/>
            </c:spPr>
            <c:extLst xmlns:c16r2="http://schemas.microsoft.com/office/drawing/2015/06/chart">
              <c:ext xmlns:c16="http://schemas.microsoft.com/office/drawing/2014/chart" uri="{C3380CC4-5D6E-409C-BE32-E72D297353CC}">
                <c16:uniqueId val="{0000000E-BEEF-4419-A821-6E001FB741C9}"/>
              </c:ext>
            </c:extLst>
          </c:dPt>
          <c:dLbls>
            <c:numFmt formatCode="0%" sourceLinked="0"/>
            <c:spPr>
              <a:noFill/>
              <a:ln w="19033">
                <a:noFill/>
              </a:ln>
              <a:effectLst/>
            </c:spPr>
            <c:txPr>
              <a:bodyPr rot="0" spcFirstLastPara="1" vertOverflow="ellipsis" vert="horz" wrap="square" lIns="38100" tIns="19050" rIns="38100" bIns="19050" anchor="ctr" anchorCtr="1">
                <a:spAutoFit/>
              </a:bodyPr>
              <a:lstStyle/>
              <a:p>
                <a:pPr>
                  <a:defRPr sz="599"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Contra la Propiedad</c:v>
                </c:pt>
                <c:pt idx="1">
                  <c:v>Inf. Ley de Sicotrópicos</c:v>
                </c:pt>
                <c:pt idx="2">
                  <c:v>Contra la Vida</c:v>
                </c:pt>
                <c:pt idx="3">
                  <c:v>Contra la Autoridad Pública</c:v>
                </c:pt>
                <c:pt idx="4">
                  <c:v>Otros</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0F-BEEF-4419-A821-6E001FB741C9}"/>
            </c:ext>
          </c:extLst>
        </c:ser>
        <c:ser>
          <c:idx val="3"/>
          <c:order val="3"/>
          <c:tx>
            <c:strRef>
              <c:f>Sheet1!$A$5</c:f>
              <c:strCache>
                <c:ptCount val="1"/>
              </c:strCache>
            </c:strRef>
          </c:tx>
          <c:explosion val="12"/>
          <c:dPt>
            <c:idx val="0"/>
            <c:bubble3D val="0"/>
            <c:spPr>
              <a:solidFill>
                <a:schemeClr val="accent2">
                  <a:shade val="53000"/>
                </a:schemeClr>
              </a:solidFill>
              <a:ln>
                <a:noFill/>
              </a:ln>
              <a:effectLst/>
              <a:sp3d/>
            </c:spPr>
            <c:extLst xmlns:c16r2="http://schemas.microsoft.com/office/drawing/2015/06/chart">
              <c:ext xmlns:c16="http://schemas.microsoft.com/office/drawing/2014/chart" uri="{C3380CC4-5D6E-409C-BE32-E72D297353CC}">
                <c16:uniqueId val="{00000010-BEEF-4419-A821-6E001FB741C9}"/>
              </c:ext>
            </c:extLst>
          </c:dPt>
          <c:dPt>
            <c:idx val="1"/>
            <c:bubble3D val="0"/>
            <c:spPr>
              <a:solidFill>
                <a:schemeClr val="accent2">
                  <a:shade val="76000"/>
                </a:schemeClr>
              </a:solidFill>
              <a:ln>
                <a:noFill/>
              </a:ln>
              <a:effectLst/>
              <a:sp3d/>
            </c:spPr>
            <c:extLst xmlns:c16r2="http://schemas.microsoft.com/office/drawing/2015/06/chart">
              <c:ext xmlns:c16="http://schemas.microsoft.com/office/drawing/2014/chart" uri="{C3380CC4-5D6E-409C-BE32-E72D297353CC}">
                <c16:uniqueId val="{00000011-BEEF-4419-A821-6E001FB741C9}"/>
              </c:ext>
            </c:extLst>
          </c:dPt>
          <c:dPt>
            <c:idx val="2"/>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12-BEEF-4419-A821-6E001FB741C9}"/>
              </c:ext>
            </c:extLst>
          </c:dPt>
          <c:dPt>
            <c:idx val="3"/>
            <c:bubble3D val="0"/>
            <c:spPr>
              <a:solidFill>
                <a:schemeClr val="accent2">
                  <a:tint val="77000"/>
                </a:schemeClr>
              </a:solidFill>
              <a:ln>
                <a:noFill/>
              </a:ln>
              <a:effectLst/>
              <a:sp3d/>
            </c:spPr>
            <c:extLst xmlns:c16r2="http://schemas.microsoft.com/office/drawing/2015/06/chart">
              <c:ext xmlns:c16="http://schemas.microsoft.com/office/drawing/2014/chart" uri="{C3380CC4-5D6E-409C-BE32-E72D297353CC}">
                <c16:uniqueId val="{00000025-C15D-4347-9AE2-06E96DDD34B0}"/>
              </c:ext>
            </c:extLst>
          </c:dPt>
          <c:dPt>
            <c:idx val="4"/>
            <c:bubble3D val="0"/>
            <c:spPr>
              <a:solidFill>
                <a:schemeClr val="accent2">
                  <a:tint val="54000"/>
                </a:schemeClr>
              </a:solidFill>
              <a:ln>
                <a:noFill/>
              </a:ln>
              <a:effectLst/>
              <a:sp3d/>
            </c:spPr>
            <c:extLst xmlns:c16r2="http://schemas.microsoft.com/office/drawing/2015/06/chart">
              <c:ext xmlns:c16="http://schemas.microsoft.com/office/drawing/2014/chart" uri="{C3380CC4-5D6E-409C-BE32-E72D297353CC}">
                <c16:uniqueId val="{00000013-BEEF-4419-A821-6E001FB741C9}"/>
              </c:ext>
            </c:extLst>
          </c:dPt>
          <c:dLbls>
            <c:numFmt formatCode="0%" sourceLinked="0"/>
            <c:spPr>
              <a:noFill/>
              <a:ln w="19033">
                <a:noFill/>
              </a:ln>
              <a:effectLst/>
            </c:spPr>
            <c:txPr>
              <a:bodyPr rot="0" spcFirstLastPara="1" vertOverflow="ellipsis" vert="horz" wrap="square" lIns="38100" tIns="19050" rIns="38100" bIns="19050" anchor="ctr" anchorCtr="1">
                <a:spAutoFit/>
              </a:bodyPr>
              <a:lstStyle/>
              <a:p>
                <a:pPr>
                  <a:defRPr sz="599"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Contra la Propiedad</c:v>
                </c:pt>
                <c:pt idx="1">
                  <c:v>Inf. Ley de Sicotrópicos</c:v>
                </c:pt>
                <c:pt idx="2">
                  <c:v>Contra la Vida</c:v>
                </c:pt>
                <c:pt idx="3">
                  <c:v>Contra la Autoridad Pública</c:v>
                </c:pt>
                <c:pt idx="4">
                  <c:v>Otros</c:v>
                </c:pt>
              </c:strCache>
            </c:strRef>
          </c:cat>
          <c:val>
            <c:numRef>
              <c:f>Sheet1!$B$5:$F$5</c:f>
              <c:numCache>
                <c:formatCode>General</c:formatCode>
                <c:ptCount val="5"/>
                <c:pt idx="0">
                  <c:v>0</c:v>
                </c:pt>
                <c:pt idx="1">
                  <c:v>0</c:v>
                </c:pt>
                <c:pt idx="2">
                  <c:v>0</c:v>
                </c:pt>
              </c:numCache>
            </c:numRef>
          </c:val>
          <c:extLst xmlns:c16r2="http://schemas.microsoft.com/office/drawing/2015/06/chart">
            <c:ext xmlns:c16="http://schemas.microsoft.com/office/drawing/2014/chart" uri="{C3380CC4-5D6E-409C-BE32-E72D297353CC}">
              <c16:uniqueId val="{00000014-BEEF-4419-A821-6E001FB741C9}"/>
            </c:ext>
          </c:extLst>
        </c:ser>
        <c:ser>
          <c:idx val="4"/>
          <c:order val="4"/>
          <c:tx>
            <c:strRef>
              <c:f>Sheet1!$A$6</c:f>
              <c:strCache>
                <c:ptCount val="1"/>
              </c:strCache>
            </c:strRef>
          </c:tx>
          <c:explosion val="12"/>
          <c:dPt>
            <c:idx val="0"/>
            <c:bubble3D val="0"/>
            <c:spPr>
              <a:solidFill>
                <a:schemeClr val="accent2">
                  <a:shade val="53000"/>
                </a:schemeClr>
              </a:solidFill>
              <a:ln>
                <a:noFill/>
              </a:ln>
              <a:effectLst/>
              <a:sp3d/>
            </c:spPr>
            <c:extLst xmlns:c16r2="http://schemas.microsoft.com/office/drawing/2015/06/chart">
              <c:ext xmlns:c16="http://schemas.microsoft.com/office/drawing/2014/chart" uri="{C3380CC4-5D6E-409C-BE32-E72D297353CC}">
                <c16:uniqueId val="{00000015-BEEF-4419-A821-6E001FB741C9}"/>
              </c:ext>
            </c:extLst>
          </c:dPt>
          <c:dPt>
            <c:idx val="1"/>
            <c:bubble3D val="0"/>
            <c:spPr>
              <a:solidFill>
                <a:schemeClr val="accent2">
                  <a:shade val="76000"/>
                </a:schemeClr>
              </a:solidFill>
              <a:ln>
                <a:noFill/>
              </a:ln>
              <a:effectLst/>
              <a:sp3d/>
            </c:spPr>
            <c:extLst xmlns:c16r2="http://schemas.microsoft.com/office/drawing/2015/06/chart">
              <c:ext xmlns:c16="http://schemas.microsoft.com/office/drawing/2014/chart" uri="{C3380CC4-5D6E-409C-BE32-E72D297353CC}">
                <c16:uniqueId val="{00000016-BEEF-4419-A821-6E001FB741C9}"/>
              </c:ext>
            </c:extLst>
          </c:dPt>
          <c:dPt>
            <c:idx val="2"/>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17-BEEF-4419-A821-6E001FB741C9}"/>
              </c:ext>
            </c:extLst>
          </c:dPt>
          <c:dPt>
            <c:idx val="3"/>
            <c:bubble3D val="0"/>
            <c:spPr>
              <a:solidFill>
                <a:schemeClr val="accent2">
                  <a:tint val="77000"/>
                </a:schemeClr>
              </a:solidFill>
              <a:ln>
                <a:noFill/>
              </a:ln>
              <a:effectLst/>
              <a:sp3d/>
            </c:spPr>
            <c:extLst xmlns:c16r2="http://schemas.microsoft.com/office/drawing/2015/06/chart">
              <c:ext xmlns:c16="http://schemas.microsoft.com/office/drawing/2014/chart" uri="{C3380CC4-5D6E-409C-BE32-E72D297353CC}">
                <c16:uniqueId val="{00000018-BEEF-4419-A821-6E001FB741C9}"/>
              </c:ext>
            </c:extLst>
          </c:dPt>
          <c:dPt>
            <c:idx val="4"/>
            <c:bubble3D val="0"/>
            <c:spPr>
              <a:solidFill>
                <a:schemeClr val="accent2">
                  <a:tint val="54000"/>
                </a:schemeClr>
              </a:solidFill>
              <a:ln>
                <a:noFill/>
              </a:ln>
              <a:effectLst/>
              <a:sp3d/>
            </c:spPr>
            <c:extLst xmlns:c16r2="http://schemas.microsoft.com/office/drawing/2015/06/chart">
              <c:ext xmlns:c16="http://schemas.microsoft.com/office/drawing/2014/chart" uri="{C3380CC4-5D6E-409C-BE32-E72D297353CC}">
                <c16:uniqueId val="{00000031-C15D-4347-9AE2-06E96DDD34B0}"/>
              </c:ext>
            </c:extLst>
          </c:dPt>
          <c:dLbls>
            <c:numFmt formatCode="0%" sourceLinked="0"/>
            <c:spPr>
              <a:noFill/>
              <a:ln w="19033">
                <a:noFill/>
              </a:ln>
              <a:effectLst/>
            </c:spPr>
            <c:txPr>
              <a:bodyPr rot="0" spcFirstLastPara="1" vertOverflow="ellipsis" vert="horz" wrap="square" lIns="38100" tIns="19050" rIns="38100" bIns="19050" anchor="ctr" anchorCtr="1">
                <a:spAutoFit/>
              </a:bodyPr>
              <a:lstStyle/>
              <a:p>
                <a:pPr>
                  <a:defRPr sz="599"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Contra la Propiedad</c:v>
                </c:pt>
                <c:pt idx="1">
                  <c:v>Inf. Ley de Sicotrópicos</c:v>
                </c:pt>
                <c:pt idx="2">
                  <c:v>Contra la Vida</c:v>
                </c:pt>
                <c:pt idx="3">
                  <c:v>Contra la Autoridad Pública</c:v>
                </c:pt>
                <c:pt idx="4">
                  <c:v>Otros</c:v>
                </c:pt>
              </c:strCache>
            </c:strRef>
          </c:cat>
          <c:val>
            <c:numRef>
              <c:f>Sheet1!$B$6:$F$6</c:f>
              <c:numCache>
                <c:formatCode>General</c:formatCode>
                <c:ptCount val="5"/>
              </c:numCache>
            </c:numRef>
          </c:val>
          <c:extLst xmlns:c16r2="http://schemas.microsoft.com/office/drawing/2015/06/chart">
            <c:ext xmlns:c16="http://schemas.microsoft.com/office/drawing/2014/chart" uri="{C3380CC4-5D6E-409C-BE32-E72D297353CC}">
              <c16:uniqueId val="{00000019-BEEF-4419-A821-6E001FB741C9}"/>
            </c:ext>
          </c:extLst>
        </c:ser>
        <c:ser>
          <c:idx val="5"/>
          <c:order val="5"/>
          <c:tx>
            <c:strRef>
              <c:f>Sheet1!$A$7</c:f>
              <c:strCache>
                <c:ptCount val="1"/>
                <c:pt idx="0">
                  <c:v>Contra la Propiedad</c:v>
                </c:pt>
              </c:strCache>
            </c:strRef>
          </c:tx>
          <c:explosion val="12"/>
          <c:dPt>
            <c:idx val="0"/>
            <c:bubble3D val="0"/>
            <c:spPr>
              <a:solidFill>
                <a:schemeClr val="accent2">
                  <a:shade val="53000"/>
                </a:schemeClr>
              </a:solidFill>
              <a:ln>
                <a:noFill/>
              </a:ln>
              <a:effectLst/>
              <a:sp3d/>
            </c:spPr>
            <c:extLst xmlns:c16r2="http://schemas.microsoft.com/office/drawing/2015/06/chart">
              <c:ext xmlns:c16="http://schemas.microsoft.com/office/drawing/2014/chart" uri="{C3380CC4-5D6E-409C-BE32-E72D297353CC}">
                <c16:uniqueId val="{0000001A-BEEF-4419-A821-6E001FB741C9}"/>
              </c:ext>
            </c:extLst>
          </c:dPt>
          <c:dPt>
            <c:idx val="1"/>
            <c:bubble3D val="0"/>
            <c:spPr>
              <a:solidFill>
                <a:schemeClr val="accent2">
                  <a:shade val="76000"/>
                </a:schemeClr>
              </a:solidFill>
              <a:ln>
                <a:noFill/>
              </a:ln>
              <a:effectLst/>
              <a:sp3d/>
            </c:spPr>
            <c:extLst xmlns:c16r2="http://schemas.microsoft.com/office/drawing/2015/06/chart">
              <c:ext xmlns:c16="http://schemas.microsoft.com/office/drawing/2014/chart" uri="{C3380CC4-5D6E-409C-BE32-E72D297353CC}">
                <c16:uniqueId val="{0000001B-BEEF-4419-A821-6E001FB741C9}"/>
              </c:ext>
            </c:extLst>
          </c:dPt>
          <c:dPt>
            <c:idx val="2"/>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1C-BEEF-4419-A821-6E001FB741C9}"/>
              </c:ext>
            </c:extLst>
          </c:dPt>
          <c:dPt>
            <c:idx val="3"/>
            <c:bubble3D val="0"/>
            <c:spPr>
              <a:solidFill>
                <a:schemeClr val="accent2">
                  <a:tint val="77000"/>
                </a:schemeClr>
              </a:solidFill>
              <a:ln>
                <a:noFill/>
              </a:ln>
              <a:effectLst/>
              <a:sp3d/>
            </c:spPr>
            <c:extLst xmlns:c16r2="http://schemas.microsoft.com/office/drawing/2015/06/chart">
              <c:ext xmlns:c16="http://schemas.microsoft.com/office/drawing/2014/chart" uri="{C3380CC4-5D6E-409C-BE32-E72D297353CC}">
                <c16:uniqueId val="{0000001D-BEEF-4419-A821-6E001FB741C9}"/>
              </c:ext>
            </c:extLst>
          </c:dPt>
          <c:dPt>
            <c:idx val="4"/>
            <c:bubble3D val="0"/>
            <c:spPr>
              <a:solidFill>
                <a:schemeClr val="accent2">
                  <a:tint val="54000"/>
                </a:schemeClr>
              </a:solidFill>
              <a:ln>
                <a:noFill/>
              </a:ln>
              <a:effectLst/>
              <a:sp3d/>
            </c:spPr>
            <c:extLst xmlns:c16r2="http://schemas.microsoft.com/office/drawing/2015/06/chart">
              <c:ext xmlns:c16="http://schemas.microsoft.com/office/drawing/2014/chart" uri="{C3380CC4-5D6E-409C-BE32-E72D297353CC}">
                <c16:uniqueId val="{0000001E-BEEF-4419-A821-6E001FB741C9}"/>
              </c:ext>
            </c:extLst>
          </c:dPt>
          <c:dLbls>
            <c:numFmt formatCode="0%" sourceLinked="0"/>
            <c:spPr>
              <a:noFill/>
              <a:ln w="19033">
                <a:noFill/>
              </a:ln>
              <a:effectLst/>
            </c:spPr>
            <c:txPr>
              <a:bodyPr rot="0" spcFirstLastPara="1" vertOverflow="ellipsis" vert="horz" wrap="square" lIns="38100" tIns="19050" rIns="38100" bIns="19050" anchor="ctr" anchorCtr="1">
                <a:spAutoFit/>
              </a:bodyPr>
              <a:lstStyle/>
              <a:p>
                <a:pPr>
                  <a:defRPr sz="599" b="0" i="0" u="none" strike="noStrike" kern="1200"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Contra la Propiedad</c:v>
                </c:pt>
                <c:pt idx="1">
                  <c:v>Inf. Ley de Sicotrópicos</c:v>
                </c:pt>
                <c:pt idx="2">
                  <c:v>Contra la Vida</c:v>
                </c:pt>
                <c:pt idx="3">
                  <c:v>Contra la Autoridad Pública</c:v>
                </c:pt>
                <c:pt idx="4">
                  <c:v>Otros</c:v>
                </c:pt>
              </c:strCache>
            </c:strRef>
          </c:cat>
          <c:val>
            <c:numRef>
              <c:f>Sheet1!$B$7:$F$7</c:f>
              <c:numCache>
                <c:formatCode>General</c:formatCode>
                <c:ptCount val="5"/>
                <c:pt idx="0" formatCode="#,##0">
                  <c:v>3567</c:v>
                </c:pt>
                <c:pt idx="1">
                  <c:v>278</c:v>
                </c:pt>
                <c:pt idx="2">
                  <c:v>3845</c:v>
                </c:pt>
              </c:numCache>
            </c:numRef>
          </c:val>
          <c:extLst xmlns:c16r2="http://schemas.microsoft.com/office/drawing/2015/06/chart">
            <c:ext xmlns:c16="http://schemas.microsoft.com/office/drawing/2014/chart" uri="{C3380CC4-5D6E-409C-BE32-E72D297353CC}">
              <c16:uniqueId val="{0000001F-BEEF-4419-A821-6E001FB741C9}"/>
            </c:ext>
          </c:extLst>
        </c:ser>
        <c:dLbls>
          <c:showLegendKey val="0"/>
          <c:showVal val="0"/>
          <c:showCatName val="1"/>
          <c:showSerName val="0"/>
          <c:showPercent val="1"/>
          <c:showBubbleSize val="0"/>
          <c:showLeaderLines val="1"/>
        </c:dLbls>
      </c:pie3DChart>
      <c:spPr>
        <a:noFill/>
        <a:ln w="19033">
          <a:noFill/>
        </a:ln>
        <a:effectLst/>
      </c:spPr>
    </c:plotArea>
    <c:plotVisOnly val="1"/>
    <c:dispBlanksAs val="zero"/>
    <c:showDLblsOverMax val="0"/>
  </c:chart>
  <c:spPr>
    <a:noFill/>
    <a:ln w="9525" cap="flat" cmpd="sng" algn="ctr">
      <a:noFill/>
      <a:prstDash val="solid"/>
      <a:round/>
    </a:ln>
    <a:effectLst/>
  </c:spPr>
  <c:txPr>
    <a:bodyPr/>
    <a:lstStyle/>
    <a:p>
      <a:pPr>
        <a:defRPr sz="599" b="0" i="0" u="none" strike="noStrike" baseline="0">
          <a:solidFill>
            <a:srgbClr val="000000"/>
          </a:solidFill>
          <a:latin typeface="Times New Roman"/>
          <a:ea typeface="Times New Roman"/>
          <a:cs typeface="Times New Roman"/>
        </a:defRPr>
      </a:pPr>
      <a:endParaRPr lang="es-C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es-CR" sz="1200" b="0"/>
              <a:t>Gráfico N° 2 </a:t>
            </a:r>
            <a:r>
              <a:rPr lang="es-CR" sz="1200"/>
              <a:t>
Volumen anual de personas condenadas y </a:t>
            </a:r>
          </a:p>
          <a:p>
            <a:pPr>
              <a:defRPr sz="1200" b="1" i="0" u="none" strike="noStrike" baseline="0">
                <a:solidFill>
                  <a:srgbClr val="000000"/>
                </a:solidFill>
                <a:latin typeface="Times New Roman"/>
                <a:ea typeface="Times New Roman"/>
                <a:cs typeface="Times New Roman"/>
              </a:defRPr>
            </a:pPr>
            <a:r>
              <a:rPr lang="es-CR" sz="1200"/>
              <a:t>absueltas desde el 2008</a:t>
            </a:r>
          </a:p>
        </c:rich>
      </c:tx>
      <c:layout>
        <c:manualLayout>
          <c:xMode val="edge"/>
          <c:yMode val="edge"/>
          <c:x val="0.24045137722404369"/>
          <c:y val="3.0614475259223378E-2"/>
        </c:manualLayout>
      </c:layout>
      <c:overlay val="0"/>
      <c:spPr>
        <a:noFill/>
        <a:ln w="19008">
          <a:noFill/>
        </a:ln>
      </c:spPr>
    </c:title>
    <c:autoTitleDeleted val="0"/>
    <c:plotArea>
      <c:layout>
        <c:manualLayout>
          <c:layoutTarget val="inner"/>
          <c:xMode val="edge"/>
          <c:yMode val="edge"/>
          <c:x val="0.16212121212121211"/>
          <c:y val="0.20793950850661624"/>
          <c:w val="0.77727272727272723"/>
          <c:h val="0.61058601134215496"/>
        </c:manualLayout>
      </c:layout>
      <c:lineChart>
        <c:grouping val="standard"/>
        <c:varyColors val="0"/>
        <c:ser>
          <c:idx val="1"/>
          <c:order val="0"/>
          <c:tx>
            <c:strRef>
              <c:f>Sentenciados!$C$3</c:f>
              <c:strCache>
                <c:ptCount val="1"/>
                <c:pt idx="0">
                  <c:v>Condenatoria</c:v>
                </c:pt>
              </c:strCache>
            </c:strRef>
          </c:tx>
          <c:spPr>
            <a:ln w="9504">
              <a:solidFill>
                <a:srgbClr val="FF00FF"/>
              </a:solidFill>
              <a:prstDash val="solid"/>
            </a:ln>
          </c:spPr>
          <c:marker>
            <c:symbol val="x"/>
            <c:size val="3"/>
            <c:spPr>
              <a:solidFill>
                <a:srgbClr val="FFFFFF"/>
              </a:solidFill>
              <a:ln>
                <a:solidFill>
                  <a:srgbClr val="000000"/>
                </a:solidFill>
                <a:prstDash val="solid"/>
              </a:ln>
            </c:spPr>
          </c:marker>
          <c:dLbls>
            <c:spPr>
              <a:noFill/>
              <a:ln>
                <a:noFill/>
              </a:ln>
              <a:effectLst/>
            </c:spPr>
            <c:txPr>
              <a:bodyPr/>
              <a:lstStyle/>
              <a:p>
                <a:pPr>
                  <a:defRPr sz="1000"/>
                </a:pPr>
                <a:endParaRPr lang="es-C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Sentenciados!$A$10:$A$17</c:f>
              <c:numCache>
                <c:formatCode>#,##0</c:formatCode>
                <c:ptCount val="8"/>
                <c:pt idx="0">
                  <c:v>2008</c:v>
                </c:pt>
                <c:pt idx="1">
                  <c:v>2009</c:v>
                </c:pt>
                <c:pt idx="2">
                  <c:v>2010</c:v>
                </c:pt>
                <c:pt idx="3">
                  <c:v>2011</c:v>
                </c:pt>
                <c:pt idx="4">
                  <c:v>2012</c:v>
                </c:pt>
                <c:pt idx="5">
                  <c:v>2013</c:v>
                </c:pt>
                <c:pt idx="6">
                  <c:v>2014</c:v>
                </c:pt>
                <c:pt idx="7">
                  <c:v>2015</c:v>
                </c:pt>
              </c:numCache>
            </c:numRef>
          </c:cat>
          <c:val>
            <c:numRef>
              <c:f>Sentenciados!$C$10:$C$17</c:f>
              <c:numCache>
                <c:formatCode>#,##0</c:formatCode>
                <c:ptCount val="8"/>
                <c:pt idx="0">
                  <c:v>3856</c:v>
                </c:pt>
                <c:pt idx="1">
                  <c:v>4969</c:v>
                </c:pt>
                <c:pt idx="2">
                  <c:v>6039</c:v>
                </c:pt>
                <c:pt idx="3">
                  <c:v>7074</c:v>
                </c:pt>
                <c:pt idx="4">
                  <c:v>8085</c:v>
                </c:pt>
                <c:pt idx="5">
                  <c:v>8777</c:v>
                </c:pt>
                <c:pt idx="6">
                  <c:v>8828</c:v>
                </c:pt>
                <c:pt idx="7">
                  <c:v>8871</c:v>
                </c:pt>
              </c:numCache>
            </c:numRef>
          </c:val>
          <c:smooth val="1"/>
          <c:extLst xmlns:c16r2="http://schemas.microsoft.com/office/drawing/2015/06/chart">
            <c:ext xmlns:c16="http://schemas.microsoft.com/office/drawing/2014/chart" uri="{C3380CC4-5D6E-409C-BE32-E72D297353CC}">
              <c16:uniqueId val="{00000000-499D-4086-8473-2FF01C0A307D}"/>
            </c:ext>
          </c:extLst>
        </c:ser>
        <c:ser>
          <c:idx val="2"/>
          <c:order val="1"/>
          <c:tx>
            <c:strRef>
              <c:f>Sentenciados!$D$3</c:f>
              <c:strCache>
                <c:ptCount val="1"/>
                <c:pt idx="0">
                  <c:v>Absolutoria</c:v>
                </c:pt>
              </c:strCache>
            </c:strRef>
          </c:tx>
          <c:spPr>
            <a:ln w="9504">
              <a:solidFill>
                <a:srgbClr val="FF0000"/>
              </a:solidFill>
              <a:prstDash val="solid"/>
            </a:ln>
          </c:spPr>
          <c:marker>
            <c:symbol val="dot"/>
            <c:size val="3"/>
            <c:spPr>
              <a:solidFill>
                <a:srgbClr val="000000"/>
              </a:solidFill>
              <a:ln>
                <a:solidFill>
                  <a:srgbClr val="000000"/>
                </a:solidFill>
                <a:prstDash val="solid"/>
              </a:ln>
            </c:spPr>
          </c:marker>
          <c:dLbls>
            <c:spPr>
              <a:noFill/>
              <a:ln>
                <a:noFill/>
              </a:ln>
              <a:effectLst/>
            </c:spPr>
            <c:txPr>
              <a:bodyPr/>
              <a:lstStyle/>
              <a:p>
                <a:pPr>
                  <a:defRPr sz="1000"/>
                </a:pPr>
                <a:endParaRPr lang="es-C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Sentenciados!$A$10:$A$17</c:f>
              <c:numCache>
                <c:formatCode>#,##0</c:formatCode>
                <c:ptCount val="8"/>
                <c:pt idx="0">
                  <c:v>2008</c:v>
                </c:pt>
                <c:pt idx="1">
                  <c:v>2009</c:v>
                </c:pt>
                <c:pt idx="2">
                  <c:v>2010</c:v>
                </c:pt>
                <c:pt idx="3">
                  <c:v>2011</c:v>
                </c:pt>
                <c:pt idx="4">
                  <c:v>2012</c:v>
                </c:pt>
                <c:pt idx="5">
                  <c:v>2013</c:v>
                </c:pt>
                <c:pt idx="6">
                  <c:v>2014</c:v>
                </c:pt>
                <c:pt idx="7">
                  <c:v>2015</c:v>
                </c:pt>
              </c:numCache>
            </c:numRef>
          </c:cat>
          <c:val>
            <c:numRef>
              <c:f>Sentenciados!$D$10:$D$17</c:f>
              <c:numCache>
                <c:formatCode>#,##0</c:formatCode>
                <c:ptCount val="8"/>
                <c:pt idx="0">
                  <c:v>3806</c:v>
                </c:pt>
                <c:pt idx="1">
                  <c:v>3849</c:v>
                </c:pt>
                <c:pt idx="2">
                  <c:v>3856</c:v>
                </c:pt>
                <c:pt idx="3">
                  <c:v>3923</c:v>
                </c:pt>
                <c:pt idx="4">
                  <c:v>4250</c:v>
                </c:pt>
                <c:pt idx="5">
                  <c:v>4491</c:v>
                </c:pt>
                <c:pt idx="6">
                  <c:v>4532</c:v>
                </c:pt>
                <c:pt idx="7">
                  <c:v>4095</c:v>
                </c:pt>
              </c:numCache>
            </c:numRef>
          </c:val>
          <c:smooth val="1"/>
          <c:extLst xmlns:c16r2="http://schemas.microsoft.com/office/drawing/2015/06/chart">
            <c:ext xmlns:c16="http://schemas.microsoft.com/office/drawing/2014/chart" uri="{C3380CC4-5D6E-409C-BE32-E72D297353CC}">
              <c16:uniqueId val="{00000001-499D-4086-8473-2FF01C0A307D}"/>
            </c:ext>
          </c:extLst>
        </c:ser>
        <c:dLbls>
          <c:showLegendKey val="0"/>
          <c:showVal val="0"/>
          <c:showCatName val="0"/>
          <c:showSerName val="0"/>
          <c:showPercent val="0"/>
          <c:showBubbleSize val="0"/>
        </c:dLbls>
        <c:marker val="1"/>
        <c:smooth val="0"/>
        <c:axId val="272146304"/>
        <c:axId val="152511800"/>
      </c:lineChart>
      <c:catAx>
        <c:axId val="272146304"/>
        <c:scaling>
          <c:orientation val="minMax"/>
        </c:scaling>
        <c:delete val="0"/>
        <c:axPos val="b"/>
        <c:title>
          <c:tx>
            <c:rich>
              <a:bodyPr/>
              <a:lstStyle/>
              <a:p>
                <a:pPr>
                  <a:defRPr sz="1104" b="0" i="0" u="none" strike="noStrike" baseline="0">
                    <a:solidFill>
                      <a:srgbClr val="000000"/>
                    </a:solidFill>
                    <a:latin typeface="Times New Roman"/>
                    <a:ea typeface="Times New Roman"/>
                    <a:cs typeface="Times New Roman"/>
                  </a:defRPr>
                </a:pPr>
                <a:r>
                  <a:rPr lang="es-CR"/>
                  <a:t>Año</a:t>
                </a:r>
              </a:p>
            </c:rich>
          </c:tx>
          <c:layout>
            <c:manualLayout>
              <c:xMode val="edge"/>
              <c:yMode val="edge"/>
              <c:x val="0.53181818181818186"/>
              <c:y val="0.89035916824196115"/>
            </c:manualLayout>
          </c:layout>
          <c:overlay val="0"/>
          <c:spPr>
            <a:noFill/>
            <a:ln w="19008">
              <a:noFill/>
            </a:ln>
          </c:spPr>
        </c:title>
        <c:numFmt formatCode="#,##0" sourceLinked="1"/>
        <c:majorTickMark val="out"/>
        <c:minorTickMark val="none"/>
        <c:tickLblPos val="nextTo"/>
        <c:spPr>
          <a:ln w="2376">
            <a:solidFill>
              <a:srgbClr val="000000"/>
            </a:solidFill>
            <a:prstDash val="solid"/>
          </a:ln>
        </c:spPr>
        <c:txPr>
          <a:bodyPr rot="-2700000" vert="horz"/>
          <a:lstStyle/>
          <a:p>
            <a:pPr>
              <a:defRPr sz="748" b="0" i="0" u="none" strike="noStrike" baseline="0">
                <a:solidFill>
                  <a:srgbClr val="000000"/>
                </a:solidFill>
                <a:latin typeface="Times New Roman"/>
                <a:ea typeface="Times New Roman"/>
                <a:cs typeface="Times New Roman"/>
              </a:defRPr>
            </a:pPr>
            <a:endParaRPr lang="es-CR"/>
          </a:p>
        </c:txPr>
        <c:crossAx val="152511800"/>
        <c:crosses val="autoZero"/>
        <c:auto val="1"/>
        <c:lblAlgn val="ctr"/>
        <c:lblOffset val="0"/>
        <c:tickLblSkip val="1"/>
        <c:tickMarkSkip val="1"/>
        <c:noMultiLvlLbl val="0"/>
      </c:catAx>
      <c:valAx>
        <c:axId val="152511800"/>
        <c:scaling>
          <c:orientation val="minMax"/>
          <c:max val="10000"/>
          <c:min val="0"/>
        </c:scaling>
        <c:delete val="0"/>
        <c:axPos val="l"/>
        <c:title>
          <c:tx>
            <c:rich>
              <a:bodyPr/>
              <a:lstStyle/>
              <a:p>
                <a:pPr>
                  <a:defRPr sz="1104" b="0" i="0" u="none" strike="noStrike" baseline="0">
                    <a:solidFill>
                      <a:srgbClr val="000000"/>
                    </a:solidFill>
                    <a:latin typeface="Times New Roman"/>
                    <a:ea typeface="Times New Roman"/>
                    <a:cs typeface="Times New Roman"/>
                  </a:defRPr>
                </a:pPr>
                <a:r>
                  <a:rPr lang="es-CR"/>
                  <a:t>Personas</a:t>
                </a:r>
              </a:p>
            </c:rich>
          </c:tx>
          <c:layout>
            <c:manualLayout>
              <c:xMode val="edge"/>
              <c:yMode val="edge"/>
              <c:x val="0"/>
              <c:y val="0.44045368620037806"/>
            </c:manualLayout>
          </c:layout>
          <c:overlay val="0"/>
          <c:spPr>
            <a:noFill/>
            <a:ln w="19008">
              <a:noFill/>
            </a:ln>
          </c:spPr>
        </c:title>
        <c:numFmt formatCode="#,##0" sourceLinked="1"/>
        <c:majorTickMark val="out"/>
        <c:minorTickMark val="none"/>
        <c:tickLblPos val="nextTo"/>
        <c:spPr>
          <a:ln w="2376">
            <a:solidFill>
              <a:srgbClr val="000000"/>
            </a:solidFill>
            <a:prstDash val="solid"/>
          </a:ln>
        </c:spPr>
        <c:txPr>
          <a:bodyPr rot="0" vert="horz"/>
          <a:lstStyle/>
          <a:p>
            <a:pPr>
              <a:defRPr sz="1104" b="0" i="0" u="none" strike="noStrike" baseline="0">
                <a:solidFill>
                  <a:srgbClr val="000000"/>
                </a:solidFill>
                <a:latin typeface="Times New Roman"/>
                <a:ea typeface="Times New Roman"/>
                <a:cs typeface="Times New Roman"/>
              </a:defRPr>
            </a:pPr>
            <a:endParaRPr lang="es-CR"/>
          </a:p>
        </c:txPr>
        <c:crossAx val="272146304"/>
        <c:crosses val="autoZero"/>
        <c:crossBetween val="between"/>
        <c:majorUnit val="2500"/>
      </c:valAx>
      <c:spPr>
        <a:solidFill>
          <a:srgbClr val="FFFFFF"/>
        </a:solidFill>
        <a:ln w="9504">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2376">
      <a:solidFill>
        <a:srgbClr val="000000"/>
      </a:solidFill>
      <a:prstDash val="solid"/>
    </a:ln>
  </c:spPr>
  <c:txPr>
    <a:bodyPr/>
    <a:lstStyle/>
    <a:p>
      <a:pPr>
        <a:defRPr sz="1085"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i="0" u="none" strike="noStrike" baseline="0">
                <a:solidFill>
                  <a:srgbClr val="000000"/>
                </a:solidFill>
                <a:latin typeface="Times New Roman"/>
                <a:ea typeface="Times New Roman"/>
                <a:cs typeface="Times New Roman"/>
              </a:defRPr>
            </a:pPr>
            <a:r>
              <a:rPr lang="es-CR" sz="1200" b="1" i="0" strike="noStrike">
                <a:solidFill>
                  <a:srgbClr val="000000"/>
                </a:solidFill>
                <a:latin typeface="Arial"/>
                <a:cs typeface="Arial"/>
              </a:rPr>
              <a:t>2008</a:t>
            </a:r>
          </a:p>
          <a:p>
            <a:pPr>
              <a:defRPr sz="1398" b="1" i="0" u="none" strike="noStrike" baseline="0">
                <a:solidFill>
                  <a:srgbClr val="000000"/>
                </a:solidFill>
                <a:latin typeface="Times New Roman"/>
                <a:ea typeface="Times New Roman"/>
                <a:cs typeface="Times New Roman"/>
              </a:defRPr>
            </a:pPr>
            <a:r>
              <a:rPr lang="es-CR" sz="1000" b="0" i="0" strike="noStrike">
                <a:solidFill>
                  <a:srgbClr val="000000"/>
                </a:solidFill>
                <a:latin typeface="Times New Roman"/>
                <a:cs typeface="Times New Roman"/>
              </a:rPr>
              <a:t>7.662 personas</a:t>
            </a:r>
          </a:p>
        </c:rich>
      </c:tx>
      <c:layout>
        <c:manualLayout>
          <c:xMode val="edge"/>
          <c:yMode val="edge"/>
          <c:x val="0.63140457302846564"/>
          <c:y val="1.5054572826496046E-2"/>
        </c:manualLayout>
      </c:layout>
      <c:overlay val="0"/>
      <c:spPr>
        <a:solidFill>
          <a:srgbClr val="FFFFFF"/>
        </a:solidFill>
        <a:ln w="12689">
          <a:solidFill>
            <a:srgbClr val="000000"/>
          </a:solidFill>
          <a:prstDash val="solid"/>
        </a:ln>
        <a:effectLst>
          <a:outerShdw dist="35921" dir="2700000" algn="br">
            <a:srgbClr val="000000"/>
          </a:outerShdw>
        </a:effectLst>
      </c:spPr>
    </c:title>
    <c:autoTitleDeleted val="0"/>
    <c:view3D>
      <c:rotX val="35"/>
      <c:rotY val="350"/>
      <c:rAngAx val="0"/>
      <c:perspective val="0"/>
    </c:view3D>
    <c:floor>
      <c:thickness val="0"/>
    </c:floor>
    <c:sideWall>
      <c:thickness val="0"/>
    </c:sideWall>
    <c:backWall>
      <c:thickness val="0"/>
    </c:backWall>
    <c:plotArea>
      <c:layout>
        <c:manualLayout>
          <c:layoutTarget val="inner"/>
          <c:xMode val="edge"/>
          <c:yMode val="edge"/>
          <c:x val="4.3971766711615547E-2"/>
          <c:y val="0.29568336795687594"/>
          <c:w val="0.9088708521794101"/>
          <c:h val="0.50410059299606658"/>
        </c:manualLayout>
      </c:layout>
      <c:pie3DChart>
        <c:varyColors val="1"/>
        <c:ser>
          <c:idx val="0"/>
          <c:order val="0"/>
          <c:tx>
            <c:strRef>
              <c:f>Sheet1!$A$2</c:f>
              <c:strCache>
                <c:ptCount val="1"/>
              </c:strCache>
            </c:strRef>
          </c:tx>
          <c:spPr>
            <a:gradFill rotWithShape="0">
              <a:gsLst>
                <a:gs pos="0">
                  <a:srgbClr val="3366FF"/>
                </a:gs>
                <a:gs pos="100000">
                  <a:srgbClr val="9999FF"/>
                </a:gs>
              </a:gsLst>
              <a:lin ang="5400000" scaled="1"/>
            </a:gradFill>
            <a:ln w="12689">
              <a:solidFill>
                <a:srgbClr val="000000"/>
              </a:solidFill>
              <a:prstDash val="solid"/>
            </a:ln>
          </c:spPr>
          <c:explosion val="12"/>
          <c:dPt>
            <c:idx val="0"/>
            <c:bubble3D val="0"/>
            <c:spPr>
              <a:solidFill>
                <a:srgbClr val="FF00FF"/>
              </a:solidFill>
              <a:ln w="12689">
                <a:solidFill>
                  <a:srgbClr val="000000"/>
                </a:solidFill>
                <a:prstDash val="solid"/>
              </a:ln>
            </c:spPr>
            <c:extLst xmlns:c16r2="http://schemas.microsoft.com/office/drawing/2015/06/chart">
              <c:ext xmlns:c16="http://schemas.microsoft.com/office/drawing/2014/chart" uri="{C3380CC4-5D6E-409C-BE32-E72D297353CC}">
                <c16:uniqueId val="{00000000-E4DD-45D8-B041-A2C57EF5ACB1}"/>
              </c:ext>
            </c:extLst>
          </c:dPt>
          <c:dPt>
            <c:idx val="1"/>
            <c:bubble3D val="0"/>
            <c:spPr>
              <a:solidFill>
                <a:srgbClr val="339966"/>
              </a:solidFill>
              <a:ln w="12689">
                <a:solidFill>
                  <a:srgbClr val="000000"/>
                </a:solidFill>
                <a:prstDash val="solid"/>
              </a:ln>
            </c:spPr>
            <c:extLst xmlns:c16r2="http://schemas.microsoft.com/office/drawing/2015/06/chart">
              <c:ext xmlns:c16="http://schemas.microsoft.com/office/drawing/2014/chart" uri="{C3380CC4-5D6E-409C-BE32-E72D297353CC}">
                <c16:uniqueId val="{00000001-E4DD-45D8-B041-A2C57EF5ACB1}"/>
              </c:ext>
            </c:extLst>
          </c:dPt>
          <c:dLbls>
            <c:dLbl>
              <c:idx val="0"/>
              <c:layout>
                <c:manualLayout>
                  <c:x val="-2.5746525034813953E-2"/>
                  <c:y val="-0.21429858433672494"/>
                </c:manualLayout>
              </c:layout>
              <c:tx>
                <c:rich>
                  <a:bodyPr/>
                  <a:lstStyle/>
                  <a:p>
                    <a:r>
                      <a:rPr lang="en-US"/>
                      <a:t>Conde-natoria
</a:t>
                    </a:r>
                    <a:r>
                      <a:rPr lang="en-US" sz="1400" b="1"/>
                      <a:t>50%</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E4DD-45D8-B041-A2C57EF5ACB1}"/>
                </c:ext>
                <c:ext xmlns:c15="http://schemas.microsoft.com/office/drawing/2012/chart" uri="{CE6537A1-D6FC-4f65-9D91-7224C49458BB}"/>
              </c:extLst>
            </c:dLbl>
            <c:dLbl>
              <c:idx val="1"/>
              <c:layout>
                <c:manualLayout>
                  <c:x val="2.6435088054497194E-2"/>
                  <c:y val="0.22789659760727124"/>
                </c:manualLayout>
              </c:layout>
              <c:tx>
                <c:rich>
                  <a:bodyPr/>
                  <a:lstStyle/>
                  <a:p>
                    <a:r>
                      <a:rPr lang="en-US"/>
                      <a:t>Abso-lutoria
</a:t>
                    </a:r>
                    <a:r>
                      <a:rPr lang="en-US" sz="1400" b="1"/>
                      <a:t>50%</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4DD-45D8-B041-A2C57EF5ACB1}"/>
                </c:ext>
                <c:ext xmlns:c15="http://schemas.microsoft.com/office/drawing/2012/chart" uri="{CE6537A1-D6FC-4f65-9D91-7224C49458BB}"/>
              </c:extLst>
            </c:dLbl>
            <c:spPr>
              <a:noFill/>
              <a:ln>
                <a:noFill/>
              </a:ln>
              <a:effectLst/>
            </c:spPr>
            <c:txPr>
              <a:bodyPr/>
              <a:lstStyle/>
              <a:p>
                <a:pPr>
                  <a:defRPr sz="1200"/>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Sheet1!$B$2:$C$2</c:f>
              <c:numCache>
                <c:formatCode>#,##0</c:formatCode>
                <c:ptCount val="2"/>
                <c:pt idx="0">
                  <c:v>3856</c:v>
                </c:pt>
                <c:pt idx="1">
                  <c:v>3806</c:v>
                </c:pt>
              </c:numCache>
            </c:numRef>
          </c:val>
          <c:extLst xmlns:c16r2="http://schemas.microsoft.com/office/drawing/2015/06/chart">
            <c:ext xmlns:c16="http://schemas.microsoft.com/office/drawing/2014/chart" uri="{C3380CC4-5D6E-409C-BE32-E72D297353CC}">
              <c16:uniqueId val="{00000002-E4DD-45D8-B041-A2C57EF5ACB1}"/>
            </c:ext>
          </c:extLst>
        </c:ser>
        <c:ser>
          <c:idx val="1"/>
          <c:order val="1"/>
          <c:tx>
            <c:strRef>
              <c:f>Sheet1!$A$3</c:f>
              <c:strCache>
                <c:ptCount val="1"/>
              </c:strCache>
            </c:strRef>
          </c:tx>
          <c:spPr>
            <a:solidFill>
              <a:srgbClr val="993366"/>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3-E4DD-45D8-B041-A2C57EF5ACB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4-E4DD-45D8-B041-A2C57EF5ACB1}"/>
            </c:ext>
          </c:extLst>
        </c:ser>
        <c:ser>
          <c:idx val="2"/>
          <c:order val="2"/>
          <c:tx>
            <c:strRef>
              <c:f>Sheet1!$A$4</c:f>
              <c:strCache>
                <c:ptCount val="1"/>
              </c:strCache>
            </c:strRef>
          </c:tx>
          <c:spPr>
            <a:solidFill>
              <a:srgbClr val="FFFFCC"/>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5-E4DD-45D8-B041-A2C57EF5ACB1}"/>
              </c:ext>
            </c:extLst>
          </c:dPt>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6-E4DD-45D8-B041-A2C57EF5ACB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7-E4DD-45D8-B041-A2C57EF5ACB1}"/>
            </c:ext>
          </c:extLst>
        </c:ser>
        <c:ser>
          <c:idx val="3"/>
          <c:order val="3"/>
          <c:tx>
            <c:strRef>
              <c:f>Sheet1!$A$5</c:f>
              <c:strCache>
                <c:ptCount val="1"/>
              </c:strCache>
            </c:strRef>
          </c:tx>
          <c:spPr>
            <a:solidFill>
              <a:srgbClr val="CCFFFF"/>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8-E4DD-45D8-B041-A2C57EF5ACB1}"/>
              </c:ext>
            </c:extLst>
          </c:dPt>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9-E4DD-45D8-B041-A2C57EF5ACB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Sheet1!$B$5:$C$5</c:f>
              <c:numCache>
                <c:formatCode>General</c:formatCode>
                <c:ptCount val="2"/>
              </c:numCache>
            </c:numRef>
          </c:val>
          <c:extLst xmlns:c16r2="http://schemas.microsoft.com/office/drawing/2015/06/chart">
            <c:ext xmlns:c16="http://schemas.microsoft.com/office/drawing/2014/chart" uri="{C3380CC4-5D6E-409C-BE32-E72D297353CC}">
              <c16:uniqueId val="{0000000A-E4DD-45D8-B041-A2C57EF5ACB1}"/>
            </c:ext>
          </c:extLst>
        </c:ser>
        <c:ser>
          <c:idx val="4"/>
          <c:order val="4"/>
          <c:tx>
            <c:strRef>
              <c:f>Sheet1!$A$6</c:f>
              <c:strCache>
                <c:ptCount val="1"/>
              </c:strCache>
            </c:strRef>
          </c:tx>
          <c:spPr>
            <a:solidFill>
              <a:srgbClr val="660066"/>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B-E4DD-45D8-B041-A2C57EF5ACB1}"/>
              </c:ext>
            </c:extLst>
          </c:dPt>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C-E4DD-45D8-B041-A2C57EF5ACB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Sheet1!$B$6:$C$6</c:f>
              <c:numCache>
                <c:formatCode>General</c:formatCode>
                <c:ptCount val="2"/>
              </c:numCache>
            </c:numRef>
          </c:val>
          <c:extLst xmlns:c16r2="http://schemas.microsoft.com/office/drawing/2015/06/chart">
            <c:ext xmlns:c16="http://schemas.microsoft.com/office/drawing/2014/chart" uri="{C3380CC4-5D6E-409C-BE32-E72D297353CC}">
              <c16:uniqueId val="{0000000D-E4DD-45D8-B041-A2C57EF5ACB1}"/>
            </c:ext>
          </c:extLst>
        </c:ser>
        <c:ser>
          <c:idx val="5"/>
          <c:order val="5"/>
          <c:tx>
            <c:strRef>
              <c:f>Sheet1!$A$7</c:f>
              <c:strCache>
                <c:ptCount val="1"/>
              </c:strCache>
            </c:strRef>
          </c:tx>
          <c:spPr>
            <a:solidFill>
              <a:srgbClr val="FF8080"/>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E-E4DD-45D8-B041-A2C57EF5ACB1}"/>
              </c:ext>
            </c:extLst>
          </c:dPt>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F-E4DD-45D8-B041-A2C57EF5ACB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Sheet1!$B$7:$C$7</c:f>
              <c:numCache>
                <c:formatCode>General</c:formatCode>
                <c:ptCount val="2"/>
              </c:numCache>
            </c:numRef>
          </c:val>
          <c:extLst xmlns:c16r2="http://schemas.microsoft.com/office/drawing/2015/06/chart">
            <c:ext xmlns:c16="http://schemas.microsoft.com/office/drawing/2014/chart" uri="{C3380CC4-5D6E-409C-BE32-E72D297353CC}">
              <c16:uniqueId val="{00000010-E4DD-45D8-B041-A2C57EF5ACB1}"/>
            </c:ext>
          </c:extLst>
        </c:ser>
        <c:dLbls>
          <c:showLegendKey val="0"/>
          <c:showVal val="0"/>
          <c:showCatName val="1"/>
          <c:showSerName val="0"/>
          <c:showPercent val="1"/>
          <c:showBubbleSize val="0"/>
          <c:showLeaderLines val="1"/>
        </c:dLbls>
      </c:pie3DChart>
      <c:spPr>
        <a:noFill/>
        <a:ln w="25377">
          <a:noFill/>
        </a:ln>
      </c:spPr>
    </c:plotArea>
    <c:plotVisOnly val="1"/>
    <c:dispBlanksAs val="zero"/>
    <c:showDLblsOverMax val="0"/>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s-C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i="0" u="none" strike="noStrike" baseline="0">
                <a:solidFill>
                  <a:srgbClr val="000000"/>
                </a:solidFill>
                <a:latin typeface="Times New Roman"/>
                <a:ea typeface="Times New Roman"/>
                <a:cs typeface="Times New Roman"/>
              </a:defRPr>
            </a:pPr>
            <a:r>
              <a:rPr lang="es-CR" sz="1200" b="1" i="0" strike="noStrike">
                <a:solidFill>
                  <a:srgbClr val="000000"/>
                </a:solidFill>
                <a:latin typeface="Arial"/>
                <a:cs typeface="Arial"/>
              </a:rPr>
              <a:t>2015</a:t>
            </a:r>
          </a:p>
          <a:p>
            <a:pPr>
              <a:defRPr sz="1398" b="1" i="0" u="none" strike="noStrike" baseline="0">
                <a:solidFill>
                  <a:srgbClr val="000000"/>
                </a:solidFill>
                <a:latin typeface="Times New Roman"/>
                <a:ea typeface="Times New Roman"/>
                <a:cs typeface="Times New Roman"/>
              </a:defRPr>
            </a:pPr>
            <a:r>
              <a:rPr lang="es-CR" sz="1000" b="0" i="0" strike="noStrike">
                <a:solidFill>
                  <a:srgbClr val="000000"/>
                </a:solidFill>
                <a:latin typeface="Times New Roman"/>
                <a:cs typeface="Times New Roman"/>
              </a:rPr>
              <a:t>12.996 personas</a:t>
            </a:r>
          </a:p>
        </c:rich>
      </c:tx>
      <c:layout>
        <c:manualLayout>
          <c:xMode val="edge"/>
          <c:yMode val="edge"/>
          <c:x val="0.65006999533364462"/>
          <c:y val="7.5272864132480324E-3"/>
        </c:manualLayout>
      </c:layout>
      <c:overlay val="0"/>
      <c:spPr>
        <a:solidFill>
          <a:srgbClr val="FFFFFF"/>
        </a:solidFill>
        <a:ln w="12689">
          <a:solidFill>
            <a:srgbClr val="000000"/>
          </a:solidFill>
          <a:prstDash val="solid"/>
        </a:ln>
        <a:effectLst>
          <a:outerShdw dist="35921" dir="2700000" algn="br">
            <a:srgbClr val="000000"/>
          </a:outerShdw>
        </a:effectLst>
      </c:spPr>
    </c:title>
    <c:autoTitleDeleted val="0"/>
    <c:view3D>
      <c:rotX val="35"/>
      <c:rotY val="345"/>
      <c:rAngAx val="0"/>
      <c:perspective val="0"/>
    </c:view3D>
    <c:floor>
      <c:thickness val="0"/>
    </c:floor>
    <c:sideWall>
      <c:thickness val="0"/>
    </c:sideWall>
    <c:backWall>
      <c:thickness val="0"/>
    </c:backWall>
    <c:plotArea>
      <c:layout>
        <c:manualLayout>
          <c:layoutTarget val="inner"/>
          <c:xMode val="edge"/>
          <c:yMode val="edge"/>
          <c:x val="3.6231884057971092E-2"/>
          <c:y val="0.23546511627906991"/>
          <c:w val="0.95289855072463769"/>
          <c:h val="0.52906976744186052"/>
        </c:manualLayout>
      </c:layout>
      <c:pie3DChart>
        <c:varyColors val="1"/>
        <c:ser>
          <c:idx val="0"/>
          <c:order val="0"/>
          <c:tx>
            <c:strRef>
              <c:f>Sheet1!$A$2</c:f>
              <c:strCache>
                <c:ptCount val="1"/>
              </c:strCache>
            </c:strRef>
          </c:tx>
          <c:spPr>
            <a:gradFill rotWithShape="0">
              <a:gsLst>
                <a:gs pos="0">
                  <a:srgbClr val="3366FF"/>
                </a:gs>
                <a:gs pos="100000">
                  <a:srgbClr val="9999FF"/>
                </a:gs>
              </a:gsLst>
              <a:lin ang="5400000" scaled="1"/>
            </a:gradFill>
            <a:ln w="12689">
              <a:solidFill>
                <a:srgbClr val="000000"/>
              </a:solidFill>
              <a:prstDash val="solid"/>
            </a:ln>
          </c:spPr>
          <c:explosion val="12"/>
          <c:dPt>
            <c:idx val="0"/>
            <c:bubble3D val="0"/>
            <c:spPr>
              <a:solidFill>
                <a:srgbClr val="FF00FF"/>
              </a:solidFill>
              <a:ln w="12689">
                <a:solidFill>
                  <a:srgbClr val="000000"/>
                </a:solidFill>
                <a:prstDash val="solid"/>
              </a:ln>
            </c:spPr>
            <c:extLst xmlns:c16r2="http://schemas.microsoft.com/office/drawing/2015/06/chart">
              <c:ext xmlns:c16="http://schemas.microsoft.com/office/drawing/2014/chart" uri="{C3380CC4-5D6E-409C-BE32-E72D297353CC}">
                <c16:uniqueId val="{00000000-D684-4CB2-ACC2-F5F84E5A69D1}"/>
              </c:ext>
            </c:extLst>
          </c:dPt>
          <c:dPt>
            <c:idx val="1"/>
            <c:bubble3D val="0"/>
            <c:spPr>
              <a:solidFill>
                <a:srgbClr val="339966"/>
              </a:solidFill>
              <a:ln w="12689">
                <a:solidFill>
                  <a:srgbClr val="000000"/>
                </a:solidFill>
                <a:prstDash val="solid"/>
              </a:ln>
            </c:spPr>
            <c:extLst xmlns:c16r2="http://schemas.microsoft.com/office/drawing/2015/06/chart">
              <c:ext xmlns:c16="http://schemas.microsoft.com/office/drawing/2014/chart" uri="{C3380CC4-5D6E-409C-BE32-E72D297353CC}">
                <c16:uniqueId val="{00000001-D684-4CB2-ACC2-F5F84E5A69D1}"/>
              </c:ext>
            </c:extLst>
          </c:dPt>
          <c:dLbls>
            <c:dLbl>
              <c:idx val="0"/>
              <c:layout>
                <c:manualLayout>
                  <c:x val="-1.3941244496743723E-2"/>
                  <c:y val="0.24276822608489482"/>
                </c:manualLayout>
              </c:layout>
              <c:tx>
                <c:rich>
                  <a:bodyPr/>
                  <a:lstStyle/>
                  <a:p>
                    <a:r>
                      <a:rPr lang="en-US"/>
                      <a:t>Conde-natoria
</a:t>
                    </a:r>
                    <a:r>
                      <a:rPr lang="en-US" sz="1400" b="1"/>
                      <a:t>68%</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D684-4CB2-ACC2-F5F84E5A69D1}"/>
                </c:ext>
                <c:ext xmlns:c15="http://schemas.microsoft.com/office/drawing/2012/chart" uri="{CE6537A1-D6FC-4f65-9D91-7224C49458BB}"/>
              </c:extLst>
            </c:dLbl>
            <c:dLbl>
              <c:idx val="1"/>
              <c:layout>
                <c:manualLayout>
                  <c:x val="1.449275362318842E-2"/>
                  <c:y val="-0.26273023196543976"/>
                </c:manualLayout>
              </c:layout>
              <c:tx>
                <c:rich>
                  <a:bodyPr/>
                  <a:lstStyle/>
                  <a:p>
                    <a:r>
                      <a:rPr lang="en-US"/>
                      <a:t>Abso-lutoria
</a:t>
                    </a:r>
                    <a:r>
                      <a:rPr lang="en-US" sz="1400" b="1"/>
                      <a:t>32%</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684-4CB2-ACC2-F5F84E5A69D1}"/>
                </c:ext>
                <c:ext xmlns:c15="http://schemas.microsoft.com/office/drawing/2012/chart" uri="{CE6537A1-D6FC-4f65-9D91-7224C49458BB}"/>
              </c:extLst>
            </c:dLbl>
            <c:numFmt formatCode="0%" sourceLinked="0"/>
            <c:spPr>
              <a:noFill/>
              <a:ln w="25377">
                <a:noFill/>
              </a:ln>
            </c:spPr>
            <c:txPr>
              <a:bodyPr/>
              <a:lstStyle/>
              <a:p>
                <a:pPr>
                  <a:defRPr sz="11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Sheet1!$B$2:$C$2</c:f>
              <c:numCache>
                <c:formatCode>#,##0</c:formatCode>
                <c:ptCount val="2"/>
                <c:pt idx="0">
                  <c:v>8871</c:v>
                </c:pt>
                <c:pt idx="1">
                  <c:v>4095</c:v>
                </c:pt>
              </c:numCache>
            </c:numRef>
          </c:val>
          <c:extLst xmlns:c16r2="http://schemas.microsoft.com/office/drawing/2015/06/chart">
            <c:ext xmlns:c16="http://schemas.microsoft.com/office/drawing/2014/chart" uri="{C3380CC4-5D6E-409C-BE32-E72D297353CC}">
              <c16:uniqueId val="{00000002-D684-4CB2-ACC2-F5F84E5A69D1}"/>
            </c:ext>
          </c:extLst>
        </c:ser>
        <c:ser>
          <c:idx val="1"/>
          <c:order val="1"/>
          <c:tx>
            <c:strRef>
              <c:f>Sheet1!$A$3</c:f>
              <c:strCache>
                <c:ptCount val="1"/>
              </c:strCache>
            </c:strRef>
          </c:tx>
          <c:spPr>
            <a:solidFill>
              <a:srgbClr val="993366"/>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3-D684-4CB2-ACC2-F5F84E5A69D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4-D684-4CB2-ACC2-F5F84E5A69D1}"/>
            </c:ext>
          </c:extLst>
        </c:ser>
        <c:ser>
          <c:idx val="2"/>
          <c:order val="2"/>
          <c:tx>
            <c:strRef>
              <c:f>Sheet1!$A$4</c:f>
              <c:strCache>
                <c:ptCount val="1"/>
              </c:strCache>
            </c:strRef>
          </c:tx>
          <c:spPr>
            <a:solidFill>
              <a:srgbClr val="FFFFCC"/>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5-D684-4CB2-ACC2-F5F84E5A69D1}"/>
              </c:ext>
            </c:extLst>
          </c:dPt>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6-D684-4CB2-ACC2-F5F84E5A69D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7-D684-4CB2-ACC2-F5F84E5A69D1}"/>
            </c:ext>
          </c:extLst>
        </c:ser>
        <c:ser>
          <c:idx val="3"/>
          <c:order val="3"/>
          <c:tx>
            <c:strRef>
              <c:f>Sheet1!$A$5</c:f>
              <c:strCache>
                <c:ptCount val="1"/>
              </c:strCache>
            </c:strRef>
          </c:tx>
          <c:spPr>
            <a:solidFill>
              <a:srgbClr val="CCFFFF"/>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8-D684-4CB2-ACC2-F5F84E5A69D1}"/>
              </c:ext>
            </c:extLst>
          </c:dPt>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9-D684-4CB2-ACC2-F5F84E5A69D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Sheet1!$B$5:$C$5</c:f>
              <c:numCache>
                <c:formatCode>General</c:formatCode>
                <c:ptCount val="2"/>
              </c:numCache>
            </c:numRef>
          </c:val>
          <c:extLst xmlns:c16r2="http://schemas.microsoft.com/office/drawing/2015/06/chart">
            <c:ext xmlns:c16="http://schemas.microsoft.com/office/drawing/2014/chart" uri="{C3380CC4-5D6E-409C-BE32-E72D297353CC}">
              <c16:uniqueId val="{0000000A-D684-4CB2-ACC2-F5F84E5A69D1}"/>
            </c:ext>
          </c:extLst>
        </c:ser>
        <c:ser>
          <c:idx val="4"/>
          <c:order val="4"/>
          <c:tx>
            <c:strRef>
              <c:f>Sheet1!$A$6</c:f>
              <c:strCache>
                <c:ptCount val="1"/>
              </c:strCache>
            </c:strRef>
          </c:tx>
          <c:spPr>
            <a:solidFill>
              <a:srgbClr val="660066"/>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B-D684-4CB2-ACC2-F5F84E5A69D1}"/>
              </c:ext>
            </c:extLst>
          </c:dPt>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C-D684-4CB2-ACC2-F5F84E5A69D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Sheet1!$B$6:$C$6</c:f>
              <c:numCache>
                <c:formatCode>General</c:formatCode>
                <c:ptCount val="2"/>
              </c:numCache>
            </c:numRef>
          </c:val>
          <c:extLst xmlns:c16r2="http://schemas.microsoft.com/office/drawing/2015/06/chart">
            <c:ext xmlns:c16="http://schemas.microsoft.com/office/drawing/2014/chart" uri="{C3380CC4-5D6E-409C-BE32-E72D297353CC}">
              <c16:uniqueId val="{0000000D-D684-4CB2-ACC2-F5F84E5A69D1}"/>
            </c:ext>
          </c:extLst>
        </c:ser>
        <c:ser>
          <c:idx val="5"/>
          <c:order val="5"/>
          <c:tx>
            <c:strRef>
              <c:f>Sheet1!$A$7</c:f>
              <c:strCache>
                <c:ptCount val="1"/>
              </c:strCache>
            </c:strRef>
          </c:tx>
          <c:spPr>
            <a:solidFill>
              <a:srgbClr val="FF8080"/>
            </a:solidFill>
            <a:ln w="12689">
              <a:solidFill>
                <a:srgbClr val="000000"/>
              </a:solidFill>
              <a:prstDash val="solid"/>
            </a:ln>
          </c:spPr>
          <c:explosion val="12"/>
          <c:dPt>
            <c:idx val="0"/>
            <c:bubble3D val="0"/>
            <c:spPr>
              <a:solidFill>
                <a:srgbClr val="9999FF"/>
              </a:solidFill>
              <a:ln w="12689">
                <a:solidFill>
                  <a:srgbClr val="000000"/>
                </a:solidFill>
                <a:prstDash val="solid"/>
              </a:ln>
            </c:spPr>
            <c:extLst xmlns:c16r2="http://schemas.microsoft.com/office/drawing/2015/06/chart">
              <c:ext xmlns:c16="http://schemas.microsoft.com/office/drawing/2014/chart" uri="{C3380CC4-5D6E-409C-BE32-E72D297353CC}">
                <c16:uniqueId val="{0000000E-D684-4CB2-ACC2-F5F84E5A69D1}"/>
              </c:ext>
            </c:extLst>
          </c:dPt>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F-D684-4CB2-ACC2-F5F84E5A69D1}"/>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Condenatoria</c:v>
                </c:pt>
                <c:pt idx="1">
                  <c:v>Absolutoria</c:v>
                </c:pt>
              </c:strCache>
            </c:strRef>
          </c:cat>
          <c:val>
            <c:numRef>
              <c:f>Sheet1!$B$7:$C$7</c:f>
              <c:numCache>
                <c:formatCode>General</c:formatCode>
                <c:ptCount val="2"/>
              </c:numCache>
            </c:numRef>
          </c:val>
          <c:extLst xmlns:c16r2="http://schemas.microsoft.com/office/drawing/2015/06/chart">
            <c:ext xmlns:c16="http://schemas.microsoft.com/office/drawing/2014/chart" uri="{C3380CC4-5D6E-409C-BE32-E72D297353CC}">
              <c16:uniqueId val="{00000010-D684-4CB2-ACC2-F5F84E5A69D1}"/>
            </c:ext>
          </c:extLst>
        </c:ser>
        <c:dLbls>
          <c:showLegendKey val="0"/>
          <c:showVal val="0"/>
          <c:showCatName val="1"/>
          <c:showSerName val="0"/>
          <c:showPercent val="1"/>
          <c:showBubbleSize val="0"/>
          <c:showLeaderLines val="1"/>
        </c:dLbls>
      </c:pie3DChart>
      <c:spPr>
        <a:noFill/>
        <a:ln w="25377">
          <a:noFill/>
        </a:ln>
      </c:spPr>
    </c:plotArea>
    <c:plotVisOnly val="1"/>
    <c:dispBlanksAs val="zero"/>
    <c:showDLblsOverMax val="0"/>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s-C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Times New Roman"/>
                <a:ea typeface="Times New Roman"/>
                <a:cs typeface="Times New Roman"/>
              </a:defRPr>
            </a:pPr>
            <a:r>
              <a:rPr lang="es-CR"/>
              <a:t>Gráfico N° 4 
Distibución del volumen de personas sentenciadas según grupo de edad y tipo</a:t>
            </a:r>
            <a:r>
              <a:rPr lang="es-CR" baseline="0"/>
              <a:t> de sentencia dictada </a:t>
            </a:r>
            <a:r>
              <a:rPr lang="es-CR"/>
              <a:t>durante el 2015</a:t>
            </a:r>
          </a:p>
        </c:rich>
      </c:tx>
      <c:layout>
        <c:manualLayout>
          <c:xMode val="edge"/>
          <c:yMode val="edge"/>
          <c:x val="0.13450292397660818"/>
          <c:y val="1.9543973941368226E-2"/>
        </c:manualLayout>
      </c:layout>
      <c:overlay val="0"/>
      <c:spPr>
        <a:noFill/>
        <a:ln w="19020">
          <a:noFill/>
        </a:ln>
      </c:spPr>
    </c:title>
    <c:autoTitleDeleted val="0"/>
    <c:plotArea>
      <c:layout>
        <c:manualLayout>
          <c:layoutTarget val="inner"/>
          <c:xMode val="edge"/>
          <c:yMode val="edge"/>
          <c:x val="0.22358307048626996"/>
          <c:y val="0.32059515835755098"/>
          <c:w val="0.73623930052371089"/>
          <c:h val="0.60249811349793214"/>
        </c:manualLayout>
      </c:layout>
      <c:barChart>
        <c:barDir val="bar"/>
        <c:grouping val="stacked"/>
        <c:varyColors val="0"/>
        <c:ser>
          <c:idx val="0"/>
          <c:order val="0"/>
          <c:tx>
            <c:strRef>
              <c:f>Hoja1!$C$1</c:f>
              <c:strCache>
                <c:ptCount val="1"/>
                <c:pt idx="0">
                  <c:v>Condenatoria</c:v>
                </c:pt>
              </c:strCache>
            </c:strRef>
          </c:tx>
          <c:spPr>
            <a:solidFill>
              <a:schemeClr val="accent1"/>
            </a:solidFill>
            <a:ln w="6350">
              <a:solidFill>
                <a:srgbClr val="000000"/>
              </a:solidFill>
              <a:prstDash val="solid"/>
            </a:ln>
          </c:spPr>
          <c:invertIfNegative val="0"/>
          <c:dLbls>
            <c:dLbl>
              <c:idx val="0"/>
              <c:layout>
                <c:manualLayout>
                  <c:x val="5.5710112939094114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9DC-4DA7-9439-0D0881B04B40}"/>
                </c:ext>
                <c:ext xmlns:c15="http://schemas.microsoft.com/office/drawing/2012/chart" uri="{CE6537A1-D6FC-4f65-9D91-7224C49458BB}"/>
              </c:extLst>
            </c:dLbl>
            <c:dLbl>
              <c:idx val="1"/>
              <c:layout>
                <c:manualLayout>
                  <c:x val="7.1958895879663226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9DC-4DA7-9439-0D0881B04B40}"/>
                </c:ext>
                <c:ext xmlns:c15="http://schemas.microsoft.com/office/drawing/2012/chart" uri="{CE6537A1-D6FC-4f65-9D91-7224C49458BB}"/>
              </c:extLst>
            </c:dLbl>
            <c:dLbl>
              <c:idx val="2"/>
              <c:layout>
                <c:manualLayout>
                  <c:x val="7.1958895879663226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9DC-4DA7-9439-0D0881B04B40}"/>
                </c:ext>
                <c:ext xmlns:c15="http://schemas.microsoft.com/office/drawing/2012/chart" uri="{CE6537A1-D6FC-4f65-9D91-7224C49458BB}"/>
              </c:extLst>
            </c:dLbl>
            <c:dLbl>
              <c:idx val="3"/>
              <c:layout>
                <c:manualLayout>
                  <c:x val="7.428015058545881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9DC-4DA7-9439-0D0881B04B40}"/>
                </c:ext>
                <c:ext xmlns:c15="http://schemas.microsoft.com/office/drawing/2012/chart" uri="{CE6537A1-D6FC-4f65-9D91-7224C49458BB}"/>
              </c:extLst>
            </c:dLbl>
            <c:dLbl>
              <c:idx val="4"/>
              <c:layout>
                <c:manualLayout>
                  <c:x val="7.1958895879663226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9DC-4DA7-9439-0D0881B04B40}"/>
                </c:ext>
                <c:ext xmlns:c15="http://schemas.microsoft.com/office/drawing/2012/chart" uri="{CE6537A1-D6FC-4f65-9D91-7224C49458BB}"/>
              </c:extLst>
            </c:dLbl>
            <c:dLbl>
              <c:idx val="5"/>
              <c:layout>
                <c:manualLayout>
                  <c:x val="5.3388858233298614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9DC-4DA7-9439-0D0881B04B40}"/>
                </c:ext>
                <c:ext xmlns:c15="http://schemas.microsoft.com/office/drawing/2012/chart" uri="{CE6537A1-D6FC-4f65-9D91-7224C49458BB}"/>
              </c:extLst>
            </c:dLbl>
            <c:dLbl>
              <c:idx val="6"/>
              <c:layout>
                <c:manualLayout>
                  <c:x val="5.5710112939094114E-2"/>
                  <c:y val="-6.0941448591182315E-17"/>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9DC-4DA7-9439-0D0881B04B40}"/>
                </c:ext>
                <c:ext xmlns:c15="http://schemas.microsoft.com/office/drawing/2012/chart" uri="{CE6537A1-D6FC-4f65-9D91-7224C49458BB}"/>
              </c:extLst>
            </c:dLbl>
            <c:dLbl>
              <c:idx val="7"/>
              <c:layout>
                <c:manualLayout>
                  <c:x val="5.1067603527502954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9DC-4DA7-9439-0D0881B04B40}"/>
                </c:ext>
                <c:ext xmlns:c15="http://schemas.microsoft.com/office/drawing/2012/chart" uri="{CE6537A1-D6FC-4f65-9D91-7224C49458BB}"/>
              </c:extLst>
            </c:dLbl>
            <c:dLbl>
              <c:idx val="8"/>
              <c:layout>
                <c:manualLayout>
                  <c:x val="5.8031367644889711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9DC-4DA7-9439-0D0881B04B40}"/>
                </c:ext>
                <c:ext xmlns:c15="http://schemas.microsoft.com/office/drawing/2012/chart" uri="{CE6537A1-D6FC-4f65-9D91-7224C49458BB}"/>
              </c:extLst>
            </c:dLbl>
            <c:dLbl>
              <c:idx val="9"/>
              <c:layout>
                <c:manualLayout>
                  <c:x val="5.5710112939094114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9DC-4DA7-9439-0D0881B04B40}"/>
                </c:ext>
                <c:ext xmlns:c15="http://schemas.microsoft.com/office/drawing/2012/chart" uri="{CE6537A1-D6FC-4f65-9D91-7224C49458BB}"/>
              </c:extLst>
            </c:dLbl>
            <c:dLbl>
              <c:idx val="10"/>
              <c:layout>
                <c:manualLayout>
                  <c:x val="5.1067603527502954E-2"/>
                  <c:y val="3.3241174141088936E-3"/>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9DC-4DA7-9439-0D0881B04B40}"/>
                </c:ext>
                <c:ext xmlns:c15="http://schemas.microsoft.com/office/drawing/2012/chart" uri="{CE6537A1-D6FC-4f65-9D91-7224C49458BB}"/>
              </c:extLst>
            </c:dLbl>
            <c:spPr>
              <a:noFill/>
              <a:ln w="19020">
                <a:noFill/>
              </a:ln>
            </c:spPr>
            <c:txPr>
              <a:bodyPr/>
              <a:lstStyle/>
              <a:p>
                <a:pPr>
                  <a:defRPr sz="899" b="0" i="0" u="none" strike="noStrike" baseline="0">
                    <a:solidFill>
                      <a:schemeClr val="tx1"/>
                    </a:solidFill>
                    <a:latin typeface="Times New Roman"/>
                    <a:ea typeface="Times New Roman"/>
                    <a:cs typeface="Times New Roman"/>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Hoja1!$B$2:$B$12</c:f>
              <c:strCache>
                <c:ptCount val="11"/>
                <c:pt idx="0">
                  <c:v>Menos de 20 años</c:v>
                </c:pt>
                <c:pt idx="1">
                  <c:v>20 a 24 años</c:v>
                </c:pt>
                <c:pt idx="2">
                  <c:v>25 a 29 años</c:v>
                </c:pt>
                <c:pt idx="3">
                  <c:v>30 a 34 años</c:v>
                </c:pt>
                <c:pt idx="4">
                  <c:v>35 a 39 años</c:v>
                </c:pt>
                <c:pt idx="5">
                  <c:v>40 a 44 años</c:v>
                </c:pt>
                <c:pt idx="6">
                  <c:v>45 a 49 años</c:v>
                </c:pt>
                <c:pt idx="7">
                  <c:v>50 a 54 años</c:v>
                </c:pt>
                <c:pt idx="8">
                  <c:v>55 a 59 años</c:v>
                </c:pt>
                <c:pt idx="9">
                  <c:v>60 a 64 años</c:v>
                </c:pt>
                <c:pt idx="10">
                  <c:v>65 años y más</c:v>
                </c:pt>
              </c:strCache>
            </c:strRef>
          </c:cat>
          <c:val>
            <c:numRef>
              <c:f>Hoja1!$C$2:$C$12</c:f>
              <c:numCache>
                <c:formatCode>#,##0</c:formatCode>
                <c:ptCount val="11"/>
                <c:pt idx="0" formatCode="General">
                  <c:v>348</c:v>
                </c:pt>
                <c:pt idx="1">
                  <c:v>1602</c:v>
                </c:pt>
                <c:pt idx="2">
                  <c:v>1813</c:v>
                </c:pt>
                <c:pt idx="3">
                  <c:v>1545</c:v>
                </c:pt>
                <c:pt idx="4">
                  <c:v>1045</c:v>
                </c:pt>
                <c:pt idx="5">
                  <c:v>756</c:v>
                </c:pt>
                <c:pt idx="6" formatCode="General">
                  <c:v>579</c:v>
                </c:pt>
                <c:pt idx="7" formatCode="General">
                  <c:v>463</c:v>
                </c:pt>
                <c:pt idx="8" formatCode="General">
                  <c:v>362</c:v>
                </c:pt>
                <c:pt idx="9" formatCode="General">
                  <c:v>173</c:v>
                </c:pt>
                <c:pt idx="10" formatCode="General">
                  <c:v>185</c:v>
                </c:pt>
              </c:numCache>
            </c:numRef>
          </c:val>
          <c:extLst xmlns:c16r2="http://schemas.microsoft.com/office/drawing/2015/06/chart">
            <c:ext xmlns:c16="http://schemas.microsoft.com/office/drawing/2014/chart" uri="{C3380CC4-5D6E-409C-BE32-E72D297353CC}">
              <c16:uniqueId val="{0000000B-B9DC-4DA7-9439-0D0881B04B40}"/>
            </c:ext>
          </c:extLst>
        </c:ser>
        <c:ser>
          <c:idx val="1"/>
          <c:order val="1"/>
          <c:tx>
            <c:strRef>
              <c:f>Hoja1!$D$1</c:f>
              <c:strCache>
                <c:ptCount val="1"/>
                <c:pt idx="0">
                  <c:v>Absolutoria</c:v>
                </c:pt>
              </c:strCache>
            </c:strRef>
          </c:tx>
          <c:spPr>
            <a:solidFill>
              <a:schemeClr val="accent3">
                <a:lumMod val="75000"/>
              </a:schemeClr>
            </a:solidFill>
            <a:ln w="6350">
              <a:solidFill>
                <a:schemeClr val="tx1"/>
              </a:solidFill>
            </a:ln>
          </c:spPr>
          <c:invertIfNegative val="0"/>
          <c:dPt>
            <c:idx val="3"/>
            <c:invertIfNegative val="0"/>
            <c:bubble3D val="0"/>
            <c:spPr>
              <a:solidFill>
                <a:schemeClr val="accent3">
                  <a:lumMod val="75000"/>
                </a:schemeClr>
              </a:solidFill>
              <a:ln w="6350">
                <a:solidFill>
                  <a:sysClr val="windowText" lastClr="000000"/>
                </a:solidFill>
              </a:ln>
            </c:spPr>
            <c:extLst xmlns:c16r2="http://schemas.microsoft.com/office/drawing/2015/06/chart">
              <c:ext xmlns:c16="http://schemas.microsoft.com/office/drawing/2014/chart" uri="{C3380CC4-5D6E-409C-BE32-E72D297353CC}">
                <c16:uniqueId val="{0000000C-B9DC-4DA7-9439-0D0881B04B40}"/>
              </c:ext>
            </c:extLst>
          </c:dPt>
          <c:dLbls>
            <c:dLbl>
              <c:idx val="0"/>
              <c:layout>
                <c:manualLayout>
                  <c:x val="-5.1067603527502954E-2"/>
                  <c:y val="0"/>
                </c:manualLayout>
              </c:layout>
              <c:tx>
                <c:rich>
                  <a:bodyPr/>
                  <a:lstStyle/>
                  <a:p>
                    <a:r>
                      <a:rPr lang="en-US" b="1"/>
                      <a:t>55</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9DC-4DA7-9439-0D0881B04B40}"/>
                </c:ext>
                <c:ext xmlns:c15="http://schemas.microsoft.com/office/drawing/2012/chart" uri="{CE6537A1-D6FC-4f65-9D91-7224C49458BB}"/>
              </c:extLst>
            </c:dLbl>
            <c:dLbl>
              <c:idx val="1"/>
              <c:layout>
                <c:manualLayout>
                  <c:x val="-5.5710112939094114E-2"/>
                  <c:y val="0"/>
                </c:manualLayout>
              </c:layout>
              <c:tx>
                <c:rich>
                  <a:bodyPr/>
                  <a:lstStyle/>
                  <a:p>
                    <a:r>
                      <a:rPr lang="en-US" b="1"/>
                      <a:t>521</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9DC-4DA7-9439-0D0881B04B40}"/>
                </c:ext>
                <c:ext xmlns:c15="http://schemas.microsoft.com/office/drawing/2012/chart" uri="{CE6537A1-D6FC-4f65-9D91-7224C49458BB}"/>
              </c:extLst>
            </c:dLbl>
            <c:dLbl>
              <c:idx val="2"/>
              <c:layout>
                <c:manualLayout>
                  <c:x val="-5.8031367644889711E-2"/>
                  <c:y val="0"/>
                </c:manualLayout>
              </c:layout>
              <c:tx>
                <c:rich>
                  <a:bodyPr/>
                  <a:lstStyle/>
                  <a:p>
                    <a:r>
                      <a:rPr lang="en-US" b="1"/>
                      <a:t>760</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9DC-4DA7-9439-0D0881B04B40}"/>
                </c:ext>
                <c:ext xmlns:c15="http://schemas.microsoft.com/office/drawing/2012/chart" uri="{CE6537A1-D6FC-4f65-9D91-7224C49458BB}"/>
              </c:extLst>
            </c:dLbl>
            <c:dLbl>
              <c:idx val="3"/>
              <c:layout>
                <c:manualLayout>
                  <c:x val="-6.0352622350685683E-2"/>
                  <c:y val="0"/>
                </c:manualLayout>
              </c:layout>
              <c:tx>
                <c:rich>
                  <a:bodyPr/>
                  <a:lstStyle/>
                  <a:p>
                    <a:r>
                      <a:rPr lang="en-US" b="1"/>
                      <a:t>677</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9DC-4DA7-9439-0D0881B04B40}"/>
                </c:ext>
                <c:ext xmlns:c15="http://schemas.microsoft.com/office/drawing/2012/chart" uri="{CE6537A1-D6FC-4f65-9D91-7224C49458BB}"/>
              </c:extLst>
            </c:dLbl>
            <c:dLbl>
              <c:idx val="4"/>
              <c:layout>
                <c:manualLayout>
                  <c:x val="-5.5710112939094114E-2"/>
                  <c:y val="3.3241174141088632E-3"/>
                </c:manualLayout>
              </c:layout>
              <c:tx>
                <c:rich>
                  <a:bodyPr/>
                  <a:lstStyle/>
                  <a:p>
                    <a:r>
                      <a:rPr lang="en-US" b="1"/>
                      <a:t>520</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9DC-4DA7-9439-0D0881B04B40}"/>
                </c:ext>
                <c:ext xmlns:c15="http://schemas.microsoft.com/office/drawing/2012/chart" uri="{CE6537A1-D6FC-4f65-9D91-7224C49458BB}"/>
              </c:extLst>
            </c:dLbl>
            <c:dLbl>
              <c:idx val="5"/>
              <c:layout>
                <c:manualLayout>
                  <c:x val="-6.0352622350685683E-2"/>
                  <c:y val="0"/>
                </c:manualLayout>
              </c:layout>
              <c:tx>
                <c:rich>
                  <a:bodyPr/>
                  <a:lstStyle/>
                  <a:p>
                    <a:r>
                      <a:rPr lang="en-US" b="1"/>
                      <a:t>385</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9DC-4DA7-9439-0D0881B04B40}"/>
                </c:ext>
                <c:ext xmlns:c15="http://schemas.microsoft.com/office/drawing/2012/chart" uri="{CE6537A1-D6FC-4f65-9D91-7224C49458BB}"/>
              </c:extLst>
            </c:dLbl>
            <c:dLbl>
              <c:idx val="6"/>
              <c:layout>
                <c:manualLayout>
                  <c:x val="-5.8031367644889711E-2"/>
                  <c:y val="6.0941448591182315E-17"/>
                </c:manualLayout>
              </c:layout>
              <c:tx>
                <c:rich>
                  <a:bodyPr/>
                  <a:lstStyle/>
                  <a:p>
                    <a:r>
                      <a:rPr lang="en-US" b="1"/>
                      <a:t>384</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9DC-4DA7-9439-0D0881B04B40}"/>
                </c:ext>
                <c:ext xmlns:c15="http://schemas.microsoft.com/office/drawing/2012/chart" uri="{CE6537A1-D6FC-4f65-9D91-7224C49458BB}"/>
              </c:extLst>
            </c:dLbl>
            <c:dLbl>
              <c:idx val="7"/>
              <c:layout>
                <c:manualLayout>
                  <c:x val="-5.5710112939094114E-2"/>
                  <c:y val="-3.3241174141088632E-3"/>
                </c:manualLayout>
              </c:layout>
              <c:tx>
                <c:rich>
                  <a:bodyPr/>
                  <a:lstStyle/>
                  <a:p>
                    <a:r>
                      <a:rPr lang="en-US" b="1"/>
                      <a:t>287</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9DC-4DA7-9439-0D0881B04B40}"/>
                </c:ext>
                <c:ext xmlns:c15="http://schemas.microsoft.com/office/drawing/2012/chart" uri="{CE6537A1-D6FC-4f65-9D91-7224C49458BB}"/>
              </c:extLst>
            </c:dLbl>
            <c:dLbl>
              <c:idx val="8"/>
              <c:layout>
                <c:manualLayout>
                  <c:x val="-5.8031367644889663E-2"/>
                  <c:y val="0"/>
                </c:manualLayout>
              </c:layout>
              <c:tx>
                <c:rich>
                  <a:bodyPr/>
                  <a:lstStyle/>
                  <a:p>
                    <a:r>
                      <a:rPr lang="en-US" b="1"/>
                      <a:t>203</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9DC-4DA7-9439-0D0881B04B40}"/>
                </c:ext>
                <c:ext xmlns:c15="http://schemas.microsoft.com/office/drawing/2012/chart" uri="{CE6537A1-D6FC-4f65-9D91-7224C49458BB}"/>
              </c:extLst>
            </c:dLbl>
            <c:dLbl>
              <c:idx val="9"/>
              <c:layout>
                <c:manualLayout>
                  <c:x val="-5.5710112939094183E-2"/>
                  <c:y val="0"/>
                </c:manualLayout>
              </c:layout>
              <c:tx>
                <c:rich>
                  <a:bodyPr/>
                  <a:lstStyle/>
                  <a:p>
                    <a:r>
                      <a:rPr lang="en-US" b="1"/>
                      <a:t>129</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9DC-4DA7-9439-0D0881B04B40}"/>
                </c:ext>
                <c:ext xmlns:c15="http://schemas.microsoft.com/office/drawing/2012/chart" uri="{CE6537A1-D6FC-4f65-9D91-7224C49458BB}"/>
              </c:extLst>
            </c:dLbl>
            <c:dLbl>
              <c:idx val="10"/>
              <c:layout>
                <c:manualLayout>
                  <c:x val="-5.5710112939094114E-2"/>
                  <c:y val="5.2348305733997912E-7"/>
                </c:manualLayout>
              </c:layout>
              <c:tx>
                <c:rich>
                  <a:bodyPr/>
                  <a:lstStyle/>
                  <a:p>
                    <a:r>
                      <a:rPr lang="en-US" b="1"/>
                      <a:t>174</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9DC-4DA7-9439-0D0881B04B40}"/>
                </c:ext>
                <c:ext xmlns:c15="http://schemas.microsoft.com/office/drawing/2012/chart" uri="{CE6537A1-D6FC-4f65-9D91-7224C49458BB}"/>
              </c:extLst>
            </c:dLbl>
            <c:numFmt formatCode="#,##0" sourceLinked="0"/>
            <c:spPr>
              <a:noFill/>
              <a:ln>
                <a:noFill/>
              </a:ln>
            </c:spPr>
            <c:txPr>
              <a:bodyPr/>
              <a:lstStyle/>
              <a:p>
                <a:pPr>
                  <a:defRPr b="1"/>
                </a:pPr>
                <a:endParaRPr lang="es-CR"/>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Hoja1!$B$2:$B$12</c:f>
              <c:strCache>
                <c:ptCount val="11"/>
                <c:pt idx="0">
                  <c:v>Menos de 20 años</c:v>
                </c:pt>
                <c:pt idx="1">
                  <c:v>20 a 24 años</c:v>
                </c:pt>
                <c:pt idx="2">
                  <c:v>25 a 29 años</c:v>
                </c:pt>
                <c:pt idx="3">
                  <c:v>30 a 34 años</c:v>
                </c:pt>
                <c:pt idx="4">
                  <c:v>35 a 39 años</c:v>
                </c:pt>
                <c:pt idx="5">
                  <c:v>40 a 44 años</c:v>
                </c:pt>
                <c:pt idx="6">
                  <c:v>45 a 49 años</c:v>
                </c:pt>
                <c:pt idx="7">
                  <c:v>50 a 54 años</c:v>
                </c:pt>
                <c:pt idx="8">
                  <c:v>55 a 59 años</c:v>
                </c:pt>
                <c:pt idx="9">
                  <c:v>60 a 64 años</c:v>
                </c:pt>
                <c:pt idx="10">
                  <c:v>65 años y más</c:v>
                </c:pt>
              </c:strCache>
            </c:strRef>
          </c:cat>
          <c:val>
            <c:numRef>
              <c:f>Hoja1!$D$2:$D$12</c:f>
              <c:numCache>
                <c:formatCode>#,##0</c:formatCode>
                <c:ptCount val="11"/>
                <c:pt idx="0" formatCode="General">
                  <c:v>-55</c:v>
                </c:pt>
                <c:pt idx="1">
                  <c:v>-521</c:v>
                </c:pt>
                <c:pt idx="2">
                  <c:v>-760</c:v>
                </c:pt>
                <c:pt idx="3">
                  <c:v>-677</c:v>
                </c:pt>
                <c:pt idx="4">
                  <c:v>-520</c:v>
                </c:pt>
                <c:pt idx="5">
                  <c:v>-385</c:v>
                </c:pt>
                <c:pt idx="6" formatCode="General">
                  <c:v>-384</c:v>
                </c:pt>
                <c:pt idx="7" formatCode="General">
                  <c:v>-287</c:v>
                </c:pt>
                <c:pt idx="8" formatCode="General">
                  <c:v>-203</c:v>
                </c:pt>
                <c:pt idx="9" formatCode="General">
                  <c:v>-129</c:v>
                </c:pt>
                <c:pt idx="10" formatCode="General">
                  <c:v>-174</c:v>
                </c:pt>
              </c:numCache>
            </c:numRef>
          </c:val>
          <c:extLst xmlns:c16r2="http://schemas.microsoft.com/office/drawing/2015/06/chart">
            <c:ext xmlns:c16="http://schemas.microsoft.com/office/drawing/2014/chart" uri="{C3380CC4-5D6E-409C-BE32-E72D297353CC}">
              <c16:uniqueId val="{00000017-B9DC-4DA7-9439-0D0881B04B40}"/>
            </c:ext>
          </c:extLst>
        </c:ser>
        <c:dLbls>
          <c:showLegendKey val="0"/>
          <c:showVal val="1"/>
          <c:showCatName val="0"/>
          <c:showSerName val="0"/>
          <c:showPercent val="0"/>
          <c:showBubbleSize val="0"/>
        </c:dLbls>
        <c:gapWidth val="0"/>
        <c:overlap val="100"/>
        <c:axId val="368115176"/>
        <c:axId val="368115568"/>
      </c:barChart>
      <c:catAx>
        <c:axId val="368115176"/>
        <c:scaling>
          <c:orientation val="minMax"/>
        </c:scaling>
        <c:delete val="0"/>
        <c:axPos val="l"/>
        <c:title>
          <c:tx>
            <c:rich>
              <a:bodyPr/>
              <a:lstStyle/>
              <a:p>
                <a:pPr>
                  <a:defRPr sz="1000" b="1" i="0" u="none" strike="noStrike" baseline="0">
                    <a:solidFill>
                      <a:srgbClr val="000000"/>
                    </a:solidFill>
                    <a:latin typeface="Times New Roman"/>
                    <a:ea typeface="Times New Roman"/>
                    <a:cs typeface="Times New Roman"/>
                  </a:defRPr>
                </a:pPr>
                <a:r>
                  <a:rPr lang="es-CR" sz="1000"/>
                  <a:t>Grupos de edad</a:t>
                </a:r>
              </a:p>
            </c:rich>
          </c:tx>
          <c:layout>
            <c:manualLayout>
              <c:xMode val="edge"/>
              <c:yMode val="edge"/>
              <c:x val="1.3157894736842111E-2"/>
              <c:y val="0.42671009771987339"/>
            </c:manualLayout>
          </c:layout>
          <c:overlay val="0"/>
          <c:spPr>
            <a:noFill/>
            <a:ln w="19020">
              <a:noFill/>
            </a:ln>
          </c:spPr>
        </c:title>
        <c:numFmt formatCode="General" sourceLinked="1"/>
        <c:majorTickMark val="cross"/>
        <c:minorTickMark val="none"/>
        <c:tickLblPos val="low"/>
        <c:spPr>
          <a:ln w="2378">
            <a:solidFill>
              <a:srgbClr val="000000"/>
            </a:solidFill>
            <a:prstDash val="solid"/>
          </a:ln>
          <a:effectLst/>
        </c:spPr>
        <c:txPr>
          <a:bodyPr rot="0" vert="horz"/>
          <a:lstStyle/>
          <a:p>
            <a:pPr>
              <a:defRPr sz="800" b="0" i="0" u="none" strike="noStrike" baseline="0">
                <a:solidFill>
                  <a:srgbClr val="000000"/>
                </a:solidFill>
                <a:latin typeface="Times New Roman"/>
                <a:ea typeface="Times New Roman"/>
                <a:cs typeface="Times New Roman"/>
              </a:defRPr>
            </a:pPr>
            <a:endParaRPr lang="es-CR"/>
          </a:p>
        </c:txPr>
        <c:crossAx val="368115568"/>
        <c:crosses val="autoZero"/>
        <c:auto val="1"/>
        <c:lblAlgn val="ctr"/>
        <c:lblOffset val="100"/>
        <c:tickLblSkip val="1"/>
        <c:tickMarkSkip val="1"/>
        <c:noMultiLvlLbl val="0"/>
      </c:catAx>
      <c:valAx>
        <c:axId val="368115568"/>
        <c:scaling>
          <c:orientation val="minMax"/>
          <c:max val="2000"/>
          <c:min val="-1000"/>
        </c:scaling>
        <c:delete val="1"/>
        <c:axPos val="b"/>
        <c:numFmt formatCode="General" sourceLinked="1"/>
        <c:majorTickMark val="out"/>
        <c:minorTickMark val="none"/>
        <c:tickLblPos val="none"/>
        <c:crossAx val="368115176"/>
        <c:crosses val="autoZero"/>
        <c:crossBetween val="between"/>
        <c:majorUnit val="1000"/>
      </c:valAx>
      <c:spPr>
        <a:noFill/>
        <a:ln w="9510">
          <a:noFill/>
          <a:prstDash val="solid"/>
        </a:ln>
      </c:spPr>
    </c:plotArea>
    <c:plotVisOnly val="1"/>
    <c:dispBlanksAs val="gap"/>
    <c:showDLblsOverMax val="0"/>
  </c:chart>
  <c:spPr>
    <a:gradFill rotWithShape="0">
      <a:gsLst>
        <a:gs pos="0">
          <a:srgbClr val="99CCFF"/>
        </a:gs>
        <a:gs pos="50000">
          <a:srgbClr val="99CCFF">
            <a:gamma/>
            <a:tint val="31765"/>
            <a:invGamma/>
          </a:srgbClr>
        </a:gs>
        <a:gs pos="100000">
          <a:srgbClr val="99CCFF"/>
        </a:gs>
      </a:gsLst>
      <a:lin ang="5400000" scaled="1"/>
    </a:gradFill>
    <a:ln w="3175">
      <a:solidFill>
        <a:srgbClr val="000000"/>
      </a:solidFill>
      <a:prstDash val="solid"/>
    </a:ln>
  </c:spPr>
  <c:txPr>
    <a:bodyPr/>
    <a:lstStyle/>
    <a:p>
      <a:pPr>
        <a:defRPr sz="899"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Times New Roman"/>
                <a:ea typeface="Times New Roman"/>
                <a:cs typeface="Times New Roman"/>
              </a:defRPr>
            </a:pPr>
            <a:r>
              <a:rPr lang="es-CR"/>
              <a:t>Gráfico N° 4 
Distibución del volumen de personas sentenciadas según grupo de edad y tipo</a:t>
            </a:r>
            <a:r>
              <a:rPr lang="es-CR" baseline="0"/>
              <a:t> de sentencia dictada </a:t>
            </a:r>
            <a:r>
              <a:rPr lang="es-CR"/>
              <a:t>durante el 2015</a:t>
            </a:r>
          </a:p>
        </c:rich>
      </c:tx>
      <c:layout>
        <c:manualLayout>
          <c:xMode val="edge"/>
          <c:yMode val="edge"/>
          <c:x val="0.13450292397660818"/>
          <c:y val="1.9543973941368226E-2"/>
        </c:manualLayout>
      </c:layout>
      <c:overlay val="0"/>
      <c:spPr>
        <a:noFill/>
        <a:ln w="19020">
          <a:noFill/>
        </a:ln>
      </c:spPr>
    </c:title>
    <c:autoTitleDeleted val="0"/>
    <c:plotArea>
      <c:layout>
        <c:manualLayout>
          <c:layoutTarget val="inner"/>
          <c:xMode val="edge"/>
          <c:yMode val="edge"/>
          <c:x val="0.22358307048626996"/>
          <c:y val="0.32059515835755098"/>
          <c:w val="0.73623930052371089"/>
          <c:h val="0.60249811349793214"/>
        </c:manualLayout>
      </c:layout>
      <c:barChart>
        <c:barDir val="bar"/>
        <c:grouping val="stacked"/>
        <c:varyColors val="0"/>
        <c:ser>
          <c:idx val="0"/>
          <c:order val="0"/>
          <c:tx>
            <c:strRef>
              <c:f>Hoja1!$C$1</c:f>
              <c:strCache>
                <c:ptCount val="1"/>
                <c:pt idx="0">
                  <c:v>Condenatoria</c:v>
                </c:pt>
              </c:strCache>
            </c:strRef>
          </c:tx>
          <c:spPr>
            <a:solidFill>
              <a:schemeClr val="accent1"/>
            </a:solidFill>
            <a:ln w="6350">
              <a:solidFill>
                <a:srgbClr val="000000"/>
              </a:solidFill>
              <a:prstDash val="solid"/>
            </a:ln>
          </c:spPr>
          <c:invertIfNegative val="0"/>
          <c:dLbls>
            <c:dLbl>
              <c:idx val="0"/>
              <c:layout>
                <c:manualLayout>
                  <c:x val="5.5710112939094114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DC-4DA7-9439-0D0881B04B40}"/>
                </c:ext>
              </c:extLst>
            </c:dLbl>
            <c:dLbl>
              <c:idx val="1"/>
              <c:layout>
                <c:manualLayout>
                  <c:x val="7.1958895879663226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DC-4DA7-9439-0D0881B04B40}"/>
                </c:ext>
              </c:extLst>
            </c:dLbl>
            <c:dLbl>
              <c:idx val="2"/>
              <c:layout>
                <c:manualLayout>
                  <c:x val="7.1958895879663226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DC-4DA7-9439-0D0881B04B40}"/>
                </c:ext>
              </c:extLst>
            </c:dLbl>
            <c:dLbl>
              <c:idx val="3"/>
              <c:layout>
                <c:manualLayout>
                  <c:x val="7.428015058545881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DC-4DA7-9439-0D0881B04B40}"/>
                </c:ext>
              </c:extLst>
            </c:dLbl>
            <c:dLbl>
              <c:idx val="4"/>
              <c:layout>
                <c:manualLayout>
                  <c:x val="7.1958895879663226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DC-4DA7-9439-0D0881B04B40}"/>
                </c:ext>
              </c:extLst>
            </c:dLbl>
            <c:dLbl>
              <c:idx val="5"/>
              <c:layout>
                <c:manualLayout>
                  <c:x val="5.3388858233298614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DC-4DA7-9439-0D0881B04B40}"/>
                </c:ext>
              </c:extLst>
            </c:dLbl>
            <c:dLbl>
              <c:idx val="6"/>
              <c:layout>
                <c:manualLayout>
                  <c:x val="5.5710112939094114E-2"/>
                  <c:y val="-6.0941448591182315E-17"/>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DC-4DA7-9439-0D0881B04B40}"/>
                </c:ext>
              </c:extLst>
            </c:dLbl>
            <c:dLbl>
              <c:idx val="7"/>
              <c:layout>
                <c:manualLayout>
                  <c:x val="5.1067603527502954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DC-4DA7-9439-0D0881B04B40}"/>
                </c:ext>
              </c:extLst>
            </c:dLbl>
            <c:dLbl>
              <c:idx val="8"/>
              <c:layout>
                <c:manualLayout>
                  <c:x val="5.8031367644889711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DC-4DA7-9439-0D0881B04B40}"/>
                </c:ext>
              </c:extLst>
            </c:dLbl>
            <c:dLbl>
              <c:idx val="9"/>
              <c:layout>
                <c:manualLayout>
                  <c:x val="5.5710112939094114E-2"/>
                  <c:y val="0"/>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9DC-4DA7-9439-0D0881B04B40}"/>
                </c:ext>
              </c:extLst>
            </c:dLbl>
            <c:dLbl>
              <c:idx val="10"/>
              <c:layout>
                <c:manualLayout>
                  <c:x val="5.1067603527502954E-2"/>
                  <c:y val="3.3241174141088936E-3"/>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9DC-4DA7-9439-0D0881B04B40}"/>
                </c:ext>
              </c:extLst>
            </c:dLbl>
            <c:spPr>
              <a:noFill/>
              <a:ln w="19020">
                <a:noFill/>
              </a:ln>
            </c:spPr>
            <c:txPr>
              <a:bodyPr/>
              <a:lstStyle/>
              <a:p>
                <a:pPr>
                  <a:defRPr sz="899" b="0" i="0" u="none" strike="noStrike" baseline="0">
                    <a:solidFill>
                      <a:schemeClr val="tx1"/>
                    </a:solidFill>
                    <a:latin typeface="Times New Roman"/>
                    <a:ea typeface="Times New Roman"/>
                    <a:cs typeface="Times New Roman"/>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Hoja1!$B$2:$B$12</c:f>
              <c:strCache>
                <c:ptCount val="11"/>
                <c:pt idx="0">
                  <c:v>Menos de 20 años</c:v>
                </c:pt>
                <c:pt idx="1">
                  <c:v>20 a 24 años</c:v>
                </c:pt>
                <c:pt idx="2">
                  <c:v>25 a 29 años</c:v>
                </c:pt>
                <c:pt idx="3">
                  <c:v>30 a 34 años</c:v>
                </c:pt>
                <c:pt idx="4">
                  <c:v>35 a 39 años</c:v>
                </c:pt>
                <c:pt idx="5">
                  <c:v>40 a 44 años</c:v>
                </c:pt>
                <c:pt idx="6">
                  <c:v>45 a 49 años</c:v>
                </c:pt>
                <c:pt idx="7">
                  <c:v>50 a 54 años</c:v>
                </c:pt>
                <c:pt idx="8">
                  <c:v>55 a 59 años</c:v>
                </c:pt>
                <c:pt idx="9">
                  <c:v>60 a 64 años</c:v>
                </c:pt>
                <c:pt idx="10">
                  <c:v>65 años y más</c:v>
                </c:pt>
              </c:strCache>
            </c:strRef>
          </c:cat>
          <c:val>
            <c:numRef>
              <c:f>Hoja1!$C$2:$C$12</c:f>
              <c:numCache>
                <c:formatCode>#,##0</c:formatCode>
                <c:ptCount val="11"/>
                <c:pt idx="0" formatCode="General">
                  <c:v>348</c:v>
                </c:pt>
                <c:pt idx="1">
                  <c:v>1602</c:v>
                </c:pt>
                <c:pt idx="2">
                  <c:v>1813</c:v>
                </c:pt>
                <c:pt idx="3">
                  <c:v>1545</c:v>
                </c:pt>
                <c:pt idx="4">
                  <c:v>1045</c:v>
                </c:pt>
                <c:pt idx="5">
                  <c:v>756</c:v>
                </c:pt>
                <c:pt idx="6" formatCode="General">
                  <c:v>579</c:v>
                </c:pt>
                <c:pt idx="7" formatCode="General">
                  <c:v>463</c:v>
                </c:pt>
                <c:pt idx="8" formatCode="General">
                  <c:v>362</c:v>
                </c:pt>
                <c:pt idx="9" formatCode="General">
                  <c:v>173</c:v>
                </c:pt>
                <c:pt idx="10" formatCode="General">
                  <c:v>185</c:v>
                </c:pt>
              </c:numCache>
            </c:numRef>
          </c:val>
          <c:extLst>
            <c:ext xmlns:c16="http://schemas.microsoft.com/office/drawing/2014/chart" uri="{C3380CC4-5D6E-409C-BE32-E72D297353CC}">
              <c16:uniqueId val="{0000000B-B9DC-4DA7-9439-0D0881B04B40}"/>
            </c:ext>
          </c:extLst>
        </c:ser>
        <c:ser>
          <c:idx val="1"/>
          <c:order val="1"/>
          <c:tx>
            <c:strRef>
              <c:f>Hoja1!$D$1</c:f>
              <c:strCache>
                <c:ptCount val="1"/>
                <c:pt idx="0">
                  <c:v>Absolutoria</c:v>
                </c:pt>
              </c:strCache>
            </c:strRef>
          </c:tx>
          <c:spPr>
            <a:solidFill>
              <a:schemeClr val="accent3">
                <a:lumMod val="75000"/>
              </a:schemeClr>
            </a:solidFill>
            <a:ln w="6350">
              <a:solidFill>
                <a:schemeClr val="tx1"/>
              </a:solidFill>
            </a:ln>
          </c:spPr>
          <c:invertIfNegative val="0"/>
          <c:dPt>
            <c:idx val="3"/>
            <c:invertIfNegative val="0"/>
            <c:bubble3D val="0"/>
            <c:spPr>
              <a:solidFill>
                <a:schemeClr val="accent3">
                  <a:lumMod val="75000"/>
                </a:schemeClr>
              </a:solidFill>
              <a:ln w="6350">
                <a:solidFill>
                  <a:sysClr val="windowText" lastClr="000000"/>
                </a:solidFill>
              </a:ln>
            </c:spPr>
            <c:extLst>
              <c:ext xmlns:c16="http://schemas.microsoft.com/office/drawing/2014/chart" uri="{C3380CC4-5D6E-409C-BE32-E72D297353CC}">
                <c16:uniqueId val="{0000000C-B9DC-4DA7-9439-0D0881B04B40}"/>
              </c:ext>
            </c:extLst>
          </c:dPt>
          <c:dLbls>
            <c:dLbl>
              <c:idx val="0"/>
              <c:layout>
                <c:manualLayout>
                  <c:x val="-5.1067603527502954E-2"/>
                  <c:y val="0"/>
                </c:manualLayout>
              </c:layout>
              <c:tx>
                <c:rich>
                  <a:bodyPr/>
                  <a:lstStyle/>
                  <a:p>
                    <a:r>
                      <a:rPr lang="en-US" b="1"/>
                      <a:t>55</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9DC-4DA7-9439-0D0881B04B40}"/>
                </c:ext>
              </c:extLst>
            </c:dLbl>
            <c:dLbl>
              <c:idx val="1"/>
              <c:layout>
                <c:manualLayout>
                  <c:x val="-5.5710112939094114E-2"/>
                  <c:y val="0"/>
                </c:manualLayout>
              </c:layout>
              <c:tx>
                <c:rich>
                  <a:bodyPr/>
                  <a:lstStyle/>
                  <a:p>
                    <a:r>
                      <a:rPr lang="en-US" b="1"/>
                      <a:t>521</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9DC-4DA7-9439-0D0881B04B40}"/>
                </c:ext>
              </c:extLst>
            </c:dLbl>
            <c:dLbl>
              <c:idx val="2"/>
              <c:layout>
                <c:manualLayout>
                  <c:x val="-5.8031367644889711E-2"/>
                  <c:y val="0"/>
                </c:manualLayout>
              </c:layout>
              <c:tx>
                <c:rich>
                  <a:bodyPr/>
                  <a:lstStyle/>
                  <a:p>
                    <a:r>
                      <a:rPr lang="en-US" b="1"/>
                      <a:t>760</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9DC-4DA7-9439-0D0881B04B40}"/>
                </c:ext>
              </c:extLst>
            </c:dLbl>
            <c:dLbl>
              <c:idx val="3"/>
              <c:layout>
                <c:manualLayout>
                  <c:x val="-6.0352622350685683E-2"/>
                  <c:y val="0"/>
                </c:manualLayout>
              </c:layout>
              <c:tx>
                <c:rich>
                  <a:bodyPr/>
                  <a:lstStyle/>
                  <a:p>
                    <a:r>
                      <a:rPr lang="en-US" b="1"/>
                      <a:t>677</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9DC-4DA7-9439-0D0881B04B40}"/>
                </c:ext>
              </c:extLst>
            </c:dLbl>
            <c:dLbl>
              <c:idx val="4"/>
              <c:layout>
                <c:manualLayout>
                  <c:x val="-5.5710112939094114E-2"/>
                  <c:y val="3.3241174141088632E-3"/>
                </c:manualLayout>
              </c:layout>
              <c:tx>
                <c:rich>
                  <a:bodyPr/>
                  <a:lstStyle/>
                  <a:p>
                    <a:r>
                      <a:rPr lang="en-US" b="1"/>
                      <a:t>520</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9DC-4DA7-9439-0D0881B04B40}"/>
                </c:ext>
              </c:extLst>
            </c:dLbl>
            <c:dLbl>
              <c:idx val="5"/>
              <c:layout>
                <c:manualLayout>
                  <c:x val="-6.0352622350685683E-2"/>
                  <c:y val="0"/>
                </c:manualLayout>
              </c:layout>
              <c:tx>
                <c:rich>
                  <a:bodyPr/>
                  <a:lstStyle/>
                  <a:p>
                    <a:r>
                      <a:rPr lang="en-US" b="1"/>
                      <a:t>385</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9DC-4DA7-9439-0D0881B04B40}"/>
                </c:ext>
              </c:extLst>
            </c:dLbl>
            <c:dLbl>
              <c:idx val="6"/>
              <c:layout>
                <c:manualLayout>
                  <c:x val="-5.8031367644889711E-2"/>
                  <c:y val="6.0941448591182315E-17"/>
                </c:manualLayout>
              </c:layout>
              <c:tx>
                <c:rich>
                  <a:bodyPr/>
                  <a:lstStyle/>
                  <a:p>
                    <a:r>
                      <a:rPr lang="en-US" b="1"/>
                      <a:t>384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9DC-4DA7-9439-0D0881B04B40}"/>
                </c:ext>
              </c:extLst>
            </c:dLbl>
            <c:dLbl>
              <c:idx val="7"/>
              <c:layout>
                <c:manualLayout>
                  <c:x val="-5.5710112939094114E-2"/>
                  <c:y val="-3.3241174141088632E-3"/>
                </c:manualLayout>
              </c:layout>
              <c:tx>
                <c:rich>
                  <a:bodyPr/>
                  <a:lstStyle/>
                  <a:p>
                    <a:r>
                      <a:rPr lang="en-US" b="1"/>
                      <a:t>287</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9DC-4DA7-9439-0D0881B04B40}"/>
                </c:ext>
              </c:extLst>
            </c:dLbl>
            <c:dLbl>
              <c:idx val="8"/>
              <c:layout>
                <c:manualLayout>
                  <c:x val="-5.8031367644889663E-2"/>
                  <c:y val="0"/>
                </c:manualLayout>
              </c:layout>
              <c:tx>
                <c:rich>
                  <a:bodyPr/>
                  <a:lstStyle/>
                  <a:p>
                    <a:r>
                      <a:rPr lang="en-US" b="1"/>
                      <a:t>203</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9DC-4DA7-9439-0D0881B04B40}"/>
                </c:ext>
              </c:extLst>
            </c:dLbl>
            <c:dLbl>
              <c:idx val="9"/>
              <c:layout>
                <c:manualLayout>
                  <c:x val="-5.5710112939094183E-2"/>
                  <c:y val="0"/>
                </c:manualLayout>
              </c:layout>
              <c:tx>
                <c:rich>
                  <a:bodyPr/>
                  <a:lstStyle/>
                  <a:p>
                    <a:r>
                      <a:rPr lang="en-US" b="1"/>
                      <a:t>129</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9DC-4DA7-9439-0D0881B04B40}"/>
                </c:ext>
              </c:extLst>
            </c:dLbl>
            <c:dLbl>
              <c:idx val="10"/>
              <c:layout>
                <c:manualLayout>
                  <c:x val="-5.5710112939094114E-2"/>
                  <c:y val="5.2348305733997912E-7"/>
                </c:manualLayout>
              </c:layout>
              <c:tx>
                <c:rich>
                  <a:bodyPr/>
                  <a:lstStyle/>
                  <a:p>
                    <a:r>
                      <a:rPr lang="en-US" b="1"/>
                      <a:t>174</a:t>
                    </a:r>
                  </a:p>
                </c:rich>
              </c:tx>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9DC-4DA7-9439-0D0881B04B40}"/>
                </c:ext>
              </c:extLst>
            </c:dLbl>
            <c:numFmt formatCode="#,##0" sourceLinked="0"/>
            <c:spPr>
              <a:noFill/>
              <a:ln>
                <a:noFill/>
              </a:ln>
            </c:spPr>
            <c:txPr>
              <a:bodyPr/>
              <a:lstStyle/>
              <a:p>
                <a:pPr>
                  <a:defRPr b="1"/>
                </a:pPr>
                <a:endParaRPr lang="es-C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Hoja1!$B$2:$B$12</c:f>
              <c:strCache>
                <c:ptCount val="11"/>
                <c:pt idx="0">
                  <c:v>Menos de 20 años</c:v>
                </c:pt>
                <c:pt idx="1">
                  <c:v>20 a 24 años</c:v>
                </c:pt>
                <c:pt idx="2">
                  <c:v>25 a 29 años</c:v>
                </c:pt>
                <c:pt idx="3">
                  <c:v>30 a 34 años</c:v>
                </c:pt>
                <c:pt idx="4">
                  <c:v>35 a 39 años</c:v>
                </c:pt>
                <c:pt idx="5">
                  <c:v>40 a 44 años</c:v>
                </c:pt>
                <c:pt idx="6">
                  <c:v>45 a 49 años</c:v>
                </c:pt>
                <c:pt idx="7">
                  <c:v>50 a 54 años</c:v>
                </c:pt>
                <c:pt idx="8">
                  <c:v>55 a 59 años</c:v>
                </c:pt>
                <c:pt idx="9">
                  <c:v>60 a 64 años</c:v>
                </c:pt>
                <c:pt idx="10">
                  <c:v>65 años y más</c:v>
                </c:pt>
              </c:strCache>
            </c:strRef>
          </c:cat>
          <c:val>
            <c:numRef>
              <c:f>Hoja1!$D$2:$D$12</c:f>
              <c:numCache>
                <c:formatCode>#,##0</c:formatCode>
                <c:ptCount val="11"/>
                <c:pt idx="0" formatCode="General">
                  <c:v>-55</c:v>
                </c:pt>
                <c:pt idx="1">
                  <c:v>-521</c:v>
                </c:pt>
                <c:pt idx="2">
                  <c:v>-760</c:v>
                </c:pt>
                <c:pt idx="3">
                  <c:v>-677</c:v>
                </c:pt>
                <c:pt idx="4">
                  <c:v>-520</c:v>
                </c:pt>
                <c:pt idx="5">
                  <c:v>-385</c:v>
                </c:pt>
                <c:pt idx="6" formatCode="General">
                  <c:v>-384</c:v>
                </c:pt>
                <c:pt idx="7" formatCode="General">
                  <c:v>-287</c:v>
                </c:pt>
                <c:pt idx="8" formatCode="General">
                  <c:v>-203</c:v>
                </c:pt>
                <c:pt idx="9" formatCode="General">
                  <c:v>-129</c:v>
                </c:pt>
                <c:pt idx="10" formatCode="General">
                  <c:v>-174</c:v>
                </c:pt>
              </c:numCache>
            </c:numRef>
          </c:val>
          <c:extLst>
            <c:ext xmlns:c16="http://schemas.microsoft.com/office/drawing/2014/chart" uri="{C3380CC4-5D6E-409C-BE32-E72D297353CC}">
              <c16:uniqueId val="{00000017-B9DC-4DA7-9439-0D0881B04B40}"/>
            </c:ext>
          </c:extLst>
        </c:ser>
        <c:dLbls>
          <c:showLegendKey val="0"/>
          <c:showVal val="1"/>
          <c:showCatName val="0"/>
          <c:showSerName val="0"/>
          <c:showPercent val="0"/>
          <c:showBubbleSize val="0"/>
        </c:dLbls>
        <c:gapWidth val="0"/>
        <c:overlap val="100"/>
        <c:axId val="223545216"/>
        <c:axId val="223596544"/>
      </c:barChart>
      <c:catAx>
        <c:axId val="223545216"/>
        <c:scaling>
          <c:orientation val="minMax"/>
        </c:scaling>
        <c:delete val="0"/>
        <c:axPos val="l"/>
        <c:title>
          <c:tx>
            <c:rich>
              <a:bodyPr/>
              <a:lstStyle/>
              <a:p>
                <a:pPr>
                  <a:defRPr sz="1000" b="1" i="0" u="none" strike="noStrike" baseline="0">
                    <a:solidFill>
                      <a:srgbClr val="000000"/>
                    </a:solidFill>
                    <a:latin typeface="Times New Roman"/>
                    <a:ea typeface="Times New Roman"/>
                    <a:cs typeface="Times New Roman"/>
                  </a:defRPr>
                </a:pPr>
                <a:r>
                  <a:rPr lang="es-CR" sz="1000"/>
                  <a:t>Grupos de edad</a:t>
                </a:r>
              </a:p>
            </c:rich>
          </c:tx>
          <c:layout>
            <c:manualLayout>
              <c:xMode val="edge"/>
              <c:yMode val="edge"/>
              <c:x val="1.3157894736842111E-2"/>
              <c:y val="0.42671009771987339"/>
            </c:manualLayout>
          </c:layout>
          <c:overlay val="0"/>
          <c:spPr>
            <a:noFill/>
            <a:ln w="19020">
              <a:noFill/>
            </a:ln>
          </c:spPr>
        </c:title>
        <c:numFmt formatCode="General" sourceLinked="1"/>
        <c:majorTickMark val="cross"/>
        <c:minorTickMark val="none"/>
        <c:tickLblPos val="low"/>
        <c:spPr>
          <a:ln w="2378">
            <a:solidFill>
              <a:srgbClr val="000000"/>
            </a:solidFill>
            <a:prstDash val="solid"/>
          </a:ln>
          <a:effectLst/>
        </c:spPr>
        <c:txPr>
          <a:bodyPr rot="0" vert="horz"/>
          <a:lstStyle/>
          <a:p>
            <a:pPr>
              <a:defRPr sz="800" b="0" i="0" u="none" strike="noStrike" baseline="0">
                <a:solidFill>
                  <a:srgbClr val="000000"/>
                </a:solidFill>
                <a:latin typeface="Times New Roman"/>
                <a:ea typeface="Times New Roman"/>
                <a:cs typeface="Times New Roman"/>
              </a:defRPr>
            </a:pPr>
            <a:endParaRPr lang="es-CR"/>
          </a:p>
        </c:txPr>
        <c:crossAx val="223596544"/>
        <c:crosses val="autoZero"/>
        <c:auto val="1"/>
        <c:lblAlgn val="ctr"/>
        <c:lblOffset val="100"/>
        <c:tickLblSkip val="1"/>
        <c:tickMarkSkip val="1"/>
        <c:noMultiLvlLbl val="0"/>
      </c:catAx>
      <c:valAx>
        <c:axId val="223596544"/>
        <c:scaling>
          <c:orientation val="minMax"/>
          <c:max val="2000"/>
          <c:min val="-1000"/>
        </c:scaling>
        <c:delete val="1"/>
        <c:axPos val="b"/>
        <c:numFmt formatCode="General" sourceLinked="1"/>
        <c:majorTickMark val="out"/>
        <c:minorTickMark val="none"/>
        <c:tickLblPos val="none"/>
        <c:crossAx val="223545216"/>
        <c:crosses val="autoZero"/>
        <c:crossBetween val="between"/>
        <c:majorUnit val="1000"/>
      </c:valAx>
      <c:spPr>
        <a:noFill/>
        <a:ln w="9510">
          <a:noFill/>
          <a:prstDash val="solid"/>
        </a:ln>
      </c:spPr>
    </c:plotArea>
    <c:plotVisOnly val="1"/>
    <c:dispBlanksAs val="gap"/>
    <c:showDLblsOverMax val="0"/>
  </c:chart>
  <c:spPr>
    <a:gradFill rotWithShape="0">
      <a:gsLst>
        <a:gs pos="0">
          <a:srgbClr val="99CCFF"/>
        </a:gs>
        <a:gs pos="50000">
          <a:srgbClr val="99CCFF">
            <a:gamma/>
            <a:tint val="31765"/>
            <a:invGamma/>
          </a:srgbClr>
        </a:gs>
        <a:gs pos="100000">
          <a:srgbClr val="99CCFF"/>
        </a:gs>
      </a:gsLst>
      <a:lin ang="5400000" scaled="1"/>
    </a:gradFill>
    <a:ln w="3175">
      <a:solidFill>
        <a:srgbClr val="000000"/>
      </a:solidFill>
      <a:prstDash val="solid"/>
    </a:ln>
  </c:spPr>
  <c:txPr>
    <a:bodyPr/>
    <a:lstStyle/>
    <a:p>
      <a:pPr>
        <a:defRPr sz="899"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694628707516785"/>
          <c:y val="0.25418268499781105"/>
          <c:w val="0.72438593613298363"/>
          <c:h val="0.60970311668004162"/>
        </c:manualLayout>
      </c:layout>
      <c:barChart>
        <c:barDir val="bar"/>
        <c:grouping val="clustered"/>
        <c:varyColors val="0"/>
        <c:ser>
          <c:idx val="0"/>
          <c:order val="0"/>
          <c:tx>
            <c:strRef>
              <c:f>Hoja1!$B$1</c:f>
              <c:strCache>
                <c:ptCount val="1"/>
                <c:pt idx="0">
                  <c:v>2014</c:v>
                </c:pt>
              </c:strCache>
            </c:strRef>
          </c:tx>
          <c:invertIfNegative val="0"/>
          <c:dLbls>
            <c:numFmt formatCode="#,##0" sourceLinked="0"/>
            <c:spPr>
              <a:noFill/>
              <a:ln>
                <a:noFill/>
              </a:ln>
              <a:effectLst/>
            </c:spPr>
            <c:txPr>
              <a:bodyPr/>
              <a:lstStyle/>
              <a:p>
                <a:pPr>
                  <a:defRPr sz="900">
                    <a:latin typeface="Times New Roman" pitchFamily="18" charset="0"/>
                    <a:cs typeface="Times New Roman" pitchFamily="18" charset="0"/>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Hoja1!$A$2:$A$8</c:f>
              <c:strCache>
                <c:ptCount val="7"/>
                <c:pt idx="0">
                  <c:v>Viudo</c:v>
                </c:pt>
                <c:pt idx="1">
                  <c:v>Separado</c:v>
                </c:pt>
                <c:pt idx="2">
                  <c:v>Divorciado</c:v>
                </c:pt>
                <c:pt idx="3">
                  <c:v>Unión libre</c:v>
                </c:pt>
                <c:pt idx="4">
                  <c:v>Casado</c:v>
                </c:pt>
                <c:pt idx="5">
                  <c:v>Soltero</c:v>
                </c:pt>
                <c:pt idx="6">
                  <c:v>Desconocido</c:v>
                </c:pt>
              </c:strCache>
            </c:strRef>
          </c:cat>
          <c:val>
            <c:numRef>
              <c:f>Hoja1!$B$2:$B$8</c:f>
              <c:numCache>
                <c:formatCode>General</c:formatCode>
                <c:ptCount val="7"/>
                <c:pt idx="0" formatCode="#,##0">
                  <c:v>104</c:v>
                </c:pt>
                <c:pt idx="1">
                  <c:v>315</c:v>
                </c:pt>
                <c:pt idx="2">
                  <c:v>810</c:v>
                </c:pt>
                <c:pt idx="3">
                  <c:v>2331</c:v>
                </c:pt>
                <c:pt idx="4" formatCode="#,##0">
                  <c:v>2824</c:v>
                </c:pt>
                <c:pt idx="5" formatCode="#,##0">
                  <c:v>6933</c:v>
                </c:pt>
                <c:pt idx="6">
                  <c:v>43</c:v>
                </c:pt>
              </c:numCache>
            </c:numRef>
          </c:val>
          <c:extLst xmlns:c16r2="http://schemas.microsoft.com/office/drawing/2015/06/chart">
            <c:ext xmlns:c16="http://schemas.microsoft.com/office/drawing/2014/chart" uri="{C3380CC4-5D6E-409C-BE32-E72D297353CC}">
              <c16:uniqueId val="{00000000-14FC-45FC-8167-0A315353A04D}"/>
            </c:ext>
          </c:extLst>
        </c:ser>
        <c:ser>
          <c:idx val="1"/>
          <c:order val="1"/>
          <c:tx>
            <c:strRef>
              <c:f>Hoja1!$C$1</c:f>
              <c:strCache>
                <c:ptCount val="1"/>
                <c:pt idx="0">
                  <c:v>2015</c:v>
                </c:pt>
              </c:strCache>
            </c:strRef>
          </c:tx>
          <c:spPr>
            <a:solidFill>
              <a:schemeClr val="accent1">
                <a:lumMod val="40000"/>
                <a:lumOff val="60000"/>
              </a:schemeClr>
            </a:solidFill>
          </c:spPr>
          <c:invertIfNegative val="0"/>
          <c:dLbls>
            <c:numFmt formatCode="#,##0" sourceLinked="0"/>
            <c:spPr>
              <a:noFill/>
              <a:ln>
                <a:noFill/>
              </a:ln>
              <a:effectLst/>
            </c:spPr>
            <c:txPr>
              <a:bodyPr/>
              <a:lstStyle/>
              <a:p>
                <a:pPr>
                  <a:defRPr sz="900">
                    <a:latin typeface="Times New Roman" pitchFamily="18" charset="0"/>
                    <a:cs typeface="Times New Roman" pitchFamily="18" charset="0"/>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Hoja1!$A$2:$A$8</c:f>
              <c:strCache>
                <c:ptCount val="7"/>
                <c:pt idx="0">
                  <c:v>Viudo</c:v>
                </c:pt>
                <c:pt idx="1">
                  <c:v>Separado</c:v>
                </c:pt>
                <c:pt idx="2">
                  <c:v>Divorciado</c:v>
                </c:pt>
                <c:pt idx="3">
                  <c:v>Unión libre</c:v>
                </c:pt>
                <c:pt idx="4">
                  <c:v>Casado</c:v>
                </c:pt>
                <c:pt idx="5">
                  <c:v>Soltero</c:v>
                </c:pt>
                <c:pt idx="6">
                  <c:v>Desconocido</c:v>
                </c:pt>
              </c:strCache>
            </c:strRef>
          </c:cat>
          <c:val>
            <c:numRef>
              <c:f>Hoja1!$C$2:$C$8</c:f>
              <c:numCache>
                <c:formatCode>General</c:formatCode>
                <c:ptCount val="7"/>
                <c:pt idx="0" formatCode="#,##0">
                  <c:v>128</c:v>
                </c:pt>
                <c:pt idx="1">
                  <c:v>116</c:v>
                </c:pt>
                <c:pt idx="2">
                  <c:v>905</c:v>
                </c:pt>
                <c:pt idx="3">
                  <c:v>1929</c:v>
                </c:pt>
                <c:pt idx="4" formatCode="#,##0">
                  <c:v>2653</c:v>
                </c:pt>
                <c:pt idx="5" formatCode="#,##0">
                  <c:v>7235</c:v>
                </c:pt>
                <c:pt idx="6">
                  <c:v>0</c:v>
                </c:pt>
              </c:numCache>
            </c:numRef>
          </c:val>
          <c:extLst xmlns:c16r2="http://schemas.microsoft.com/office/drawing/2015/06/chart">
            <c:ext xmlns:c16="http://schemas.microsoft.com/office/drawing/2014/chart" uri="{C3380CC4-5D6E-409C-BE32-E72D297353CC}">
              <c16:uniqueId val="{00000001-14FC-45FC-8167-0A315353A04D}"/>
            </c:ext>
          </c:extLst>
        </c:ser>
        <c:dLbls>
          <c:showLegendKey val="0"/>
          <c:showVal val="0"/>
          <c:showCatName val="0"/>
          <c:showSerName val="0"/>
          <c:showPercent val="0"/>
          <c:showBubbleSize val="0"/>
        </c:dLbls>
        <c:gapWidth val="95"/>
        <c:axId val="152513368"/>
        <c:axId val="280800872"/>
      </c:barChart>
      <c:catAx>
        <c:axId val="15251336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s-CR"/>
          </a:p>
        </c:txPr>
        <c:crossAx val="280800872"/>
        <c:crosses val="autoZero"/>
        <c:auto val="1"/>
        <c:lblAlgn val="ctr"/>
        <c:lblOffset val="100"/>
        <c:noMultiLvlLbl val="0"/>
      </c:catAx>
      <c:valAx>
        <c:axId val="280800872"/>
        <c:scaling>
          <c:orientation val="minMax"/>
          <c:max val="8000"/>
        </c:scaling>
        <c:delete val="0"/>
        <c:axPos val="b"/>
        <c:majorGridlines/>
        <c:numFmt formatCode="#,##0" sourceLinked="1"/>
        <c:majorTickMark val="out"/>
        <c:minorTickMark val="none"/>
        <c:tickLblPos val="nextTo"/>
        <c:crossAx val="152513368"/>
        <c:crosses val="autoZero"/>
        <c:crossBetween val="between"/>
        <c:majorUnit val="8000"/>
      </c:valAx>
      <c:spPr>
        <a:solidFill>
          <a:srgbClr val="FFFFCC"/>
        </a:solidFill>
        <a:ln w="12700">
          <a:solidFill>
            <a:srgbClr val="000000"/>
          </a:solidFill>
        </a:ln>
      </c:spPr>
    </c:plotArea>
    <c:legend>
      <c:legendPos val="r"/>
      <c:layout>
        <c:manualLayout>
          <c:xMode val="edge"/>
          <c:yMode val="edge"/>
          <c:x val="0.74221226797548345"/>
          <c:y val="0.69976641660986161"/>
          <c:w val="9.0563977521041727E-2"/>
          <c:h val="0.10767976255020208"/>
        </c:manualLayout>
      </c:layout>
      <c:overlay val="0"/>
      <c:spPr>
        <a:solidFill>
          <a:schemeClr val="accent6">
            <a:lumMod val="20000"/>
            <a:lumOff val="80000"/>
          </a:schemeClr>
        </a:solidFill>
        <a:ln>
          <a:solidFill>
            <a:srgbClr val="000000"/>
          </a:solidFill>
        </a:ln>
        <a:effectLst>
          <a:outerShdw blurRad="25400" dist="38100" dir="8100000" algn="tr" rotWithShape="0">
            <a:prstClr val="black"/>
          </a:outerShdw>
        </a:effectLst>
      </c:spPr>
      <c:txPr>
        <a:bodyPr/>
        <a:lstStyle/>
        <a:p>
          <a:pPr>
            <a:defRPr>
              <a:latin typeface="Times New Roman" pitchFamily="18" charset="0"/>
              <a:cs typeface="Times New Roman" pitchFamily="18" charset="0"/>
            </a:defRPr>
          </a:pPr>
          <a:endParaRPr lang="es-CR"/>
        </a:p>
      </c:txPr>
    </c:legend>
    <c:plotVisOnly val="1"/>
    <c:dispBlanksAs val="gap"/>
    <c:showDLblsOverMax val="0"/>
  </c:chart>
  <c:spPr>
    <a:gradFill>
      <a:gsLst>
        <a:gs pos="0">
          <a:srgbClr val="5E9EFF"/>
        </a:gs>
        <a:gs pos="39999">
          <a:srgbClr val="85C2FF"/>
        </a:gs>
        <a:gs pos="70000">
          <a:srgbClr val="C4D6EB"/>
        </a:gs>
        <a:gs pos="100000">
          <a:srgbClr val="FFEBFA"/>
        </a:gs>
      </a:gsLst>
      <a:lin ang="5400000" scaled="0"/>
    </a:gradFill>
    <a:ln w="6350">
      <a:solidFill>
        <a:schemeClr val="tx1"/>
      </a:solid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0137057577310142"/>
          <c:y val="0.25418262529125424"/>
          <c:w val="0.55912533605629544"/>
          <c:h val="0.60970311668004185"/>
        </c:manualLayout>
      </c:layout>
      <c:barChart>
        <c:barDir val="bar"/>
        <c:grouping val="clustered"/>
        <c:varyColors val="0"/>
        <c:ser>
          <c:idx val="0"/>
          <c:order val="0"/>
          <c:tx>
            <c:strRef>
              <c:f>Hoja1!$B$1</c:f>
              <c:strCache>
                <c:ptCount val="1"/>
                <c:pt idx="0">
                  <c:v>Flagrancia</c:v>
                </c:pt>
              </c:strCache>
            </c:strRef>
          </c:tx>
          <c:invertIfNegative val="0"/>
          <c:dLbls>
            <c:spPr>
              <a:noFill/>
              <a:ln>
                <a:noFill/>
              </a:ln>
              <a:effectLst/>
            </c:spPr>
            <c:txPr>
              <a:bodyPr/>
              <a:lstStyle/>
              <a:p>
                <a:pPr>
                  <a:defRPr sz="900">
                    <a:solidFill>
                      <a:schemeClr val="accent2"/>
                    </a:solidFill>
                    <a:latin typeface="Times New Roman" pitchFamily="18" charset="0"/>
                    <a:cs typeface="Times New Roman" pitchFamily="18" charset="0"/>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Hoja1!$A$2:$A$10</c:f>
              <c:strCache>
                <c:ptCount val="9"/>
                <c:pt idx="0">
                  <c:v>Otros</c:v>
                </c:pt>
                <c:pt idx="1">
                  <c:v>Infracción ley de armas y explosivos</c:v>
                </c:pt>
                <c:pt idx="2">
                  <c:v>Contra la autoridad pública</c:v>
                </c:pt>
                <c:pt idx="3">
                  <c:v>Contra la seguridad común</c:v>
                </c:pt>
                <c:pt idx="4">
                  <c:v>Infrac. Penaliz. Violencia contra la Mujer</c:v>
                </c:pt>
                <c:pt idx="5">
                  <c:v>Infracción ley de sicotrópicos</c:v>
                </c:pt>
                <c:pt idx="6">
                  <c:v>Sexuales</c:v>
                </c:pt>
                <c:pt idx="7">
                  <c:v>Contra la vida</c:v>
                </c:pt>
                <c:pt idx="8">
                  <c:v>Contra la propiedad</c:v>
                </c:pt>
              </c:strCache>
            </c:strRef>
          </c:cat>
          <c:val>
            <c:numRef>
              <c:f>Hoja1!$B$2:$B$10</c:f>
              <c:numCache>
                <c:formatCode>General</c:formatCode>
                <c:ptCount val="9"/>
                <c:pt idx="0">
                  <c:v>205</c:v>
                </c:pt>
                <c:pt idx="1">
                  <c:v>282</c:v>
                </c:pt>
                <c:pt idx="2">
                  <c:v>279</c:v>
                </c:pt>
                <c:pt idx="3">
                  <c:v>263</c:v>
                </c:pt>
                <c:pt idx="4">
                  <c:v>358</c:v>
                </c:pt>
                <c:pt idx="5">
                  <c:v>77</c:v>
                </c:pt>
                <c:pt idx="6">
                  <c:v>40</c:v>
                </c:pt>
                <c:pt idx="7">
                  <c:v>78</c:v>
                </c:pt>
                <c:pt idx="8">
                  <c:v>1583</c:v>
                </c:pt>
              </c:numCache>
            </c:numRef>
          </c:val>
          <c:extLst xmlns:c16r2="http://schemas.microsoft.com/office/drawing/2015/06/chart">
            <c:ext xmlns:c16="http://schemas.microsoft.com/office/drawing/2014/chart" uri="{C3380CC4-5D6E-409C-BE32-E72D297353CC}">
              <c16:uniqueId val="{00000000-AD1C-4333-A9E5-B142E41563BA}"/>
            </c:ext>
          </c:extLst>
        </c:ser>
        <c:ser>
          <c:idx val="1"/>
          <c:order val="1"/>
          <c:tx>
            <c:strRef>
              <c:f>Hoja1!$C$1</c:f>
              <c:strCache>
                <c:ptCount val="1"/>
                <c:pt idx="0">
                  <c:v>Ordinario</c:v>
                </c:pt>
              </c:strCache>
            </c:strRef>
          </c:tx>
          <c:spPr>
            <a:solidFill>
              <a:schemeClr val="accent1">
                <a:lumMod val="40000"/>
                <a:lumOff val="60000"/>
              </a:schemeClr>
            </a:solidFill>
          </c:spPr>
          <c:invertIfNegative val="0"/>
          <c:dLbls>
            <c:spPr>
              <a:noFill/>
              <a:ln>
                <a:noFill/>
              </a:ln>
              <a:effectLst/>
            </c:spPr>
            <c:txPr>
              <a:bodyPr/>
              <a:lstStyle/>
              <a:p>
                <a:pPr>
                  <a:defRPr sz="900">
                    <a:latin typeface="Times New Roman" pitchFamily="18" charset="0"/>
                    <a:cs typeface="Times New Roman" pitchFamily="18" charset="0"/>
                  </a:defRPr>
                </a:pPr>
                <a:endParaRPr lang="es-C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Hoja1!$A$2:$A$10</c:f>
              <c:strCache>
                <c:ptCount val="9"/>
                <c:pt idx="0">
                  <c:v>Otros</c:v>
                </c:pt>
                <c:pt idx="1">
                  <c:v>Infracción ley de armas y explosivos</c:v>
                </c:pt>
                <c:pt idx="2">
                  <c:v>Contra la autoridad pública</c:v>
                </c:pt>
                <c:pt idx="3">
                  <c:v>Contra la seguridad común</c:v>
                </c:pt>
                <c:pt idx="4">
                  <c:v>Infrac. Penaliz. Violencia contra la Mujer</c:v>
                </c:pt>
                <c:pt idx="5">
                  <c:v>Infracción ley de sicotrópicos</c:v>
                </c:pt>
                <c:pt idx="6">
                  <c:v>Sexuales</c:v>
                </c:pt>
                <c:pt idx="7">
                  <c:v>Contra la vida</c:v>
                </c:pt>
                <c:pt idx="8">
                  <c:v>Contra la propiedad</c:v>
                </c:pt>
              </c:strCache>
            </c:strRef>
          </c:cat>
          <c:val>
            <c:numRef>
              <c:f>Hoja1!$C$2:$C$10</c:f>
              <c:numCache>
                <c:formatCode>General</c:formatCode>
                <c:ptCount val="9"/>
                <c:pt idx="0">
                  <c:v>735</c:v>
                </c:pt>
                <c:pt idx="1">
                  <c:v>182</c:v>
                </c:pt>
                <c:pt idx="2">
                  <c:v>240</c:v>
                </c:pt>
                <c:pt idx="3">
                  <c:v>288</c:v>
                </c:pt>
                <c:pt idx="4">
                  <c:v>500</c:v>
                </c:pt>
                <c:pt idx="5">
                  <c:v>848</c:v>
                </c:pt>
                <c:pt idx="6">
                  <c:v>1097</c:v>
                </c:pt>
                <c:pt idx="7">
                  <c:v>1228</c:v>
                </c:pt>
                <c:pt idx="8">
                  <c:v>2798</c:v>
                </c:pt>
              </c:numCache>
            </c:numRef>
          </c:val>
          <c:extLst xmlns:c16r2="http://schemas.microsoft.com/office/drawing/2015/06/chart">
            <c:ext xmlns:c16="http://schemas.microsoft.com/office/drawing/2014/chart" uri="{C3380CC4-5D6E-409C-BE32-E72D297353CC}">
              <c16:uniqueId val="{00000001-AD1C-4333-A9E5-B142E41563BA}"/>
            </c:ext>
          </c:extLst>
        </c:ser>
        <c:dLbls>
          <c:showLegendKey val="0"/>
          <c:showVal val="0"/>
          <c:showCatName val="0"/>
          <c:showSerName val="0"/>
          <c:showPercent val="0"/>
          <c:showBubbleSize val="0"/>
        </c:dLbls>
        <c:gapWidth val="80"/>
        <c:axId val="280801656"/>
        <c:axId val="280802048"/>
      </c:barChart>
      <c:catAx>
        <c:axId val="280801656"/>
        <c:scaling>
          <c:orientation val="minMax"/>
        </c:scaling>
        <c:delete val="0"/>
        <c:axPos val="l"/>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es-CR"/>
          </a:p>
        </c:txPr>
        <c:crossAx val="280802048"/>
        <c:crosses val="autoZero"/>
        <c:auto val="1"/>
        <c:lblAlgn val="ctr"/>
        <c:lblOffset val="100"/>
        <c:noMultiLvlLbl val="0"/>
      </c:catAx>
      <c:valAx>
        <c:axId val="280802048"/>
        <c:scaling>
          <c:orientation val="minMax"/>
          <c:max val="3000"/>
        </c:scaling>
        <c:delete val="0"/>
        <c:axPos val="b"/>
        <c:majorGridlines/>
        <c:numFmt formatCode="General" sourceLinked="1"/>
        <c:majorTickMark val="out"/>
        <c:minorTickMark val="none"/>
        <c:tickLblPos val="nextTo"/>
        <c:crossAx val="280801656"/>
        <c:crosses val="autoZero"/>
        <c:crossBetween val="between"/>
        <c:majorUnit val="3000"/>
      </c:valAx>
      <c:spPr>
        <a:solidFill>
          <a:srgbClr val="FFFFCC"/>
        </a:solidFill>
        <a:ln w="12700">
          <a:solidFill>
            <a:srgbClr val="000000"/>
          </a:solidFill>
        </a:ln>
      </c:spPr>
    </c:plotArea>
    <c:legend>
      <c:legendPos val="r"/>
      <c:legendEntry>
        <c:idx val="1"/>
        <c:txPr>
          <a:bodyPr/>
          <a:lstStyle/>
          <a:p>
            <a:pPr>
              <a:defRPr>
                <a:solidFill>
                  <a:schemeClr val="accent2"/>
                </a:solidFill>
                <a:latin typeface="Times New Roman" pitchFamily="18" charset="0"/>
                <a:cs typeface="Times New Roman" pitchFamily="18" charset="0"/>
              </a:defRPr>
            </a:pPr>
            <a:endParaRPr lang="es-CR"/>
          </a:p>
        </c:txPr>
      </c:legendEntry>
      <c:layout>
        <c:manualLayout>
          <c:xMode val="edge"/>
          <c:yMode val="edge"/>
          <c:x val="0.79081831728536367"/>
          <c:y val="0.62592673882993177"/>
          <c:w val="0.13141200381882884"/>
          <c:h val="0.10767976255020212"/>
        </c:manualLayout>
      </c:layout>
      <c:overlay val="0"/>
      <c:spPr>
        <a:solidFill>
          <a:schemeClr val="accent6">
            <a:lumMod val="20000"/>
            <a:lumOff val="80000"/>
          </a:schemeClr>
        </a:solidFill>
        <a:ln>
          <a:solidFill>
            <a:srgbClr val="000000"/>
          </a:solidFill>
        </a:ln>
        <a:effectLst>
          <a:outerShdw blurRad="25400" dist="38100" dir="8100000" algn="tr" rotWithShape="0">
            <a:prstClr val="black"/>
          </a:outerShdw>
        </a:effectLst>
      </c:spPr>
      <c:txPr>
        <a:bodyPr/>
        <a:lstStyle/>
        <a:p>
          <a:pPr>
            <a:defRPr>
              <a:latin typeface="Times New Roman" pitchFamily="18" charset="0"/>
              <a:cs typeface="Times New Roman" pitchFamily="18" charset="0"/>
            </a:defRPr>
          </a:pPr>
          <a:endParaRPr lang="es-CR"/>
        </a:p>
      </c:txPr>
    </c:legend>
    <c:plotVisOnly val="1"/>
    <c:dispBlanksAs val="gap"/>
    <c:showDLblsOverMax val="0"/>
  </c:chart>
  <c:spPr>
    <a:gradFill>
      <a:gsLst>
        <a:gs pos="0">
          <a:srgbClr val="5E9EFF"/>
        </a:gs>
        <a:gs pos="39999">
          <a:srgbClr val="85C2FF"/>
        </a:gs>
        <a:gs pos="70000">
          <a:srgbClr val="C4D6EB"/>
        </a:gs>
        <a:gs pos="100000">
          <a:srgbClr val="FFEBFA"/>
        </a:gs>
      </a:gsLst>
      <a:lin ang="5400000" scaled="0"/>
    </a:gradFill>
    <a:ln w="6350">
      <a:solidFill>
        <a:schemeClr val="tx1"/>
      </a:solid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54" b="1" i="0" u="none" strike="noStrike" baseline="0">
                <a:solidFill>
                  <a:srgbClr val="000000"/>
                </a:solidFill>
                <a:latin typeface="Times New Roman"/>
                <a:ea typeface="Times New Roman"/>
                <a:cs typeface="Times New Roman"/>
              </a:defRPr>
            </a:pPr>
            <a:r>
              <a:rPr lang="es-CR"/>
              <a:t>Gráfico N° 7 
Volumen anual de personas sentenciadas según </a:t>
            </a:r>
          </a:p>
          <a:p>
            <a:pPr>
              <a:defRPr sz="1254" b="1" i="0" u="none" strike="noStrike" baseline="0">
                <a:solidFill>
                  <a:srgbClr val="000000"/>
                </a:solidFill>
                <a:latin typeface="Times New Roman"/>
                <a:ea typeface="Times New Roman"/>
                <a:cs typeface="Times New Roman"/>
              </a:defRPr>
            </a:pPr>
            <a:r>
              <a:rPr lang="es-CR"/>
              <a:t>son reincidentes o no desde el 2009</a:t>
            </a:r>
          </a:p>
        </c:rich>
      </c:tx>
      <c:layout>
        <c:manualLayout>
          <c:xMode val="edge"/>
          <c:yMode val="edge"/>
          <c:x val="0.15572415900076594"/>
          <c:y val="2.0072912145824458E-2"/>
        </c:manualLayout>
      </c:layout>
      <c:overlay val="0"/>
      <c:spPr>
        <a:noFill/>
        <a:ln w="19020">
          <a:noFill/>
        </a:ln>
      </c:spPr>
    </c:title>
    <c:autoTitleDeleted val="0"/>
    <c:plotArea>
      <c:layout>
        <c:manualLayout>
          <c:layoutTarget val="inner"/>
          <c:xMode val="edge"/>
          <c:yMode val="edge"/>
          <c:x val="0.15977175463623394"/>
          <c:y val="0.21350364963503649"/>
          <c:w val="0.77603423680456984"/>
          <c:h val="0.6204379562043838"/>
        </c:manualLayout>
      </c:layout>
      <c:lineChart>
        <c:grouping val="standard"/>
        <c:varyColors val="0"/>
        <c:ser>
          <c:idx val="1"/>
          <c:order val="0"/>
          <c:tx>
            <c:strRef>
              <c:f>Sentenciados!$B$3</c:f>
              <c:strCache>
                <c:ptCount val="1"/>
                <c:pt idx="0">
                  <c:v>Sentenciados</c:v>
                </c:pt>
              </c:strCache>
            </c:strRef>
          </c:tx>
          <c:spPr>
            <a:ln w="9510">
              <a:solidFill>
                <a:srgbClr val="FF00FF"/>
              </a:solidFill>
              <a:prstDash val="solid"/>
            </a:ln>
          </c:spPr>
          <c:marker>
            <c:symbol val="x"/>
            <c:size val="3"/>
            <c:spPr>
              <a:solidFill>
                <a:srgbClr val="FFFFFF"/>
              </a:solidFill>
              <a:ln>
                <a:solidFill>
                  <a:srgbClr val="000000"/>
                </a:solidFill>
                <a:prstDash val="solid"/>
              </a:ln>
            </c:spPr>
          </c:marker>
          <c:dLbls>
            <c:dLbl>
              <c:idx val="0"/>
              <c:layout>
                <c:manualLayout>
                  <c:x val="-6.1883227262958022E-2"/>
                  <c:y val="-3.19275838551677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AB3-44B2-BBEA-63F364111CD0}"/>
                </c:ext>
                <c:ext xmlns:c15="http://schemas.microsoft.com/office/drawing/2012/chart" uri="{CE6537A1-D6FC-4f65-9D91-7224C49458BB}"/>
              </c:extLst>
            </c:dLbl>
            <c:dLbl>
              <c:idx val="1"/>
              <c:layout>
                <c:manualLayout>
                  <c:x val="-8.861060257559468E-2"/>
                  <c:y val="-2.58694060161841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AB3-44B2-BBEA-63F364111CD0}"/>
                </c:ext>
                <c:ext xmlns:c15="http://schemas.microsoft.com/office/drawing/2012/chart" uri="{CE6537A1-D6FC-4f65-9D91-7224C49458BB}"/>
              </c:extLst>
            </c:dLbl>
            <c:dLbl>
              <c:idx val="2"/>
              <c:layout>
                <c:manualLayout>
                  <c:x val="-8.8135064457833756E-2"/>
                  <c:y val="-2.404142694416773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AB3-44B2-BBEA-63F364111CD0}"/>
                </c:ext>
                <c:ext xmlns:c15="http://schemas.microsoft.com/office/drawing/2012/chart" uri="{CE6537A1-D6FC-4f65-9D91-7224C49458BB}"/>
              </c:extLst>
            </c:dLbl>
            <c:dLbl>
              <c:idx val="3"/>
              <c:layout>
                <c:manualLayout>
                  <c:x val="-0.10049832805191219"/>
                  <c:y val="-1.673313291152122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AB3-44B2-BBEA-63F364111CD0}"/>
                </c:ext>
                <c:ext xmlns:c15="http://schemas.microsoft.com/office/drawing/2012/chart" uri="{CE6537A1-D6FC-4f65-9D91-7224C49458BB}"/>
              </c:extLst>
            </c:dLbl>
            <c:dLbl>
              <c:idx val="4"/>
              <c:layout>
                <c:manualLayout>
                  <c:x val="-0.10002278993415104"/>
                  <c:y val="-2.32354008941594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AB3-44B2-BBEA-63F364111CD0}"/>
                </c:ext>
                <c:ext xmlns:c15="http://schemas.microsoft.com/office/drawing/2012/chart" uri="{CE6537A1-D6FC-4f65-9D91-7224C49458BB}"/>
              </c:extLst>
            </c:dLbl>
            <c:dLbl>
              <c:idx val="5"/>
              <c:layout>
                <c:manualLayout>
                  <c:x val="-6.14604851587328E-2"/>
                  <c:y val="-3.400558001116003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AB3-44B2-BBEA-63F364111CD0}"/>
                </c:ext>
                <c:ext xmlns:c15="http://schemas.microsoft.com/office/drawing/2012/chart" uri="{CE6537A1-D6FC-4f65-9D91-7224C49458BB}"/>
              </c:extLst>
            </c:dLbl>
            <c:dLbl>
              <c:idx val="6"/>
              <c:layout>
                <c:manualLayout>
                  <c:x val="5.6395217685540434E-2"/>
                  <c:y val="-3.4645669291338575E-2"/>
                </c:manualLayout>
              </c:layout>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AB3-44B2-BBEA-63F364111CD0}"/>
                </c:ext>
                <c:ext xmlns:c15="http://schemas.microsoft.com/office/drawing/2012/chart" uri="{CE6537A1-D6FC-4f65-9D91-7224C49458BB}"/>
              </c:extLst>
            </c:dLbl>
            <c:spPr>
              <a:noFill/>
              <a:ln w="19020">
                <a:noFill/>
              </a:ln>
            </c:spPr>
            <c:txPr>
              <a:bodyPr/>
              <a:lstStyle/>
              <a:p>
                <a:pPr>
                  <a:defRPr sz="1179" b="0" i="0" u="none" strike="noStrike" baseline="0">
                    <a:solidFill>
                      <a:srgbClr val="000000"/>
                    </a:solidFill>
                    <a:latin typeface="Times New Roman"/>
                    <a:ea typeface="Times New Roman"/>
                    <a:cs typeface="Times New Roman"/>
                  </a:defRPr>
                </a:pPr>
                <a:endParaRPr lang="es-CR"/>
              </a:p>
            </c:txPr>
            <c:dLblPos val="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Sentenciados!$A$4:$A$10</c:f>
              <c:numCache>
                <c:formatCode>General</c:formatCode>
                <c:ptCount val="7"/>
                <c:pt idx="0">
                  <c:v>2009</c:v>
                </c:pt>
                <c:pt idx="1">
                  <c:v>2010</c:v>
                </c:pt>
                <c:pt idx="2">
                  <c:v>2011</c:v>
                </c:pt>
                <c:pt idx="3">
                  <c:v>2012</c:v>
                </c:pt>
                <c:pt idx="4">
                  <c:v>2013</c:v>
                </c:pt>
                <c:pt idx="5">
                  <c:v>2014</c:v>
                </c:pt>
                <c:pt idx="6">
                  <c:v>2015</c:v>
                </c:pt>
              </c:numCache>
            </c:numRef>
          </c:cat>
          <c:val>
            <c:numRef>
              <c:f>Sentenciados!$B$4:$B$10</c:f>
              <c:numCache>
                <c:formatCode>#,##0</c:formatCode>
                <c:ptCount val="7"/>
                <c:pt idx="0">
                  <c:v>6890</c:v>
                </c:pt>
                <c:pt idx="1">
                  <c:v>8066</c:v>
                </c:pt>
                <c:pt idx="2">
                  <c:v>9019</c:v>
                </c:pt>
                <c:pt idx="3">
                  <c:v>10078</c:v>
                </c:pt>
                <c:pt idx="4">
                  <c:v>10764</c:v>
                </c:pt>
                <c:pt idx="5">
                  <c:v>10619</c:v>
                </c:pt>
                <c:pt idx="6">
                  <c:v>10546</c:v>
                </c:pt>
              </c:numCache>
            </c:numRef>
          </c:val>
          <c:smooth val="1"/>
          <c:extLst xmlns:c16r2="http://schemas.microsoft.com/office/drawing/2015/06/chart">
            <c:ext xmlns:c16="http://schemas.microsoft.com/office/drawing/2014/chart" uri="{C3380CC4-5D6E-409C-BE32-E72D297353CC}">
              <c16:uniqueId val="{00000007-EAB3-44B2-BBEA-63F364111CD0}"/>
            </c:ext>
          </c:extLst>
        </c:ser>
        <c:ser>
          <c:idx val="2"/>
          <c:order val="1"/>
          <c:tx>
            <c:strRef>
              <c:f>Sentenciados!$C$3</c:f>
              <c:strCache>
                <c:ptCount val="1"/>
                <c:pt idx="0">
                  <c:v>Condenatoria</c:v>
                </c:pt>
              </c:strCache>
            </c:strRef>
          </c:tx>
          <c:spPr>
            <a:ln w="9510">
              <a:solidFill>
                <a:srgbClr val="FF0000"/>
              </a:solidFill>
              <a:prstDash val="solid"/>
            </a:ln>
          </c:spPr>
          <c:marker>
            <c:symbol val="dot"/>
            <c:size val="3"/>
            <c:spPr>
              <a:solidFill>
                <a:srgbClr val="000000"/>
              </a:solidFill>
              <a:ln>
                <a:solidFill>
                  <a:srgbClr val="000000"/>
                </a:solidFill>
                <a:prstDash val="solid"/>
              </a:ln>
            </c:spPr>
          </c:marker>
          <c:dLbls>
            <c:dLbl>
              <c:idx val="0"/>
              <c:spPr>
                <a:noFill/>
                <a:ln w="19020">
                  <a:noFill/>
                </a:ln>
              </c:spPr>
              <c:txPr>
                <a:bodyPr/>
                <a:lstStyle/>
                <a:p>
                  <a:pPr>
                    <a:defRPr sz="1179"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dLbl>
            <c:dLbl>
              <c:idx val="1"/>
              <c:spPr>
                <a:noFill/>
                <a:ln w="19020">
                  <a:noFill/>
                </a:ln>
              </c:spPr>
              <c:txPr>
                <a:bodyPr/>
                <a:lstStyle/>
                <a:p>
                  <a:pPr>
                    <a:defRPr sz="1179"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dLbl>
            <c:dLbl>
              <c:idx val="2"/>
              <c:spPr>
                <a:noFill/>
                <a:ln w="19020">
                  <a:noFill/>
                </a:ln>
              </c:spPr>
              <c:txPr>
                <a:bodyPr/>
                <a:lstStyle/>
                <a:p>
                  <a:pPr>
                    <a:defRPr sz="1179"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dLbl>
            <c:dLbl>
              <c:idx val="3"/>
              <c:spPr>
                <a:noFill/>
                <a:ln w="19020">
                  <a:noFill/>
                </a:ln>
              </c:spPr>
              <c:txPr>
                <a:bodyPr/>
                <a:lstStyle/>
                <a:p>
                  <a:pPr>
                    <a:defRPr sz="1179"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dLbl>
            <c:dLbl>
              <c:idx val="4"/>
              <c:spPr>
                <a:noFill/>
                <a:ln w="19020">
                  <a:noFill/>
                </a:ln>
              </c:spPr>
              <c:txPr>
                <a:bodyPr/>
                <a:lstStyle/>
                <a:p>
                  <a:pPr>
                    <a:defRPr sz="1179"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dLbl>
            <c:dLbl>
              <c:idx val="5"/>
              <c:spPr>
                <a:noFill/>
                <a:ln w="19020">
                  <a:noFill/>
                </a:ln>
              </c:spPr>
              <c:txPr>
                <a:bodyPr/>
                <a:lstStyle/>
                <a:p>
                  <a:pPr>
                    <a:defRPr sz="1179"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dLbl>
            <c:dLbl>
              <c:idx val="6"/>
              <c:spPr>
                <a:noFill/>
                <a:ln w="19020">
                  <a:noFill/>
                </a:ln>
              </c:spPr>
              <c:txPr>
                <a:bodyPr/>
                <a:lstStyle/>
                <a:p>
                  <a:pPr>
                    <a:defRPr sz="1179"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dLbl>
            <c:spPr>
              <a:noFill/>
              <a:ln w="19020">
                <a:noFill/>
              </a:ln>
            </c:spPr>
            <c:txPr>
              <a:bodyPr/>
              <a:lstStyle/>
              <a:p>
                <a:pPr>
                  <a:defRPr sz="899"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Sentenciados!$A$4:$A$10</c:f>
              <c:numCache>
                <c:formatCode>General</c:formatCode>
                <c:ptCount val="7"/>
                <c:pt idx="0">
                  <c:v>2009</c:v>
                </c:pt>
                <c:pt idx="1">
                  <c:v>2010</c:v>
                </c:pt>
                <c:pt idx="2">
                  <c:v>2011</c:v>
                </c:pt>
                <c:pt idx="3">
                  <c:v>2012</c:v>
                </c:pt>
                <c:pt idx="4">
                  <c:v>2013</c:v>
                </c:pt>
                <c:pt idx="5">
                  <c:v>2014</c:v>
                </c:pt>
                <c:pt idx="6">
                  <c:v>2015</c:v>
                </c:pt>
              </c:numCache>
            </c:numRef>
          </c:cat>
          <c:val>
            <c:numRef>
              <c:f>Sentenciados!$C$4:$C$10</c:f>
              <c:numCache>
                <c:formatCode>#,##0</c:formatCode>
                <c:ptCount val="7"/>
                <c:pt idx="0">
                  <c:v>1928</c:v>
                </c:pt>
                <c:pt idx="1">
                  <c:v>1829</c:v>
                </c:pt>
                <c:pt idx="2">
                  <c:v>1978</c:v>
                </c:pt>
                <c:pt idx="3">
                  <c:v>2257</c:v>
                </c:pt>
                <c:pt idx="4">
                  <c:v>2504</c:v>
                </c:pt>
                <c:pt idx="5">
                  <c:v>2741</c:v>
                </c:pt>
                <c:pt idx="6">
                  <c:v>2420</c:v>
                </c:pt>
              </c:numCache>
            </c:numRef>
          </c:val>
          <c:smooth val="1"/>
          <c:extLst xmlns:c16r2="http://schemas.microsoft.com/office/drawing/2015/06/chart">
            <c:ext xmlns:c16="http://schemas.microsoft.com/office/drawing/2014/chart" uri="{C3380CC4-5D6E-409C-BE32-E72D297353CC}">
              <c16:uniqueId val="{0000000F-EAB3-44B2-BBEA-63F364111CD0}"/>
            </c:ext>
          </c:extLst>
        </c:ser>
        <c:dLbls>
          <c:showLegendKey val="0"/>
          <c:showVal val="0"/>
          <c:showCatName val="0"/>
          <c:showSerName val="0"/>
          <c:showPercent val="0"/>
          <c:showBubbleSize val="0"/>
        </c:dLbls>
        <c:marker val="1"/>
        <c:smooth val="0"/>
        <c:axId val="286407928"/>
        <c:axId val="286408320"/>
      </c:lineChart>
      <c:catAx>
        <c:axId val="286407928"/>
        <c:scaling>
          <c:orientation val="minMax"/>
        </c:scaling>
        <c:delete val="0"/>
        <c:axPos val="b"/>
        <c:title>
          <c:tx>
            <c:rich>
              <a:bodyPr/>
              <a:lstStyle/>
              <a:p>
                <a:pPr>
                  <a:defRPr sz="1179" b="0" i="0" u="none" strike="noStrike" baseline="0">
                    <a:solidFill>
                      <a:srgbClr val="000000"/>
                    </a:solidFill>
                    <a:latin typeface="Times New Roman"/>
                    <a:ea typeface="Times New Roman"/>
                    <a:cs typeface="Times New Roman"/>
                  </a:defRPr>
                </a:pPr>
                <a:r>
                  <a:rPr lang="es-CR"/>
                  <a:t>Año</a:t>
                </a:r>
              </a:p>
            </c:rich>
          </c:tx>
          <c:layout>
            <c:manualLayout>
              <c:xMode val="edge"/>
              <c:yMode val="edge"/>
              <c:x val="0.49358053681142422"/>
              <c:y val="0.89663488126976254"/>
            </c:manualLayout>
          </c:layout>
          <c:overlay val="0"/>
          <c:spPr>
            <a:noFill/>
            <a:ln w="19020">
              <a:noFill/>
            </a:ln>
          </c:spPr>
        </c:title>
        <c:numFmt formatCode="General" sourceLinked="1"/>
        <c:majorTickMark val="out"/>
        <c:minorTickMark val="none"/>
        <c:tickLblPos val="nextTo"/>
        <c:spPr>
          <a:ln w="2378">
            <a:solidFill>
              <a:srgbClr val="000000"/>
            </a:solidFill>
            <a:prstDash val="solid"/>
          </a:ln>
        </c:spPr>
        <c:txPr>
          <a:bodyPr rot="-2700000" vert="horz"/>
          <a:lstStyle/>
          <a:p>
            <a:pPr>
              <a:defRPr sz="899" b="0" i="0" u="none" strike="noStrike" baseline="0">
                <a:solidFill>
                  <a:srgbClr val="000000"/>
                </a:solidFill>
                <a:latin typeface="Times New Roman"/>
                <a:ea typeface="Times New Roman"/>
                <a:cs typeface="Times New Roman"/>
              </a:defRPr>
            </a:pPr>
            <a:endParaRPr lang="es-CR"/>
          </a:p>
        </c:txPr>
        <c:crossAx val="286408320"/>
        <c:crosses val="autoZero"/>
        <c:auto val="1"/>
        <c:lblAlgn val="ctr"/>
        <c:lblOffset val="0"/>
        <c:tickLblSkip val="1"/>
        <c:tickMarkSkip val="1"/>
        <c:noMultiLvlLbl val="0"/>
      </c:catAx>
      <c:valAx>
        <c:axId val="286408320"/>
        <c:scaling>
          <c:orientation val="minMax"/>
          <c:max val="12000"/>
          <c:min val="0"/>
        </c:scaling>
        <c:delete val="0"/>
        <c:axPos val="l"/>
        <c:title>
          <c:tx>
            <c:rich>
              <a:bodyPr/>
              <a:lstStyle/>
              <a:p>
                <a:pPr>
                  <a:defRPr sz="1179" b="0" i="0" u="none" strike="noStrike" baseline="0">
                    <a:solidFill>
                      <a:srgbClr val="000000"/>
                    </a:solidFill>
                    <a:latin typeface="Times New Roman"/>
                    <a:ea typeface="Times New Roman"/>
                    <a:cs typeface="Times New Roman"/>
                  </a:defRPr>
                </a:pPr>
                <a:r>
                  <a:rPr lang="es-CR"/>
                  <a:t>Personas</a:t>
                </a:r>
              </a:p>
            </c:rich>
          </c:tx>
          <c:layout>
            <c:manualLayout>
              <c:xMode val="edge"/>
              <c:yMode val="edge"/>
              <c:x val="5.6395217685540434E-2"/>
              <c:y val="0.4570292020584043"/>
            </c:manualLayout>
          </c:layout>
          <c:overlay val="0"/>
          <c:spPr>
            <a:noFill/>
            <a:ln w="19020">
              <a:noFill/>
            </a:ln>
          </c:spPr>
        </c:title>
        <c:numFmt formatCode="#,##0" sourceLinked="1"/>
        <c:majorTickMark val="out"/>
        <c:minorTickMark val="none"/>
        <c:tickLblPos val="nextTo"/>
        <c:spPr>
          <a:ln w="2378">
            <a:solidFill>
              <a:srgbClr val="000000"/>
            </a:solidFill>
            <a:prstDash val="solid"/>
          </a:ln>
        </c:spPr>
        <c:txPr>
          <a:bodyPr rot="0" vert="horz"/>
          <a:lstStyle/>
          <a:p>
            <a:pPr>
              <a:defRPr sz="1179" b="0" i="0" u="none" strike="noStrike" baseline="0">
                <a:solidFill>
                  <a:srgbClr val="000000"/>
                </a:solidFill>
                <a:latin typeface="Times New Roman"/>
                <a:ea typeface="Times New Roman"/>
                <a:cs typeface="Times New Roman"/>
              </a:defRPr>
            </a:pPr>
            <a:endParaRPr lang="es-CR"/>
          </a:p>
        </c:txPr>
        <c:crossAx val="286407928"/>
        <c:crosses val="autoZero"/>
        <c:crossBetween val="between"/>
        <c:majorUnit val="12000"/>
      </c:valAx>
      <c:spPr>
        <a:solidFill>
          <a:srgbClr val="FFFFFF"/>
        </a:solidFill>
        <a:ln w="9510">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2378">
      <a:solidFill>
        <a:srgbClr val="000000"/>
      </a:solidFill>
      <a:prstDash val="solid"/>
    </a:ln>
  </c:spPr>
  <c:txPr>
    <a:bodyPr/>
    <a:lstStyle/>
    <a:p>
      <a:pPr>
        <a:defRPr sz="1161"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72" b="1" i="0" u="none" strike="noStrike" baseline="0">
                <a:solidFill>
                  <a:srgbClr val="000000"/>
                </a:solidFill>
                <a:latin typeface="Times New Roman"/>
                <a:ea typeface="Times New Roman"/>
                <a:cs typeface="Times New Roman"/>
              </a:defRPr>
            </a:pPr>
            <a:r>
              <a:rPr lang="es-CR"/>
              <a:t>Gráfico N° 8 
Distribución porcentual de personas condenadas de 
acuerdo a si son reincidentes</a:t>
            </a:r>
            <a:r>
              <a:rPr lang="es-CR" baseline="0"/>
              <a:t> o no</a:t>
            </a:r>
            <a:r>
              <a:rPr lang="es-CR"/>
              <a:t> 
durante el  2015</a:t>
            </a:r>
          </a:p>
        </c:rich>
      </c:tx>
      <c:layout>
        <c:manualLayout>
          <c:xMode val="edge"/>
          <c:yMode val="edge"/>
          <c:x val="0.11722141823444283"/>
          <c:y val="2.0454545454545482E-2"/>
        </c:manualLayout>
      </c:layout>
      <c:overlay val="0"/>
      <c:spPr>
        <a:noFill/>
        <a:ln w="19003">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353111432706224"/>
          <c:y val="0.41590909090909267"/>
          <c:w val="0.6758321273516642"/>
          <c:h val="0.42045454545454758"/>
        </c:manualLayout>
      </c:layout>
      <c:pie3DChart>
        <c:varyColors val="1"/>
        <c:ser>
          <c:idx val="1"/>
          <c:order val="0"/>
          <c:tx>
            <c:strRef>
              <c:f>Sentenciados!$C$5</c:f>
              <c:strCache>
                <c:ptCount val="1"/>
                <c:pt idx="0">
                  <c:v>2015</c:v>
                </c:pt>
              </c:strCache>
            </c:strRef>
          </c:tx>
          <c:spPr>
            <a:solidFill>
              <a:srgbClr val="993366"/>
            </a:solidFill>
            <a:ln w="9502">
              <a:solidFill>
                <a:srgbClr val="000000"/>
              </a:solidFill>
              <a:prstDash val="solid"/>
            </a:ln>
          </c:spPr>
          <c:explosion val="25"/>
          <c:dPt>
            <c:idx val="0"/>
            <c:bubble3D val="0"/>
            <c:spPr>
              <a:solidFill>
                <a:srgbClr val="9999FF"/>
              </a:solidFill>
              <a:ln w="9502">
                <a:solidFill>
                  <a:srgbClr val="000000"/>
                </a:solidFill>
                <a:prstDash val="solid"/>
              </a:ln>
            </c:spPr>
            <c:extLst xmlns:c16r2="http://schemas.microsoft.com/office/drawing/2015/06/chart">
              <c:ext xmlns:c16="http://schemas.microsoft.com/office/drawing/2014/chart" uri="{C3380CC4-5D6E-409C-BE32-E72D297353CC}">
                <c16:uniqueId val="{00000000-FC6B-4BA9-8932-A2CD76691B49}"/>
              </c:ext>
            </c:extLst>
          </c:dPt>
          <c:dLbls>
            <c:dLbl>
              <c:idx val="0"/>
              <c:layout>
                <c:manualLayout>
                  <c:x val="-3.8148390721230952E-3"/>
                  <c:y val="8.765482407850350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FC6B-4BA9-8932-A2CD76691B49}"/>
                </c:ext>
                <c:ext xmlns:c15="http://schemas.microsoft.com/office/drawing/2012/chart" uri="{CE6537A1-D6FC-4f65-9D91-7224C49458BB}"/>
              </c:extLst>
            </c:dLbl>
            <c:dLbl>
              <c:idx val="1"/>
              <c:layout>
                <c:manualLayout>
                  <c:x val="-1.6607836362411761E-2"/>
                  <c:y val="-0.116650160016178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FC6B-4BA9-8932-A2CD76691B49}"/>
                </c:ext>
                <c:ext xmlns:c15="http://schemas.microsoft.com/office/drawing/2012/chart" uri="{CE6537A1-D6FC-4f65-9D91-7224C49458BB}"/>
              </c:extLst>
            </c:dLbl>
            <c:dLbl>
              <c:idx val="2"/>
              <c:numFmt formatCode="0%" sourceLinked="0"/>
              <c:spPr>
                <a:noFill/>
                <a:ln w="19003">
                  <a:noFill/>
                </a:ln>
              </c:spPr>
              <c:txPr>
                <a:bodyPr/>
                <a:lstStyle/>
                <a:p>
                  <a:pPr>
                    <a:defRPr sz="898"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FC6B-4BA9-8932-A2CD76691B49}"/>
                </c:ext>
                <c:ext xmlns:c15="http://schemas.microsoft.com/office/drawing/2012/chart" uri="{CE6537A1-D6FC-4f65-9D91-7224C49458BB}"/>
              </c:extLst>
            </c:dLbl>
            <c:dLbl>
              <c:idx val="3"/>
              <c:numFmt formatCode="0%" sourceLinked="0"/>
              <c:spPr>
                <a:noFill/>
                <a:ln w="19003">
                  <a:noFill/>
                </a:ln>
              </c:spPr>
              <c:txPr>
                <a:bodyPr/>
                <a:lstStyle/>
                <a:p>
                  <a:pPr>
                    <a:defRPr sz="898"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C6B-4BA9-8932-A2CD76691B49}"/>
                </c:ext>
                <c:ext xmlns:c15="http://schemas.microsoft.com/office/drawing/2012/chart" uri="{CE6537A1-D6FC-4f65-9D91-7224C49458BB}"/>
              </c:extLst>
            </c:dLbl>
            <c:dLbl>
              <c:idx val="4"/>
              <c:numFmt formatCode="0%" sourceLinked="0"/>
              <c:spPr>
                <a:noFill/>
                <a:ln w="19003">
                  <a:noFill/>
                </a:ln>
              </c:spPr>
              <c:txPr>
                <a:bodyPr/>
                <a:lstStyle/>
                <a:p>
                  <a:pPr>
                    <a:defRPr sz="898"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FC6B-4BA9-8932-A2CD76691B49}"/>
                </c:ext>
                <c:ext xmlns:c15="http://schemas.microsoft.com/office/drawing/2012/chart" uri="{CE6537A1-D6FC-4f65-9D91-7224C49458BB}"/>
              </c:extLst>
            </c:dLbl>
            <c:dLbl>
              <c:idx val="5"/>
              <c:numFmt formatCode="0%" sourceLinked="0"/>
              <c:spPr>
                <a:noFill/>
                <a:ln w="19003">
                  <a:noFill/>
                </a:ln>
              </c:spPr>
              <c:txPr>
                <a:bodyPr/>
                <a:lstStyle/>
                <a:p>
                  <a:pPr>
                    <a:defRPr sz="898"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FC6B-4BA9-8932-A2CD76691B49}"/>
                </c:ext>
                <c:ext xmlns:c15="http://schemas.microsoft.com/office/drawing/2012/chart" uri="{CE6537A1-D6FC-4f65-9D91-7224C49458BB}"/>
              </c:extLst>
            </c:dLbl>
            <c:dLbl>
              <c:idx val="6"/>
              <c:numFmt formatCode="0%" sourceLinked="0"/>
              <c:spPr>
                <a:noFill/>
                <a:ln w="19003">
                  <a:noFill/>
                </a:ln>
              </c:spPr>
              <c:txPr>
                <a:bodyPr/>
                <a:lstStyle/>
                <a:p>
                  <a:pPr>
                    <a:defRPr sz="898" b="0" i="0" u="none" strike="noStrike" baseline="0">
                      <a:solidFill>
                        <a:srgbClr val="000000"/>
                      </a:solidFill>
                      <a:latin typeface="Times New Roman"/>
                      <a:ea typeface="Times New Roman"/>
                      <a:cs typeface="Times New Roman"/>
                    </a:defRPr>
                  </a:pPr>
                  <a:endParaRPr lang="es-CR"/>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FC6B-4BA9-8932-A2CD76691B49}"/>
                </c:ext>
                <c:ext xmlns:c15="http://schemas.microsoft.com/office/drawing/2012/chart" uri="{CE6537A1-D6FC-4f65-9D91-7224C49458BB}"/>
              </c:extLst>
            </c:dLbl>
            <c:dLbl>
              <c:idx val="12"/>
              <c:numFmt formatCode="0%" sourceLinked="0"/>
              <c:spPr>
                <a:noFill/>
                <a:ln w="19003">
                  <a:noFill/>
                </a:ln>
              </c:spPr>
              <c:txPr>
                <a:bodyPr/>
                <a:lstStyle/>
                <a:p>
                  <a:pPr>
                    <a:defRPr sz="804" b="0" i="0" u="none" strike="noStrike" baseline="0">
                      <a:solidFill>
                        <a:srgbClr val="000000"/>
                      </a:solidFill>
                      <a:latin typeface="Times New Roman"/>
                      <a:ea typeface="Times New Roman"/>
                      <a:cs typeface="Times New Roman"/>
                    </a:defRPr>
                  </a:pPr>
                  <a:endParaRPr lang="es-CR"/>
                </a:p>
              </c:txPr>
              <c:dLblPos val="bestFit"/>
              <c:showLegendKey val="0"/>
              <c:showVal val="0"/>
              <c:showCatName val="1"/>
              <c:showSerName val="0"/>
              <c:showPercent val="1"/>
              <c:showBubbleSize val="0"/>
            </c:dLbl>
            <c:numFmt formatCode="0%" sourceLinked="0"/>
            <c:spPr>
              <a:noFill/>
              <a:ln w="19003">
                <a:noFill/>
              </a:ln>
            </c:spPr>
            <c:txPr>
              <a:bodyPr/>
              <a:lstStyle/>
              <a:p>
                <a:pPr>
                  <a:defRPr sz="1085" b="0" i="0" u="none" strike="noStrike" baseline="0">
                    <a:solidFill>
                      <a:srgbClr val="000000"/>
                    </a:solidFill>
                    <a:latin typeface="Times New Roman"/>
                    <a:ea typeface="Times New Roman"/>
                    <a:cs typeface="Times New Roman"/>
                  </a:defRPr>
                </a:pPr>
                <a:endParaRPr lang="es-CR"/>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Sentenciados!$A$6:$A$7</c:f>
              <c:strCache>
                <c:ptCount val="2"/>
                <c:pt idx="0">
                  <c:v>No reincidentes</c:v>
                </c:pt>
                <c:pt idx="1">
                  <c:v>Reincidentes</c:v>
                </c:pt>
              </c:strCache>
            </c:strRef>
          </c:cat>
          <c:val>
            <c:numRef>
              <c:f>Sentenciados!$C$6:$C$7</c:f>
              <c:numCache>
                <c:formatCode>General</c:formatCode>
                <c:ptCount val="2"/>
                <c:pt idx="0">
                  <c:v>10546</c:v>
                </c:pt>
                <c:pt idx="1">
                  <c:v>2420</c:v>
                </c:pt>
              </c:numCache>
            </c:numRef>
          </c:val>
          <c:extLst xmlns:c16r2="http://schemas.microsoft.com/office/drawing/2015/06/chart">
            <c:ext xmlns:c16="http://schemas.microsoft.com/office/drawing/2014/chart" uri="{C3380CC4-5D6E-409C-BE32-E72D297353CC}">
              <c16:uniqueId val="{00000008-FC6B-4BA9-8932-A2CD76691B49}"/>
            </c:ext>
          </c:extLst>
        </c:ser>
        <c:dLbls>
          <c:showLegendKey val="0"/>
          <c:showVal val="0"/>
          <c:showCatName val="0"/>
          <c:showSerName val="0"/>
          <c:showPercent val="0"/>
          <c:showBubbleSize val="0"/>
          <c:showLeaderLines val="1"/>
        </c:dLbls>
      </c:pie3DChart>
      <c:spPr>
        <a:noFill/>
        <a:ln w="19003">
          <a:noFill/>
        </a:ln>
      </c:spPr>
    </c:plotArea>
    <c:plotVisOnly val="1"/>
    <c:dispBlanksAs val="zero"/>
    <c:showDLblsOverMax val="0"/>
  </c:chart>
  <c:spPr>
    <a:gradFill rotWithShape="0">
      <a:gsLst>
        <a:gs pos="0">
          <a:srgbClr val="99CCFF"/>
        </a:gs>
        <a:gs pos="100000">
          <a:srgbClr val="FFFF99"/>
        </a:gs>
      </a:gsLst>
      <a:lin ang="2700000" scaled="1"/>
    </a:gradFill>
    <a:ln w="2375">
      <a:solidFill>
        <a:srgbClr val="000000"/>
      </a:solidFill>
      <a:prstDash val="solid"/>
    </a:ln>
  </c:spPr>
  <c:txPr>
    <a:bodyPr/>
    <a:lstStyle/>
    <a:p>
      <a:pPr>
        <a:defRPr sz="1141" b="0" i="0" u="none" strike="noStrike" baseline="0">
          <a:solidFill>
            <a:srgbClr val="000000"/>
          </a:solidFill>
          <a:latin typeface="Times New Roman"/>
          <a:ea typeface="Times New Roman"/>
          <a:cs typeface="Times New Roman"/>
        </a:defRPr>
      </a:pPr>
      <a:endParaRPr lang="es-C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0.53172</cdr:x>
      <cdr:y>0.22244</cdr:y>
    </cdr:from>
    <cdr:to>
      <cdr:x>0.82307</cdr:x>
      <cdr:y>0.37186</cdr:y>
    </cdr:to>
    <cdr:grpSp>
      <cdr:nvGrpSpPr>
        <cdr:cNvPr id="3116" name="Group 41"/>
        <cdr:cNvGrpSpPr>
          <a:grpSpLocks xmlns:a="http://schemas.openxmlformats.org/drawingml/2006/main"/>
        </cdr:cNvGrpSpPr>
      </cdr:nvGrpSpPr>
      <cdr:grpSpPr bwMode="auto">
        <a:xfrm xmlns:a="http://schemas.openxmlformats.org/drawingml/2006/main">
          <a:off x="2896295" y="804839"/>
          <a:ext cx="1586992" cy="540636"/>
          <a:chOff x="5103473" y="848020"/>
          <a:chExt cx="1558788" cy="524542"/>
        </a:xfrm>
      </cdr:grpSpPr>
      <cdr:sp macro="" textlink="">
        <cdr:nvSpPr>
          <cdr:cNvPr id="3096" name="Text Box 24"/>
          <cdr:cNvSpPr txBox="1">
            <a:spLocks xmlns:a="http://schemas.openxmlformats.org/drawingml/2006/main" noChangeArrowheads="1"/>
          </cdr:cNvSpPr>
        </cdr:nvSpPr>
        <cdr:spPr bwMode="auto">
          <a:xfrm xmlns:a="http://schemas.openxmlformats.org/drawingml/2006/main">
            <a:off x="5103473" y="848020"/>
            <a:ext cx="1072133" cy="25133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none" lIns="18288" tIns="22860" rIns="18288" bIns="0" anchor="t" upright="1">
            <a:spAutoFit/>
          </a:bodyPr>
          <a:lstStyle xmlns:a="http://schemas.openxmlformats.org/drawingml/2006/main"/>
          <a:p xmlns:a="http://schemas.openxmlformats.org/drawingml/2006/main">
            <a:pPr algn="ctr" rtl="1">
              <a:defRPr sz="1000"/>
            </a:pPr>
            <a:r>
              <a:rPr lang="es-CR" sz="800" b="1" i="1" strike="noStrike">
                <a:solidFill>
                  <a:srgbClr val="000000"/>
                </a:solidFill>
                <a:latin typeface="Times New Roman"/>
                <a:cs typeface="Times New Roman"/>
              </a:rPr>
              <a:t>Últimos</a:t>
            </a:r>
            <a:r>
              <a:rPr lang="es-CR" sz="800" b="1" i="1" strike="noStrike" baseline="0">
                <a:solidFill>
                  <a:srgbClr val="000000"/>
                </a:solidFill>
                <a:latin typeface="Times New Roman"/>
                <a:cs typeface="Times New Roman"/>
              </a:rPr>
              <a:t> cambios </a:t>
            </a:r>
            <a:r>
              <a:rPr lang="es-CR" sz="800" b="1" i="1" strike="noStrike">
                <a:solidFill>
                  <a:srgbClr val="000000"/>
                </a:solidFill>
                <a:latin typeface="Times New Roman"/>
                <a:cs typeface="Times New Roman"/>
              </a:rPr>
              <a:t>porcen-</a:t>
            </a:r>
          </a:p>
          <a:p xmlns:a="http://schemas.openxmlformats.org/drawingml/2006/main">
            <a:pPr algn="ctr" rtl="1">
              <a:defRPr sz="1000"/>
            </a:pPr>
            <a:r>
              <a:rPr lang="es-CR" sz="800" b="1" i="1" strike="noStrike">
                <a:solidFill>
                  <a:srgbClr val="000000"/>
                </a:solidFill>
                <a:latin typeface="Times New Roman"/>
                <a:cs typeface="Times New Roman"/>
              </a:rPr>
              <a:t>tuales anuales</a:t>
            </a:r>
          </a:p>
        </cdr:txBody>
      </cdr:sp>
      <cdr:grpSp>
        <cdr:nvGrpSpPr>
          <cdr:cNvPr id="3138" name="Group 40"/>
          <cdr:cNvGrpSpPr>
            <a:grpSpLocks xmlns:a="http://schemas.openxmlformats.org/drawingml/2006/main"/>
          </cdr:cNvGrpSpPr>
        </cdr:nvGrpSpPr>
        <cdr:grpSpPr bwMode="auto">
          <a:xfrm xmlns:a="http://schemas.openxmlformats.org/drawingml/2006/main">
            <a:off x="6050657" y="1030360"/>
            <a:ext cx="611604" cy="342202"/>
            <a:chOff x="6050657" y="1014177"/>
            <a:chExt cx="611604" cy="353937"/>
          </a:xfrm>
        </cdr:grpSpPr>
        <cdr:sp macro="" textlink="">
          <cdr:nvSpPr>
            <cdr:cNvPr id="3107" name="Line 35"/>
            <cdr:cNvSpPr>
              <a:spLocks xmlns:a="http://schemas.openxmlformats.org/drawingml/2006/main" noChangeShapeType="1"/>
            </cdr:cNvSpPr>
          </cdr:nvSpPr>
          <cdr:spPr bwMode="auto">
            <a:xfrm xmlns:a="http://schemas.openxmlformats.org/drawingml/2006/main">
              <a:off x="6050657" y="1014177"/>
              <a:ext cx="611604" cy="353937"/>
            </a:xfrm>
            <a:prstGeom xmlns:a="http://schemas.openxmlformats.org/drawingml/2006/main" prst="line">
              <a:avLst/>
            </a:prstGeom>
            <a:noFill xmlns:a="http://schemas.openxmlformats.org/drawingml/2006/main"/>
            <a:ln xmlns:a="http://schemas.openxmlformats.org/drawingml/2006/main" w="6350">
              <a:solidFill>
                <a:srgbClr val="FF0000"/>
              </a:solidFill>
              <a:prstDash val="sysDot"/>
              <a:round/>
              <a:headEnd/>
              <a:tailEnd type="triangle" w="sm" len="lg"/>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s-CR"/>
            </a:p>
          </cdr:txBody>
        </cdr:sp>
        <cdr:sp macro="" textlink="">
          <cdr:nvSpPr>
            <cdr:cNvPr id="3109" name="Line 37"/>
            <cdr:cNvSpPr>
              <a:spLocks xmlns:a="http://schemas.openxmlformats.org/drawingml/2006/main" noChangeShapeType="1"/>
            </cdr:cNvSpPr>
          </cdr:nvSpPr>
          <cdr:spPr bwMode="auto">
            <a:xfrm xmlns:a="http://schemas.openxmlformats.org/drawingml/2006/main">
              <a:off x="6059209" y="1022916"/>
              <a:ext cx="102648" cy="345198"/>
            </a:xfrm>
            <a:prstGeom xmlns:a="http://schemas.openxmlformats.org/drawingml/2006/main" prst="line">
              <a:avLst/>
            </a:prstGeom>
            <a:noFill xmlns:a="http://schemas.openxmlformats.org/drawingml/2006/main"/>
            <a:ln xmlns:a="http://schemas.openxmlformats.org/drawingml/2006/main" w="6350">
              <a:solidFill>
                <a:srgbClr val="FF0000"/>
              </a:solidFill>
              <a:prstDash val="sysDot"/>
              <a:round/>
              <a:headEnd/>
              <a:tailEnd type="triangle" w="sm" len="lg"/>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s-CR"/>
            </a:p>
          </cdr:txBody>
        </cdr:sp>
      </cdr:grpSp>
    </cdr:grpSp>
  </cdr:relSizeAnchor>
  <cdr:relSizeAnchor xmlns:cdr="http://schemas.openxmlformats.org/drawingml/2006/chartDrawing">
    <cdr:from>
      <cdr:x>0</cdr:x>
      <cdr:y>0.9687</cdr:y>
    </cdr:from>
    <cdr:to>
      <cdr:x>0.34118</cdr:x>
      <cdr:y>0.9997</cdr:y>
    </cdr:to>
    <cdr:sp macro="" textlink="">
      <cdr:nvSpPr>
        <cdr:cNvPr id="3073" name="Text Box 1"/>
        <cdr:cNvSpPr txBox="1">
          <a:spLocks xmlns:a="http://schemas.openxmlformats.org/drawingml/2006/main" noChangeArrowheads="1"/>
        </cdr:cNvSpPr>
      </cdr:nvSpPr>
      <cdr:spPr bwMode="auto">
        <a:xfrm xmlns:a="http://schemas.openxmlformats.org/drawingml/2006/main">
          <a:off x="0" y="3504976"/>
          <a:ext cx="1858437" cy="1121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a:t>
          </a:r>
        </a:p>
      </cdr:txBody>
    </cdr:sp>
  </cdr:relSizeAnchor>
  <cdr:relSizeAnchor xmlns:cdr="http://schemas.openxmlformats.org/drawingml/2006/chartDrawing">
    <cdr:from>
      <cdr:x>0.65431</cdr:x>
      <cdr:y>0.3976</cdr:y>
    </cdr:from>
    <cdr:to>
      <cdr:x>0.90696</cdr:x>
      <cdr:y>0.43085</cdr:y>
    </cdr:to>
    <cdr:sp macro="" textlink="">
      <cdr:nvSpPr>
        <cdr:cNvPr id="3076" name="Rectangle 4"/>
        <cdr:cNvSpPr>
          <a:spLocks xmlns:a="http://schemas.openxmlformats.org/drawingml/2006/main" noChangeArrowheads="1"/>
        </cdr:cNvSpPr>
      </cdr:nvSpPr>
      <cdr:spPr bwMode="auto">
        <a:xfrm xmlns:a="http://schemas.openxmlformats.org/drawingml/2006/main" rot="173307">
          <a:off x="3564039" y="1438599"/>
          <a:ext cx="1376176" cy="120306"/>
        </a:xfrm>
        <a:prstGeom xmlns:a="http://schemas.openxmlformats.org/drawingml/2006/main" prst="rect">
          <a:avLst/>
        </a:prstGeom>
        <a:solidFill xmlns:a="http://schemas.openxmlformats.org/drawingml/2006/main">
          <a:srgbClr val="99CCFF">
            <a:alpha val="25000"/>
          </a:srgbClr>
        </a:solidFill>
        <a:ln xmlns:a="http://schemas.openxmlformats.org/drawingml/2006/main" w="9525">
          <a:noFill/>
          <a:miter lim="800000"/>
          <a:headEnd/>
          <a:tailEnd/>
        </a:ln>
      </cdr:spPr>
    </cdr:sp>
  </cdr:relSizeAnchor>
  <cdr:relSizeAnchor xmlns:cdr="http://schemas.openxmlformats.org/drawingml/2006/chartDrawing">
    <cdr:from>
      <cdr:x>0.7098</cdr:x>
      <cdr:y>0.35849</cdr:y>
    </cdr:from>
    <cdr:to>
      <cdr:x>0.7778</cdr:x>
      <cdr:y>0.40049</cdr:y>
    </cdr:to>
    <cdr:sp macro="" textlink="">
      <cdr:nvSpPr>
        <cdr:cNvPr id="3087" name="AutoShape 15"/>
        <cdr:cNvSpPr>
          <a:spLocks xmlns:a="http://schemas.openxmlformats.org/drawingml/2006/main" noChangeArrowheads="1"/>
        </cdr:cNvSpPr>
      </cdr:nvSpPr>
      <cdr:spPr bwMode="auto">
        <a:xfrm xmlns:a="http://schemas.openxmlformats.org/drawingml/2006/main">
          <a:off x="3866312" y="1297090"/>
          <a:ext cx="370398" cy="151966"/>
        </a:xfrm>
        <a:prstGeom xmlns:a="http://schemas.openxmlformats.org/drawingml/2006/main" prst="chevron">
          <a:avLst>
            <a:gd name="adj" fmla="val 44747"/>
          </a:avLst>
        </a:prstGeom>
        <a:solidFill xmlns:a="http://schemas.openxmlformats.org/drawingml/2006/main">
          <a:srgbClr val="FFFFFF">
            <a:alpha val="25000"/>
          </a:srgbClr>
        </a:solidFill>
        <a:ln xmlns:a="http://schemas.openxmlformats.org/drawingml/2006/main" w="9525" algn="ctr">
          <a:solidFill>
            <a:srgbClr val="000000"/>
          </a:solidFill>
          <a:miter lim="800000"/>
          <a:headEnd/>
          <a:tailEnd/>
        </a:ln>
        <a:effectLst xmlns:a="http://schemas.openxmlformats.org/drawingml/2006/main"/>
      </cdr:spPr>
      <cdr:txBody>
        <a:bodyPr xmlns:a="http://schemas.openxmlformats.org/drawingml/2006/main" vertOverflow="clip" wrap="square" lIns="0" tIns="22860" rIns="27432" bIns="0" anchor="t" upright="1"/>
        <a:lstStyle xmlns:a="http://schemas.openxmlformats.org/drawingml/2006/main"/>
        <a:p xmlns:a="http://schemas.openxmlformats.org/drawingml/2006/main">
          <a:pPr algn="r" rtl="1">
            <a:defRPr sz="1000"/>
          </a:pPr>
          <a:r>
            <a:rPr lang="es-CR" sz="950" b="0" i="1" strike="noStrike">
              <a:solidFill>
                <a:srgbClr val="000000"/>
              </a:solidFill>
              <a:latin typeface="Times New Roman"/>
              <a:cs typeface="Times New Roman"/>
            </a:rPr>
            <a:t>1%</a:t>
          </a:r>
        </a:p>
      </cdr:txBody>
    </cdr:sp>
  </cdr:relSizeAnchor>
  <cdr:relSizeAnchor xmlns:cdr="http://schemas.openxmlformats.org/drawingml/2006/chartDrawing">
    <cdr:from>
      <cdr:x>0.18206</cdr:x>
      <cdr:y>0.38075</cdr:y>
    </cdr:from>
    <cdr:to>
      <cdr:x>0.60509</cdr:x>
      <cdr:y>0.44335</cdr:y>
    </cdr:to>
    <cdr:sp macro="" textlink="">
      <cdr:nvSpPr>
        <cdr:cNvPr id="31" name="30 CuadroTexto"/>
        <cdr:cNvSpPr txBox="1"/>
      </cdr:nvSpPr>
      <cdr:spPr>
        <a:xfrm xmlns:a="http://schemas.openxmlformats.org/drawingml/2006/main" rot="20871640">
          <a:off x="991676" y="1377658"/>
          <a:ext cx="2304243" cy="22648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algn="r" defTabSz="914400" rtl="1" eaLnBrk="1" fontAlgn="auto" latinLnBrk="0" hangingPunct="1">
            <a:lnSpc>
              <a:spcPct val="100000"/>
            </a:lnSpc>
            <a:spcBef>
              <a:spcPts val="0"/>
            </a:spcBef>
            <a:spcAft>
              <a:spcPts val="0"/>
            </a:spcAft>
            <a:buClrTx/>
            <a:buSzTx/>
            <a:buFontTx/>
            <a:buNone/>
            <a:tabLst/>
            <a:defRPr/>
          </a:pPr>
          <a:r>
            <a:rPr lang="es-CR" sz="1100" b="0" i="1" strike="noStrike">
              <a:solidFill>
                <a:srgbClr val="000000"/>
              </a:solidFill>
              <a:latin typeface="Times New Roman"/>
              <a:cs typeface="Times New Roman"/>
            </a:rPr>
            <a:t>Crecimiento</a:t>
          </a:r>
          <a:r>
            <a:rPr lang="es-CR" sz="1100" b="0" i="1" strike="noStrike" baseline="0">
              <a:solidFill>
                <a:srgbClr val="000000"/>
              </a:solidFill>
              <a:latin typeface="Times New Roman"/>
              <a:cs typeface="Times New Roman"/>
            </a:rPr>
            <a:t> promedio anual del 10</a:t>
          </a:r>
          <a:r>
            <a:rPr lang="es-CR" sz="1100" b="0" i="1" strike="noStrike">
              <a:solidFill>
                <a:srgbClr val="000000"/>
              </a:solidFill>
              <a:latin typeface="Times New Roman"/>
              <a:cs typeface="Times New Roman"/>
            </a:rPr>
            <a:t>%</a:t>
          </a:r>
        </a:p>
        <a:p xmlns:a="http://schemas.openxmlformats.org/drawingml/2006/main">
          <a:endParaRPr lang="es-CR" sz="1100"/>
        </a:p>
      </cdr:txBody>
    </cdr:sp>
  </cdr:relSizeAnchor>
  <cdr:relSizeAnchor xmlns:cdr="http://schemas.openxmlformats.org/drawingml/2006/chartDrawing">
    <cdr:from>
      <cdr:x>0.14352</cdr:x>
      <cdr:y>0.44523</cdr:y>
    </cdr:from>
    <cdr:to>
      <cdr:x>0.64344</cdr:x>
      <cdr:y>0.47379</cdr:y>
    </cdr:to>
    <cdr:sp macro="" textlink="">
      <cdr:nvSpPr>
        <cdr:cNvPr id="32" name="31 Cerrar llave"/>
        <cdr:cNvSpPr/>
      </cdr:nvSpPr>
      <cdr:spPr>
        <a:xfrm xmlns:a="http://schemas.openxmlformats.org/drawingml/2006/main" rot="15433676">
          <a:off x="2091611" y="301058"/>
          <a:ext cx="103331" cy="2723090"/>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wrap="square"/>
        <a:lstStyle xmlns:a="http://schemas.openxmlformats.org/drawingml/2006/main"/>
        <a:p xmlns:a="http://schemas.openxmlformats.org/drawingml/2006/main">
          <a:endParaRPr lang="es-CR"/>
        </a:p>
      </cdr:txBody>
    </cdr:sp>
  </cdr:relSizeAnchor>
  <cdr:relSizeAnchor xmlns:cdr="http://schemas.openxmlformats.org/drawingml/2006/chartDrawing">
    <cdr:from>
      <cdr:x>0.80658</cdr:x>
      <cdr:y>0.36223</cdr:y>
    </cdr:from>
    <cdr:to>
      <cdr:x>0.87458</cdr:x>
      <cdr:y>0.40544</cdr:y>
    </cdr:to>
    <cdr:sp macro="" textlink="">
      <cdr:nvSpPr>
        <cdr:cNvPr id="33" name="AutoShape 15"/>
        <cdr:cNvSpPr>
          <a:spLocks xmlns:a="http://schemas.openxmlformats.org/drawingml/2006/main" noChangeArrowheads="1"/>
        </cdr:cNvSpPr>
      </cdr:nvSpPr>
      <cdr:spPr bwMode="auto">
        <a:xfrm xmlns:a="http://schemas.openxmlformats.org/drawingml/2006/main" rot="312466">
          <a:off x="4393475" y="1310640"/>
          <a:ext cx="370398" cy="156320"/>
        </a:xfrm>
        <a:prstGeom xmlns:a="http://schemas.openxmlformats.org/drawingml/2006/main" prst="chevron">
          <a:avLst>
            <a:gd name="adj" fmla="val 44747"/>
          </a:avLst>
        </a:prstGeom>
        <a:solidFill xmlns:a="http://schemas.openxmlformats.org/drawingml/2006/main">
          <a:srgbClr val="FFFFFF">
            <a:alpha val="25000"/>
          </a:srgbClr>
        </a:solidFill>
        <a:ln xmlns:a="http://schemas.openxmlformats.org/drawingml/2006/main" w="9525" algn="ctr">
          <a:solidFill>
            <a:srgbClr val="000000"/>
          </a:solidFill>
          <a:miter lim="800000"/>
          <a:headEnd/>
          <a:tailEnd/>
        </a:ln>
        <a:effectLst xmlns:a="http://schemas.openxmlformats.org/drawingml/2006/main"/>
      </cdr:spPr>
      <cdr:txBody>
        <a:bodyPr xmlns:a="http://schemas.openxmlformats.org/drawingml/2006/main" wrap="square" lIns="0" tIns="22860" rIns="27432"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rtl="1">
            <a:defRPr sz="1000"/>
          </a:pPr>
          <a:r>
            <a:rPr lang="es-CR" sz="950" b="0" i="1" strike="noStrike">
              <a:solidFill>
                <a:srgbClr val="000000"/>
              </a:solidFill>
              <a:latin typeface="Times New Roman"/>
              <a:cs typeface="Times New Roman"/>
            </a:rPr>
            <a:t>-3%</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0.96673</cdr:y>
    </cdr:from>
    <cdr:to>
      <cdr:x>0.72505</cdr:x>
      <cdr:y>0.99957</cdr:y>
    </cdr:to>
    <cdr:sp macro="" textlink="">
      <cdr:nvSpPr>
        <cdr:cNvPr id="1037" name="Text Box 13"/>
        <cdr:cNvSpPr txBox="1">
          <a:spLocks xmlns:a="http://schemas.openxmlformats.org/drawingml/2006/main" noChangeArrowheads="1"/>
        </cdr:cNvSpPr>
      </cdr:nvSpPr>
      <cdr:spPr bwMode="auto">
        <a:xfrm xmlns:a="http://schemas.openxmlformats.org/drawingml/2006/main">
          <a:off x="0" y="4288612"/>
          <a:ext cx="4153654" cy="14568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7432" rIns="0" bIns="0" anchor="t" upright="1">
          <a:spAutoFit/>
        </a:bodyPr>
        <a:lstStyle xmlns:a="http://schemas.openxmlformats.org/drawingml/2006/main"/>
        <a:p xmlns:a="http://schemas.openxmlformats.org/drawingml/2006/main">
          <a:pPr algn="l" rtl="1">
            <a:defRPr sz="1000"/>
          </a:pPr>
          <a:r>
            <a:rPr lang="es-CR" sz="800" b="0" i="1"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0.67572</cdr:x>
      <cdr:y>0.24006</cdr:y>
    </cdr:from>
    <cdr:to>
      <cdr:x>0.96157</cdr:x>
      <cdr:y>0.43531</cdr:y>
    </cdr:to>
    <cdr:sp macro="" textlink="">
      <cdr:nvSpPr>
        <cdr:cNvPr id="1039" name="Text Box 15"/>
        <cdr:cNvSpPr txBox="1">
          <a:spLocks xmlns:a="http://schemas.openxmlformats.org/drawingml/2006/main" noChangeArrowheads="1"/>
        </cdr:cNvSpPr>
      </cdr:nvSpPr>
      <cdr:spPr bwMode="auto">
        <a:xfrm xmlns:a="http://schemas.openxmlformats.org/drawingml/2006/main">
          <a:off x="3873862" y="1008438"/>
          <a:ext cx="1638756" cy="820207"/>
        </a:xfrm>
        <a:prstGeom xmlns:a="http://schemas.openxmlformats.org/drawingml/2006/main" prst="rect">
          <a:avLst/>
        </a:prstGeom>
        <a:solidFill xmlns:a="http://schemas.openxmlformats.org/drawingml/2006/main">
          <a:srgbClr val="00CCFF">
            <a:alpha val="20000"/>
          </a:srgbClr>
        </a:solidFill>
        <a:ln xmlns:a="http://schemas.openxmlformats.org/drawingml/2006/main" w="6350">
          <a:solidFill>
            <a:srgbClr val="000000"/>
          </a:solidFill>
          <a:miter lim="800000"/>
          <a:headEnd/>
          <a:tailEnd/>
        </a:ln>
      </cdr:spPr>
      <cdr:txBody>
        <a:bodyPr xmlns:a="http://schemas.openxmlformats.org/drawingml/2006/main" vertOverflow="clip" wrap="square" lIns="0" tIns="32004" rIns="36576" bIns="0" anchor="t" upright="1"/>
        <a:lstStyle xmlns:a="http://schemas.openxmlformats.org/drawingml/2006/main"/>
        <a:p xmlns:a="http://schemas.openxmlformats.org/drawingml/2006/main">
          <a:pPr algn="r" rtl="1">
            <a:defRPr sz="1000"/>
          </a:pPr>
          <a:r>
            <a:rPr lang="es-CR" sz="1550" b="1" i="1" u="sng" strike="noStrike">
              <a:solidFill>
                <a:srgbClr val="000000"/>
              </a:solidFill>
              <a:latin typeface="Times New Roman"/>
              <a:cs typeface="Times New Roman"/>
            </a:rPr>
            <a:t>56%</a:t>
          </a:r>
        </a:p>
      </cdr:txBody>
    </cdr:sp>
  </cdr:relSizeAnchor>
  <cdr:relSizeAnchor xmlns:cdr="http://schemas.openxmlformats.org/drawingml/2006/chartDrawing">
    <cdr:from>
      <cdr:x>0.35999</cdr:x>
      <cdr:y>0.17755</cdr:y>
    </cdr:from>
    <cdr:to>
      <cdr:x>0.44217</cdr:x>
      <cdr:y>0.23061</cdr:y>
    </cdr:to>
    <cdr:sp macro="" textlink="">
      <cdr:nvSpPr>
        <cdr:cNvPr id="16" name="15 CuadroTexto"/>
        <cdr:cNvSpPr txBox="1"/>
      </cdr:nvSpPr>
      <cdr:spPr>
        <a:xfrm xmlns:a="http://schemas.openxmlformats.org/drawingml/2006/main">
          <a:off x="2062303" y="787651"/>
          <a:ext cx="470781" cy="23538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CR" sz="1100"/>
            <a:t>4%</a:t>
          </a:r>
        </a:p>
      </cdr:txBody>
    </cdr:sp>
  </cdr:relSizeAnchor>
  <cdr:relSizeAnchor xmlns:cdr="http://schemas.openxmlformats.org/drawingml/2006/chartDrawing">
    <cdr:from>
      <cdr:x>0.75382</cdr:x>
      <cdr:y>0.2449</cdr:y>
    </cdr:from>
    <cdr:to>
      <cdr:x>0.836</cdr:x>
      <cdr:y>0.29796</cdr:y>
    </cdr:to>
    <cdr:sp macro="" textlink="">
      <cdr:nvSpPr>
        <cdr:cNvPr id="17" name="1 CuadroTexto"/>
        <cdr:cNvSpPr txBox="1"/>
      </cdr:nvSpPr>
      <cdr:spPr>
        <a:xfrm xmlns:a="http://schemas.openxmlformats.org/drawingml/2006/main">
          <a:off x="4318502" y="1086416"/>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18%</a:t>
          </a:r>
        </a:p>
      </cdr:txBody>
    </cdr:sp>
  </cdr:relSizeAnchor>
  <cdr:relSizeAnchor xmlns:cdr="http://schemas.openxmlformats.org/drawingml/2006/chartDrawing">
    <cdr:from>
      <cdr:x>0.82494</cdr:x>
      <cdr:y>0.30816</cdr:y>
    </cdr:from>
    <cdr:to>
      <cdr:x>0.90711</cdr:x>
      <cdr:y>0.36122</cdr:y>
    </cdr:to>
    <cdr:sp macro="" textlink="">
      <cdr:nvSpPr>
        <cdr:cNvPr id="18" name="1 CuadroTexto"/>
        <cdr:cNvSpPr txBox="1"/>
      </cdr:nvSpPr>
      <cdr:spPr>
        <a:xfrm xmlns:a="http://schemas.openxmlformats.org/drawingml/2006/main">
          <a:off x="4725909" y="1367073"/>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20%</a:t>
          </a:r>
        </a:p>
      </cdr:txBody>
    </cdr:sp>
  </cdr:relSizeAnchor>
  <cdr:relSizeAnchor xmlns:cdr="http://schemas.openxmlformats.org/drawingml/2006/chartDrawing">
    <cdr:from>
      <cdr:x>0.74434</cdr:x>
      <cdr:y>0.37143</cdr:y>
    </cdr:from>
    <cdr:to>
      <cdr:x>0.82652</cdr:x>
      <cdr:y>0.42449</cdr:y>
    </cdr:to>
    <cdr:sp macro="" textlink="">
      <cdr:nvSpPr>
        <cdr:cNvPr id="19" name="1 CuadroTexto"/>
        <cdr:cNvSpPr txBox="1"/>
      </cdr:nvSpPr>
      <cdr:spPr>
        <a:xfrm xmlns:a="http://schemas.openxmlformats.org/drawingml/2006/main">
          <a:off x="4264182" y="1647731"/>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17%</a:t>
          </a:r>
        </a:p>
      </cdr:txBody>
    </cdr:sp>
  </cdr:relSizeAnchor>
  <cdr:relSizeAnchor xmlns:cdr="http://schemas.openxmlformats.org/drawingml/2006/chartDrawing">
    <cdr:from>
      <cdr:x>0.57524</cdr:x>
      <cdr:y>0.43469</cdr:y>
    </cdr:from>
    <cdr:to>
      <cdr:x>0.65742</cdr:x>
      <cdr:y>0.48776</cdr:y>
    </cdr:to>
    <cdr:sp macro="" textlink="">
      <cdr:nvSpPr>
        <cdr:cNvPr id="20" name="1 CuadroTexto"/>
        <cdr:cNvSpPr txBox="1"/>
      </cdr:nvSpPr>
      <cdr:spPr>
        <a:xfrm xmlns:a="http://schemas.openxmlformats.org/drawingml/2006/main">
          <a:off x="3295461" y="1928389"/>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12%</a:t>
          </a:r>
        </a:p>
      </cdr:txBody>
    </cdr:sp>
  </cdr:relSizeAnchor>
  <cdr:relSizeAnchor xmlns:cdr="http://schemas.openxmlformats.org/drawingml/2006/chartDrawing">
    <cdr:from>
      <cdr:x>0.47568</cdr:x>
      <cdr:y>0.49388</cdr:y>
    </cdr:from>
    <cdr:to>
      <cdr:x>0.55786</cdr:x>
      <cdr:y>0.54694</cdr:y>
    </cdr:to>
    <cdr:sp macro="" textlink="">
      <cdr:nvSpPr>
        <cdr:cNvPr id="21" name="1 CuadroTexto"/>
        <cdr:cNvSpPr txBox="1"/>
      </cdr:nvSpPr>
      <cdr:spPr>
        <a:xfrm xmlns:a="http://schemas.openxmlformats.org/drawingml/2006/main">
          <a:off x="2725093" y="2190939"/>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9%</a:t>
          </a:r>
        </a:p>
      </cdr:txBody>
    </cdr:sp>
  </cdr:relSizeAnchor>
  <cdr:relSizeAnchor xmlns:cdr="http://schemas.openxmlformats.org/drawingml/2006/chartDrawing">
    <cdr:from>
      <cdr:x>0.37612</cdr:x>
      <cdr:y>0.62653</cdr:y>
    </cdr:from>
    <cdr:to>
      <cdr:x>0.4583</cdr:x>
      <cdr:y>0.67959</cdr:y>
    </cdr:to>
    <cdr:sp macro="" textlink="">
      <cdr:nvSpPr>
        <cdr:cNvPr id="22" name="1 CuadroTexto"/>
        <cdr:cNvSpPr txBox="1"/>
      </cdr:nvSpPr>
      <cdr:spPr>
        <a:xfrm xmlns:a="http://schemas.openxmlformats.org/drawingml/2006/main">
          <a:off x="2154725" y="2779414"/>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5%</a:t>
          </a:r>
        </a:p>
      </cdr:txBody>
    </cdr:sp>
  </cdr:relSizeAnchor>
  <cdr:relSizeAnchor xmlns:cdr="http://schemas.openxmlformats.org/drawingml/2006/chartDrawing">
    <cdr:from>
      <cdr:x>0.41563</cdr:x>
      <cdr:y>0.56122</cdr:y>
    </cdr:from>
    <cdr:to>
      <cdr:x>0.49781</cdr:x>
      <cdr:y>0.61429</cdr:y>
    </cdr:to>
    <cdr:sp macro="" textlink="">
      <cdr:nvSpPr>
        <cdr:cNvPr id="23" name="1 CuadroTexto"/>
        <cdr:cNvSpPr txBox="1"/>
      </cdr:nvSpPr>
      <cdr:spPr>
        <a:xfrm xmlns:a="http://schemas.openxmlformats.org/drawingml/2006/main">
          <a:off x="2381061" y="2489703"/>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7%</a:t>
          </a:r>
        </a:p>
      </cdr:txBody>
    </cdr:sp>
  </cdr:relSizeAnchor>
  <cdr:relSizeAnchor xmlns:cdr="http://schemas.openxmlformats.org/drawingml/2006/chartDrawing">
    <cdr:from>
      <cdr:x>0.34135</cdr:x>
      <cdr:y>0.69184</cdr:y>
    </cdr:from>
    <cdr:to>
      <cdr:x>0.42353</cdr:x>
      <cdr:y>0.7449</cdr:y>
    </cdr:to>
    <cdr:sp macro="" textlink="">
      <cdr:nvSpPr>
        <cdr:cNvPr id="24" name="1 CuadroTexto"/>
        <cdr:cNvSpPr txBox="1"/>
      </cdr:nvSpPr>
      <cdr:spPr>
        <a:xfrm xmlns:a="http://schemas.openxmlformats.org/drawingml/2006/main">
          <a:off x="1955548" y="3069125"/>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4%</a:t>
          </a:r>
        </a:p>
      </cdr:txBody>
    </cdr:sp>
  </cdr:relSizeAnchor>
  <cdr:relSizeAnchor xmlns:cdr="http://schemas.openxmlformats.org/drawingml/2006/chartDrawing">
    <cdr:from>
      <cdr:x>0.27972</cdr:x>
      <cdr:y>0.7551</cdr:y>
    </cdr:from>
    <cdr:to>
      <cdr:x>0.3619</cdr:x>
      <cdr:y>0.80816</cdr:y>
    </cdr:to>
    <cdr:sp macro="" textlink="">
      <cdr:nvSpPr>
        <cdr:cNvPr id="25" name="1 CuadroTexto"/>
        <cdr:cNvSpPr txBox="1"/>
      </cdr:nvSpPr>
      <cdr:spPr>
        <a:xfrm xmlns:a="http://schemas.openxmlformats.org/drawingml/2006/main">
          <a:off x="1602463" y="3349782"/>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2%</a:t>
          </a:r>
        </a:p>
      </cdr:txBody>
    </cdr:sp>
  </cdr:relSizeAnchor>
  <cdr:relSizeAnchor xmlns:cdr="http://schemas.openxmlformats.org/drawingml/2006/chartDrawing">
    <cdr:from>
      <cdr:x>0.27972</cdr:x>
      <cdr:y>0.81837</cdr:y>
    </cdr:from>
    <cdr:to>
      <cdr:x>0.3619</cdr:x>
      <cdr:y>0.87143</cdr:y>
    </cdr:to>
    <cdr:sp macro="" textlink="">
      <cdr:nvSpPr>
        <cdr:cNvPr id="26" name="1 CuadroTexto"/>
        <cdr:cNvSpPr txBox="1"/>
      </cdr:nvSpPr>
      <cdr:spPr>
        <a:xfrm xmlns:a="http://schemas.openxmlformats.org/drawingml/2006/main">
          <a:off x="1602463" y="3630440"/>
          <a:ext cx="470781" cy="2353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t>2%</a:t>
          </a:r>
        </a:p>
      </cdr:txBody>
    </cdr:sp>
  </cdr:relSizeAnchor>
</c:userShapes>
</file>

<file path=word/drawings/drawing11.xml><?xml version="1.0" encoding="utf-8"?>
<c:userShapes xmlns:c="http://schemas.openxmlformats.org/drawingml/2006/chart">
  <cdr:relSizeAnchor xmlns:cdr="http://schemas.openxmlformats.org/drawingml/2006/chartDrawing">
    <cdr:from>
      <cdr:x>0.28467</cdr:x>
      <cdr:y>0.14831</cdr:y>
    </cdr:from>
    <cdr:to>
      <cdr:x>0.31667</cdr:x>
      <cdr:y>0.17081</cdr:y>
    </cdr:to>
    <cdr:sp macro="" textlink="">
      <cdr:nvSpPr>
        <cdr:cNvPr id="1025" name="Text Box 1"/>
        <cdr:cNvSpPr txBox="1">
          <a:spLocks xmlns:a="http://schemas.openxmlformats.org/drawingml/2006/main" noChangeArrowheads="1"/>
        </cdr:cNvSpPr>
      </cdr:nvSpPr>
      <cdr:spPr bwMode="auto">
        <a:xfrm xmlns:a="http://schemas.openxmlformats.org/drawingml/2006/main">
          <a:off x="1584464" y="965938"/>
          <a:ext cx="178112" cy="14653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2%</a:t>
          </a:r>
        </a:p>
      </cdr:txBody>
    </cdr:sp>
  </cdr:relSizeAnchor>
  <cdr:relSizeAnchor xmlns:cdr="http://schemas.openxmlformats.org/drawingml/2006/chartDrawing">
    <cdr:from>
      <cdr:x>0.42803</cdr:x>
      <cdr:y>0.18367</cdr:y>
    </cdr:from>
    <cdr:to>
      <cdr:x>0.46458</cdr:x>
      <cdr:y>0.21044</cdr:y>
    </cdr:to>
    <cdr:sp macro="" textlink="">
      <cdr:nvSpPr>
        <cdr:cNvPr id="1026" name="Text Box 2"/>
        <cdr:cNvSpPr txBox="1">
          <a:spLocks xmlns:a="http://schemas.openxmlformats.org/drawingml/2006/main" noChangeArrowheads="1"/>
        </cdr:cNvSpPr>
      </cdr:nvSpPr>
      <cdr:spPr bwMode="auto">
        <a:xfrm xmlns:a="http://schemas.openxmlformats.org/drawingml/2006/main">
          <a:off x="2525311" y="1195596"/>
          <a:ext cx="215636" cy="1742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9%</a:t>
          </a:r>
        </a:p>
      </cdr:txBody>
    </cdr:sp>
  </cdr:relSizeAnchor>
  <cdr:relSizeAnchor xmlns:cdr="http://schemas.openxmlformats.org/drawingml/2006/chartDrawing">
    <cdr:from>
      <cdr:x>0.33447</cdr:x>
      <cdr:y>0.22106</cdr:y>
    </cdr:from>
    <cdr:to>
      <cdr:x>0.36647</cdr:x>
      <cdr:y>0.24356</cdr:y>
    </cdr:to>
    <cdr:sp macro="" textlink="">
      <cdr:nvSpPr>
        <cdr:cNvPr id="1027" name="Text Box 3"/>
        <cdr:cNvSpPr txBox="1">
          <a:spLocks xmlns:a="http://schemas.openxmlformats.org/drawingml/2006/main" noChangeArrowheads="1"/>
        </cdr:cNvSpPr>
      </cdr:nvSpPr>
      <cdr:spPr bwMode="auto">
        <a:xfrm xmlns:a="http://schemas.openxmlformats.org/drawingml/2006/main">
          <a:off x="1973275" y="1438986"/>
          <a:ext cx="188793" cy="14646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4%</a:t>
          </a:r>
        </a:p>
      </cdr:txBody>
    </cdr:sp>
  </cdr:relSizeAnchor>
  <cdr:relSizeAnchor xmlns:cdr="http://schemas.openxmlformats.org/drawingml/2006/chartDrawing">
    <cdr:from>
      <cdr:x>0.30835</cdr:x>
      <cdr:y>0.2608</cdr:y>
    </cdr:from>
    <cdr:to>
      <cdr:x>0.34035</cdr:x>
      <cdr:y>0.2833</cdr:y>
    </cdr:to>
    <cdr:sp macro="" textlink="">
      <cdr:nvSpPr>
        <cdr:cNvPr id="1028" name="Text Box 4"/>
        <cdr:cNvSpPr txBox="1">
          <a:spLocks xmlns:a="http://schemas.openxmlformats.org/drawingml/2006/main" noChangeArrowheads="1"/>
        </cdr:cNvSpPr>
      </cdr:nvSpPr>
      <cdr:spPr bwMode="auto">
        <a:xfrm xmlns:a="http://schemas.openxmlformats.org/drawingml/2006/main">
          <a:off x="1819221" y="1697621"/>
          <a:ext cx="188793" cy="1464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3%</a:t>
          </a:r>
        </a:p>
      </cdr:txBody>
    </cdr:sp>
  </cdr:relSizeAnchor>
  <cdr:relSizeAnchor xmlns:cdr="http://schemas.openxmlformats.org/drawingml/2006/chartDrawing">
    <cdr:from>
      <cdr:x>0.28568</cdr:x>
      <cdr:y>0.2968</cdr:y>
    </cdr:from>
    <cdr:to>
      <cdr:x>0.31768</cdr:x>
      <cdr:y>0.3193</cdr:y>
    </cdr:to>
    <cdr:sp macro="" textlink="">
      <cdr:nvSpPr>
        <cdr:cNvPr id="1029" name="Text Box 5"/>
        <cdr:cNvSpPr txBox="1">
          <a:spLocks xmlns:a="http://schemas.openxmlformats.org/drawingml/2006/main" noChangeArrowheads="1"/>
        </cdr:cNvSpPr>
      </cdr:nvSpPr>
      <cdr:spPr bwMode="auto">
        <a:xfrm xmlns:a="http://schemas.openxmlformats.org/drawingml/2006/main">
          <a:off x="1685456" y="1931959"/>
          <a:ext cx="188793" cy="1464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2%</a:t>
          </a:r>
        </a:p>
      </cdr:txBody>
    </cdr:sp>
  </cdr:relSizeAnchor>
  <cdr:relSizeAnchor xmlns:cdr="http://schemas.openxmlformats.org/drawingml/2006/chartDrawing">
    <cdr:from>
      <cdr:x>0.54762</cdr:x>
      <cdr:y>0.33258</cdr:y>
    </cdr:from>
    <cdr:to>
      <cdr:x>0.59531</cdr:x>
      <cdr:y>0.35934</cdr:y>
    </cdr:to>
    <cdr:sp macro="" textlink="">
      <cdr:nvSpPr>
        <cdr:cNvPr id="1030" name="Text Box 6"/>
        <cdr:cNvSpPr txBox="1">
          <a:spLocks xmlns:a="http://schemas.openxmlformats.org/drawingml/2006/main" noChangeArrowheads="1"/>
        </cdr:cNvSpPr>
      </cdr:nvSpPr>
      <cdr:spPr bwMode="auto">
        <a:xfrm xmlns:a="http://schemas.openxmlformats.org/drawingml/2006/main">
          <a:off x="3230841" y="2164875"/>
          <a:ext cx="281359" cy="1742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14%</a:t>
          </a:r>
        </a:p>
      </cdr:txBody>
    </cdr:sp>
  </cdr:relSizeAnchor>
  <cdr:relSizeAnchor xmlns:cdr="http://schemas.openxmlformats.org/drawingml/2006/chartDrawing">
    <cdr:from>
      <cdr:x>0.55716</cdr:x>
      <cdr:y>0.37575</cdr:y>
    </cdr:from>
    <cdr:to>
      <cdr:x>0.60485</cdr:x>
      <cdr:y>0.40251</cdr:y>
    </cdr:to>
    <cdr:sp macro="" textlink="">
      <cdr:nvSpPr>
        <cdr:cNvPr id="1031" name="Text Box 7"/>
        <cdr:cNvSpPr txBox="1">
          <a:spLocks xmlns:a="http://schemas.openxmlformats.org/drawingml/2006/main" noChangeArrowheads="1"/>
        </cdr:cNvSpPr>
      </cdr:nvSpPr>
      <cdr:spPr bwMode="auto">
        <a:xfrm xmlns:a="http://schemas.openxmlformats.org/drawingml/2006/main">
          <a:off x="3287150" y="2445901"/>
          <a:ext cx="281359" cy="1742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15%</a:t>
          </a:r>
        </a:p>
      </cdr:txBody>
    </cdr:sp>
  </cdr:relSizeAnchor>
  <cdr:relSizeAnchor xmlns:cdr="http://schemas.openxmlformats.org/drawingml/2006/chartDrawing">
    <cdr:from>
      <cdr:x>0.40841</cdr:x>
      <cdr:y>0.40737</cdr:y>
    </cdr:from>
    <cdr:to>
      <cdr:x>0.44496</cdr:x>
      <cdr:y>0.43414</cdr:y>
    </cdr:to>
    <cdr:sp macro="" textlink="">
      <cdr:nvSpPr>
        <cdr:cNvPr id="1032" name="Text Box 8"/>
        <cdr:cNvSpPr txBox="1">
          <a:spLocks xmlns:a="http://schemas.openxmlformats.org/drawingml/2006/main" noChangeArrowheads="1"/>
        </cdr:cNvSpPr>
      </cdr:nvSpPr>
      <cdr:spPr bwMode="auto">
        <a:xfrm xmlns:a="http://schemas.openxmlformats.org/drawingml/2006/main">
          <a:off x="2409557" y="2651750"/>
          <a:ext cx="215636" cy="1742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7%</a:t>
          </a:r>
        </a:p>
      </cdr:txBody>
    </cdr:sp>
  </cdr:relSizeAnchor>
  <cdr:relSizeAnchor xmlns:cdr="http://schemas.openxmlformats.org/drawingml/2006/chartDrawing">
    <cdr:from>
      <cdr:x>0.34168</cdr:x>
      <cdr:y>0.44773</cdr:y>
    </cdr:from>
    <cdr:to>
      <cdr:x>0.37823</cdr:x>
      <cdr:y>0.4745</cdr:y>
    </cdr:to>
    <cdr:sp macro="" textlink="">
      <cdr:nvSpPr>
        <cdr:cNvPr id="1033" name="Text Box 9"/>
        <cdr:cNvSpPr txBox="1">
          <a:spLocks xmlns:a="http://schemas.openxmlformats.org/drawingml/2006/main" noChangeArrowheads="1"/>
        </cdr:cNvSpPr>
      </cdr:nvSpPr>
      <cdr:spPr bwMode="auto">
        <a:xfrm xmlns:a="http://schemas.openxmlformats.org/drawingml/2006/main">
          <a:off x="2015844" y="2914462"/>
          <a:ext cx="215636" cy="1742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4%</a:t>
          </a:r>
        </a:p>
      </cdr:txBody>
    </cdr:sp>
  </cdr:relSizeAnchor>
  <cdr:relSizeAnchor xmlns:cdr="http://schemas.openxmlformats.org/drawingml/2006/chartDrawing">
    <cdr:from>
      <cdr:x>0.27072</cdr:x>
      <cdr:y>0.48662</cdr:y>
    </cdr:from>
    <cdr:to>
      <cdr:x>0.30272</cdr:x>
      <cdr:y>0.50912</cdr:y>
    </cdr:to>
    <cdr:sp macro="" textlink="">
      <cdr:nvSpPr>
        <cdr:cNvPr id="1035" name="Text Box 11"/>
        <cdr:cNvSpPr txBox="1">
          <a:spLocks xmlns:a="http://schemas.openxmlformats.org/drawingml/2006/main" noChangeArrowheads="1"/>
        </cdr:cNvSpPr>
      </cdr:nvSpPr>
      <cdr:spPr bwMode="auto">
        <a:xfrm xmlns:a="http://schemas.openxmlformats.org/drawingml/2006/main">
          <a:off x="1597211" y="3167618"/>
          <a:ext cx="188793" cy="14646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1%</a:t>
          </a:r>
        </a:p>
      </cdr:txBody>
    </cdr:sp>
  </cdr:relSizeAnchor>
  <cdr:relSizeAnchor xmlns:cdr="http://schemas.openxmlformats.org/drawingml/2006/chartDrawing">
    <cdr:from>
      <cdr:x>0</cdr:x>
      <cdr:y>0.97375</cdr:y>
    </cdr:from>
    <cdr:to>
      <cdr:x>0.4855</cdr:x>
      <cdr:y>0.9935</cdr:y>
    </cdr:to>
    <cdr:sp macro="" textlink="">
      <cdr:nvSpPr>
        <cdr:cNvPr id="1037" name="Text Box 13"/>
        <cdr:cNvSpPr txBox="1">
          <a:spLocks xmlns:a="http://schemas.openxmlformats.org/drawingml/2006/main" noChangeArrowheads="1"/>
        </cdr:cNvSpPr>
      </cdr:nvSpPr>
      <cdr:spPr bwMode="auto">
        <a:xfrm xmlns:a="http://schemas.openxmlformats.org/drawingml/2006/main">
          <a:off x="0" y="7021151"/>
          <a:ext cx="3038223" cy="14240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925" b="0" i="1"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0.31103</cdr:x>
      <cdr:y>0.64612</cdr:y>
    </cdr:from>
    <cdr:to>
      <cdr:x>0.61782</cdr:x>
      <cdr:y>0.69427</cdr:y>
    </cdr:to>
    <cdr:sp macro="" textlink="">
      <cdr:nvSpPr>
        <cdr:cNvPr id="1043" name="Text Box 19"/>
        <cdr:cNvSpPr txBox="1">
          <a:spLocks xmlns:a="http://schemas.openxmlformats.org/drawingml/2006/main" noChangeArrowheads="1"/>
        </cdr:cNvSpPr>
      </cdr:nvSpPr>
      <cdr:spPr bwMode="auto">
        <a:xfrm xmlns:a="http://schemas.openxmlformats.org/drawingml/2006/main">
          <a:off x="1835038" y="4205864"/>
          <a:ext cx="1809983" cy="3134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ctr" rtl="1">
            <a:defRPr sz="1000"/>
          </a:pPr>
          <a:r>
            <a:rPr lang="es-CR" sz="1000" b="1" i="0" strike="noStrike">
              <a:solidFill>
                <a:srgbClr val="000000"/>
              </a:solidFill>
              <a:latin typeface="Times New Roman"/>
              <a:cs typeface="Times New Roman"/>
            </a:rPr>
            <a:t>Cada porcentaje es menor al 1%</a:t>
          </a:r>
        </a:p>
        <a:p xmlns:a="http://schemas.openxmlformats.org/drawingml/2006/main">
          <a:pPr algn="ctr" rtl="1">
            <a:defRPr sz="1000"/>
          </a:pPr>
          <a:r>
            <a:rPr lang="es-CR" sz="1000" b="1" i="0" strike="noStrike">
              <a:solidFill>
                <a:srgbClr val="000000"/>
              </a:solidFill>
              <a:latin typeface="Times New Roman"/>
              <a:cs typeface="Times New Roman"/>
            </a:rPr>
            <a:t>(En conjunto suman el 3%)</a:t>
          </a:r>
        </a:p>
      </cdr:txBody>
    </cdr:sp>
  </cdr:relSizeAnchor>
  <cdr:relSizeAnchor xmlns:cdr="http://schemas.openxmlformats.org/drawingml/2006/chartDrawing">
    <cdr:from>
      <cdr:x>0.31024</cdr:x>
      <cdr:y>0.86174</cdr:y>
    </cdr:from>
    <cdr:to>
      <cdr:x>0.34598</cdr:x>
      <cdr:y>0.88723</cdr:y>
    </cdr:to>
    <cdr:sp macro="" textlink="">
      <cdr:nvSpPr>
        <cdr:cNvPr id="1045" name="Text Box 21"/>
        <cdr:cNvSpPr txBox="1">
          <a:spLocks xmlns:a="http://schemas.openxmlformats.org/drawingml/2006/main" noChangeArrowheads="1"/>
        </cdr:cNvSpPr>
      </cdr:nvSpPr>
      <cdr:spPr bwMode="auto">
        <a:xfrm xmlns:a="http://schemas.openxmlformats.org/drawingml/2006/main">
          <a:off x="1830360" y="5609370"/>
          <a:ext cx="210827" cy="1659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1">
            <a:defRPr sz="1000"/>
          </a:pPr>
          <a:r>
            <a:rPr lang="es-CR" sz="1000" b="1" i="0" strike="noStrike">
              <a:solidFill>
                <a:srgbClr val="000000"/>
              </a:solidFill>
              <a:latin typeface="Times New Roman"/>
              <a:cs typeface="Times New Roman"/>
            </a:rPr>
            <a:t>3%</a:t>
          </a:r>
        </a:p>
      </cdr:txBody>
    </cdr:sp>
  </cdr:relSizeAnchor>
  <cdr:relSizeAnchor xmlns:cdr="http://schemas.openxmlformats.org/drawingml/2006/chartDrawing">
    <cdr:from>
      <cdr:x>0.85925</cdr:x>
      <cdr:y>0.77644</cdr:y>
    </cdr:from>
    <cdr:to>
      <cdr:x>0.90694</cdr:x>
      <cdr:y>0.80321</cdr:y>
    </cdr:to>
    <cdr:sp macro="" textlink="">
      <cdr:nvSpPr>
        <cdr:cNvPr id="1046" name="Text Box 22"/>
        <cdr:cNvSpPr txBox="1">
          <a:spLocks xmlns:a="http://schemas.openxmlformats.org/drawingml/2006/main" noChangeArrowheads="1"/>
        </cdr:cNvSpPr>
      </cdr:nvSpPr>
      <cdr:spPr bwMode="auto">
        <a:xfrm xmlns:a="http://schemas.openxmlformats.org/drawingml/2006/main">
          <a:off x="5069390" y="5054168"/>
          <a:ext cx="281359" cy="1742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25" b="1" i="0" strike="noStrike">
              <a:solidFill>
                <a:srgbClr val="000000"/>
              </a:solidFill>
              <a:latin typeface="Times New Roman"/>
              <a:cs typeface="Times New Roman"/>
            </a:rPr>
            <a:t>33%</a:t>
          </a:r>
        </a:p>
      </cdr:txBody>
    </cdr:sp>
  </cdr:relSizeAnchor>
  <cdr:relSizeAnchor xmlns:cdr="http://schemas.openxmlformats.org/drawingml/2006/chartDrawing">
    <cdr:from>
      <cdr:x>0.90966</cdr:x>
      <cdr:y>0.79277</cdr:y>
    </cdr:from>
    <cdr:to>
      <cdr:x>0.94035</cdr:x>
      <cdr:y>0.82198</cdr:y>
    </cdr:to>
    <cdr:sp macro="" textlink="">
      <cdr:nvSpPr>
        <cdr:cNvPr id="1047" name="Line 23"/>
        <cdr:cNvSpPr>
          <a:spLocks xmlns:a="http://schemas.openxmlformats.org/drawingml/2006/main" noChangeShapeType="1"/>
        </cdr:cNvSpPr>
      </cdr:nvSpPr>
      <cdr:spPr bwMode="auto">
        <a:xfrm xmlns:a="http://schemas.openxmlformats.org/drawingml/2006/main">
          <a:off x="5366818" y="5160474"/>
          <a:ext cx="181069" cy="190123"/>
        </a:xfrm>
        <a:prstGeom xmlns:a="http://schemas.openxmlformats.org/drawingml/2006/main" prst="line">
          <a:avLst/>
        </a:prstGeom>
        <a:noFill xmlns:a="http://schemas.openxmlformats.org/drawingml/2006/main"/>
        <a:ln xmlns:a="http://schemas.openxmlformats.org/drawingml/2006/main" w="9525">
          <a:solidFill>
            <a:srgbClr val="FF0000"/>
          </a:solidFill>
          <a:round/>
          <a:headEnd/>
          <a:tailEnd type="triangle" w="sm" len="lg"/>
        </a:ln>
        <a:effectLst xmlns:a="http://schemas.openxmlformats.org/drawingml/2006/main"/>
      </cdr:spPr>
    </cdr:sp>
  </cdr:relSizeAnchor>
  <cdr:relSizeAnchor xmlns:cdr="http://schemas.openxmlformats.org/drawingml/2006/chartDrawing">
    <cdr:from>
      <cdr:x>0.27046</cdr:x>
      <cdr:y>0.52017</cdr:y>
    </cdr:from>
    <cdr:to>
      <cdr:x>0.29892</cdr:x>
      <cdr:y>0.81086</cdr:y>
    </cdr:to>
    <cdr:sp macro="" textlink="">
      <cdr:nvSpPr>
        <cdr:cNvPr id="1048" name="AutoShape 24"/>
        <cdr:cNvSpPr>
          <a:spLocks xmlns:a="http://schemas.openxmlformats.org/drawingml/2006/main"/>
        </cdr:cNvSpPr>
      </cdr:nvSpPr>
      <cdr:spPr bwMode="auto">
        <a:xfrm xmlns:a="http://schemas.openxmlformats.org/drawingml/2006/main">
          <a:off x="1595640" y="3385996"/>
          <a:ext cx="167900" cy="1892174"/>
        </a:xfrm>
        <a:prstGeom xmlns:a="http://schemas.openxmlformats.org/drawingml/2006/main" prst="rightBrace">
          <a:avLst>
            <a:gd name="adj1" fmla="val 61897"/>
            <a:gd name="adj2" fmla="val 50000"/>
          </a:avLst>
        </a:prstGeom>
        <a:noFill xmlns:a="http://schemas.openxmlformats.org/drawingml/2006/main"/>
        <a:ln xmlns:a="http://schemas.openxmlformats.org/drawingml/2006/main" w="9525">
          <a:solidFill>
            <a:srgbClr val="FF0000"/>
          </a:solidFill>
          <a:round/>
          <a:headEnd/>
          <a:tailEnd/>
        </a:ln>
        <a:effectLst xmlns:a="http://schemas.openxmlformats.org/drawingml/2006/main"/>
      </cdr:spPr>
    </cdr:sp>
  </cdr:relSizeAnchor>
</c:userShapes>
</file>

<file path=word/drawings/drawing12.xml><?xml version="1.0" encoding="utf-8"?>
<c:userShapes xmlns:c="http://schemas.openxmlformats.org/drawingml/2006/chart">
  <cdr:relSizeAnchor xmlns:cdr="http://schemas.openxmlformats.org/drawingml/2006/chartDrawing">
    <cdr:from>
      <cdr:x>0</cdr:x>
      <cdr:y>0.9615</cdr:y>
    </cdr:from>
    <cdr:to>
      <cdr:x>0.43475</cdr:x>
      <cdr:y>0.99025</cdr:y>
    </cdr:to>
    <cdr:sp macro="" textlink="">
      <cdr:nvSpPr>
        <cdr:cNvPr id="1037" name="Text Box 13"/>
        <cdr:cNvSpPr txBox="1">
          <a:spLocks xmlns:a="http://schemas.openxmlformats.org/drawingml/2006/main" noChangeArrowheads="1"/>
        </cdr:cNvSpPr>
      </cdr:nvSpPr>
      <cdr:spPr bwMode="auto">
        <a:xfrm xmlns:a="http://schemas.openxmlformats.org/drawingml/2006/main">
          <a:off x="0" y="4798943"/>
          <a:ext cx="2923542" cy="1434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800" b="0" i="1" strike="noStrike">
              <a:solidFill>
                <a:srgbClr val="000000"/>
              </a:solidFill>
              <a:latin typeface="Times New Roman"/>
              <a:cs typeface="Times New Roman"/>
            </a:rPr>
            <a:t>Elaborado por: Sección de Estadística, Dirección de Planificación </a:t>
          </a:r>
        </a:p>
      </cdr:txBody>
    </cdr:sp>
  </cdr:relSizeAnchor>
</c:userShapes>
</file>

<file path=word/drawings/drawing13.xml><?xml version="1.0" encoding="utf-8"?>
<c:userShapes xmlns:c="http://schemas.openxmlformats.org/drawingml/2006/chart">
  <cdr:relSizeAnchor xmlns:cdr="http://schemas.openxmlformats.org/drawingml/2006/chartDrawing">
    <cdr:from>
      <cdr:x>0.33325</cdr:x>
      <cdr:y>0.0025</cdr:y>
    </cdr:from>
    <cdr:to>
      <cdr:x>0.67725</cdr:x>
      <cdr:y>0.06175</cdr:y>
    </cdr:to>
    <cdr:sp macro="" textlink="">
      <cdr:nvSpPr>
        <cdr:cNvPr id="1025" name="Text Box 1"/>
        <cdr:cNvSpPr txBox="1">
          <a:spLocks xmlns:a="http://schemas.openxmlformats.org/drawingml/2006/main" noChangeArrowheads="1"/>
        </cdr:cNvSpPr>
      </cdr:nvSpPr>
      <cdr:spPr bwMode="auto">
        <a:xfrm xmlns:a="http://schemas.openxmlformats.org/drawingml/2006/main">
          <a:off x="1402999" y="8025"/>
          <a:ext cx="1448257" cy="19018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7432" rIns="18288" bIns="0" anchor="t" upright="1">
          <a:spAutoFit/>
        </a:bodyPr>
        <a:lstStyle xmlns:a="http://schemas.openxmlformats.org/drawingml/2006/main"/>
        <a:p xmlns:a="http://schemas.openxmlformats.org/drawingml/2006/main">
          <a:pPr algn="ctr" rtl="1">
            <a:defRPr sz="1000"/>
          </a:pPr>
          <a:r>
            <a:rPr lang="es-CR" sz="1100" b="0" i="0" strike="noStrike">
              <a:solidFill>
                <a:srgbClr val="000000"/>
              </a:solidFill>
              <a:latin typeface="Times New Roman"/>
              <a:cs typeface="Times New Roman"/>
            </a:rPr>
            <a:t>Hombres y mujeres juntos</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0.9695</cdr:y>
    </cdr:from>
    <cdr:to>
      <cdr:x>0.34649</cdr:x>
      <cdr:y>1</cdr:y>
    </cdr:to>
    <cdr:sp macro="" textlink="">
      <cdr:nvSpPr>
        <cdr:cNvPr id="3073" name="Text Box 1"/>
        <cdr:cNvSpPr txBox="1">
          <a:spLocks xmlns:a="http://schemas.openxmlformats.org/drawingml/2006/main" noChangeArrowheads="1"/>
        </cdr:cNvSpPr>
      </cdr:nvSpPr>
      <cdr:spPr bwMode="auto">
        <a:xfrm xmlns:a="http://schemas.openxmlformats.org/drawingml/2006/main">
          <a:off x="0" y="3763697"/>
          <a:ext cx="1830692" cy="11833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a:t>
          </a:r>
        </a:p>
      </cdr:txBody>
    </cdr:sp>
  </cdr:relSizeAnchor>
  <cdr:relSizeAnchor xmlns:cdr="http://schemas.openxmlformats.org/drawingml/2006/chartDrawing">
    <cdr:from>
      <cdr:x>0.64989</cdr:x>
      <cdr:y>0.35119</cdr:y>
    </cdr:from>
    <cdr:to>
      <cdr:x>0.84389</cdr:x>
      <cdr:y>0.38144</cdr:y>
    </cdr:to>
    <cdr:sp macro="" textlink="">
      <cdr:nvSpPr>
        <cdr:cNvPr id="3091" name="Text Box 19"/>
        <cdr:cNvSpPr txBox="1">
          <a:spLocks xmlns:a="http://schemas.openxmlformats.org/drawingml/2006/main" noChangeArrowheads="1"/>
        </cdr:cNvSpPr>
      </cdr:nvSpPr>
      <cdr:spPr bwMode="auto">
        <a:xfrm xmlns:a="http://schemas.openxmlformats.org/drawingml/2006/main">
          <a:off x="3432653" y="1491010"/>
          <a:ext cx="1024694" cy="12843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1">
            <a:defRPr sz="1000"/>
          </a:pPr>
          <a:r>
            <a:rPr lang="es-CR" sz="1100" b="0" i="0" strike="noStrike">
              <a:solidFill>
                <a:srgbClr val="000000"/>
              </a:solidFill>
              <a:latin typeface="Times New Roman"/>
              <a:cs typeface="Times New Roman"/>
            </a:rPr>
            <a:t>Curva para la condenatoria</a:t>
          </a:r>
        </a:p>
      </cdr:txBody>
    </cdr:sp>
  </cdr:relSizeAnchor>
  <cdr:relSizeAnchor xmlns:cdr="http://schemas.openxmlformats.org/drawingml/2006/chartDrawing">
    <cdr:from>
      <cdr:x>0.42138</cdr:x>
      <cdr:y>0.47993</cdr:y>
    </cdr:from>
    <cdr:to>
      <cdr:x>0.60013</cdr:x>
      <cdr:y>0.51018</cdr:y>
    </cdr:to>
    <cdr:sp macro="" textlink="">
      <cdr:nvSpPr>
        <cdr:cNvPr id="3092" name="Text Box 20"/>
        <cdr:cNvSpPr txBox="1">
          <a:spLocks xmlns:a="http://schemas.openxmlformats.org/drawingml/2006/main" noChangeArrowheads="1"/>
        </cdr:cNvSpPr>
      </cdr:nvSpPr>
      <cdr:spPr bwMode="auto">
        <a:xfrm xmlns:a="http://schemas.openxmlformats.org/drawingml/2006/main">
          <a:off x="2225715" y="2037577"/>
          <a:ext cx="944145" cy="12843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1">
            <a:defRPr sz="1000"/>
          </a:pPr>
          <a:r>
            <a:rPr lang="es-CR" sz="1100" b="0" i="0" strike="noStrike">
              <a:solidFill>
                <a:srgbClr val="000000"/>
              </a:solidFill>
              <a:latin typeface="Times New Roman"/>
              <a:cs typeface="Times New Roman"/>
            </a:rPr>
            <a:t>Curva para la absolutoria</a:t>
          </a:r>
        </a:p>
      </cdr:txBody>
    </cdr:sp>
  </cdr:relSizeAnchor>
  <cdr:relSizeAnchor xmlns:cdr="http://schemas.openxmlformats.org/drawingml/2006/chartDrawing">
    <cdr:from>
      <cdr:x>0.56191</cdr:x>
      <cdr:y>0.35281</cdr:y>
    </cdr:from>
    <cdr:to>
      <cdr:x>0.65012</cdr:x>
      <cdr:y>0.3805</cdr:y>
    </cdr:to>
    <cdr:sp macro="" textlink="">
      <cdr:nvSpPr>
        <cdr:cNvPr id="3093" name="Line 21"/>
        <cdr:cNvSpPr>
          <a:spLocks xmlns:a="http://schemas.openxmlformats.org/drawingml/2006/main" noChangeShapeType="1"/>
        </cdr:cNvSpPr>
      </cdr:nvSpPr>
      <cdr:spPr bwMode="auto">
        <a:xfrm xmlns:a="http://schemas.openxmlformats.org/drawingml/2006/main" flipH="1" flipV="1">
          <a:off x="2967990" y="1497874"/>
          <a:ext cx="465908" cy="117566"/>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a:effectLst xmlns:a="http://schemas.openxmlformats.org/drawingml/2006/main"/>
      </cdr:spPr>
    </cdr:sp>
  </cdr:relSizeAnchor>
  <cdr:relSizeAnchor xmlns:cdr="http://schemas.openxmlformats.org/drawingml/2006/chartDrawing">
    <cdr:from>
      <cdr:x>0.69381</cdr:x>
      <cdr:y>0.50972</cdr:y>
    </cdr:from>
    <cdr:to>
      <cdr:x>0.72679</cdr:x>
      <cdr:y>0.53844</cdr:y>
    </cdr:to>
    <cdr:sp macro="" textlink="">
      <cdr:nvSpPr>
        <cdr:cNvPr id="3094" name="Line 22"/>
        <cdr:cNvSpPr>
          <a:spLocks xmlns:a="http://schemas.openxmlformats.org/drawingml/2006/main" noChangeShapeType="1"/>
        </cdr:cNvSpPr>
      </cdr:nvSpPr>
      <cdr:spPr bwMode="auto">
        <a:xfrm xmlns:a="http://schemas.openxmlformats.org/drawingml/2006/main">
          <a:off x="3664675" y="2164079"/>
          <a:ext cx="174171" cy="121921"/>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a:effectLst xmlns:a="http://schemas.openxmlformats.org/drawingml/2006/main"/>
      </cdr:spPr>
    </cdr:sp>
  </cdr:relSizeAnchor>
</c:userShapes>
</file>

<file path=word/drawings/drawing3.xml><?xml version="1.0" encoding="utf-8"?>
<c:userShapes xmlns:c="http://schemas.openxmlformats.org/drawingml/2006/chart">
  <cdr:relSizeAnchor xmlns:cdr="http://schemas.openxmlformats.org/drawingml/2006/chartDrawing">
    <cdr:from>
      <cdr:x>0</cdr:x>
      <cdr:y>0.965</cdr:y>
    </cdr:from>
    <cdr:to>
      <cdr:x>0.32075</cdr:x>
      <cdr:y>0.99033</cdr:y>
    </cdr:to>
    <cdr:sp macro="" textlink="">
      <cdr:nvSpPr>
        <cdr:cNvPr id="1037" name="Text Box 13"/>
        <cdr:cNvSpPr txBox="1">
          <a:spLocks xmlns:a="http://schemas.openxmlformats.org/drawingml/2006/main" noChangeArrowheads="1"/>
        </cdr:cNvSpPr>
      </cdr:nvSpPr>
      <cdr:spPr bwMode="auto">
        <a:xfrm xmlns:a="http://schemas.openxmlformats.org/drawingml/2006/main">
          <a:off x="0" y="3686843"/>
          <a:ext cx="1754904"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0.07053</cdr:x>
      <cdr:y>0.04217</cdr:y>
    </cdr:from>
    <cdr:to>
      <cdr:x>0.23766</cdr:x>
      <cdr:y>0.28151</cdr:y>
    </cdr:to>
    <cdr:sp macro="" textlink="">
      <cdr:nvSpPr>
        <cdr:cNvPr id="6" name="5 CuadroTexto"/>
        <cdr:cNvSpPr txBox="1"/>
      </cdr:nvSpPr>
      <cdr:spPr>
        <a:xfrm xmlns:a="http://schemas.openxmlformats.org/drawingml/2006/main">
          <a:off x="385898" y="161109"/>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s-CR" sz="1100"/>
        </a:p>
      </cdr:txBody>
    </cdr:sp>
  </cdr:relSizeAnchor>
  <cdr:relSizeAnchor xmlns:cdr="http://schemas.openxmlformats.org/drawingml/2006/chartDrawing">
    <cdr:from>
      <cdr:x>0.23528</cdr:x>
      <cdr:y>0.68838</cdr:y>
    </cdr:from>
    <cdr:to>
      <cdr:x>0.36182</cdr:x>
      <cdr:y>0.91176</cdr:y>
    </cdr:to>
    <cdr:sp macro="" textlink="">
      <cdr:nvSpPr>
        <cdr:cNvPr id="5" name="4 CuadroTexto"/>
        <cdr:cNvSpPr txBox="1"/>
      </cdr:nvSpPr>
      <cdr:spPr>
        <a:xfrm xmlns:a="http://schemas.openxmlformats.org/drawingml/2006/main">
          <a:off x="1287236" y="2629989"/>
          <a:ext cx="692331" cy="8534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s-CR" sz="1100"/>
        </a:p>
      </cdr:txBody>
    </cdr:sp>
  </cdr:relSizeAnchor>
</c:userShapes>
</file>

<file path=word/drawings/drawing30.xml><?xml version="1.0" encoding="utf-8"?>
<c:userShapes xmlns:c="http://schemas.openxmlformats.org/drawingml/2006/chart">
  <cdr:relSizeAnchor xmlns:cdr="http://schemas.openxmlformats.org/drawingml/2006/chartDrawing">
    <cdr:from>
      <cdr:x>0</cdr:x>
      <cdr:y>0.965</cdr:y>
    </cdr:from>
    <cdr:to>
      <cdr:x>0.32075</cdr:x>
      <cdr:y>0.99033</cdr:y>
    </cdr:to>
    <cdr:sp macro="" textlink="">
      <cdr:nvSpPr>
        <cdr:cNvPr id="1037" name="Text Box 13"/>
        <cdr:cNvSpPr txBox="1">
          <a:spLocks xmlns:a="http://schemas.openxmlformats.org/drawingml/2006/main" noChangeArrowheads="1"/>
        </cdr:cNvSpPr>
      </cdr:nvSpPr>
      <cdr:spPr bwMode="auto">
        <a:xfrm xmlns:a="http://schemas.openxmlformats.org/drawingml/2006/main">
          <a:off x="0" y="3686843"/>
          <a:ext cx="1754904"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0.07053</cdr:x>
      <cdr:y>0.04217</cdr:y>
    </cdr:from>
    <cdr:to>
      <cdr:x>0.23766</cdr:x>
      <cdr:y>0.28151</cdr:y>
    </cdr:to>
    <cdr:sp macro="" textlink="">
      <cdr:nvSpPr>
        <cdr:cNvPr id="6" name="5 CuadroTexto"/>
        <cdr:cNvSpPr txBox="1"/>
      </cdr:nvSpPr>
      <cdr:spPr>
        <a:xfrm xmlns:a="http://schemas.openxmlformats.org/drawingml/2006/main">
          <a:off x="385898" y="161109"/>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s-CR" sz="1100"/>
        </a:p>
      </cdr:txBody>
    </cdr:sp>
  </cdr:relSizeAnchor>
  <cdr:relSizeAnchor xmlns:cdr="http://schemas.openxmlformats.org/drawingml/2006/chartDrawing">
    <cdr:from>
      <cdr:x>0.23528</cdr:x>
      <cdr:y>0.68838</cdr:y>
    </cdr:from>
    <cdr:to>
      <cdr:x>0.36182</cdr:x>
      <cdr:y>0.91176</cdr:y>
    </cdr:to>
    <cdr:sp macro="" textlink="">
      <cdr:nvSpPr>
        <cdr:cNvPr id="5" name="4 CuadroTexto"/>
        <cdr:cNvSpPr txBox="1"/>
      </cdr:nvSpPr>
      <cdr:spPr>
        <a:xfrm xmlns:a="http://schemas.openxmlformats.org/drawingml/2006/main">
          <a:off x="1287236" y="2629989"/>
          <a:ext cx="692331" cy="8534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s-CR" sz="1100"/>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0.96275</cdr:y>
    </cdr:from>
    <cdr:to>
      <cdr:x>0.32686</cdr:x>
      <cdr:y>0.98688</cdr:y>
    </cdr:to>
    <cdr:sp macro="" textlink="">
      <cdr:nvSpPr>
        <cdr:cNvPr id="1037" name="Text Box 13"/>
        <cdr:cNvSpPr txBox="1">
          <a:spLocks xmlns:a="http://schemas.openxmlformats.org/drawingml/2006/main" noChangeArrowheads="1"/>
        </cdr:cNvSpPr>
      </cdr:nvSpPr>
      <cdr:spPr bwMode="auto">
        <a:xfrm xmlns:a="http://schemas.openxmlformats.org/drawingml/2006/main">
          <a:off x="0" y="3860652"/>
          <a:ext cx="1754904"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cdr:x>
      <cdr:y>0.96275</cdr:y>
    </cdr:from>
    <cdr:to>
      <cdr:x>0.32686</cdr:x>
      <cdr:y>0.98688</cdr:y>
    </cdr:to>
    <cdr:sp macro="" textlink="">
      <cdr:nvSpPr>
        <cdr:cNvPr id="6" name="Text Box 13"/>
        <cdr:cNvSpPr txBox="1">
          <a:spLocks xmlns:a="http://schemas.openxmlformats.org/drawingml/2006/main" noChangeArrowheads="1"/>
        </cdr:cNvSpPr>
      </cdr:nvSpPr>
      <cdr:spPr bwMode="auto">
        <a:xfrm xmlns:a="http://schemas.openxmlformats.org/drawingml/2006/main">
          <a:off x="0" y="3860652"/>
          <a:ext cx="1754904"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0.09494</cdr:x>
      <cdr:y>0.00952</cdr:y>
    </cdr:from>
    <cdr:to>
      <cdr:x>0.86111</cdr:x>
      <cdr:y>0.22177</cdr:y>
    </cdr:to>
    <cdr:sp macro="" textlink="">
      <cdr:nvSpPr>
        <cdr:cNvPr id="21" name="20 CuadroTexto"/>
        <cdr:cNvSpPr txBox="1"/>
      </cdr:nvSpPr>
      <cdr:spPr>
        <a:xfrm xmlns:a="http://schemas.openxmlformats.org/drawingml/2006/main">
          <a:off x="520882" y="30480"/>
          <a:ext cx="4203519" cy="67926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s-CR" sz="1400">
              <a:latin typeface="Times New Roman" pitchFamily="18" charset="0"/>
              <a:cs typeface="Times New Roman" pitchFamily="18" charset="0"/>
            </a:rPr>
            <a:t>Gráfico N° 5 
</a:t>
          </a:r>
          <a:r>
            <a:rPr lang="es-CR" sz="1400" b="1">
              <a:latin typeface="Times New Roman" pitchFamily="18" charset="0"/>
              <a:cs typeface="Times New Roman" pitchFamily="18" charset="0"/>
            </a:rPr>
            <a:t>Distibución del volumen de personas sentenciadas </a:t>
          </a:r>
        </a:p>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s-CR" sz="1400" b="1">
              <a:latin typeface="Times New Roman" pitchFamily="18" charset="0"/>
              <a:cs typeface="Times New Roman" pitchFamily="18" charset="0"/>
            </a:rPr>
            <a:t>durante</a:t>
          </a:r>
          <a:r>
            <a:rPr lang="es-CR" sz="1400" b="1" baseline="0">
              <a:latin typeface="Times New Roman" pitchFamily="18" charset="0"/>
              <a:cs typeface="Times New Roman" pitchFamily="18" charset="0"/>
            </a:rPr>
            <a:t> el 2014 y 2015 </a:t>
          </a:r>
          <a:r>
            <a:rPr lang="es-CR" sz="1400" b="1">
              <a:latin typeface="Times New Roman" pitchFamily="18" charset="0"/>
              <a:cs typeface="Times New Roman" pitchFamily="18" charset="0"/>
            </a:rPr>
            <a:t>según estado civil</a:t>
          </a:r>
        </a:p>
        <a:p xmlns:a="http://schemas.openxmlformats.org/drawingml/2006/main">
          <a:endParaRPr lang="es-CR" sz="1400">
            <a:latin typeface="Times New Roman" pitchFamily="18" charset="0"/>
            <a:cs typeface="Times New Roman" pitchFamily="18" charset="0"/>
          </a:endParaRPr>
        </a:p>
      </cdr:txBody>
    </cdr:sp>
  </cdr:relSizeAnchor>
  <cdr:relSizeAnchor xmlns:cdr="http://schemas.openxmlformats.org/drawingml/2006/chartDrawing">
    <cdr:from>
      <cdr:x>0.82393</cdr:x>
      <cdr:y>0.44128</cdr:y>
    </cdr:from>
    <cdr:to>
      <cdr:x>0.9267</cdr:x>
      <cdr:y>0.53954</cdr:y>
    </cdr:to>
    <cdr:sp macro="" textlink="">
      <cdr:nvSpPr>
        <cdr:cNvPr id="22" name="21 CuadroTexto"/>
        <cdr:cNvSpPr txBox="1"/>
      </cdr:nvSpPr>
      <cdr:spPr>
        <a:xfrm xmlns:a="http://schemas.openxmlformats.org/drawingml/2006/main">
          <a:off x="4305612" y="1517960"/>
          <a:ext cx="537049" cy="3379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s-CR" sz="800">
              <a:latin typeface="Times New Roman" pitchFamily="18" charset="0"/>
              <a:cs typeface="Times New Roman" pitchFamily="18" charset="0"/>
            </a:rPr>
            <a:t>Aumento</a:t>
          </a:r>
        </a:p>
        <a:p xmlns:a="http://schemas.openxmlformats.org/drawingml/2006/main">
          <a:pPr algn="ctr"/>
          <a:r>
            <a:rPr lang="es-CR" sz="800">
              <a:latin typeface="Times New Roman" pitchFamily="18" charset="0"/>
              <a:cs typeface="Times New Roman" pitchFamily="18" charset="0"/>
            </a:rPr>
            <a:t>del 4%</a:t>
          </a:r>
        </a:p>
      </cdr:txBody>
    </cdr:sp>
  </cdr:relSizeAnchor>
  <cdr:relSizeAnchor xmlns:cdr="http://schemas.openxmlformats.org/drawingml/2006/chartDrawing">
    <cdr:from>
      <cdr:x>0.82449</cdr:x>
      <cdr:y>0.41954</cdr:y>
    </cdr:from>
    <cdr:to>
      <cdr:x>0.92853</cdr:x>
      <cdr:y>0.46312</cdr:y>
    </cdr:to>
    <cdr:sp macro="" textlink="">
      <cdr:nvSpPr>
        <cdr:cNvPr id="23" name="22 Cerrar llave"/>
        <cdr:cNvSpPr/>
      </cdr:nvSpPr>
      <cdr:spPr>
        <a:xfrm xmlns:a="http://schemas.openxmlformats.org/drawingml/2006/main" rot="5400000">
          <a:off x="4505388" y="1246287"/>
          <a:ext cx="149921" cy="543686"/>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0.26945</cdr:x>
      <cdr:y>0.78687</cdr:y>
    </cdr:from>
    <cdr:to>
      <cdr:x>0.29382</cdr:x>
      <cdr:y>0.8557</cdr:y>
    </cdr:to>
    <cdr:sp macro="" textlink="">
      <cdr:nvSpPr>
        <cdr:cNvPr id="24" name="1 Cerrar llave"/>
        <cdr:cNvSpPr/>
      </cdr:nvSpPr>
      <cdr:spPr>
        <a:xfrm xmlns:a="http://schemas.openxmlformats.org/drawingml/2006/main">
          <a:off x="1408060" y="2706727"/>
          <a:ext cx="127350" cy="236767"/>
        </a:xfrm>
        <a:prstGeom xmlns:a="http://schemas.openxmlformats.org/drawingml/2006/main" prst="rightBrac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s-CR"/>
        </a:p>
      </cdr:txBody>
    </cdr:sp>
  </cdr:relSizeAnchor>
  <cdr:relSizeAnchor xmlns:cdr="http://schemas.openxmlformats.org/drawingml/2006/chartDrawing">
    <cdr:from>
      <cdr:x>0.28497</cdr:x>
      <cdr:y>0.78861</cdr:y>
    </cdr:from>
    <cdr:to>
      <cdr:x>0.47828</cdr:x>
      <cdr:y>0.84051</cdr:y>
    </cdr:to>
    <cdr:sp macro="" textlink="">
      <cdr:nvSpPr>
        <cdr:cNvPr id="25" name="1 CuadroTexto"/>
        <cdr:cNvSpPr txBox="1"/>
      </cdr:nvSpPr>
      <cdr:spPr>
        <a:xfrm xmlns:a="http://schemas.openxmlformats.org/drawingml/2006/main">
          <a:off x="1489179" y="2712727"/>
          <a:ext cx="1010177" cy="17853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800">
              <a:latin typeface="Times New Roman" pitchFamily="18" charset="0"/>
              <a:cs typeface="Times New Roman" pitchFamily="18" charset="0"/>
            </a:rPr>
            <a:t>Aumento: 23%</a:t>
          </a:r>
        </a:p>
      </cdr:txBody>
    </cdr:sp>
  </cdr:relSizeAnchor>
  <cdr:relSizeAnchor xmlns:cdr="http://schemas.openxmlformats.org/drawingml/2006/chartDrawing">
    <cdr:from>
      <cdr:x>0.51911</cdr:x>
      <cdr:y>0.44177</cdr:y>
    </cdr:from>
    <cdr:to>
      <cdr:x>0.54349</cdr:x>
      <cdr:y>0.5106</cdr:y>
    </cdr:to>
    <cdr:sp macro="" textlink="">
      <cdr:nvSpPr>
        <cdr:cNvPr id="26" name="1 Cerrar llave"/>
        <cdr:cNvSpPr/>
      </cdr:nvSpPr>
      <cdr:spPr>
        <a:xfrm xmlns:a="http://schemas.openxmlformats.org/drawingml/2006/main">
          <a:off x="2712703" y="1519644"/>
          <a:ext cx="127402" cy="236767"/>
        </a:xfrm>
        <a:prstGeom xmlns:a="http://schemas.openxmlformats.org/drawingml/2006/main" prst="rightBrac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s-CR"/>
        </a:p>
      </cdr:txBody>
    </cdr:sp>
  </cdr:relSizeAnchor>
  <cdr:relSizeAnchor xmlns:cdr="http://schemas.openxmlformats.org/drawingml/2006/chartDrawing">
    <cdr:from>
      <cdr:x>0.47162</cdr:x>
      <cdr:y>0.52658</cdr:y>
    </cdr:from>
    <cdr:to>
      <cdr:x>0.49599</cdr:x>
      <cdr:y>0.59541</cdr:y>
    </cdr:to>
    <cdr:sp macro="" textlink="">
      <cdr:nvSpPr>
        <cdr:cNvPr id="27" name="1 Cerrar llave"/>
        <cdr:cNvSpPr/>
      </cdr:nvSpPr>
      <cdr:spPr>
        <a:xfrm xmlns:a="http://schemas.openxmlformats.org/drawingml/2006/main">
          <a:off x="2464548" y="1811375"/>
          <a:ext cx="127350" cy="236767"/>
        </a:xfrm>
        <a:prstGeom xmlns:a="http://schemas.openxmlformats.org/drawingml/2006/main" prst="rightBrac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s-CR"/>
        </a:p>
      </cdr:txBody>
    </cdr:sp>
  </cdr:relSizeAnchor>
  <cdr:relSizeAnchor xmlns:cdr="http://schemas.openxmlformats.org/drawingml/2006/chartDrawing">
    <cdr:from>
      <cdr:x>0.33163</cdr:x>
      <cdr:y>0.61265</cdr:y>
    </cdr:from>
    <cdr:to>
      <cdr:x>0.35601</cdr:x>
      <cdr:y>0.68148</cdr:y>
    </cdr:to>
    <cdr:sp macro="" textlink="">
      <cdr:nvSpPr>
        <cdr:cNvPr id="28" name="1 Cerrar llave"/>
        <cdr:cNvSpPr/>
      </cdr:nvSpPr>
      <cdr:spPr>
        <a:xfrm xmlns:a="http://schemas.openxmlformats.org/drawingml/2006/main">
          <a:off x="1732984" y="2107460"/>
          <a:ext cx="127402" cy="236767"/>
        </a:xfrm>
        <a:prstGeom xmlns:a="http://schemas.openxmlformats.org/drawingml/2006/main" prst="rightBrac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s-CR"/>
        </a:p>
      </cdr:txBody>
    </cdr:sp>
  </cdr:relSizeAnchor>
  <cdr:relSizeAnchor xmlns:cdr="http://schemas.openxmlformats.org/drawingml/2006/chartDrawing">
    <cdr:from>
      <cdr:x>0.28081</cdr:x>
      <cdr:y>0.69873</cdr:y>
    </cdr:from>
    <cdr:to>
      <cdr:x>0.30518</cdr:x>
      <cdr:y>0.76756</cdr:y>
    </cdr:to>
    <cdr:sp macro="" textlink="">
      <cdr:nvSpPr>
        <cdr:cNvPr id="29" name="1 Cerrar llave"/>
        <cdr:cNvSpPr/>
      </cdr:nvSpPr>
      <cdr:spPr>
        <a:xfrm xmlns:a="http://schemas.openxmlformats.org/drawingml/2006/main">
          <a:off x="1467400" y="2403551"/>
          <a:ext cx="127350" cy="236767"/>
        </a:xfrm>
        <a:prstGeom xmlns:a="http://schemas.openxmlformats.org/drawingml/2006/main" prst="rightBrac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s-CR"/>
        </a:p>
      </cdr:txBody>
    </cdr:sp>
  </cdr:relSizeAnchor>
  <cdr:relSizeAnchor xmlns:cdr="http://schemas.openxmlformats.org/drawingml/2006/chartDrawing">
    <cdr:from>
      <cdr:x>0.53661</cdr:x>
      <cdr:y>0.44557</cdr:y>
    </cdr:from>
    <cdr:to>
      <cdr:x>0.69295</cdr:x>
      <cdr:y>0.49747</cdr:y>
    </cdr:to>
    <cdr:sp macro="" textlink="">
      <cdr:nvSpPr>
        <cdr:cNvPr id="30" name="1 CuadroTexto"/>
        <cdr:cNvSpPr txBox="1"/>
      </cdr:nvSpPr>
      <cdr:spPr>
        <a:xfrm xmlns:a="http://schemas.openxmlformats.org/drawingml/2006/main">
          <a:off x="2804170" y="1532701"/>
          <a:ext cx="816962" cy="17853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800">
              <a:latin typeface="Times New Roman" pitchFamily="18" charset="0"/>
              <a:cs typeface="Times New Roman" pitchFamily="18" charset="0"/>
            </a:rPr>
            <a:t>Reducción: 6%</a:t>
          </a:r>
        </a:p>
      </cdr:txBody>
    </cdr:sp>
  </cdr:relSizeAnchor>
  <cdr:relSizeAnchor xmlns:cdr="http://schemas.openxmlformats.org/drawingml/2006/chartDrawing">
    <cdr:from>
      <cdr:x>0.50078</cdr:x>
      <cdr:y>0.52911</cdr:y>
    </cdr:from>
    <cdr:to>
      <cdr:x>0.65962</cdr:x>
      <cdr:y>0.58101</cdr:y>
    </cdr:to>
    <cdr:sp macro="" textlink="">
      <cdr:nvSpPr>
        <cdr:cNvPr id="31" name="1 CuadroTexto"/>
        <cdr:cNvSpPr txBox="1"/>
      </cdr:nvSpPr>
      <cdr:spPr>
        <a:xfrm xmlns:a="http://schemas.openxmlformats.org/drawingml/2006/main">
          <a:off x="2616936" y="1820092"/>
          <a:ext cx="830025" cy="17853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800">
              <a:latin typeface="Times New Roman" pitchFamily="18" charset="0"/>
              <a:cs typeface="Times New Roman" pitchFamily="18" charset="0"/>
            </a:rPr>
            <a:t>Reducción: 17%</a:t>
          </a:r>
        </a:p>
      </cdr:txBody>
    </cdr:sp>
  </cdr:relSizeAnchor>
  <cdr:relSizeAnchor xmlns:cdr="http://schemas.openxmlformats.org/drawingml/2006/chartDrawing">
    <cdr:from>
      <cdr:x>0.34746</cdr:x>
      <cdr:y>0.61013</cdr:y>
    </cdr:from>
    <cdr:to>
      <cdr:x>0.54078</cdr:x>
      <cdr:y>0.66203</cdr:y>
    </cdr:to>
    <cdr:sp macro="" textlink="">
      <cdr:nvSpPr>
        <cdr:cNvPr id="32" name="1 CuadroTexto"/>
        <cdr:cNvSpPr txBox="1"/>
      </cdr:nvSpPr>
      <cdr:spPr>
        <a:xfrm xmlns:a="http://schemas.openxmlformats.org/drawingml/2006/main">
          <a:off x="1815722" y="2098760"/>
          <a:ext cx="1010230" cy="17853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800">
              <a:latin typeface="Times New Roman" pitchFamily="18" charset="0"/>
              <a:cs typeface="Times New Roman" pitchFamily="18" charset="0"/>
            </a:rPr>
            <a:t>Aumento: 12%</a:t>
          </a:r>
        </a:p>
      </cdr:txBody>
    </cdr:sp>
  </cdr:relSizeAnchor>
  <cdr:relSizeAnchor xmlns:cdr="http://schemas.openxmlformats.org/drawingml/2006/chartDrawing">
    <cdr:from>
      <cdr:x>0.3008</cdr:x>
      <cdr:y>0.69873</cdr:y>
    </cdr:from>
    <cdr:to>
      <cdr:x>0.46714</cdr:x>
      <cdr:y>0.75063</cdr:y>
    </cdr:to>
    <cdr:sp macro="" textlink="">
      <cdr:nvSpPr>
        <cdr:cNvPr id="33" name="1 CuadroTexto"/>
        <cdr:cNvSpPr txBox="1"/>
      </cdr:nvSpPr>
      <cdr:spPr>
        <a:xfrm xmlns:a="http://schemas.openxmlformats.org/drawingml/2006/main">
          <a:off x="1571908" y="2403551"/>
          <a:ext cx="869213" cy="17853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800">
              <a:latin typeface="Times New Roman" pitchFamily="18" charset="0"/>
              <a:cs typeface="Times New Roman" pitchFamily="18" charset="0"/>
            </a:rPr>
            <a:t>Reducción: 63%</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0.96275</cdr:y>
    </cdr:from>
    <cdr:to>
      <cdr:x>0.32686</cdr:x>
      <cdr:y>0.98688</cdr:y>
    </cdr:to>
    <cdr:sp macro="" textlink="">
      <cdr:nvSpPr>
        <cdr:cNvPr id="1037" name="Text Box 13"/>
        <cdr:cNvSpPr txBox="1">
          <a:spLocks xmlns:a="http://schemas.openxmlformats.org/drawingml/2006/main" noChangeArrowheads="1"/>
        </cdr:cNvSpPr>
      </cdr:nvSpPr>
      <cdr:spPr bwMode="auto">
        <a:xfrm xmlns:a="http://schemas.openxmlformats.org/drawingml/2006/main">
          <a:off x="0" y="3860652"/>
          <a:ext cx="1754904"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cdr:x>
      <cdr:y>0.96275</cdr:y>
    </cdr:from>
    <cdr:to>
      <cdr:x>0.32686</cdr:x>
      <cdr:y>0.98688</cdr:y>
    </cdr:to>
    <cdr:sp macro="" textlink="">
      <cdr:nvSpPr>
        <cdr:cNvPr id="6" name="Text Box 13"/>
        <cdr:cNvSpPr txBox="1">
          <a:spLocks xmlns:a="http://schemas.openxmlformats.org/drawingml/2006/main" noChangeArrowheads="1"/>
        </cdr:cNvSpPr>
      </cdr:nvSpPr>
      <cdr:spPr bwMode="auto">
        <a:xfrm xmlns:a="http://schemas.openxmlformats.org/drawingml/2006/main">
          <a:off x="0" y="3860652"/>
          <a:ext cx="1754904"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0.09494</cdr:x>
      <cdr:y>0.00952</cdr:y>
    </cdr:from>
    <cdr:to>
      <cdr:x>0.86111</cdr:x>
      <cdr:y>0.22177</cdr:y>
    </cdr:to>
    <cdr:sp macro="" textlink="">
      <cdr:nvSpPr>
        <cdr:cNvPr id="21" name="20 CuadroTexto"/>
        <cdr:cNvSpPr txBox="1"/>
      </cdr:nvSpPr>
      <cdr:spPr>
        <a:xfrm xmlns:a="http://schemas.openxmlformats.org/drawingml/2006/main">
          <a:off x="520882" y="30480"/>
          <a:ext cx="4203519" cy="67926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s-CR" sz="1400">
              <a:latin typeface="Times New Roman" pitchFamily="18" charset="0"/>
              <a:cs typeface="Times New Roman" pitchFamily="18" charset="0"/>
            </a:rPr>
            <a:t>Gráfico N° 6 
</a:t>
          </a:r>
          <a:r>
            <a:rPr lang="es-CR" sz="1400" b="1">
              <a:latin typeface="Times New Roman" pitchFamily="18" charset="0"/>
              <a:cs typeface="Times New Roman" pitchFamily="18" charset="0"/>
            </a:rPr>
            <a:t>Distibución del volumen de sentencias dictadas</a:t>
          </a:r>
          <a:r>
            <a:rPr lang="es-CR" sz="1400" b="1" baseline="0">
              <a:latin typeface="Times New Roman" pitchFamily="18" charset="0"/>
              <a:cs typeface="Times New Roman" pitchFamily="18" charset="0"/>
            </a:rPr>
            <a:t> </a:t>
          </a:r>
          <a:r>
            <a:rPr lang="es-CR" sz="1400" b="1">
              <a:latin typeface="Times New Roman" pitchFamily="18" charset="0"/>
              <a:cs typeface="Times New Roman" pitchFamily="18" charset="0"/>
            </a:rPr>
            <a:t>durante</a:t>
          </a:r>
          <a:r>
            <a:rPr lang="es-CR" sz="1400" b="1" baseline="0">
              <a:latin typeface="Times New Roman" pitchFamily="18" charset="0"/>
              <a:cs typeface="Times New Roman" pitchFamily="18" charset="0"/>
            </a:rPr>
            <a:t> 2015 </a:t>
          </a:r>
        </a:p>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s-CR" sz="1400" b="1">
              <a:latin typeface="Times New Roman" pitchFamily="18" charset="0"/>
              <a:cs typeface="Times New Roman" pitchFamily="18" charset="0"/>
            </a:rPr>
            <a:t>según Título</a:t>
          </a:r>
          <a:r>
            <a:rPr lang="es-CR" sz="1400" b="1" baseline="0">
              <a:latin typeface="Times New Roman" pitchFamily="18" charset="0"/>
              <a:cs typeface="Times New Roman" pitchFamily="18" charset="0"/>
            </a:rPr>
            <a:t> del delito o ley infringida y por tipo de tribunal</a:t>
          </a:r>
          <a:endParaRPr lang="es-CR" sz="1400" b="1">
            <a:latin typeface="Times New Roman" pitchFamily="18" charset="0"/>
            <a:cs typeface="Times New Roman" pitchFamily="18" charset="0"/>
          </a:endParaRPr>
        </a:p>
        <a:p xmlns:a="http://schemas.openxmlformats.org/drawingml/2006/main">
          <a:endParaRPr lang="es-CR" sz="140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0.9685</cdr:y>
    </cdr:from>
    <cdr:to>
      <cdr:x>0.627</cdr:x>
      <cdr:y>1</cdr:y>
    </cdr:to>
    <cdr:sp macro="" textlink="">
      <cdr:nvSpPr>
        <cdr:cNvPr id="3073" name="Text Box 1"/>
        <cdr:cNvSpPr txBox="1">
          <a:spLocks xmlns:a="http://schemas.openxmlformats.org/drawingml/2006/main" noChangeArrowheads="1"/>
        </cdr:cNvSpPr>
      </cdr:nvSpPr>
      <cdr:spPr bwMode="auto">
        <a:xfrm xmlns:a="http://schemas.openxmlformats.org/drawingml/2006/main">
          <a:off x="0" y="3907411"/>
          <a:ext cx="3529954" cy="1270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CR" sz="800" b="0" i="1" strike="noStrike">
              <a:solidFill>
                <a:srgbClr val="000000"/>
              </a:solidFill>
              <a:latin typeface="Times New Roman"/>
              <a:cs typeface="Times New Roman"/>
            </a:rPr>
            <a:t>Elaborado por: Sección de Estadística, Dirección de Planificación.</a:t>
          </a:r>
        </a:p>
      </cdr:txBody>
    </cdr:sp>
  </cdr:relSizeAnchor>
  <cdr:relSizeAnchor xmlns:cdr="http://schemas.openxmlformats.org/drawingml/2006/chartDrawing">
    <cdr:from>
      <cdr:x>0.58024</cdr:x>
      <cdr:y>0.391</cdr:y>
    </cdr:from>
    <cdr:to>
      <cdr:x>0.80274</cdr:x>
      <cdr:y>0.422</cdr:y>
    </cdr:to>
    <cdr:sp macro="" textlink="">
      <cdr:nvSpPr>
        <cdr:cNvPr id="3091" name="Text Box 19"/>
        <cdr:cNvSpPr txBox="1">
          <a:spLocks xmlns:a="http://schemas.openxmlformats.org/drawingml/2006/main" noChangeArrowheads="1"/>
        </cdr:cNvSpPr>
      </cdr:nvSpPr>
      <cdr:spPr bwMode="auto">
        <a:xfrm xmlns:a="http://schemas.openxmlformats.org/drawingml/2006/main">
          <a:off x="3266680" y="1576610"/>
          <a:ext cx="1252655" cy="12500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1">
            <a:defRPr sz="1000"/>
          </a:pPr>
          <a:r>
            <a:rPr lang="es-CR" sz="1200" b="0" i="0" strike="noStrike">
              <a:solidFill>
                <a:srgbClr val="000000"/>
              </a:solidFill>
              <a:latin typeface="Times New Roman"/>
              <a:cs typeface="Times New Roman"/>
            </a:rPr>
            <a:t>Curva para la NO reincidencia</a:t>
          </a:r>
        </a:p>
      </cdr:txBody>
    </cdr:sp>
  </cdr:relSizeAnchor>
  <cdr:relSizeAnchor xmlns:cdr="http://schemas.openxmlformats.org/drawingml/2006/chartDrawing">
    <cdr:from>
      <cdr:x>0.27775</cdr:x>
      <cdr:y>0.59875</cdr:y>
    </cdr:from>
    <cdr:to>
      <cdr:x>0.466</cdr:x>
      <cdr:y>0.62975</cdr:y>
    </cdr:to>
    <cdr:sp macro="" textlink="">
      <cdr:nvSpPr>
        <cdr:cNvPr id="3092" name="Text Box 20"/>
        <cdr:cNvSpPr txBox="1">
          <a:spLocks xmlns:a="http://schemas.openxmlformats.org/drawingml/2006/main" noChangeArrowheads="1"/>
        </cdr:cNvSpPr>
      </cdr:nvSpPr>
      <cdr:spPr bwMode="auto">
        <a:xfrm xmlns:a="http://schemas.openxmlformats.org/drawingml/2006/main">
          <a:off x="1854544" y="3125295"/>
          <a:ext cx="1256950" cy="161811"/>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1">
            <a:defRPr sz="1000"/>
          </a:pPr>
          <a:r>
            <a:rPr lang="es-CR" sz="1200" b="0" i="0" strike="noStrike">
              <a:solidFill>
                <a:srgbClr val="000000"/>
              </a:solidFill>
              <a:latin typeface="Times New Roman"/>
              <a:cs typeface="Times New Roman"/>
            </a:rPr>
            <a:t>Curva para la reincidencia</a:t>
          </a:r>
        </a:p>
      </cdr:txBody>
    </cdr:sp>
  </cdr:relSizeAnchor>
  <cdr:relSizeAnchor xmlns:cdr="http://schemas.openxmlformats.org/drawingml/2006/chartDrawing">
    <cdr:from>
      <cdr:x>0.48226</cdr:x>
      <cdr:y>0.35251</cdr:y>
    </cdr:from>
    <cdr:to>
      <cdr:x>0.58036</cdr:x>
      <cdr:y>0.41986</cdr:y>
    </cdr:to>
    <cdr:sp macro="" textlink="">
      <cdr:nvSpPr>
        <cdr:cNvPr id="3093" name="Line 21"/>
        <cdr:cNvSpPr>
          <a:spLocks xmlns:a="http://schemas.openxmlformats.org/drawingml/2006/main" noChangeShapeType="1"/>
        </cdr:cNvSpPr>
      </cdr:nvSpPr>
      <cdr:spPr bwMode="auto">
        <a:xfrm xmlns:a="http://schemas.openxmlformats.org/drawingml/2006/main" flipH="1" flipV="1">
          <a:off x="2715096" y="1421394"/>
          <a:ext cx="552261" cy="271604"/>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a:effectLst xmlns:a="http://schemas.openxmlformats.org/drawingml/2006/main"/>
      </cdr:spPr>
    </cdr:sp>
  </cdr:relSizeAnchor>
  <cdr:relSizeAnchor xmlns:cdr="http://schemas.openxmlformats.org/drawingml/2006/chartDrawing">
    <cdr:from>
      <cdr:x>0.5789</cdr:x>
      <cdr:y>0.632</cdr:y>
    </cdr:from>
    <cdr:to>
      <cdr:x>0.71222</cdr:x>
      <cdr:y>0.69154</cdr:y>
    </cdr:to>
    <cdr:sp macro="" textlink="">
      <cdr:nvSpPr>
        <cdr:cNvPr id="3094" name="Line 22"/>
        <cdr:cNvSpPr>
          <a:spLocks xmlns:a="http://schemas.openxmlformats.org/drawingml/2006/main" noChangeShapeType="1"/>
        </cdr:cNvSpPr>
      </cdr:nvSpPr>
      <cdr:spPr bwMode="auto">
        <a:xfrm xmlns:a="http://schemas.openxmlformats.org/drawingml/2006/main">
          <a:off x="3259146" y="2548402"/>
          <a:ext cx="750596" cy="240066"/>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a:effectLst xmlns:a="http://schemas.openxmlformats.org/drawingml/2006/main"/>
      </cdr:spPr>
    </cdr:sp>
  </cdr:relSizeAnchor>
  <cdr:relSizeAnchor xmlns:cdr="http://schemas.openxmlformats.org/drawingml/2006/chartDrawing">
    <cdr:from>
      <cdr:x>0.62695</cdr:x>
      <cdr:y>0.26673</cdr:y>
    </cdr:from>
    <cdr:to>
      <cdr:x>0.90384</cdr:x>
      <cdr:y>0.30452</cdr:y>
    </cdr:to>
    <cdr:sp macro="" textlink="">
      <cdr:nvSpPr>
        <cdr:cNvPr id="7" name="6 Rectángulo"/>
        <cdr:cNvSpPr/>
      </cdr:nvSpPr>
      <cdr:spPr>
        <a:xfrm xmlns:a="http://schemas.openxmlformats.org/drawingml/2006/main">
          <a:off x="3529693" y="1075508"/>
          <a:ext cx="1558834" cy="152400"/>
        </a:xfrm>
        <a:prstGeom xmlns:a="http://schemas.openxmlformats.org/drawingml/2006/main" prst="rect">
          <a:avLst/>
        </a:prstGeom>
        <a:solidFill xmlns:a="http://schemas.openxmlformats.org/drawingml/2006/main">
          <a:schemeClr val="accent1">
            <a:alpha val="15000"/>
          </a:schemeClr>
        </a:solidFill>
        <a:ln xmlns:a="http://schemas.openxmlformats.org/drawingml/2006/main" w="3175">
          <a:solidFill>
            <a:schemeClr val="accent1">
              <a:shade val="50000"/>
              <a:alpha val="2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s-CR"/>
        </a:p>
      </cdr:txBody>
    </cdr:sp>
  </cdr:relSizeAnchor>
</c:userShapes>
</file>

<file path=word/drawings/drawing7.xml><?xml version="1.0" encoding="utf-8"?>
<c:userShapes xmlns:c="http://schemas.openxmlformats.org/drawingml/2006/chart">
  <cdr:relSizeAnchor xmlns:cdr="http://schemas.openxmlformats.org/drawingml/2006/chartDrawing">
    <cdr:from>
      <cdr:x>0.00175</cdr:x>
      <cdr:y>0.95175</cdr:y>
    </cdr:from>
    <cdr:to>
      <cdr:x>0.5765</cdr:x>
      <cdr:y>0.984</cdr:y>
    </cdr:to>
    <cdr:sp macro="" textlink="">
      <cdr:nvSpPr>
        <cdr:cNvPr id="3073" name="Text Box 1"/>
        <cdr:cNvSpPr txBox="1">
          <a:spLocks xmlns:a="http://schemas.openxmlformats.org/drawingml/2006/main" noChangeArrowheads="1"/>
        </cdr:cNvSpPr>
      </cdr:nvSpPr>
      <cdr:spPr bwMode="auto">
        <a:xfrm xmlns:a="http://schemas.openxmlformats.org/drawingml/2006/main">
          <a:off x="11518" y="3988784"/>
          <a:ext cx="3782875" cy="1351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CR" sz="800" b="0" i="1" strike="noStrike">
              <a:solidFill>
                <a:srgbClr val="000000"/>
              </a:solidFill>
              <a:latin typeface="Times New Roman"/>
              <a:cs typeface="Times New Roman"/>
            </a:rPr>
            <a:t>Elaborado por: Sección de Estadística, Dirección de Planificación.</a:t>
          </a:r>
        </a:p>
      </cdr:txBody>
    </cdr:sp>
  </cdr:relSizeAnchor>
</c:userShapes>
</file>

<file path=word/drawings/drawing8.xml><?xml version="1.0" encoding="utf-8"?>
<c:userShapes xmlns:c="http://schemas.openxmlformats.org/drawingml/2006/chart">
  <cdr:relSizeAnchor xmlns:cdr="http://schemas.openxmlformats.org/drawingml/2006/chartDrawing">
    <cdr:from>
      <cdr:x>0.00275</cdr:x>
      <cdr:y>0.94925</cdr:y>
    </cdr:from>
    <cdr:to>
      <cdr:x>0.618</cdr:x>
      <cdr:y>1</cdr:y>
    </cdr:to>
    <cdr:sp macro="" textlink="">
      <cdr:nvSpPr>
        <cdr:cNvPr id="3073" name="Text Box 1"/>
        <cdr:cNvSpPr txBox="1">
          <a:spLocks xmlns:a="http://schemas.openxmlformats.org/drawingml/2006/main" noChangeArrowheads="1"/>
        </cdr:cNvSpPr>
      </cdr:nvSpPr>
      <cdr:spPr bwMode="auto">
        <a:xfrm xmlns:a="http://schemas.openxmlformats.org/drawingml/2006/main">
          <a:off x="17838" y="3725142"/>
          <a:ext cx="3990834" cy="1991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CR" sz="950" b="1" i="0" strike="noStrike">
              <a:solidFill>
                <a:srgbClr val="000000"/>
              </a:solidFill>
              <a:latin typeface="Times New Roman"/>
              <a:cs typeface="Times New Roman"/>
            </a:rPr>
            <a:t>Elaborado por</a:t>
          </a:r>
          <a:r>
            <a:rPr lang="es-CR" sz="900" b="1" i="0" strike="noStrike">
              <a:solidFill>
                <a:srgbClr val="000000"/>
              </a:solidFill>
              <a:latin typeface="Times New Roman"/>
              <a:cs typeface="Times New Roman"/>
            </a:rPr>
            <a:t>: </a:t>
          </a:r>
          <a:r>
            <a:rPr lang="es-CR" sz="950" b="0" i="0" strike="noStrike">
              <a:solidFill>
                <a:srgbClr val="000000"/>
              </a:solidFill>
              <a:latin typeface="Times New Roman"/>
              <a:cs typeface="Times New Roman"/>
            </a:rPr>
            <a:t>Sección de Estadística, Departamento de Planificación. </a:t>
          </a:r>
        </a:p>
      </cdr:txBody>
    </cdr:sp>
  </cdr:relSizeAnchor>
  <cdr:relSizeAnchor xmlns:cdr="http://schemas.openxmlformats.org/drawingml/2006/chartDrawing">
    <cdr:from>
      <cdr:x>0.1546</cdr:x>
      <cdr:y>0.30818</cdr:y>
    </cdr:from>
    <cdr:to>
      <cdr:x>0.3381</cdr:x>
      <cdr:y>0.35668</cdr:y>
    </cdr:to>
    <cdr:sp macro="" textlink="">
      <cdr:nvSpPr>
        <cdr:cNvPr id="3074" name="Text Box 2"/>
        <cdr:cNvSpPr txBox="1">
          <a:spLocks xmlns:a="http://schemas.openxmlformats.org/drawingml/2006/main" noChangeArrowheads="1"/>
        </cdr:cNvSpPr>
      </cdr:nvSpPr>
      <cdr:spPr bwMode="auto">
        <a:xfrm xmlns:a="http://schemas.openxmlformats.org/drawingml/2006/main">
          <a:off x="849545" y="1031911"/>
          <a:ext cx="1008386" cy="1623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1">
            <a:defRPr sz="1000"/>
          </a:pPr>
          <a:r>
            <a:rPr lang="es-CR" sz="1200" b="0" i="0" strike="noStrike">
              <a:solidFill>
                <a:srgbClr val="000000"/>
              </a:solidFill>
              <a:latin typeface="Times New Roman"/>
              <a:cs typeface="Times New Roman"/>
            </a:rPr>
            <a:t>Curva para hombres</a:t>
          </a:r>
        </a:p>
      </cdr:txBody>
    </cdr:sp>
  </cdr:relSizeAnchor>
  <cdr:relSizeAnchor xmlns:cdr="http://schemas.openxmlformats.org/drawingml/2006/chartDrawing">
    <cdr:from>
      <cdr:x>0.39193</cdr:x>
      <cdr:y>0.3515</cdr:y>
    </cdr:from>
    <cdr:to>
      <cdr:x>0.46277</cdr:x>
      <cdr:y>0.39747</cdr:y>
    </cdr:to>
    <cdr:sp macro="" textlink="">
      <cdr:nvSpPr>
        <cdr:cNvPr id="3075" name="Line 3"/>
        <cdr:cNvSpPr>
          <a:spLocks xmlns:a="http://schemas.openxmlformats.org/drawingml/2006/main" noChangeShapeType="1"/>
        </cdr:cNvSpPr>
      </cdr:nvSpPr>
      <cdr:spPr bwMode="auto">
        <a:xfrm xmlns:a="http://schemas.openxmlformats.org/drawingml/2006/main">
          <a:off x="2153782" y="1176950"/>
          <a:ext cx="389299" cy="153909"/>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sp>
  </cdr:relSizeAnchor>
  <cdr:relSizeAnchor xmlns:cdr="http://schemas.openxmlformats.org/drawingml/2006/chartDrawing">
    <cdr:from>
      <cdr:x>0.69875</cdr:x>
      <cdr:y>0.56</cdr:y>
    </cdr:from>
    <cdr:to>
      <cdr:x>0.87925</cdr:x>
      <cdr:y>0.6085</cdr:y>
    </cdr:to>
    <cdr:sp macro="" textlink="">
      <cdr:nvSpPr>
        <cdr:cNvPr id="3076" name="Text Box 4"/>
        <cdr:cNvSpPr txBox="1">
          <a:spLocks xmlns:a="http://schemas.openxmlformats.org/drawingml/2006/main" noChangeArrowheads="1"/>
        </cdr:cNvSpPr>
      </cdr:nvSpPr>
      <cdr:spPr bwMode="auto">
        <a:xfrm xmlns:a="http://schemas.openxmlformats.org/drawingml/2006/main">
          <a:off x="4532459" y="2197608"/>
          <a:ext cx="1170818" cy="1903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1">
            <a:defRPr sz="1000"/>
          </a:pPr>
          <a:r>
            <a:rPr lang="es-CR" sz="1200" b="0" i="0" strike="noStrike">
              <a:solidFill>
                <a:srgbClr val="000000"/>
              </a:solidFill>
              <a:latin typeface="Times New Roman"/>
              <a:cs typeface="Times New Roman"/>
            </a:rPr>
            <a:t>Curva para Mujeres</a:t>
          </a:r>
        </a:p>
      </cdr:txBody>
    </cdr:sp>
  </cdr:relSizeAnchor>
  <cdr:relSizeAnchor xmlns:cdr="http://schemas.openxmlformats.org/drawingml/2006/chartDrawing">
    <cdr:from>
      <cdr:x>0.70166</cdr:x>
      <cdr:y>0.63225</cdr:y>
    </cdr:from>
    <cdr:to>
      <cdr:x>0.7545</cdr:x>
      <cdr:y>0.78412</cdr:y>
    </cdr:to>
    <cdr:sp macro="" textlink="">
      <cdr:nvSpPr>
        <cdr:cNvPr id="3077" name="Line 5"/>
        <cdr:cNvSpPr>
          <a:spLocks xmlns:a="http://schemas.openxmlformats.org/drawingml/2006/main" noChangeShapeType="1"/>
        </cdr:cNvSpPr>
      </cdr:nvSpPr>
      <cdr:spPr bwMode="auto">
        <a:xfrm xmlns:a="http://schemas.openxmlformats.org/drawingml/2006/main" flipH="1">
          <a:off x="3855833" y="2116997"/>
          <a:ext cx="290362" cy="508508"/>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sp>
  </cdr:relSizeAnchor>
</c:userShapes>
</file>

<file path=word/drawings/drawing9.xml><?xml version="1.0" encoding="utf-8"?>
<c:userShapes xmlns:c="http://schemas.openxmlformats.org/drawingml/2006/chart">
  <cdr:relSizeAnchor xmlns:cdr="http://schemas.openxmlformats.org/drawingml/2006/chartDrawing">
    <cdr:from>
      <cdr:x>0.0015</cdr:x>
      <cdr:y>0.9525</cdr:y>
    </cdr:from>
    <cdr:to>
      <cdr:x>0.57675</cdr:x>
      <cdr:y>1</cdr:y>
    </cdr:to>
    <cdr:sp macro="" textlink="">
      <cdr:nvSpPr>
        <cdr:cNvPr id="3073" name="Text Box 1"/>
        <cdr:cNvSpPr txBox="1">
          <a:spLocks xmlns:a="http://schemas.openxmlformats.org/drawingml/2006/main" noChangeArrowheads="1"/>
        </cdr:cNvSpPr>
      </cdr:nvSpPr>
      <cdr:spPr bwMode="auto">
        <a:xfrm xmlns:a="http://schemas.openxmlformats.org/drawingml/2006/main">
          <a:off x="8187" y="3338703"/>
          <a:ext cx="3139614" cy="1664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CR" sz="800" b="0" i="1" strike="noStrike">
              <a:solidFill>
                <a:srgbClr val="000000"/>
              </a:solidFill>
              <a:latin typeface="Times New Roman"/>
              <a:cs typeface="Times New Roman"/>
            </a:rPr>
            <a:t>Elaborado por: Sección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DF2A-D71C-4C47-A537-4F5F9047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6849</Words>
  <Characters>37670</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44431</CharactersWithSpaces>
  <SharedDoc>false</SharedDoc>
  <HLinks>
    <vt:vector size="6" baseType="variant">
      <vt:variant>
        <vt:i4>6094966</vt:i4>
      </vt:variant>
      <vt:variant>
        <vt:i4>0</vt:i4>
      </vt:variant>
      <vt:variant>
        <vt:i4>0</vt:i4>
      </vt:variant>
      <vt:variant>
        <vt:i4>5</vt:i4>
      </vt:variant>
      <vt:variant>
        <vt:lpwstr>mailto:planificacion@poder-judicial.go.cr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Elías Muñoz Jiménez</cp:lastModifiedBy>
  <cp:revision>3</cp:revision>
  <dcterms:created xsi:type="dcterms:W3CDTF">2016-11-10T19:07:00Z</dcterms:created>
  <dcterms:modified xsi:type="dcterms:W3CDTF">2016-11-10T19:42:00Z</dcterms:modified>
</cp:coreProperties>
</file>