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93" w:rsidRPr="00056425" w:rsidRDefault="004C0293" w:rsidP="004C0293">
      <w:pPr>
        <w:jc w:val="right"/>
        <w:rPr>
          <w:rFonts w:ascii="Book Antiqua" w:hAnsi="Book Antiqua" w:cs="Book Antiqua"/>
          <w:lang w:val="pt-BR"/>
        </w:rPr>
      </w:pPr>
      <w:r>
        <w:rPr>
          <w:rFonts w:ascii="Book Antiqua" w:hAnsi="Book Antiqua" w:cs="Book Antiqua"/>
          <w:lang w:val="pt-BR"/>
        </w:rPr>
        <w:t>1865</w:t>
      </w:r>
      <w:r w:rsidRPr="00056425">
        <w:rPr>
          <w:rFonts w:ascii="Book Antiqua" w:hAnsi="Book Antiqua" w:cs="Book Antiqua"/>
          <w:lang w:val="pt-BR"/>
        </w:rPr>
        <w:t>-PLA-2016</w:t>
      </w:r>
      <w:r>
        <w:rPr>
          <w:rFonts w:ascii="Book Antiqua" w:hAnsi="Book Antiqua" w:cs="Book Antiqua"/>
          <w:lang w:val="pt-BR"/>
        </w:rPr>
        <w:t>-B</w:t>
      </w:r>
    </w:p>
    <w:p w:rsidR="004C0293" w:rsidRDefault="004C0293" w:rsidP="004C0293">
      <w:pPr>
        <w:jc w:val="right"/>
        <w:rPr>
          <w:rFonts w:ascii="Book Antiqua" w:hAnsi="Book Antiqua" w:cs="Book Antiqua"/>
          <w:lang w:val="es-CR"/>
        </w:rPr>
      </w:pPr>
      <w:r w:rsidRPr="00056425">
        <w:rPr>
          <w:rFonts w:ascii="Book Antiqua" w:hAnsi="Book Antiqua" w:cs="Book Antiqua"/>
          <w:lang w:val="es-CR"/>
        </w:rPr>
        <w:t xml:space="preserve">Ref. SICE: </w:t>
      </w:r>
      <w:r>
        <w:rPr>
          <w:rFonts w:ascii="Book Antiqua" w:hAnsi="Book Antiqua" w:cs="Book Antiqua"/>
          <w:lang w:val="es-CR"/>
        </w:rPr>
        <w:t>1149-16</w:t>
      </w:r>
    </w:p>
    <w:p w:rsidR="00BC046C" w:rsidRPr="00056425" w:rsidRDefault="00BC046C" w:rsidP="004C0293">
      <w:pPr>
        <w:jc w:val="right"/>
        <w:rPr>
          <w:rFonts w:ascii="Book Antiqua" w:hAnsi="Book Antiqua" w:cs="Book Antiqua"/>
          <w:lang w:val="pt-BR"/>
        </w:rPr>
      </w:pPr>
    </w:p>
    <w:p w:rsidR="00AA423A" w:rsidRPr="00056425" w:rsidRDefault="00063591" w:rsidP="00AA423A">
      <w:pPr>
        <w:rPr>
          <w:rFonts w:ascii="Book Antiqua" w:hAnsi="Book Antiqua" w:cs="Book Antiqua"/>
          <w:lang w:val="pt-BR"/>
        </w:rPr>
      </w:pPr>
      <w:r>
        <w:rPr>
          <w:rFonts w:ascii="Book Antiqua" w:hAnsi="Book Antiqua" w:cs="Book Antiqua"/>
          <w:lang w:val="pt-BR"/>
        </w:rPr>
        <w:t>30</w:t>
      </w:r>
      <w:r w:rsidR="00AA423A" w:rsidRPr="00056425">
        <w:rPr>
          <w:rFonts w:ascii="Book Antiqua" w:hAnsi="Book Antiqua" w:cs="Book Antiqua"/>
          <w:lang w:val="pt-BR"/>
        </w:rPr>
        <w:t xml:space="preserve"> de </w:t>
      </w:r>
      <w:r>
        <w:rPr>
          <w:rFonts w:ascii="Book Antiqua" w:hAnsi="Book Antiqua" w:cs="Book Antiqua"/>
          <w:lang w:val="pt-BR"/>
        </w:rPr>
        <w:t>noviembre</w:t>
      </w:r>
      <w:r w:rsidR="00AA423A" w:rsidRPr="00056425">
        <w:rPr>
          <w:rFonts w:ascii="Book Antiqua" w:hAnsi="Book Antiqua" w:cs="Book Antiqua"/>
          <w:lang w:val="pt-BR"/>
        </w:rPr>
        <w:t xml:space="preserve"> de 2016</w:t>
      </w:r>
    </w:p>
    <w:p w:rsidR="00AA423A" w:rsidRPr="00056425" w:rsidRDefault="00AA423A" w:rsidP="00AA423A">
      <w:pPr>
        <w:rPr>
          <w:rFonts w:ascii="Book Antiqua" w:hAnsi="Book Antiqua" w:cs="Book Antiqua"/>
          <w:lang w:val="pt-BR"/>
        </w:rPr>
      </w:pPr>
    </w:p>
    <w:p w:rsidR="00AA423A" w:rsidRPr="00056425" w:rsidRDefault="00AA423A" w:rsidP="00AA423A">
      <w:pPr>
        <w:rPr>
          <w:rFonts w:ascii="Book Antiqua" w:hAnsi="Book Antiqua" w:cs="Book Antiqua"/>
          <w:lang w:val="pt-BR"/>
        </w:rPr>
      </w:pPr>
    </w:p>
    <w:p w:rsidR="00AA423A" w:rsidRPr="00056425" w:rsidRDefault="00AA423A" w:rsidP="00AA423A">
      <w:pPr>
        <w:rPr>
          <w:rFonts w:ascii="Book Antiqua" w:hAnsi="Book Antiqua" w:cs="Book Antiqua"/>
          <w:lang w:val="pt-BR"/>
        </w:rPr>
      </w:pPr>
    </w:p>
    <w:p w:rsidR="00AA423A" w:rsidRPr="00056425" w:rsidRDefault="00AA423A" w:rsidP="00AA423A">
      <w:pPr>
        <w:rPr>
          <w:rFonts w:ascii="Book Antiqua" w:hAnsi="Book Antiqua" w:cs="Book Antiqua"/>
          <w:lang w:val="pt-BR"/>
        </w:rPr>
      </w:pPr>
      <w:r w:rsidRPr="00056425">
        <w:rPr>
          <w:rFonts w:ascii="Book Antiqua" w:hAnsi="Book Antiqua" w:cs="Book Antiqua"/>
          <w:lang w:val="pt-BR"/>
        </w:rPr>
        <w:t>Licenciada</w:t>
      </w:r>
    </w:p>
    <w:p w:rsidR="00AA423A" w:rsidRPr="00056425" w:rsidRDefault="00AA423A" w:rsidP="00AA423A">
      <w:pPr>
        <w:rPr>
          <w:rFonts w:ascii="Book Antiqua" w:hAnsi="Book Antiqua" w:cs="Book Antiqua"/>
          <w:lang w:val="pt-BR"/>
        </w:rPr>
      </w:pPr>
      <w:smartTag w:uri="urn:schemas-microsoft-com:office:smarttags" w:element="PersonName">
        <w:r w:rsidRPr="00056425">
          <w:rPr>
            <w:rFonts w:ascii="Book Antiqua" w:hAnsi="Book Antiqua" w:cs="Book Antiqua"/>
            <w:lang w:val="pt-BR"/>
          </w:rPr>
          <w:t>Silvia Navarro Romanini</w:t>
        </w:r>
      </w:smartTag>
      <w:r w:rsidRPr="00056425">
        <w:rPr>
          <w:rFonts w:ascii="Book Antiqua" w:hAnsi="Book Antiqua" w:cs="Book Antiqua"/>
          <w:lang w:val="pt-BR"/>
        </w:rPr>
        <w:t xml:space="preserve"> </w:t>
      </w:r>
    </w:p>
    <w:p w:rsidR="00AA423A" w:rsidRPr="00056425" w:rsidRDefault="00AA423A" w:rsidP="00AA423A">
      <w:pPr>
        <w:rPr>
          <w:rFonts w:ascii="Book Antiqua" w:hAnsi="Book Antiqua" w:cs="Book Antiqua"/>
          <w:lang w:val="es-CR"/>
        </w:rPr>
      </w:pPr>
      <w:r w:rsidRPr="00056425">
        <w:rPr>
          <w:rFonts w:ascii="Book Antiqua" w:hAnsi="Book Antiqua" w:cs="Book Antiqua"/>
          <w:lang w:val="es-CR"/>
        </w:rPr>
        <w:t xml:space="preserve">Secretaría General de </w:t>
      </w:r>
      <w:smartTag w:uri="urn:schemas-microsoft-com:office:smarttags" w:element="PersonName">
        <w:smartTagPr>
          <w:attr w:name="ProductID" w:val="la Corte"/>
        </w:smartTagPr>
        <w:r w:rsidRPr="00056425">
          <w:rPr>
            <w:rFonts w:ascii="Book Antiqua" w:hAnsi="Book Antiqua" w:cs="Book Antiqua"/>
            <w:lang w:val="es-CR"/>
          </w:rPr>
          <w:t>la Corte</w:t>
        </w:r>
      </w:smartTag>
    </w:p>
    <w:p w:rsidR="00AA423A" w:rsidRPr="00056425" w:rsidRDefault="00AA423A" w:rsidP="00AA423A">
      <w:pPr>
        <w:rPr>
          <w:rFonts w:ascii="Book Antiqua" w:hAnsi="Book Antiqua" w:cs="Book Antiqua"/>
          <w:lang w:val="es-CR"/>
        </w:rPr>
      </w:pPr>
    </w:p>
    <w:p w:rsidR="00AA423A" w:rsidRPr="00056425" w:rsidRDefault="00AA423A" w:rsidP="00AA423A">
      <w:pPr>
        <w:rPr>
          <w:rFonts w:ascii="Book Antiqua" w:hAnsi="Book Antiqua" w:cs="Book Antiqua"/>
          <w:lang w:val="es-CR"/>
        </w:rPr>
      </w:pPr>
    </w:p>
    <w:p w:rsidR="00AA423A" w:rsidRPr="00056425" w:rsidRDefault="00AA423A" w:rsidP="00AA423A">
      <w:pPr>
        <w:rPr>
          <w:rFonts w:ascii="Book Antiqua" w:hAnsi="Book Antiqua" w:cs="Book Antiqua"/>
          <w:lang w:val="es-CR"/>
        </w:rPr>
      </w:pPr>
      <w:r w:rsidRPr="00056425">
        <w:rPr>
          <w:rFonts w:ascii="Book Antiqua" w:hAnsi="Book Antiqua" w:cs="Book Antiqua"/>
          <w:lang w:val="es-CR"/>
        </w:rPr>
        <w:t>Estimada señora:</w:t>
      </w:r>
    </w:p>
    <w:p w:rsidR="00AA423A" w:rsidRPr="00056425" w:rsidRDefault="00AA423A" w:rsidP="00AA423A">
      <w:pPr>
        <w:jc w:val="both"/>
        <w:rPr>
          <w:rFonts w:ascii="Book Antiqua" w:hAnsi="Book Antiqua" w:cs="Book Antiqua"/>
        </w:rPr>
      </w:pPr>
    </w:p>
    <w:p w:rsidR="004C0293" w:rsidRDefault="004C0293" w:rsidP="004C0293">
      <w:pPr>
        <w:ind w:firstLine="720"/>
        <w:jc w:val="both"/>
        <w:rPr>
          <w:rFonts w:ascii="Book Antiqua" w:hAnsi="Book Antiqua"/>
        </w:rPr>
      </w:pPr>
      <w:r w:rsidRPr="008E1E4F">
        <w:rPr>
          <w:rFonts w:ascii="Book Antiqua" w:hAnsi="Book Antiqua" w:cs="Book Antiqua"/>
          <w:lang w:val="es-CR"/>
        </w:rPr>
        <w:t>Le remito el informe</w:t>
      </w:r>
      <w:r w:rsidRPr="008E1E4F">
        <w:rPr>
          <w:rFonts w:ascii="Book Antiqua" w:hAnsi="Book Antiqua" w:cs="Book Antiqua"/>
        </w:rPr>
        <w:t xml:space="preserve"> </w:t>
      </w:r>
      <w:r>
        <w:rPr>
          <w:rFonts w:ascii="Book Antiqua" w:hAnsi="Book Antiqua" w:cs="Book Antiqua"/>
          <w:lang w:val="es-CR"/>
        </w:rPr>
        <w:t xml:space="preserve">1865-PLA-2016-B de hoy, suscrito por la Licda. Ana Ericka Rodríguez Araya, Jefa a.i. de la Sección de Estadística, relacionado </w:t>
      </w:r>
      <w:r w:rsidRPr="00672CDD">
        <w:rPr>
          <w:rFonts w:ascii="Book Antiqua" w:hAnsi="Book Antiqua"/>
        </w:rPr>
        <w:t>con los movimientos de trabajo en la Sala Primera durante el 2015 y el último quinquenio, tanto en sus funciones ordinarias como de Tribunal de Casación de los procesos pertenecientes a la materia Contenciosa Administrativa</w:t>
      </w:r>
      <w:r>
        <w:rPr>
          <w:rFonts w:ascii="Book Antiqua" w:hAnsi="Book Antiqua"/>
        </w:rPr>
        <w:t xml:space="preserve">. </w:t>
      </w:r>
    </w:p>
    <w:p w:rsidR="00AA423A" w:rsidRPr="00056425" w:rsidRDefault="00AA423A" w:rsidP="00AA423A">
      <w:pPr>
        <w:rPr>
          <w:rFonts w:ascii="Book Antiqua" w:hAnsi="Book Antiqua" w:cs="Book Antiqua"/>
        </w:rPr>
      </w:pPr>
    </w:p>
    <w:p w:rsidR="00AA423A" w:rsidRPr="00056425" w:rsidRDefault="00AA423A" w:rsidP="00AA423A">
      <w:pPr>
        <w:jc w:val="both"/>
        <w:rPr>
          <w:rFonts w:ascii="Book Antiqua" w:hAnsi="Book Antiqua" w:cs="Book Antiqua"/>
          <w:lang w:val="es-CR"/>
        </w:rPr>
      </w:pPr>
    </w:p>
    <w:p w:rsidR="00AA423A" w:rsidRPr="002D04B7" w:rsidRDefault="00AA423A" w:rsidP="00AA423A">
      <w:pPr>
        <w:pStyle w:val="Textoindependiente2"/>
        <w:ind w:firstLine="720"/>
        <w:rPr>
          <w:color w:val="FF0000"/>
          <w:lang w:val="es-CR"/>
        </w:rPr>
      </w:pPr>
      <w:r w:rsidRPr="00056425">
        <w:rPr>
          <w:lang w:val="es-CR"/>
        </w:rPr>
        <w:t xml:space="preserve">Con el fin de que se manifestara al respecto, mediante oficio </w:t>
      </w:r>
      <w:r w:rsidR="004C0293">
        <w:rPr>
          <w:lang w:val="pt-BR"/>
        </w:rPr>
        <w:t>1865</w:t>
      </w:r>
      <w:r w:rsidR="004C0293" w:rsidRPr="00056425">
        <w:rPr>
          <w:lang w:val="pt-BR"/>
        </w:rPr>
        <w:t>-PLA-2016</w:t>
      </w:r>
      <w:r w:rsidR="004C0293">
        <w:rPr>
          <w:lang w:val="pt-BR"/>
        </w:rPr>
        <w:t xml:space="preserve"> </w:t>
      </w:r>
      <w:r w:rsidRPr="00056425">
        <w:rPr>
          <w:lang w:val="es-CR"/>
        </w:rPr>
        <w:t xml:space="preserve">del </w:t>
      </w:r>
      <w:r w:rsidR="004C0293">
        <w:rPr>
          <w:lang w:val="es-CR"/>
        </w:rPr>
        <w:t>12</w:t>
      </w:r>
      <w:r w:rsidRPr="00056425">
        <w:rPr>
          <w:lang w:val="es-CR"/>
        </w:rPr>
        <w:t xml:space="preserve"> de </w:t>
      </w:r>
      <w:r w:rsidR="004C0293">
        <w:rPr>
          <w:lang w:val="es-CR"/>
        </w:rPr>
        <w:t>octubre</w:t>
      </w:r>
      <w:r w:rsidRPr="00056425">
        <w:rPr>
          <w:lang w:val="es-CR"/>
        </w:rPr>
        <w:t xml:space="preserve"> del año </w:t>
      </w:r>
      <w:r w:rsidR="004C0293">
        <w:rPr>
          <w:lang w:val="es-CR"/>
        </w:rPr>
        <w:t>2016</w:t>
      </w:r>
      <w:r w:rsidR="008B1A43">
        <w:rPr>
          <w:lang w:val="es-CR"/>
        </w:rPr>
        <w:t xml:space="preserve">, </w:t>
      </w:r>
      <w:r w:rsidRPr="00056425">
        <w:rPr>
          <w:lang w:val="es-CR"/>
        </w:rPr>
        <w:t>el preliminar de este documento fue puesto en conocimiento de</w:t>
      </w:r>
      <w:r>
        <w:rPr>
          <w:lang w:val="es-CR"/>
        </w:rPr>
        <w:t xml:space="preserve">l </w:t>
      </w:r>
      <w:r w:rsidR="004C0293">
        <w:rPr>
          <w:lang w:val="es-CR"/>
        </w:rPr>
        <w:t>Magistrado Luis Guillermo Rivas Loáciga</w:t>
      </w:r>
      <w:r w:rsidR="008B1A43">
        <w:rPr>
          <w:lang w:val="es-CR"/>
        </w:rPr>
        <w:t xml:space="preserve">, Presidente de la Sala Primera. </w:t>
      </w:r>
      <w:r w:rsidRPr="00953723">
        <w:rPr>
          <w:color w:val="000000"/>
          <w:lang w:val="es-CR"/>
        </w:rPr>
        <w:t>Las observaciones</w:t>
      </w:r>
      <w:r w:rsidRPr="00953723">
        <w:rPr>
          <w:b/>
          <w:lang w:val="es-CR"/>
        </w:rPr>
        <w:t xml:space="preserve"> </w:t>
      </w:r>
      <w:r w:rsidRPr="005A2D21">
        <w:rPr>
          <w:lang w:val="es-CR"/>
        </w:rPr>
        <w:t>se consideraron en lo</w:t>
      </w:r>
      <w:r w:rsidR="008B1A43">
        <w:rPr>
          <w:lang w:val="es-CR"/>
        </w:rPr>
        <w:t xml:space="preserve"> pertinente, en el informe que </w:t>
      </w:r>
      <w:r w:rsidRPr="005A2D21">
        <w:rPr>
          <w:lang w:val="es-CR"/>
        </w:rPr>
        <w:t>se presenta</w:t>
      </w:r>
      <w:r>
        <w:rPr>
          <w:lang w:val="es-CR"/>
        </w:rPr>
        <w:t>.</w:t>
      </w:r>
    </w:p>
    <w:p w:rsidR="00AA423A" w:rsidRDefault="00AA423A" w:rsidP="00AA423A">
      <w:pPr>
        <w:pStyle w:val="Textoindependiente2"/>
        <w:ind w:firstLine="720"/>
        <w:rPr>
          <w:lang w:val="es-CR"/>
        </w:rPr>
      </w:pPr>
    </w:p>
    <w:p w:rsidR="008B1A43" w:rsidRPr="008B1A43" w:rsidRDefault="008B1A43" w:rsidP="008B1A43">
      <w:pPr>
        <w:ind w:firstLine="720"/>
        <w:jc w:val="both"/>
        <w:rPr>
          <w:rFonts w:ascii="Book Antiqua" w:hAnsi="Book Antiqua" w:cs="Book Antiqua"/>
          <w:lang w:val="pt-BR"/>
        </w:rPr>
      </w:pPr>
      <w:r w:rsidRPr="008B1A43">
        <w:rPr>
          <w:rFonts w:ascii="Book Antiqua" w:hAnsi="Book Antiqua"/>
          <w:lang w:val="es-CR"/>
        </w:rPr>
        <w:t xml:space="preserve">Así mismo indicar que este oficio sustituye el </w:t>
      </w:r>
      <w:r>
        <w:rPr>
          <w:rFonts w:ascii="Book Antiqua" w:hAnsi="Book Antiqua"/>
          <w:lang w:val="es-CR"/>
        </w:rPr>
        <w:t xml:space="preserve">documento </w:t>
      </w:r>
      <w:r w:rsidRPr="008B1A43">
        <w:rPr>
          <w:rFonts w:ascii="Book Antiqua" w:hAnsi="Book Antiqua" w:cs="Book Antiqua"/>
          <w:lang w:val="pt-BR"/>
        </w:rPr>
        <w:t>1766-PLA-2016</w:t>
      </w:r>
      <w:r>
        <w:rPr>
          <w:rFonts w:ascii="Book Antiqua" w:hAnsi="Book Antiqua" w:cs="Book Antiqua"/>
          <w:lang w:val="pt-BR"/>
        </w:rPr>
        <w:t xml:space="preserve">, enviado el pasado 10 de octubre, ya que no </w:t>
      </w:r>
      <w:r>
        <w:rPr>
          <w:rFonts w:ascii="Book Antiqua" w:hAnsi="Book Antiqua"/>
        </w:rPr>
        <w:t xml:space="preserve">se incorporaron las observaciones formuladas por el Magistrado Rivas Loáciga, en reunión sostenida con la Licda.  Ana Ericka Rodríguez Araya. </w:t>
      </w:r>
    </w:p>
    <w:p w:rsidR="00AA423A" w:rsidRPr="008B1A43" w:rsidRDefault="00AA423A" w:rsidP="00AA423A">
      <w:pPr>
        <w:pStyle w:val="Textoindependiente2"/>
        <w:ind w:firstLine="720"/>
        <w:rPr>
          <w:lang w:val="pt-BR"/>
        </w:rPr>
      </w:pPr>
    </w:p>
    <w:p w:rsidR="00AA423A" w:rsidRPr="00056425" w:rsidRDefault="00AA423A" w:rsidP="00AA423A">
      <w:pPr>
        <w:jc w:val="both"/>
        <w:rPr>
          <w:rFonts w:ascii="Book Antiqua" w:hAnsi="Book Antiqua" w:cs="Book Antiqua"/>
          <w:lang w:val="es-CR"/>
        </w:rPr>
      </w:pPr>
    </w:p>
    <w:p w:rsidR="00AA423A" w:rsidRPr="00056425" w:rsidRDefault="00AA423A" w:rsidP="00AA423A">
      <w:pPr>
        <w:jc w:val="both"/>
        <w:rPr>
          <w:rFonts w:ascii="Book Antiqua" w:hAnsi="Book Antiqua" w:cs="Book Antiqua"/>
          <w:lang w:val="es-CR"/>
        </w:rPr>
      </w:pPr>
      <w:r w:rsidRPr="00056425">
        <w:rPr>
          <w:rFonts w:ascii="Book Antiqua" w:hAnsi="Book Antiqua" w:cs="Book Antiqua"/>
          <w:lang w:val="es-CR"/>
        </w:rPr>
        <w:t>Atentamente,</w:t>
      </w:r>
    </w:p>
    <w:p w:rsidR="00AA423A" w:rsidRPr="00056425" w:rsidRDefault="00AA423A" w:rsidP="00AA423A">
      <w:pPr>
        <w:jc w:val="both"/>
        <w:rPr>
          <w:rFonts w:ascii="Book Antiqua" w:hAnsi="Book Antiqua" w:cs="Book Antiqua"/>
          <w:lang w:val="es-CR"/>
        </w:rPr>
      </w:pPr>
    </w:p>
    <w:p w:rsidR="00AA423A" w:rsidRPr="00056425" w:rsidRDefault="00AA423A" w:rsidP="00AA423A">
      <w:pPr>
        <w:jc w:val="both"/>
        <w:rPr>
          <w:rFonts w:ascii="Book Antiqua" w:hAnsi="Book Antiqua" w:cs="Book Antiqua"/>
          <w:lang w:val="es-CR"/>
        </w:rPr>
      </w:pPr>
    </w:p>
    <w:p w:rsidR="00AA423A" w:rsidRDefault="00AA423A" w:rsidP="00AA423A">
      <w:pPr>
        <w:rPr>
          <w:rFonts w:ascii="Book Antiqua" w:hAnsi="Book Antiqua" w:cs="Book Antiqua"/>
          <w:lang w:val="es-CR"/>
        </w:rPr>
      </w:pPr>
    </w:p>
    <w:p w:rsidR="00BC046C" w:rsidRDefault="00BC046C" w:rsidP="00AA423A">
      <w:pPr>
        <w:rPr>
          <w:rFonts w:ascii="Book Antiqua" w:hAnsi="Book Antiqua" w:cs="Book Antiqua"/>
          <w:lang w:val="es-CR"/>
        </w:rPr>
      </w:pPr>
    </w:p>
    <w:p w:rsidR="00BC046C" w:rsidRPr="00056425" w:rsidRDefault="00BC046C" w:rsidP="00AA423A">
      <w:pPr>
        <w:rPr>
          <w:rFonts w:ascii="Book Antiqua" w:hAnsi="Book Antiqua" w:cs="Book Antiqua"/>
          <w:lang w:val="es-CR"/>
        </w:rPr>
      </w:pPr>
    </w:p>
    <w:p w:rsidR="00AA423A" w:rsidRPr="00056425" w:rsidRDefault="00AA423A" w:rsidP="00AA423A">
      <w:pPr>
        <w:rPr>
          <w:rFonts w:ascii="Book Antiqua" w:hAnsi="Book Antiqua" w:cs="Book Antiqua"/>
          <w:lang w:val="es-CR"/>
        </w:rPr>
      </w:pPr>
      <w:r w:rsidRPr="00056425">
        <w:rPr>
          <w:rFonts w:ascii="Book Antiqua" w:hAnsi="Book Antiqua" w:cs="Book Antiqua"/>
          <w:lang w:val="es-CR"/>
        </w:rPr>
        <w:lastRenderedPageBreak/>
        <w:t>Elías Muñoz Jiménez</w:t>
      </w:r>
    </w:p>
    <w:p w:rsidR="00AA423A" w:rsidRPr="00056425" w:rsidRDefault="00AA423A" w:rsidP="00AA423A">
      <w:pPr>
        <w:rPr>
          <w:rFonts w:ascii="Book Antiqua" w:hAnsi="Book Antiqua" w:cs="Book Antiqua"/>
          <w:lang w:val="es-CR"/>
        </w:rPr>
      </w:pPr>
      <w:r w:rsidRPr="00056425">
        <w:rPr>
          <w:rFonts w:ascii="Book Antiqua" w:hAnsi="Book Antiqua" w:cs="Book Antiqua"/>
          <w:lang w:val="es-CR"/>
        </w:rPr>
        <w:t>Subdirector a.i. de Planificación</w:t>
      </w:r>
    </w:p>
    <w:p w:rsidR="00AA423A" w:rsidRPr="00056425" w:rsidRDefault="00AA423A" w:rsidP="00AA423A">
      <w:pPr>
        <w:rPr>
          <w:rFonts w:ascii="Book Antiqua" w:hAnsi="Book Antiqua" w:cs="Book Antiqua"/>
          <w:lang w:val="es-CR"/>
        </w:rPr>
      </w:pPr>
    </w:p>
    <w:p w:rsidR="00AA423A" w:rsidRPr="00056425" w:rsidRDefault="00AA423A" w:rsidP="00AA423A">
      <w:pPr>
        <w:rPr>
          <w:rFonts w:ascii="Book Antiqua" w:hAnsi="Book Antiqua" w:cs="Book Antiqua"/>
          <w:lang w:val="es-CR"/>
        </w:rPr>
      </w:pPr>
    </w:p>
    <w:p w:rsidR="00AA423A" w:rsidRPr="00570534" w:rsidRDefault="00AA423A" w:rsidP="00AA423A">
      <w:pPr>
        <w:pStyle w:val="Encabezado"/>
        <w:tabs>
          <w:tab w:val="clear" w:pos="4252"/>
          <w:tab w:val="clear" w:pos="8504"/>
        </w:tabs>
        <w:rPr>
          <w:rFonts w:ascii="Book Antiqua" w:hAnsi="Book Antiqua" w:cs="Book Antiqua"/>
          <w:i/>
          <w:iCs/>
          <w:sz w:val="18"/>
          <w:szCs w:val="18"/>
          <w:lang w:val="es-CR"/>
        </w:rPr>
      </w:pPr>
    </w:p>
    <w:p w:rsidR="00AA423A" w:rsidRPr="00570534" w:rsidRDefault="00AA423A" w:rsidP="00AA423A">
      <w:pPr>
        <w:pStyle w:val="Encabezado"/>
        <w:tabs>
          <w:tab w:val="clear" w:pos="4252"/>
          <w:tab w:val="clear" w:pos="8504"/>
        </w:tabs>
        <w:rPr>
          <w:rFonts w:ascii="Book Antiqua" w:hAnsi="Book Antiqua" w:cs="Book Antiqua"/>
          <w:lang w:val="es-CR"/>
        </w:rPr>
      </w:pPr>
      <w:r w:rsidRPr="00570534">
        <w:rPr>
          <w:rFonts w:ascii="Book Antiqua" w:hAnsi="Book Antiqua" w:cs="Book Antiqua"/>
          <w:lang w:val="es-CR"/>
        </w:rPr>
        <w:t>Copias:</w:t>
      </w:r>
    </w:p>
    <w:p w:rsidR="00AA423A" w:rsidRPr="007C0BF9" w:rsidRDefault="00AA423A" w:rsidP="00AA423A">
      <w:pPr>
        <w:ind w:left="360" w:firstLine="360"/>
        <w:rPr>
          <w:rFonts w:ascii="Book Antiqua" w:hAnsi="Book Antiqua" w:cs="Book Antiqua"/>
          <w:sz w:val="20"/>
          <w:szCs w:val="20"/>
        </w:rPr>
      </w:pPr>
    </w:p>
    <w:p w:rsidR="00F642A8" w:rsidRPr="00F642A8" w:rsidRDefault="00F642A8" w:rsidP="00F642A8">
      <w:pPr>
        <w:numPr>
          <w:ilvl w:val="0"/>
          <w:numId w:val="35"/>
        </w:numPr>
        <w:rPr>
          <w:rFonts w:ascii="Book Antiqua" w:hAnsi="Book Antiqua" w:cs="Book Antiqua"/>
          <w:sz w:val="20"/>
          <w:szCs w:val="20"/>
          <w:lang w:val="pt-BR"/>
        </w:rPr>
      </w:pPr>
      <w:r w:rsidRPr="00F642A8">
        <w:rPr>
          <w:rFonts w:ascii="Book Antiqua" w:hAnsi="Book Antiqua" w:cs="Book Antiqua"/>
          <w:sz w:val="20"/>
          <w:szCs w:val="20"/>
          <w:lang w:val="pt-BR"/>
        </w:rPr>
        <w:t>Magistrado</w:t>
      </w:r>
      <w:r>
        <w:rPr>
          <w:rFonts w:ascii="Book Antiqua" w:hAnsi="Book Antiqua" w:cs="Book Antiqua"/>
          <w:sz w:val="20"/>
          <w:szCs w:val="20"/>
          <w:lang w:val="pt-BR"/>
        </w:rPr>
        <w:t xml:space="preserve"> </w:t>
      </w:r>
      <w:r w:rsidRPr="00F642A8">
        <w:rPr>
          <w:rFonts w:ascii="Book Antiqua" w:hAnsi="Book Antiqua"/>
          <w:sz w:val="20"/>
          <w:szCs w:val="20"/>
          <w:lang w:val="es-CR"/>
        </w:rPr>
        <w:t>Luis Guillermo Rivas Loáiciga, Presidente</w:t>
      </w:r>
    </w:p>
    <w:p w:rsidR="00F642A8" w:rsidRPr="00F642A8" w:rsidRDefault="00F642A8" w:rsidP="00F642A8">
      <w:pPr>
        <w:ind w:left="720"/>
        <w:rPr>
          <w:rFonts w:ascii="Book Antiqua" w:hAnsi="Book Antiqua" w:cs="Book Antiqua"/>
          <w:sz w:val="20"/>
          <w:szCs w:val="20"/>
          <w:lang w:val="pt-BR"/>
        </w:rPr>
      </w:pPr>
      <w:r w:rsidRPr="00F642A8">
        <w:rPr>
          <w:rFonts w:ascii="Book Antiqua" w:hAnsi="Book Antiqua"/>
          <w:sz w:val="20"/>
          <w:szCs w:val="20"/>
          <w:lang w:val="es-CR"/>
        </w:rPr>
        <w:t>Sala Primera</w:t>
      </w:r>
      <w:r w:rsidRPr="00F642A8" w:rsidDel="00445B47">
        <w:rPr>
          <w:rFonts w:ascii="Book Antiqua" w:hAnsi="Book Antiqua" w:cs="Book Antiqua"/>
          <w:sz w:val="20"/>
          <w:szCs w:val="20"/>
          <w:lang w:val="pt-BR"/>
        </w:rPr>
        <w:t xml:space="preserve"> </w:t>
      </w:r>
    </w:p>
    <w:p w:rsidR="008B1A43" w:rsidRPr="00675949" w:rsidRDefault="008B1A43" w:rsidP="008B1A43">
      <w:pPr>
        <w:numPr>
          <w:ilvl w:val="0"/>
          <w:numId w:val="2"/>
        </w:numPr>
        <w:autoSpaceDE/>
        <w:autoSpaceDN/>
        <w:adjustRightInd/>
        <w:rPr>
          <w:rFonts w:ascii="Book Antiqua" w:hAnsi="Book Antiqua" w:cs="Book Antiqua"/>
          <w:sz w:val="20"/>
          <w:szCs w:val="20"/>
        </w:rPr>
      </w:pPr>
      <w:r w:rsidRPr="00675949">
        <w:rPr>
          <w:rFonts w:ascii="Book Antiqua" w:hAnsi="Book Antiqua" w:cs="Book Antiqua"/>
          <w:sz w:val="20"/>
          <w:szCs w:val="20"/>
        </w:rPr>
        <w:t>Inspección Judicial</w:t>
      </w:r>
    </w:p>
    <w:p w:rsidR="00F642A8" w:rsidRDefault="008B1A43" w:rsidP="00F642A8">
      <w:pPr>
        <w:numPr>
          <w:ilvl w:val="0"/>
          <w:numId w:val="2"/>
        </w:numPr>
        <w:rPr>
          <w:rFonts w:ascii="Book Antiqua" w:hAnsi="Book Antiqua" w:cs="Book Antiqua"/>
          <w:sz w:val="20"/>
          <w:szCs w:val="20"/>
        </w:rPr>
      </w:pPr>
      <w:r w:rsidRPr="00675949">
        <w:rPr>
          <w:rFonts w:ascii="Book Antiqua" w:hAnsi="Book Antiqua" w:cs="Book Antiqua"/>
          <w:sz w:val="20"/>
          <w:szCs w:val="20"/>
        </w:rPr>
        <w:t xml:space="preserve">Departamento de Prensa y Comunicación Organizacional </w:t>
      </w:r>
    </w:p>
    <w:p w:rsidR="00F642A8" w:rsidRDefault="00F642A8" w:rsidP="008B1A43">
      <w:pPr>
        <w:rPr>
          <w:rFonts w:ascii="Book Antiqua" w:hAnsi="Book Antiqua" w:cs="Book Antiqua"/>
          <w:sz w:val="20"/>
          <w:szCs w:val="20"/>
        </w:rPr>
      </w:pPr>
    </w:p>
    <w:p w:rsidR="00AA423A" w:rsidRDefault="004A365B" w:rsidP="008B1A43">
      <w:pPr>
        <w:rPr>
          <w:rFonts w:ascii="Book Antiqua" w:hAnsi="Book Antiqua" w:cs="Book Antiqua"/>
          <w:snapToGrid w:val="0"/>
          <w:sz w:val="20"/>
          <w:szCs w:val="20"/>
        </w:rPr>
      </w:pPr>
      <w:r>
        <w:rPr>
          <w:rFonts w:ascii="Book Antiqua" w:hAnsi="Book Antiqua" w:cs="Book Antiqua"/>
          <w:snapToGrid w:val="0"/>
          <w:sz w:val="20"/>
          <w:szCs w:val="20"/>
        </w:rPr>
        <w:t>EMJ</w:t>
      </w:r>
      <w:bookmarkStart w:id="0" w:name="_GoBack"/>
      <w:bookmarkEnd w:id="0"/>
      <w:r w:rsidR="00AA423A">
        <w:rPr>
          <w:rFonts w:ascii="Book Antiqua" w:hAnsi="Book Antiqua" w:cs="Book Antiqua"/>
          <w:snapToGrid w:val="0"/>
          <w:sz w:val="20"/>
          <w:szCs w:val="20"/>
        </w:rPr>
        <w:t>/</w:t>
      </w:r>
      <w:r w:rsidR="009F21DE">
        <w:rPr>
          <w:rFonts w:ascii="Book Antiqua" w:hAnsi="Book Antiqua" w:cs="Book Antiqua"/>
          <w:snapToGrid w:val="0"/>
          <w:sz w:val="20"/>
          <w:szCs w:val="20"/>
        </w:rPr>
        <w:t>Aera</w:t>
      </w:r>
      <w:r w:rsidR="00A60FD1">
        <w:rPr>
          <w:rFonts w:ascii="Book Antiqua" w:hAnsi="Book Antiqua" w:cs="Book Antiqua"/>
          <w:snapToGrid w:val="0"/>
          <w:sz w:val="20"/>
          <w:szCs w:val="20"/>
        </w:rPr>
        <w:t>/</w:t>
      </w:r>
      <w:r w:rsidR="004C0293">
        <w:rPr>
          <w:rFonts w:ascii="Book Antiqua" w:hAnsi="Book Antiqua" w:cs="Book Antiqua"/>
          <w:snapToGrid w:val="0"/>
          <w:sz w:val="20"/>
          <w:szCs w:val="20"/>
        </w:rPr>
        <w:t>pvv</w:t>
      </w:r>
    </w:p>
    <w:p w:rsidR="00AA423A" w:rsidRDefault="00AA423A" w:rsidP="00AA423A">
      <w:pPr>
        <w:rPr>
          <w:rFonts w:ascii="Book Antiqua" w:hAnsi="Book Antiqua" w:cs="Book Antiqua"/>
          <w:snapToGrid w:val="0"/>
          <w:sz w:val="20"/>
          <w:szCs w:val="20"/>
        </w:rPr>
      </w:pPr>
      <w:r>
        <w:rPr>
          <w:rFonts w:ascii="Book Antiqua" w:hAnsi="Book Antiqua" w:cs="Book Antiqua"/>
          <w:snapToGrid w:val="0"/>
          <w:sz w:val="20"/>
          <w:szCs w:val="20"/>
        </w:rPr>
        <w:t xml:space="preserve">REF. </w:t>
      </w:r>
      <w:r w:rsidR="00F642A8">
        <w:rPr>
          <w:rFonts w:ascii="Book Antiqua" w:hAnsi="Book Antiqua" w:cs="Book Antiqua"/>
          <w:snapToGrid w:val="0"/>
          <w:sz w:val="20"/>
          <w:szCs w:val="20"/>
        </w:rPr>
        <w:t>1149-2016</w:t>
      </w:r>
    </w:p>
    <w:p w:rsidR="00AA423A" w:rsidRDefault="00AA423A" w:rsidP="00AA423A">
      <w:pPr>
        <w:rPr>
          <w:rFonts w:ascii="Bookman Old Style" w:hAnsi="Bookman Old Style" w:cs="Bookman Old Style"/>
          <w:b/>
          <w:bCs/>
          <w:color w:val="FF6600"/>
        </w:rPr>
      </w:pPr>
    </w:p>
    <w:p w:rsidR="00AA423A" w:rsidRDefault="00AA423A" w:rsidP="00AA423A">
      <w:pPr>
        <w:rPr>
          <w:rFonts w:ascii="Bookman Old Style" w:hAnsi="Bookman Old Style" w:cs="Bookman Old Style"/>
          <w:b/>
          <w:bCs/>
          <w:color w:val="FF6600"/>
        </w:rPr>
      </w:pPr>
    </w:p>
    <w:p w:rsidR="00AA423A" w:rsidRDefault="00AA423A" w:rsidP="00AA423A">
      <w:pPr>
        <w:rPr>
          <w:rFonts w:ascii="Bookman Old Style" w:hAnsi="Bookman Old Style" w:cs="Bookman Old Style"/>
          <w:b/>
          <w:bCs/>
          <w:color w:val="FF6600"/>
        </w:rPr>
      </w:pPr>
    </w:p>
    <w:p w:rsidR="00AA423A" w:rsidRPr="002D67D9" w:rsidRDefault="00AA423A" w:rsidP="00AA423A">
      <w:pPr>
        <w:rPr>
          <w:rFonts w:ascii="Bookman Old Style" w:hAnsi="Bookman Old Style" w:cs="Bookman Old Style"/>
          <w:b/>
          <w:bCs/>
          <w:color w:val="FF6600"/>
        </w:rPr>
      </w:pPr>
    </w:p>
    <w:p w:rsidR="00932230" w:rsidRPr="00056425" w:rsidRDefault="00932230">
      <w:pPr>
        <w:rPr>
          <w:rFonts w:ascii="Book Antiqua" w:hAnsi="Book Antiqua" w:cs="Book Antiqua"/>
          <w:lang w:val="pt-BR"/>
        </w:rPr>
      </w:pPr>
    </w:p>
    <w:p w:rsidR="00932230" w:rsidRDefault="00932230">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Default="00F642A8">
      <w:pPr>
        <w:rPr>
          <w:rFonts w:ascii="Book Antiqua" w:hAnsi="Book Antiqua" w:cs="Book Antiqua"/>
          <w:lang w:val="pt-BR"/>
        </w:rPr>
      </w:pPr>
    </w:p>
    <w:p w:rsidR="00F642A8" w:rsidRPr="00056425" w:rsidRDefault="00F642A8">
      <w:pPr>
        <w:rPr>
          <w:rFonts w:ascii="Book Antiqua" w:hAnsi="Book Antiqua" w:cs="Book Antiqua"/>
          <w:lang w:val="pt-BR"/>
        </w:rPr>
      </w:pPr>
    </w:p>
    <w:p w:rsidR="00932230" w:rsidRPr="00056425" w:rsidRDefault="00932230">
      <w:pPr>
        <w:rPr>
          <w:rFonts w:ascii="Book Antiqua" w:hAnsi="Book Antiqua" w:cs="Book Antiqua"/>
          <w:lang w:val="pt-BR"/>
        </w:rPr>
      </w:pPr>
    </w:p>
    <w:p w:rsidR="00932230" w:rsidRDefault="00932230" w:rsidP="00A17B50">
      <w:pPr>
        <w:rPr>
          <w:rFonts w:ascii="Book Antiqua" w:hAnsi="Book Antiqua" w:cs="Book Antiqua"/>
          <w:lang w:val="es-CR"/>
        </w:rPr>
      </w:pPr>
    </w:p>
    <w:p w:rsidR="00CC5C8D" w:rsidRPr="00BC046C" w:rsidRDefault="00CC5C8D" w:rsidP="00BC046C">
      <w:pPr>
        <w:pStyle w:val="Encabezado"/>
        <w:tabs>
          <w:tab w:val="clear" w:pos="4252"/>
          <w:tab w:val="clear" w:pos="8504"/>
        </w:tabs>
        <w:jc w:val="center"/>
        <w:rPr>
          <w:color w:val="000080"/>
        </w:rPr>
      </w:pPr>
      <w:r w:rsidRPr="004A25C2">
        <w:rPr>
          <w:rFonts w:ascii="Times New Roman" w:hAnsi="Times New Roman"/>
          <w:b/>
          <w:sz w:val="32"/>
          <w:szCs w:val="32"/>
        </w:rPr>
        <w:t>SALA PRIMERA</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A </w:t>
      </w:r>
      <w:r w:rsidR="004376AE" w:rsidRPr="004A25C2">
        <w:rPr>
          <w:rFonts w:ascii="Times New Roman" w:hAnsi="Times New Roman" w:cs="Times New Roman"/>
          <w:sz w:val="28"/>
          <w:szCs w:val="28"/>
        </w:rPr>
        <w:t>continuación,</w:t>
      </w:r>
      <w:r w:rsidRPr="004A25C2">
        <w:rPr>
          <w:rFonts w:ascii="Times New Roman" w:hAnsi="Times New Roman" w:cs="Times New Roman"/>
          <w:sz w:val="28"/>
          <w:szCs w:val="28"/>
        </w:rPr>
        <w:t xml:space="preserve"> se describe el trabajo realizado en la Sala Primera de la Corte Suprema de Justicia durante el 2015 y el último quinquenio.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De seguido se destacan los hechos más relevantes: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5"/>
        </w:numPr>
        <w:tabs>
          <w:tab w:val="clear" w:pos="720"/>
        </w:tabs>
        <w:autoSpaceDE/>
        <w:autoSpaceDN/>
        <w:adjustRightInd/>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 xml:space="preserve">En esta oportunidad se confirma una tendencia a la saturación en el abordaje de los asuntos, a partir de los resultados mostrados por la razón de congestión, cuyo valor llegó ahora a 2,28, evidenciando su cuarto incremento anual consecutivo.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 xml:space="preserve">Este escenario converge con el comportamiento exhibido por la tasa de pendencia, mientras que la tasa de resolución exteriorizó un modelo simétricamente inverso al reflejado por la tendencia, lo cual resulta obvio al ser estos dos últimos indicadores complementarios entre sí, conforme se profundizará en el siguiente apartado.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5"/>
        </w:numPr>
        <w:tabs>
          <w:tab w:val="clear" w:pos="720"/>
        </w:tabs>
        <w:autoSpaceDE/>
        <w:autoSpaceDN/>
        <w:adjustRightInd/>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 xml:space="preserve">En la Sala Primera se registró el ingreso de 1.437 casos en el presente año, por lo que se interrumpe, aunque en forma leve, el patrón ascendente de los casos entrados, siendo que esta variable supera los 1.400 recursos desde el 2012, debido al efecto del Código Procesal Contencioso Administrativo.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lastRenderedPageBreak/>
        <w:t xml:space="preserve">La composición de los expedientes entrados por materia revela que 300 de los recursos actuales se relacionan con la materia Civil (20,9%), 880 con la Contenciosa Administrativa (61,2%), 64 con la Agraria (4,5%), 36 con la Notarial (2,5%) y 157 con otras materias (10,9%).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5"/>
        </w:numPr>
        <w:tabs>
          <w:tab w:val="clear" w:pos="720"/>
        </w:tabs>
        <w:autoSpaceDE/>
        <w:autoSpaceDN/>
        <w:adjustRightInd/>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 xml:space="preserve">En este despacho judicial se resolvieron 1.157 recursos en el período analizado, por lo que su resultado refiere el tercer descenso anual en forma sucesiva, con una importante baja en este año.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De este volumen, 207 casos se coligaron a la materia Civil (17,9%), 670 a la Contenciosa Administrativa (57,9%), 83 a la Agraria (7,2%), 27 a la Notarial (2,3%) y 170 a otras materias (14,7%).</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 xml:space="preserve">A pesar de lo anterior, se percibe un aumento significativo en el trabajo de fondo, al incrementarse estos votos en 102 resoluciones respecto al año previo (45,9%).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5"/>
        </w:numPr>
        <w:tabs>
          <w:tab w:val="clear" w:pos="720"/>
        </w:tabs>
        <w:autoSpaceDE/>
        <w:autoSpaceDN/>
        <w:adjustRightInd/>
        <w:spacing w:line="360" w:lineRule="auto"/>
        <w:ind w:left="426" w:hanging="426"/>
        <w:jc w:val="both"/>
        <w:rPr>
          <w:rFonts w:ascii="Times New Roman" w:hAnsi="Times New Roman" w:cs="Times New Roman"/>
          <w:sz w:val="28"/>
          <w:szCs w:val="28"/>
        </w:rPr>
      </w:pPr>
      <w:r w:rsidRPr="004A25C2">
        <w:rPr>
          <w:rFonts w:ascii="Times New Roman" w:hAnsi="Times New Roman" w:cs="Times New Roman"/>
          <w:sz w:val="28"/>
          <w:szCs w:val="28"/>
        </w:rPr>
        <w:t xml:space="preserve">Los principales motivos que condujeron a la cancelación de estos 1.157 asuntos se refieren a 359 rechazos de plano (31,0%), a 259 determinaciones de la competencia en una instancia previa (22,4%), al dictado de 176 votos sin lugar (15,2%), al registro de 119 autos de pase (10,3%) y a la emisión de 70 votos declarados con lugar (6,1%), para el 85,0% de la resolución total, en forma conjunta.   </w:t>
      </w:r>
    </w:p>
    <w:p w:rsidR="00CC5C8D" w:rsidRDefault="00CC5C8D"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ind w:left="426"/>
        <w:jc w:val="both"/>
        <w:rPr>
          <w:rFonts w:ascii="Times New Roman" w:hAnsi="Times New Roman" w:cs="Times New Roman"/>
          <w:sz w:val="28"/>
          <w:szCs w:val="28"/>
        </w:rPr>
      </w:pPr>
      <w:r w:rsidRPr="004A25C2">
        <w:rPr>
          <w:rFonts w:ascii="Times New Roman" w:hAnsi="Times New Roman" w:cs="Times New Roman"/>
          <w:sz w:val="28"/>
          <w:szCs w:val="28"/>
        </w:rPr>
        <w:lastRenderedPageBreak/>
        <w:t xml:space="preserve">Por otro lado, la clasificación de los procesos fenecidos en la Sala señala el dictado de 324 votos de fondo (28,0%) y de 833 resoluciones de otro tipo (72,0%), para el 2015.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5"/>
        </w:numPr>
        <w:tabs>
          <w:tab w:val="clear" w:pos="720"/>
        </w:tabs>
        <w:autoSpaceDE/>
        <w:autoSpaceDN/>
        <w:adjustRightInd/>
        <w:spacing w:line="360" w:lineRule="auto"/>
        <w:ind w:left="426" w:hanging="426"/>
        <w:jc w:val="both"/>
        <w:rPr>
          <w:rFonts w:ascii="Times New Roman" w:hAnsi="Times New Roman" w:cs="Times New Roman"/>
          <w:sz w:val="28"/>
          <w:szCs w:val="28"/>
        </w:rPr>
      </w:pPr>
      <w:r w:rsidRPr="004A25C2">
        <w:rPr>
          <w:rFonts w:ascii="Times New Roman" w:hAnsi="Times New Roman" w:cs="Times New Roman"/>
          <w:sz w:val="28"/>
          <w:szCs w:val="28"/>
        </w:rPr>
        <w:t xml:space="preserve">La duración promedio de estos 324 votos de fondo se calculó en 23 meses con dos semanas, destacando el hecho de que 305 casos requirieron más de un año para ser dictaminados (94,1%).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5"/>
        </w:numPr>
        <w:tabs>
          <w:tab w:val="clear" w:pos="720"/>
        </w:tabs>
        <w:autoSpaceDE/>
        <w:autoSpaceDN/>
        <w:adjustRightInd/>
        <w:spacing w:line="360" w:lineRule="auto"/>
        <w:ind w:left="360"/>
        <w:jc w:val="both"/>
        <w:rPr>
          <w:rFonts w:ascii="Times New Roman" w:hAnsi="Times New Roman" w:cs="Times New Roman"/>
          <w:sz w:val="28"/>
          <w:szCs w:val="28"/>
        </w:rPr>
      </w:pPr>
      <w:bookmarkStart w:id="1" w:name="OLE_LINK1"/>
      <w:r w:rsidRPr="004A25C2">
        <w:rPr>
          <w:rFonts w:ascii="Times New Roman" w:hAnsi="Times New Roman" w:cs="Times New Roman"/>
          <w:sz w:val="28"/>
          <w:szCs w:val="28"/>
        </w:rPr>
        <w:t xml:space="preserve">La Sala Primera acumuló un circulante de 1.479 recursos activos al 31 de diciembre del 2015, por lo que esta variable patentiza su cuarto repunte anual ininterrumpido, situación que obedece -en esencia- al mayor número de recursos entrados versus los terminados, en todos los períodos del quinquenio estudiado.   </w:t>
      </w:r>
    </w:p>
    <w:p w:rsidR="00CC5C8D" w:rsidRPr="004A25C2" w:rsidRDefault="00CC5C8D" w:rsidP="00CC5C8D">
      <w:pPr>
        <w:pStyle w:val="Prrafodelista"/>
        <w:spacing w:line="360" w:lineRule="auto"/>
        <w:ind w:left="0"/>
        <w:jc w:val="both"/>
        <w:rPr>
          <w:rFonts w:ascii="Times New Roman" w:hAnsi="Times New Roman" w:cs="Times New Roman"/>
          <w:sz w:val="28"/>
          <w:szCs w:val="28"/>
        </w:rPr>
      </w:pPr>
    </w:p>
    <w:p w:rsidR="00CC5C8D" w:rsidRPr="004A25C2" w:rsidRDefault="00CC5C8D" w:rsidP="00CC5C8D">
      <w:pPr>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 xml:space="preserve">La clasificación de estos expedientes determina la existencia de 270 procesos tramitándose mediante la vía Civil (18,3%), de 1.066 por la Contenciosa Administrativa (72,1%), de 49 por la Agraria (3,3%), de 18 por la Notarial (1,2%) y de 76 a través de otras jurisdicciones (5,1%).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3D114B">
      <w:pPr>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 xml:space="preserve">Por su parte, la antigüedad del circulante de conformidad con el año de entrada de los recursos a la Sala refiere que 970 casos iniciaron su conocimiento en el presente año (65,6%); es decir, que casi las dos terceras partes del trabajo pendiente en esta última instancia se mantiene en vigencia por intervalos de tiempo inferiores a los 12 meses, lo cual indica que su naturaleza es de muy reciente data, en términos generales. </w:t>
      </w:r>
    </w:p>
    <w:bookmarkEnd w:id="1"/>
    <w:p w:rsidR="00CC5C8D" w:rsidRPr="004A25C2" w:rsidRDefault="00CC5C8D" w:rsidP="00CC5C8D">
      <w:pPr>
        <w:widowControl/>
        <w:numPr>
          <w:ilvl w:val="0"/>
          <w:numId w:val="25"/>
        </w:numPr>
        <w:tabs>
          <w:tab w:val="clear" w:pos="720"/>
        </w:tabs>
        <w:autoSpaceDE/>
        <w:autoSpaceDN/>
        <w:adjustRightInd/>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lastRenderedPageBreak/>
        <w:t xml:space="preserve">Además de las labores ordinarias referidas, la Sala Primera es competente en cuanto a los procesos contenciosos administrativos, sometidos en función de Tribunal de Casación de lo Contencioso Administrativo y Civil de Hacienda.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 xml:space="preserve">En este sentido, se registra para el 2015 un circulante inicial de 114 casos, una entrada de 130 recursos, cuatro asuntos reentrados, 114 resoluciones y un circulante final de 134 procesos.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ind w:left="360"/>
        <w:jc w:val="both"/>
        <w:rPr>
          <w:rFonts w:ascii="Times New Roman" w:hAnsi="Times New Roman" w:cs="Times New Roman"/>
          <w:sz w:val="28"/>
          <w:szCs w:val="28"/>
        </w:rPr>
      </w:pPr>
      <w:r w:rsidRPr="004A25C2">
        <w:rPr>
          <w:rFonts w:ascii="Times New Roman" w:hAnsi="Times New Roman" w:cs="Times New Roman"/>
          <w:sz w:val="28"/>
          <w:szCs w:val="28"/>
        </w:rPr>
        <w:t xml:space="preserve">Destaca en este sentido el ingreso de 114 recursos ordinarios (87,7% de la entrada), además del dictado de 48 votos de fondo (42,1% de la resolución), con una duración promedio de 12 meses y una semana (poco más del año).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3"/>
        </w:numPr>
        <w:tabs>
          <w:tab w:val="clear" w:pos="1080"/>
        </w:tabs>
        <w:autoSpaceDE/>
        <w:autoSpaceDN/>
        <w:adjustRightInd/>
        <w:spacing w:line="360" w:lineRule="auto"/>
        <w:ind w:left="0" w:hanging="360"/>
        <w:jc w:val="both"/>
        <w:rPr>
          <w:rFonts w:ascii="Times New Roman" w:hAnsi="Times New Roman" w:cs="Times New Roman"/>
          <w:b/>
          <w:sz w:val="28"/>
          <w:szCs w:val="28"/>
        </w:rPr>
      </w:pPr>
      <w:r w:rsidRPr="004A25C2">
        <w:rPr>
          <w:rFonts w:ascii="Times New Roman" w:hAnsi="Times New Roman" w:cs="Times New Roman"/>
          <w:b/>
          <w:sz w:val="28"/>
          <w:szCs w:val="28"/>
        </w:rPr>
        <w:t>INDICADORES DE GESTIÓN JUDICIAL</w:t>
      </w:r>
      <w:r w:rsidRPr="004A25C2">
        <w:rPr>
          <w:rFonts w:ascii="Times New Roman" w:hAnsi="Times New Roman" w:cs="Times New Roman"/>
          <w:sz w:val="28"/>
          <w:szCs w:val="28"/>
        </w:rPr>
        <w:t xml:space="preserve"> </w:t>
      </w:r>
      <w:r w:rsidRPr="004A25C2">
        <w:rPr>
          <w:rFonts w:ascii="Times New Roman" w:hAnsi="Times New Roman" w:cs="Times New Roman"/>
          <w:b/>
          <w:sz w:val="28"/>
          <w:szCs w:val="28"/>
        </w:rPr>
        <w:t xml:space="preserve">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 siguiente tabla contiene los cambios reflejados por los principales indicadores de gestión judicial asociados a la Sala Primera, durante el quinquenio más reciente. </w:t>
      </w:r>
    </w:p>
    <w:p w:rsidR="00CC5C8D" w:rsidRDefault="00CC5C8D"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7168" w:type="dxa"/>
        <w:jc w:val="center"/>
        <w:tblCellMar>
          <w:left w:w="70" w:type="dxa"/>
          <w:right w:w="70" w:type="dxa"/>
        </w:tblCellMar>
        <w:tblLook w:val="04A0" w:firstRow="1" w:lastRow="0" w:firstColumn="1" w:lastColumn="0" w:noHBand="0" w:noVBand="1"/>
      </w:tblPr>
      <w:tblGrid>
        <w:gridCol w:w="2552"/>
        <w:gridCol w:w="924"/>
        <w:gridCol w:w="923"/>
        <w:gridCol w:w="923"/>
        <w:gridCol w:w="923"/>
        <w:gridCol w:w="923"/>
      </w:tblGrid>
      <w:tr w:rsidR="00CC5C8D" w:rsidRPr="004A25C2" w:rsidTr="00CC5C8D">
        <w:trPr>
          <w:trHeight w:val="255"/>
          <w:tblHeader/>
          <w:jc w:val="center"/>
        </w:trPr>
        <w:tc>
          <w:tcPr>
            <w:tcW w:w="2552"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lastRenderedPageBreak/>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Año</w:t>
            </w:r>
          </w:p>
        </w:tc>
      </w:tr>
      <w:tr w:rsidR="00CC5C8D" w:rsidRPr="004A25C2" w:rsidTr="00CC5C8D">
        <w:trPr>
          <w:trHeight w:val="255"/>
          <w:tblHeader/>
          <w:jc w:val="center"/>
        </w:trPr>
        <w:tc>
          <w:tcPr>
            <w:tcW w:w="2552"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Descripción</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Variables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Circulante al iniciar</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750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891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1.014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1.179</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Casos entrados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1.446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1.475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1.437</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Casos reentrados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Casos terminados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1.267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1.356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1.347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1.319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1.157</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Circulante al finalizar</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891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1.014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1.179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1.479</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Indicadores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Razón de congestión</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2,28</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Tasa de pendencia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39,3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39,7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42,9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47,2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56,1</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Tasa de resolución</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60,7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60,3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57,1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52,8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43,9</w:t>
            </w:r>
          </w:p>
        </w:tc>
      </w:tr>
      <w:tr w:rsidR="00CC5C8D" w:rsidRPr="004A25C2" w:rsidTr="00CC5C8D">
        <w:trPr>
          <w:trHeight w:val="255"/>
          <w:jc w:val="center"/>
        </w:trPr>
        <w:tc>
          <w:tcPr>
            <w:tcW w:w="2552"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Estos resultados manifiestan una tendencia a la saturación en el abordaje de los recursos, a partir de la lectura de la razón de congestión</w:t>
      </w:r>
      <w:r w:rsidRPr="004A25C2">
        <w:rPr>
          <w:rStyle w:val="Refdenotaalpie"/>
          <w:rFonts w:ascii="Times New Roman" w:hAnsi="Times New Roman"/>
          <w:sz w:val="28"/>
          <w:szCs w:val="28"/>
        </w:rPr>
        <w:footnoteReference w:id="1"/>
      </w:r>
      <w:r w:rsidRPr="004A25C2">
        <w:rPr>
          <w:rFonts w:ascii="Times New Roman" w:hAnsi="Times New Roman" w:cs="Times New Roman"/>
          <w:sz w:val="28"/>
          <w:szCs w:val="28"/>
        </w:rPr>
        <w:t>, la cual llegó a 2,28 en esta ocasión, para evidenciar su cuarto incremento anual consecutivo.</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center"/>
        <w:rPr>
          <w:rFonts w:ascii="Times New Roman" w:hAnsi="Times New Roman" w:cs="Times New Roman"/>
          <w:sz w:val="28"/>
          <w:szCs w:val="28"/>
        </w:rPr>
      </w:pPr>
      <w:r w:rsidRPr="004A25C2">
        <w:rPr>
          <w:rFonts w:ascii="Times New Roman" w:hAnsi="Times New Roman" w:cs="Times New Roman"/>
          <w:sz w:val="28"/>
          <w:szCs w:val="28"/>
        </w:rPr>
        <w:object w:dxaOrig="8313" w:dyaOrig="5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47.8pt" o:ole="">
            <v:imagedata r:id="rId7" o:title=""/>
          </v:shape>
          <o:OLEObject Type="Embed" ProgID="Excel.Sheet.12" ShapeID="_x0000_i1025" DrawAspect="Content" ObjectID="_1542461507" r:id="rId8"/>
        </w:objec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A partir de lo anterior, este despacho judicial de instancia superior debió tramitar 2,28 veces de los que terminó en el presente año, para efectos de eliminar la congestión en su carga de trabajo.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La notación fraccionaria de este resultado (228/100) expresa que por cada 228 recursos en la carga de trabajo de la Sala, se finiquitaron 100 en la actualidad.</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Este escenario converge con las variaciones mostradas por la tasa de pendencia</w:t>
      </w:r>
      <w:r w:rsidRPr="004A25C2">
        <w:rPr>
          <w:rStyle w:val="Refdenotaalpie"/>
          <w:rFonts w:ascii="Times New Roman" w:hAnsi="Times New Roman"/>
          <w:sz w:val="28"/>
          <w:szCs w:val="28"/>
        </w:rPr>
        <w:footnoteReference w:id="2"/>
      </w:r>
      <w:r w:rsidRPr="004A25C2">
        <w:rPr>
          <w:rFonts w:ascii="Times New Roman" w:hAnsi="Times New Roman" w:cs="Times New Roman"/>
          <w:sz w:val="28"/>
          <w:szCs w:val="28"/>
        </w:rPr>
        <w:t>, que también exteriorizó un patrón estrictamente creciente, calculándose ahora en 56,1%, mientras que la tasa de resolución</w:t>
      </w:r>
      <w:r w:rsidRPr="004A25C2">
        <w:rPr>
          <w:rStyle w:val="Refdenotaalpie"/>
          <w:rFonts w:ascii="Times New Roman" w:hAnsi="Times New Roman"/>
          <w:sz w:val="28"/>
          <w:szCs w:val="28"/>
        </w:rPr>
        <w:footnoteReference w:id="3"/>
      </w:r>
      <w:r w:rsidRPr="004A25C2">
        <w:rPr>
          <w:rFonts w:ascii="Times New Roman" w:hAnsi="Times New Roman" w:cs="Times New Roman"/>
          <w:sz w:val="28"/>
          <w:szCs w:val="28"/>
        </w:rPr>
        <w:t xml:space="preserve"> acusó un modelo simétricamente </w:t>
      </w:r>
      <w:r w:rsidRPr="004A25C2">
        <w:rPr>
          <w:rFonts w:ascii="Times New Roman" w:hAnsi="Times New Roman" w:cs="Times New Roman"/>
          <w:sz w:val="28"/>
          <w:szCs w:val="28"/>
        </w:rPr>
        <w:lastRenderedPageBreak/>
        <w:t>inverso a la pendencia (43,9%), al ser estos dos últimos indicadores complementarios entre sí (suman 100%, en conjunto).</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center"/>
        <w:rPr>
          <w:rFonts w:ascii="Times New Roman" w:hAnsi="Times New Roman" w:cs="Times New Roman"/>
          <w:sz w:val="28"/>
          <w:szCs w:val="28"/>
        </w:rPr>
      </w:pPr>
      <w:r w:rsidRPr="004A25C2">
        <w:rPr>
          <w:rFonts w:ascii="Times New Roman" w:hAnsi="Times New Roman" w:cs="Times New Roman"/>
          <w:sz w:val="28"/>
          <w:szCs w:val="28"/>
        </w:rPr>
        <w:object w:dxaOrig="8210" w:dyaOrig="5632">
          <v:shape id="_x0000_i1026" type="#_x0000_t75" style="width:385.8pt;height:253.2pt" o:ole="">
            <v:imagedata r:id="rId9" o:title=""/>
          </v:shape>
          <o:OLEObject Type="Embed" ProgID="Excel.Sheet.12" ShapeID="_x0000_i1026" DrawAspect="Content" ObjectID="_1542461508" r:id="rId10"/>
        </w:object>
      </w:r>
    </w:p>
    <w:p w:rsidR="00CC5C8D" w:rsidRPr="004A25C2" w:rsidRDefault="00CC5C8D" w:rsidP="00CC5C8D">
      <w:pPr>
        <w:spacing w:line="360" w:lineRule="auto"/>
        <w:jc w:val="both"/>
        <w:rPr>
          <w:rFonts w:ascii="Times New Roman" w:hAnsi="Times New Roman" w:cs="Times New Roman"/>
          <w:sz w:val="28"/>
          <w:szCs w:val="28"/>
        </w:rPr>
      </w:pPr>
    </w:p>
    <w:p w:rsidR="00CC5C8D"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De esta manera, por cada 100 procesos ingresados en la Sala en este período, 56 se mantienen activos y 44 obtienen una resolución que finiquita el asunto. </w:t>
      </w:r>
    </w:p>
    <w:p w:rsidR="0053545B" w:rsidRPr="004A25C2" w:rsidRDefault="0053545B"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3"/>
        </w:numPr>
        <w:tabs>
          <w:tab w:val="clear" w:pos="1080"/>
        </w:tabs>
        <w:autoSpaceDE/>
        <w:autoSpaceDN/>
        <w:adjustRightInd/>
        <w:spacing w:line="360" w:lineRule="auto"/>
        <w:ind w:left="0" w:hanging="540"/>
        <w:jc w:val="both"/>
        <w:rPr>
          <w:rFonts w:ascii="Times New Roman" w:hAnsi="Times New Roman" w:cs="Times New Roman"/>
          <w:b/>
          <w:sz w:val="28"/>
          <w:szCs w:val="28"/>
        </w:rPr>
      </w:pPr>
      <w:r w:rsidRPr="004A25C2">
        <w:rPr>
          <w:rFonts w:ascii="Times New Roman" w:hAnsi="Times New Roman" w:cs="Times New Roman"/>
          <w:b/>
          <w:sz w:val="28"/>
          <w:szCs w:val="28"/>
        </w:rPr>
        <w:t>CASOS ENTRADOS</w:t>
      </w:r>
      <w:r w:rsidRPr="004A25C2">
        <w:rPr>
          <w:rFonts w:ascii="Times New Roman" w:hAnsi="Times New Roman" w:cs="Times New Roman"/>
          <w:sz w:val="28"/>
          <w:szCs w:val="28"/>
        </w:rPr>
        <w:t xml:space="preserve">  </w:t>
      </w:r>
      <w:r w:rsidRPr="004A25C2">
        <w:rPr>
          <w:rFonts w:ascii="Times New Roman" w:hAnsi="Times New Roman" w:cs="Times New Roman"/>
          <w:b/>
          <w:sz w:val="28"/>
          <w:szCs w:val="28"/>
        </w:rPr>
        <w:t xml:space="preserve">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 Sala Primera recibió 1.437 expedientes durante el 2015, cifra que se reduce en tan solo 38 unidades respecto a lo admitido el año anterior, para una baja relativa de 2,6%. </w:t>
      </w:r>
    </w:p>
    <w:p w:rsidR="00CC5C8D" w:rsidRDefault="00CC5C8D"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6272" w:type="dxa"/>
        <w:jc w:val="center"/>
        <w:tblCellMar>
          <w:left w:w="70" w:type="dxa"/>
          <w:right w:w="70" w:type="dxa"/>
        </w:tblCellMar>
        <w:tblLook w:val="04A0" w:firstRow="1" w:lastRow="0" w:firstColumn="1" w:lastColumn="0" w:noHBand="0" w:noVBand="1"/>
      </w:tblPr>
      <w:tblGrid>
        <w:gridCol w:w="1656"/>
        <w:gridCol w:w="924"/>
        <w:gridCol w:w="923"/>
        <w:gridCol w:w="923"/>
        <w:gridCol w:w="923"/>
        <w:gridCol w:w="923"/>
      </w:tblGrid>
      <w:tr w:rsidR="00CC5C8D" w:rsidRPr="004A25C2" w:rsidTr="00CC5C8D">
        <w:trPr>
          <w:trHeight w:val="255"/>
          <w:tblHeader/>
          <w:jc w:val="center"/>
        </w:trPr>
        <w:tc>
          <w:tcPr>
            <w:tcW w:w="1656"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lastRenderedPageBreak/>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Entrados</w:t>
            </w:r>
          </w:p>
        </w:tc>
      </w:tr>
      <w:tr w:rsidR="00CC5C8D" w:rsidRPr="004A25C2" w:rsidTr="00CC5C8D">
        <w:trPr>
          <w:trHeight w:val="255"/>
          <w:tblHeader/>
          <w:jc w:val="center"/>
        </w:trPr>
        <w:tc>
          <w:tcPr>
            <w:tcW w:w="1656"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Materia</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Absolutos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1.446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1.475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1.437</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402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340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331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300</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769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874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826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880</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Agraria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64</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Notarial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36</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157</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Porcentajes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21,6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23,5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20,9</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52,5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54,2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60,4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56,0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61,2</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Agraria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4,5</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Notarial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2,5</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10,9</w:t>
            </w:r>
          </w:p>
        </w:tc>
      </w:tr>
      <w:tr w:rsidR="00CC5C8D" w:rsidRPr="004A25C2" w:rsidTr="00CC5C8D">
        <w:trPr>
          <w:trHeight w:val="255"/>
          <w:jc w:val="center"/>
        </w:trPr>
        <w:tc>
          <w:tcPr>
            <w:tcW w:w="1656"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De esta manera, se interrumpe en la actualidad el comportamiento creciente de los casos entrados, reflejado en el trienio 2012-2014.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center"/>
        <w:rPr>
          <w:rFonts w:ascii="Times New Roman" w:hAnsi="Times New Roman" w:cs="Times New Roman"/>
          <w:sz w:val="28"/>
          <w:szCs w:val="28"/>
        </w:rPr>
      </w:pPr>
      <w:r w:rsidRPr="004A25C2">
        <w:rPr>
          <w:rFonts w:ascii="Times New Roman" w:hAnsi="Times New Roman" w:cs="Times New Roman"/>
          <w:sz w:val="28"/>
          <w:szCs w:val="28"/>
        </w:rPr>
        <w:object w:dxaOrig="7924" w:dyaOrig="5527">
          <v:shape id="_x0000_i1027" type="#_x0000_t75" style="width:383.4pt;height:256.2pt" o:ole="">
            <v:imagedata r:id="rId11" o:title=""/>
          </v:shape>
          <o:OLEObject Type="Embed" ProgID="Excel.Sheet.12" ShapeID="_x0000_i1027" DrawAspect="Content" ObjectID="_1542461509" r:id="rId12"/>
        </w:objec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 composición de esta variable por materia refiere para esta ocasión que 300 de los nuevos recursos se relacionan con la materia Civil (20,9%), 880 con la Contenciosa Administrativa (61,2%), 64 con la Agraria (4,5%), 36 con la Notarial (2,5%) y 157 con otras materias (10,9%).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En el próximo gráfico se ilustra la composición porcentual de los casos entrados en la Sala Primera por materia desde el 2011, de donde se vislumbra que tradicionalmente las materias Civil y Contenciosa Administrativa han abarcado las proporciones más importantes de expedientes.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center"/>
        <w:rPr>
          <w:rFonts w:ascii="Times New Roman" w:hAnsi="Times New Roman" w:cs="Times New Roman"/>
          <w:sz w:val="28"/>
          <w:szCs w:val="28"/>
        </w:rPr>
      </w:pPr>
      <w:r w:rsidRPr="004A25C2">
        <w:rPr>
          <w:rFonts w:ascii="Times New Roman" w:hAnsi="Times New Roman" w:cs="Times New Roman"/>
          <w:sz w:val="28"/>
          <w:szCs w:val="28"/>
        </w:rPr>
        <w:object w:dxaOrig="7773" w:dyaOrig="5558">
          <v:shape id="_x0000_i1028" type="#_x0000_t75" style="width:382.8pt;height:262.2pt" o:ole="">
            <v:imagedata r:id="rId13" o:title=""/>
          </v:shape>
          <o:OLEObject Type="Embed" ProgID="Excel.Sheet.12" ShapeID="_x0000_i1028" DrawAspect="Content" ObjectID="_1542461510" r:id="rId14"/>
        </w:object>
      </w:r>
    </w:p>
    <w:p w:rsidR="00CC5C8D" w:rsidRDefault="00CC5C8D"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lastRenderedPageBreak/>
        <w:t xml:space="preserve">La procedencia de los recursos admitidos en este despacho judicial determina para el período más reciente que 944 casos se sometieron en alzada por lo dispuesto en los tribunales de segunda instancia (65,7%), 417 en los juzgados de primera instancia (29,0%) y 76 en las propias Salas (5,3%), manteniéndose esta conformación muy homogénea en los últimos años.    </w:t>
      </w:r>
    </w:p>
    <w:p w:rsidR="00CC5C8D" w:rsidRPr="004A25C2" w:rsidRDefault="00CC5C8D" w:rsidP="00CC5C8D">
      <w:pPr>
        <w:spacing w:line="360" w:lineRule="auto"/>
        <w:jc w:val="both"/>
        <w:rPr>
          <w:rFonts w:ascii="Times New Roman" w:hAnsi="Times New Roman" w:cs="Times New Roman"/>
          <w:sz w:val="28"/>
          <w:szCs w:val="28"/>
        </w:rPr>
      </w:pPr>
    </w:p>
    <w:tbl>
      <w:tblPr>
        <w:tblW w:w="8038" w:type="dxa"/>
        <w:jc w:val="center"/>
        <w:tblCellMar>
          <w:left w:w="70" w:type="dxa"/>
          <w:right w:w="70" w:type="dxa"/>
        </w:tblCellMar>
        <w:tblLook w:val="04A0" w:firstRow="1" w:lastRow="0" w:firstColumn="1" w:lastColumn="0" w:noHBand="0" w:noVBand="1"/>
      </w:tblPr>
      <w:tblGrid>
        <w:gridCol w:w="3422"/>
        <w:gridCol w:w="924"/>
        <w:gridCol w:w="923"/>
        <w:gridCol w:w="923"/>
        <w:gridCol w:w="923"/>
        <w:gridCol w:w="923"/>
      </w:tblGrid>
      <w:tr w:rsidR="00CC5C8D" w:rsidRPr="004A25C2" w:rsidTr="00CC5C8D">
        <w:trPr>
          <w:trHeight w:val="255"/>
          <w:tblHeader/>
          <w:jc w:val="center"/>
        </w:trPr>
        <w:tc>
          <w:tcPr>
            <w:tcW w:w="3422"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Entrados</w:t>
            </w:r>
          </w:p>
        </w:tc>
      </w:tr>
      <w:tr w:rsidR="00CC5C8D" w:rsidRPr="004A25C2" w:rsidTr="00CC5C8D">
        <w:trPr>
          <w:trHeight w:val="255"/>
          <w:tblHeader/>
          <w:jc w:val="center"/>
        </w:trPr>
        <w:tc>
          <w:tcPr>
            <w:tcW w:w="3422"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Procedencia</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Absolutos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1.446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1.475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1.437</w:t>
            </w: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Salas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76</w:t>
            </w: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Tribunales Instancia Superior</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878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958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906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944</w:t>
            </w: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Juzgados Primera Instancia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383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392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468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457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417</w:t>
            </w: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Porcentajes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Salas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5,3</w:t>
            </w: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Tribunales Instancia Superior</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65,9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67,5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62,7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65,7</w:t>
            </w:r>
          </w:p>
        </w:tc>
      </w:tr>
      <w:tr w:rsidR="00CC5C8D" w:rsidRPr="004A25C2" w:rsidTr="00CC5C8D">
        <w:trPr>
          <w:trHeight w:val="255"/>
          <w:jc w:val="center"/>
        </w:trPr>
        <w:tc>
          <w:tcPr>
            <w:tcW w:w="342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Juzgados Primera Instancia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32,4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31,0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29,0</w:t>
            </w:r>
          </w:p>
        </w:tc>
      </w:tr>
      <w:tr w:rsidR="00CC5C8D" w:rsidRPr="004A25C2" w:rsidTr="00CC5C8D">
        <w:trPr>
          <w:trHeight w:val="255"/>
          <w:jc w:val="center"/>
        </w:trPr>
        <w:tc>
          <w:tcPr>
            <w:tcW w:w="3422"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Por otra parte, el detalle de la cuantía relacionada con los nuevos procesos evidencia que prácticamente en todos los casos se desconoce esta información, salvo en siete asuntos para el 2015 (0,5%), lo cual ha persistido desde el 2012. </w:t>
      </w:r>
    </w:p>
    <w:p w:rsidR="00CC5C8D" w:rsidRDefault="00CC5C8D"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6012" w:type="dxa"/>
        <w:jc w:val="center"/>
        <w:tblCellMar>
          <w:left w:w="70" w:type="dxa"/>
          <w:right w:w="70" w:type="dxa"/>
        </w:tblCellMar>
        <w:tblLook w:val="04A0" w:firstRow="1" w:lastRow="0" w:firstColumn="1" w:lastColumn="0" w:noHBand="0" w:noVBand="1"/>
      </w:tblPr>
      <w:tblGrid>
        <w:gridCol w:w="1396"/>
        <w:gridCol w:w="924"/>
        <w:gridCol w:w="923"/>
        <w:gridCol w:w="923"/>
        <w:gridCol w:w="923"/>
        <w:gridCol w:w="923"/>
      </w:tblGrid>
      <w:tr w:rsidR="00CC5C8D" w:rsidRPr="004A25C2" w:rsidTr="00CC5C8D">
        <w:trPr>
          <w:trHeight w:val="255"/>
          <w:tblHeader/>
          <w:jc w:val="center"/>
        </w:trPr>
        <w:tc>
          <w:tcPr>
            <w:tcW w:w="1396"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lastRenderedPageBreak/>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Entrados</w:t>
            </w:r>
          </w:p>
        </w:tc>
      </w:tr>
      <w:tr w:rsidR="00CC5C8D" w:rsidRPr="004A25C2" w:rsidTr="00CC5C8D">
        <w:trPr>
          <w:trHeight w:val="255"/>
          <w:tblHeader/>
          <w:jc w:val="center"/>
        </w:trPr>
        <w:tc>
          <w:tcPr>
            <w:tcW w:w="1396"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Cuantía</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1396"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r>
      <w:tr w:rsidR="00CC5C8D" w:rsidRPr="004A25C2" w:rsidTr="00CC5C8D">
        <w:trPr>
          <w:trHeight w:val="255"/>
          <w:jc w:val="center"/>
        </w:trPr>
        <w:tc>
          <w:tcPr>
            <w:tcW w:w="139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Absolutos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1.446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1.475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1.437</w:t>
            </w:r>
          </w:p>
        </w:tc>
      </w:tr>
      <w:tr w:rsidR="00CC5C8D" w:rsidRPr="004A25C2" w:rsidTr="00CC5C8D">
        <w:trPr>
          <w:trHeight w:val="255"/>
          <w:jc w:val="center"/>
        </w:trPr>
        <w:tc>
          <w:tcPr>
            <w:tcW w:w="139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Definida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813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w:t>
            </w:r>
          </w:p>
        </w:tc>
      </w:tr>
      <w:tr w:rsidR="00CC5C8D" w:rsidRPr="004A25C2" w:rsidTr="00CC5C8D">
        <w:trPr>
          <w:trHeight w:val="255"/>
          <w:jc w:val="center"/>
        </w:trPr>
        <w:tc>
          <w:tcPr>
            <w:tcW w:w="139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Indefinida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1.373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1.435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1.475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1.430</w:t>
            </w:r>
          </w:p>
        </w:tc>
      </w:tr>
      <w:tr w:rsidR="00CC5C8D" w:rsidRPr="004A25C2" w:rsidTr="00CC5C8D">
        <w:trPr>
          <w:trHeight w:val="255"/>
          <w:jc w:val="center"/>
        </w:trPr>
        <w:tc>
          <w:tcPr>
            <w:tcW w:w="139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r>
      <w:tr w:rsidR="00CC5C8D" w:rsidRPr="004A25C2" w:rsidTr="00CC5C8D">
        <w:trPr>
          <w:trHeight w:val="255"/>
          <w:jc w:val="center"/>
        </w:trPr>
        <w:tc>
          <w:tcPr>
            <w:tcW w:w="139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Porcentajes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139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Definida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61,0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0,5</w:t>
            </w:r>
          </w:p>
        </w:tc>
      </w:tr>
      <w:tr w:rsidR="00CC5C8D" w:rsidRPr="004A25C2" w:rsidTr="00CC5C8D">
        <w:trPr>
          <w:trHeight w:val="255"/>
          <w:jc w:val="center"/>
        </w:trPr>
        <w:tc>
          <w:tcPr>
            <w:tcW w:w="139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Indefinida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39,0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96,7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99,2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99,5</w:t>
            </w:r>
          </w:p>
        </w:tc>
      </w:tr>
      <w:tr w:rsidR="00CC5C8D" w:rsidRPr="004A25C2" w:rsidTr="00CC5C8D">
        <w:trPr>
          <w:trHeight w:val="255"/>
          <w:jc w:val="center"/>
        </w:trPr>
        <w:tc>
          <w:tcPr>
            <w:tcW w:w="1396"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El enfoque atinente a la esencia de los casos entrados en la Sala Primera expresa para este último período el registro de 267 asuntos para determinar la competencia en una instancia previa</w:t>
      </w:r>
      <w:r w:rsidRPr="004A25C2">
        <w:rPr>
          <w:rStyle w:val="Refdenotaalpie"/>
          <w:rFonts w:ascii="Times New Roman" w:hAnsi="Times New Roman"/>
          <w:sz w:val="28"/>
          <w:szCs w:val="28"/>
        </w:rPr>
        <w:footnoteReference w:id="4"/>
      </w:r>
      <w:r w:rsidRPr="004A25C2">
        <w:rPr>
          <w:rFonts w:ascii="Times New Roman" w:hAnsi="Times New Roman" w:cs="Times New Roman"/>
          <w:sz w:val="28"/>
          <w:szCs w:val="28"/>
        </w:rPr>
        <w:t xml:space="preserve"> (18,6%), para una entrada depurada de 1.170 expedientes (81,4%).   </w:t>
      </w:r>
    </w:p>
    <w:p w:rsidR="00CC5C8D" w:rsidRPr="004A25C2" w:rsidRDefault="00CC5C8D" w:rsidP="00CC5C8D">
      <w:pPr>
        <w:spacing w:line="360" w:lineRule="auto"/>
        <w:jc w:val="both"/>
        <w:rPr>
          <w:rFonts w:ascii="Times New Roman" w:hAnsi="Times New Roman" w:cs="Times New Roman"/>
          <w:sz w:val="28"/>
          <w:szCs w:val="28"/>
        </w:rPr>
      </w:pPr>
    </w:p>
    <w:tbl>
      <w:tblPr>
        <w:tblW w:w="8000" w:type="dxa"/>
        <w:jc w:val="center"/>
        <w:tblCellMar>
          <w:left w:w="70" w:type="dxa"/>
          <w:right w:w="70" w:type="dxa"/>
        </w:tblCellMar>
        <w:tblLook w:val="04A0" w:firstRow="1" w:lastRow="0" w:firstColumn="1" w:lastColumn="0" w:noHBand="0" w:noVBand="1"/>
      </w:tblPr>
      <w:tblGrid>
        <w:gridCol w:w="3084"/>
        <w:gridCol w:w="984"/>
        <w:gridCol w:w="983"/>
        <w:gridCol w:w="983"/>
        <w:gridCol w:w="983"/>
        <w:gridCol w:w="983"/>
      </w:tblGrid>
      <w:tr w:rsidR="00CC5C8D" w:rsidRPr="004A25C2" w:rsidTr="00CC5C8D">
        <w:trPr>
          <w:trHeight w:val="255"/>
          <w:tblHeader/>
          <w:jc w:val="center"/>
        </w:trPr>
        <w:tc>
          <w:tcPr>
            <w:tcW w:w="3084"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 </w:t>
            </w:r>
          </w:p>
        </w:tc>
        <w:tc>
          <w:tcPr>
            <w:tcW w:w="49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Entrados</w:t>
            </w:r>
          </w:p>
        </w:tc>
      </w:tr>
      <w:tr w:rsidR="00CC5C8D" w:rsidRPr="004A25C2" w:rsidTr="00CC5C8D">
        <w:trPr>
          <w:trHeight w:val="255"/>
          <w:tblHeader/>
          <w:jc w:val="center"/>
        </w:trPr>
        <w:tc>
          <w:tcPr>
            <w:tcW w:w="308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Tipo de Entrada</w:t>
            </w:r>
          </w:p>
        </w:tc>
        <w:tc>
          <w:tcPr>
            <w:tcW w:w="98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8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8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8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8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308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8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8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8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8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08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Absolutos</w:t>
            </w:r>
          </w:p>
        </w:tc>
        <w:tc>
          <w:tcPr>
            <w:tcW w:w="98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1.333</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1.420</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1.446</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1.475</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1.437</w:t>
            </w:r>
          </w:p>
        </w:tc>
      </w:tr>
      <w:tr w:rsidR="00CC5C8D" w:rsidRPr="004A25C2" w:rsidTr="00CC5C8D">
        <w:trPr>
          <w:trHeight w:val="255"/>
          <w:jc w:val="center"/>
        </w:trPr>
        <w:tc>
          <w:tcPr>
            <w:tcW w:w="308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Incompetencias Entradas</w:t>
            </w:r>
          </w:p>
        </w:tc>
        <w:tc>
          <w:tcPr>
            <w:tcW w:w="98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444</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386</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320</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420</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267</w:t>
            </w:r>
          </w:p>
        </w:tc>
      </w:tr>
      <w:tr w:rsidR="00CC5C8D" w:rsidRPr="004A25C2" w:rsidTr="00CC5C8D">
        <w:trPr>
          <w:trHeight w:val="255"/>
          <w:jc w:val="center"/>
        </w:trPr>
        <w:tc>
          <w:tcPr>
            <w:tcW w:w="308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Entrada Depurada</w:t>
            </w:r>
          </w:p>
        </w:tc>
        <w:tc>
          <w:tcPr>
            <w:tcW w:w="98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889</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1.034</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1.126</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1.055</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1.170</w:t>
            </w:r>
          </w:p>
        </w:tc>
      </w:tr>
      <w:tr w:rsidR="00CC5C8D" w:rsidRPr="004A25C2" w:rsidTr="00CC5C8D">
        <w:trPr>
          <w:trHeight w:val="255"/>
          <w:jc w:val="center"/>
        </w:trPr>
        <w:tc>
          <w:tcPr>
            <w:tcW w:w="308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8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98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8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8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08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Porcentajes</w:t>
            </w:r>
          </w:p>
        </w:tc>
        <w:tc>
          <w:tcPr>
            <w:tcW w:w="98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308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Incompetencias Entradas</w:t>
            </w:r>
          </w:p>
        </w:tc>
        <w:tc>
          <w:tcPr>
            <w:tcW w:w="98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33,3</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27,2</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22,1</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28,5</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18,6</w:t>
            </w:r>
          </w:p>
        </w:tc>
      </w:tr>
      <w:tr w:rsidR="00CC5C8D" w:rsidRPr="004A25C2" w:rsidTr="00CC5C8D">
        <w:trPr>
          <w:trHeight w:val="255"/>
          <w:jc w:val="center"/>
        </w:trPr>
        <w:tc>
          <w:tcPr>
            <w:tcW w:w="308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Entrada Depurada</w:t>
            </w:r>
          </w:p>
        </w:tc>
        <w:tc>
          <w:tcPr>
            <w:tcW w:w="98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66,7</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72,8</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77,9</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71,5</w:t>
            </w:r>
          </w:p>
        </w:tc>
        <w:tc>
          <w:tcPr>
            <w:tcW w:w="98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81,4</w:t>
            </w:r>
          </w:p>
        </w:tc>
      </w:tr>
      <w:tr w:rsidR="00CC5C8D" w:rsidRPr="004A25C2" w:rsidTr="00CC5C8D">
        <w:trPr>
          <w:trHeight w:val="255"/>
          <w:jc w:val="center"/>
        </w:trPr>
        <w:tc>
          <w:tcPr>
            <w:tcW w:w="308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8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8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8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8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8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 siguiente matriz especifica el detalle de las incompetencias entradas y de la entrada depurada por materia, desde el 2011. </w:t>
      </w:r>
    </w:p>
    <w:p w:rsidR="00CC5C8D" w:rsidRDefault="00CC5C8D"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7735" w:type="dxa"/>
        <w:jc w:val="center"/>
        <w:tblCellMar>
          <w:left w:w="70" w:type="dxa"/>
          <w:right w:w="70" w:type="dxa"/>
        </w:tblCellMar>
        <w:tblLook w:val="04A0" w:firstRow="1" w:lastRow="0" w:firstColumn="1" w:lastColumn="0" w:noHBand="0" w:noVBand="1"/>
      </w:tblPr>
      <w:tblGrid>
        <w:gridCol w:w="3119"/>
        <w:gridCol w:w="840"/>
        <w:gridCol w:w="944"/>
        <w:gridCol w:w="944"/>
        <w:gridCol w:w="944"/>
        <w:gridCol w:w="944"/>
      </w:tblGrid>
      <w:tr w:rsidR="00CC5C8D" w:rsidRPr="004A25C2" w:rsidTr="00CC5C8D">
        <w:trPr>
          <w:trHeight w:val="255"/>
          <w:tblHeader/>
          <w:jc w:val="center"/>
        </w:trPr>
        <w:tc>
          <w:tcPr>
            <w:tcW w:w="3119"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lastRenderedPageBreak/>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Año</w:t>
            </w:r>
          </w:p>
        </w:tc>
      </w:tr>
      <w:tr w:rsidR="00CC5C8D" w:rsidRPr="004A25C2" w:rsidTr="00CC5C8D">
        <w:trPr>
          <w:trHeight w:val="255"/>
          <w:tblHeader/>
          <w:jc w:val="center"/>
        </w:trPr>
        <w:tc>
          <w:tcPr>
            <w:tcW w:w="3119"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Materia</w:t>
            </w:r>
          </w:p>
        </w:tc>
        <w:tc>
          <w:tcPr>
            <w:tcW w:w="840"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4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4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4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4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4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4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4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Incompetencias Entradas</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444</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386</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320</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420</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267</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123</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181</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124</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109</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99</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 Administrativa</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107</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96</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99</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141</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99</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Agraria</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35</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Notarial</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148</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61</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84</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53</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152</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50</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4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4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4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4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4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Entrada Depurada</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889</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1.034</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1.126</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1.055</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1.170</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165</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221</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216</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222</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201</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 Administrativa</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593</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673</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775</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685</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781</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Agraria</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54</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96</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61</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49</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60</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Notarial</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25</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21</w:t>
            </w:r>
          </w:p>
        </w:tc>
      </w:tr>
      <w:tr w:rsidR="00CC5C8D" w:rsidRPr="004A25C2" w:rsidTr="00CC5C8D">
        <w:trPr>
          <w:trHeight w:val="255"/>
          <w:jc w:val="center"/>
        </w:trPr>
        <w:tc>
          <w:tcPr>
            <w:tcW w:w="311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84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47</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49</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w:t>
            </w:r>
          </w:p>
        </w:tc>
        <w:tc>
          <w:tcPr>
            <w:tcW w:w="94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107</w:t>
            </w:r>
          </w:p>
        </w:tc>
      </w:tr>
      <w:tr w:rsidR="00CC5C8D" w:rsidRPr="004A25C2" w:rsidTr="00CC5C8D">
        <w:trPr>
          <w:trHeight w:val="255"/>
          <w:jc w:val="center"/>
        </w:trPr>
        <w:tc>
          <w:tcPr>
            <w:tcW w:w="3119"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40"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4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4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4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4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7C5F10" w:rsidRDefault="007C5F10" w:rsidP="00CC5C8D">
      <w:pPr>
        <w:spacing w:line="360" w:lineRule="auto"/>
        <w:jc w:val="both"/>
        <w:rPr>
          <w:rFonts w:ascii="Times New Roman" w:hAnsi="Times New Roman" w:cs="Times New Roman"/>
          <w:sz w:val="28"/>
          <w:szCs w:val="28"/>
        </w:rPr>
      </w:pPr>
    </w:p>
    <w:p w:rsidR="00CC5C8D"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A partir de la aplicación de este filtro, se obtiene la “entrada para resolver por el fondo”, para cuya operación se deduce a la “entrada depurada” el efecto de los recursos rechazados de plano, de los autos de pase y de los recursos declarados como inadmisibles, que hayan ingresado, pero a su vez terminado, en cada año (el detalle de los casos terminados se discutirá en el siguiente apartado). </w:t>
      </w:r>
    </w:p>
    <w:p w:rsidR="00CC5C8D" w:rsidRPr="004A25C2" w:rsidRDefault="00CC5C8D" w:rsidP="00CC5C8D">
      <w:pPr>
        <w:spacing w:line="360" w:lineRule="auto"/>
        <w:jc w:val="both"/>
        <w:rPr>
          <w:rFonts w:ascii="Times New Roman" w:hAnsi="Times New Roman" w:cs="Times New Roman"/>
          <w:sz w:val="28"/>
          <w:szCs w:val="28"/>
        </w:rPr>
      </w:pPr>
    </w:p>
    <w:tbl>
      <w:tblPr>
        <w:tblW w:w="5000" w:type="pct"/>
        <w:jc w:val="center"/>
        <w:tblCellMar>
          <w:left w:w="70" w:type="dxa"/>
          <w:right w:w="70" w:type="dxa"/>
        </w:tblCellMar>
        <w:tblLook w:val="04A0" w:firstRow="1" w:lastRow="0" w:firstColumn="1" w:lastColumn="0" w:noHBand="0" w:noVBand="1"/>
      </w:tblPr>
      <w:tblGrid>
        <w:gridCol w:w="1031"/>
        <w:gridCol w:w="1048"/>
        <w:gridCol w:w="1051"/>
        <w:gridCol w:w="1271"/>
        <w:gridCol w:w="898"/>
        <w:gridCol w:w="935"/>
        <w:gridCol w:w="1121"/>
        <w:gridCol w:w="902"/>
        <w:gridCol w:w="955"/>
      </w:tblGrid>
      <w:tr w:rsidR="00285E02" w:rsidRPr="004A25C2" w:rsidTr="00CC5C8D">
        <w:trPr>
          <w:trHeight w:val="255"/>
          <w:tblHeader/>
          <w:jc w:val="center"/>
        </w:trPr>
        <w:tc>
          <w:tcPr>
            <w:tcW w:w="569" w:type="pct"/>
            <w:tcBorders>
              <w:top w:val="single" w:sz="4" w:space="0" w:color="auto"/>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 </w:t>
            </w:r>
          </w:p>
        </w:tc>
        <w:tc>
          <w:tcPr>
            <w:tcW w:w="578" w:type="pct"/>
            <w:tcBorders>
              <w:top w:val="single" w:sz="4" w:space="0" w:color="auto"/>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 </w:t>
            </w:r>
          </w:p>
        </w:tc>
        <w:tc>
          <w:tcPr>
            <w:tcW w:w="578" w:type="pct"/>
            <w:tcBorders>
              <w:top w:val="single" w:sz="4" w:space="0" w:color="auto"/>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 </w:t>
            </w:r>
          </w:p>
        </w:tc>
        <w:tc>
          <w:tcPr>
            <w:tcW w:w="676" w:type="pct"/>
            <w:tcBorders>
              <w:top w:val="single" w:sz="4" w:space="0" w:color="auto"/>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Recursos</w:t>
            </w:r>
          </w:p>
        </w:tc>
        <w:tc>
          <w:tcPr>
            <w:tcW w:w="498" w:type="pct"/>
            <w:tcBorders>
              <w:top w:val="single" w:sz="4" w:space="0" w:color="auto"/>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 </w:t>
            </w:r>
          </w:p>
        </w:tc>
        <w:tc>
          <w:tcPr>
            <w:tcW w:w="516" w:type="pct"/>
            <w:tcBorders>
              <w:top w:val="single" w:sz="4" w:space="0" w:color="auto"/>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 </w:t>
            </w:r>
          </w:p>
        </w:tc>
        <w:tc>
          <w:tcPr>
            <w:tcW w:w="560" w:type="pct"/>
            <w:tcBorders>
              <w:top w:val="single" w:sz="4" w:space="0" w:color="auto"/>
              <w:left w:val="single" w:sz="4" w:space="0" w:color="auto"/>
              <w:bottom w:val="nil"/>
              <w:right w:val="nil"/>
            </w:tcBorders>
            <w:shd w:val="clear" w:color="auto" w:fill="auto"/>
            <w:noWrap/>
            <w:vAlign w:val="center"/>
            <w:hideMark/>
          </w:tcPr>
          <w:p w:rsidR="00285E02" w:rsidRDefault="00285E02" w:rsidP="00285E02">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Posible</w:t>
            </w:r>
          </w:p>
          <w:p w:rsidR="00CC5C8D" w:rsidRPr="004A25C2" w:rsidRDefault="00CC5C8D" w:rsidP="00704D30">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Entrada</w:t>
            </w:r>
          </w:p>
        </w:tc>
        <w:tc>
          <w:tcPr>
            <w:tcW w:w="498" w:type="pct"/>
            <w:tcBorders>
              <w:top w:val="single" w:sz="4" w:space="0" w:color="auto"/>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 </w:t>
            </w:r>
          </w:p>
        </w:tc>
        <w:tc>
          <w:tcPr>
            <w:tcW w:w="525" w:type="pct"/>
            <w:tcBorders>
              <w:top w:val="single" w:sz="4" w:space="0" w:color="auto"/>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Tasa de</w:t>
            </w:r>
          </w:p>
        </w:tc>
      </w:tr>
      <w:tr w:rsidR="00285E02" w:rsidRPr="004A25C2" w:rsidTr="00CC5C8D">
        <w:trPr>
          <w:trHeight w:val="255"/>
          <w:tblHeader/>
          <w:jc w:val="center"/>
        </w:trPr>
        <w:tc>
          <w:tcPr>
            <w:tcW w:w="569"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p>
        </w:tc>
        <w:tc>
          <w:tcPr>
            <w:tcW w:w="578"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Entrada</w:t>
            </w:r>
          </w:p>
        </w:tc>
        <w:tc>
          <w:tcPr>
            <w:tcW w:w="57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Recursos</w:t>
            </w:r>
          </w:p>
        </w:tc>
        <w:tc>
          <w:tcPr>
            <w:tcW w:w="676"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Rechazados</w:t>
            </w:r>
          </w:p>
        </w:tc>
        <w:tc>
          <w:tcPr>
            <w:tcW w:w="49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Autos de</w:t>
            </w:r>
          </w:p>
        </w:tc>
        <w:tc>
          <w:tcPr>
            <w:tcW w:w="516"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Inadmi-</w:t>
            </w:r>
          </w:p>
        </w:tc>
        <w:tc>
          <w:tcPr>
            <w:tcW w:w="560" w:type="pct"/>
            <w:tcBorders>
              <w:top w:val="nil"/>
              <w:left w:val="single" w:sz="4" w:space="0" w:color="auto"/>
              <w:bottom w:val="nil"/>
              <w:right w:val="nil"/>
            </w:tcBorders>
            <w:shd w:val="clear" w:color="auto" w:fill="auto"/>
            <w:noWrap/>
            <w:vAlign w:val="center"/>
            <w:hideMark/>
          </w:tcPr>
          <w:p w:rsidR="003149EE" w:rsidRPr="004A25C2" w:rsidRDefault="003149EE" w:rsidP="00285E02">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P</w:t>
            </w:r>
            <w:r w:rsidR="00CC5C8D" w:rsidRPr="004A25C2">
              <w:rPr>
                <w:rFonts w:ascii="Times New Roman" w:hAnsi="Times New Roman" w:cs="Times New Roman"/>
                <w:b/>
                <w:bCs/>
                <w:sz w:val="18"/>
                <w:szCs w:val="18"/>
              </w:rPr>
              <w:t>ara</w:t>
            </w:r>
            <w:r>
              <w:rPr>
                <w:rFonts w:ascii="Times New Roman" w:hAnsi="Times New Roman" w:cs="Times New Roman"/>
                <w:b/>
                <w:bCs/>
                <w:sz w:val="18"/>
                <w:szCs w:val="18"/>
              </w:rPr>
              <w:t xml:space="preserve"> </w:t>
            </w:r>
          </w:p>
        </w:tc>
        <w:tc>
          <w:tcPr>
            <w:tcW w:w="498"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Carga de</w:t>
            </w:r>
          </w:p>
        </w:tc>
        <w:tc>
          <w:tcPr>
            <w:tcW w:w="525" w:type="pct"/>
            <w:tcBorders>
              <w:top w:val="nil"/>
              <w:left w:val="nil"/>
              <w:bottom w:val="nil"/>
              <w:right w:val="nil"/>
            </w:tcBorders>
            <w:shd w:val="clear" w:color="auto" w:fill="auto"/>
            <w:noWrap/>
            <w:vAlign w:val="center"/>
            <w:hideMark/>
          </w:tcPr>
          <w:p w:rsidR="00285E02" w:rsidRDefault="00285E02" w:rsidP="00CC5C8D">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 xml:space="preserve">Posibles </w:t>
            </w:r>
          </w:p>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Asuntos</w:t>
            </w:r>
          </w:p>
        </w:tc>
      </w:tr>
      <w:tr w:rsidR="00285E02" w:rsidRPr="004A25C2" w:rsidTr="00CC5C8D">
        <w:trPr>
          <w:trHeight w:val="255"/>
          <w:tblHeader/>
          <w:jc w:val="center"/>
        </w:trPr>
        <w:tc>
          <w:tcPr>
            <w:tcW w:w="569"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Año</w:t>
            </w:r>
          </w:p>
        </w:tc>
        <w:tc>
          <w:tcPr>
            <w:tcW w:w="578"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Depurada</w:t>
            </w:r>
          </w:p>
        </w:tc>
        <w:tc>
          <w:tcPr>
            <w:tcW w:w="57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Rechazados</w:t>
            </w:r>
          </w:p>
        </w:tc>
        <w:tc>
          <w:tcPr>
            <w:tcW w:w="676"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de Plano por</w:t>
            </w:r>
          </w:p>
        </w:tc>
        <w:tc>
          <w:tcPr>
            <w:tcW w:w="49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Pase</w:t>
            </w:r>
          </w:p>
        </w:tc>
        <w:tc>
          <w:tcPr>
            <w:tcW w:w="516"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sibles</w:t>
            </w:r>
          </w:p>
        </w:tc>
        <w:tc>
          <w:tcPr>
            <w:tcW w:w="560" w:type="pct"/>
            <w:tcBorders>
              <w:top w:val="nil"/>
              <w:left w:val="single" w:sz="4" w:space="0" w:color="auto"/>
              <w:bottom w:val="nil"/>
              <w:right w:val="nil"/>
            </w:tcBorders>
            <w:shd w:val="clear" w:color="auto" w:fill="auto"/>
            <w:noWrap/>
            <w:vAlign w:val="center"/>
            <w:hideMark/>
          </w:tcPr>
          <w:p w:rsidR="00CC5C8D" w:rsidRPr="004A25C2" w:rsidRDefault="00CC5C8D" w:rsidP="00285E02">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Resolver</w:t>
            </w:r>
          </w:p>
        </w:tc>
        <w:tc>
          <w:tcPr>
            <w:tcW w:w="498"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Trabajo</w:t>
            </w:r>
          </w:p>
        </w:tc>
        <w:tc>
          <w:tcPr>
            <w:tcW w:w="525"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de Fondo</w:t>
            </w:r>
          </w:p>
        </w:tc>
      </w:tr>
      <w:tr w:rsidR="00285E02" w:rsidRPr="004A25C2" w:rsidTr="00CC5C8D">
        <w:trPr>
          <w:trHeight w:val="255"/>
          <w:tblHeader/>
          <w:jc w:val="center"/>
        </w:trPr>
        <w:tc>
          <w:tcPr>
            <w:tcW w:w="569"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78"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de Plano</w:t>
            </w:r>
          </w:p>
        </w:tc>
        <w:tc>
          <w:tcPr>
            <w:tcW w:w="676"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Extemporáneo</w:t>
            </w:r>
          </w:p>
        </w:tc>
        <w:tc>
          <w:tcPr>
            <w:tcW w:w="498"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16"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60" w:type="pct"/>
            <w:tcBorders>
              <w:top w:val="nil"/>
              <w:left w:val="single" w:sz="4" w:space="0" w:color="auto"/>
              <w:bottom w:val="single" w:sz="4" w:space="0" w:color="auto"/>
              <w:right w:val="nil"/>
            </w:tcBorders>
            <w:shd w:val="clear" w:color="auto" w:fill="auto"/>
            <w:noWrap/>
            <w:vAlign w:val="center"/>
            <w:hideMark/>
          </w:tcPr>
          <w:p w:rsidR="00CC5C8D" w:rsidRDefault="00CC5C8D" w:rsidP="00285E02">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por el Fondo</w:t>
            </w:r>
          </w:p>
          <w:p w:rsidR="003149EE" w:rsidRPr="004A25C2" w:rsidRDefault="003149EE" w:rsidP="00704D30">
            <w:pPr>
              <w:widowControl/>
              <w:autoSpaceDE/>
              <w:autoSpaceDN/>
              <w:adjustRightInd/>
              <w:jc w:val="center"/>
              <w:rPr>
                <w:rFonts w:ascii="Times New Roman" w:hAnsi="Times New Roman" w:cs="Times New Roman"/>
                <w:b/>
                <w:bCs/>
                <w:sz w:val="18"/>
                <w:szCs w:val="18"/>
              </w:rPr>
            </w:pP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25"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b/>
                <w:bCs/>
                <w:sz w:val="18"/>
                <w:szCs w:val="18"/>
              </w:rPr>
            </w:pPr>
            <w:r w:rsidRPr="004A25C2">
              <w:rPr>
                <w:rFonts w:ascii="Times New Roman" w:hAnsi="Times New Roman" w:cs="Times New Roman"/>
                <w:b/>
                <w:bCs/>
                <w:sz w:val="18"/>
                <w:szCs w:val="18"/>
              </w:rPr>
              <w:t>Nuevos</w:t>
            </w:r>
          </w:p>
        </w:tc>
      </w:tr>
      <w:tr w:rsidR="00285E02" w:rsidRPr="004A25C2" w:rsidTr="00CC5C8D">
        <w:trPr>
          <w:trHeight w:val="255"/>
          <w:jc w:val="center"/>
        </w:trPr>
        <w:tc>
          <w:tcPr>
            <w:tcW w:w="569"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p>
        </w:tc>
        <w:tc>
          <w:tcPr>
            <w:tcW w:w="578"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7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676"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p>
        </w:tc>
        <w:tc>
          <w:tcPr>
            <w:tcW w:w="49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p>
        </w:tc>
        <w:tc>
          <w:tcPr>
            <w:tcW w:w="516"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60"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498"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25"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p>
        </w:tc>
      </w:tr>
      <w:tr w:rsidR="00285E02" w:rsidRPr="004A25C2" w:rsidTr="00CC5C8D">
        <w:trPr>
          <w:trHeight w:val="255"/>
          <w:jc w:val="center"/>
        </w:trPr>
        <w:tc>
          <w:tcPr>
            <w:tcW w:w="569"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2013</w:t>
            </w:r>
          </w:p>
        </w:tc>
        <w:tc>
          <w:tcPr>
            <w:tcW w:w="578"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1.126</w:t>
            </w:r>
          </w:p>
        </w:tc>
        <w:tc>
          <w:tcPr>
            <w:tcW w:w="57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349</w:t>
            </w:r>
          </w:p>
        </w:tc>
        <w:tc>
          <w:tcPr>
            <w:tcW w:w="676"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6</w:t>
            </w:r>
          </w:p>
        </w:tc>
        <w:tc>
          <w:tcPr>
            <w:tcW w:w="49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81</w:t>
            </w:r>
          </w:p>
        </w:tc>
        <w:tc>
          <w:tcPr>
            <w:tcW w:w="516"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5</w:t>
            </w:r>
          </w:p>
        </w:tc>
        <w:tc>
          <w:tcPr>
            <w:tcW w:w="560"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685</w:t>
            </w:r>
          </w:p>
        </w:tc>
        <w:tc>
          <w:tcPr>
            <w:tcW w:w="498"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2.361</w:t>
            </w:r>
          </w:p>
        </w:tc>
        <w:tc>
          <w:tcPr>
            <w:tcW w:w="525"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29,0</w:t>
            </w:r>
          </w:p>
        </w:tc>
      </w:tr>
      <w:tr w:rsidR="00285E02" w:rsidRPr="004A25C2" w:rsidTr="00CC5C8D">
        <w:trPr>
          <w:trHeight w:val="255"/>
          <w:jc w:val="center"/>
        </w:trPr>
        <w:tc>
          <w:tcPr>
            <w:tcW w:w="569"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2014</w:t>
            </w:r>
          </w:p>
        </w:tc>
        <w:tc>
          <w:tcPr>
            <w:tcW w:w="578"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1.055</w:t>
            </w:r>
          </w:p>
        </w:tc>
        <w:tc>
          <w:tcPr>
            <w:tcW w:w="57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279</w:t>
            </w:r>
          </w:p>
        </w:tc>
        <w:tc>
          <w:tcPr>
            <w:tcW w:w="676"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5</w:t>
            </w:r>
          </w:p>
        </w:tc>
        <w:tc>
          <w:tcPr>
            <w:tcW w:w="49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85</w:t>
            </w:r>
          </w:p>
        </w:tc>
        <w:tc>
          <w:tcPr>
            <w:tcW w:w="516"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18</w:t>
            </w:r>
          </w:p>
        </w:tc>
        <w:tc>
          <w:tcPr>
            <w:tcW w:w="560"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668</w:t>
            </w:r>
          </w:p>
        </w:tc>
        <w:tc>
          <w:tcPr>
            <w:tcW w:w="498"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2.498</w:t>
            </w:r>
          </w:p>
        </w:tc>
        <w:tc>
          <w:tcPr>
            <w:tcW w:w="525"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26,7</w:t>
            </w:r>
          </w:p>
        </w:tc>
      </w:tr>
      <w:tr w:rsidR="00285E02" w:rsidRPr="004A25C2" w:rsidTr="00CC5C8D">
        <w:trPr>
          <w:trHeight w:val="255"/>
          <w:jc w:val="center"/>
        </w:trPr>
        <w:tc>
          <w:tcPr>
            <w:tcW w:w="569"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2015</w:t>
            </w:r>
          </w:p>
        </w:tc>
        <w:tc>
          <w:tcPr>
            <w:tcW w:w="578"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1.170</w:t>
            </w:r>
          </w:p>
        </w:tc>
        <w:tc>
          <w:tcPr>
            <w:tcW w:w="57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207</w:t>
            </w:r>
          </w:p>
        </w:tc>
        <w:tc>
          <w:tcPr>
            <w:tcW w:w="676"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14</w:t>
            </w:r>
          </w:p>
        </w:tc>
        <w:tc>
          <w:tcPr>
            <w:tcW w:w="498"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65</w:t>
            </w:r>
          </w:p>
        </w:tc>
        <w:tc>
          <w:tcPr>
            <w:tcW w:w="516"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21</w:t>
            </w:r>
          </w:p>
        </w:tc>
        <w:tc>
          <w:tcPr>
            <w:tcW w:w="560"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863</w:t>
            </w:r>
          </w:p>
        </w:tc>
        <w:tc>
          <w:tcPr>
            <w:tcW w:w="498" w:type="pct"/>
            <w:tcBorders>
              <w:top w:val="nil"/>
              <w:left w:val="nil"/>
              <w:bottom w:val="nil"/>
              <w:right w:val="single" w:sz="4" w:space="0" w:color="auto"/>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2.636</w:t>
            </w:r>
          </w:p>
        </w:tc>
        <w:tc>
          <w:tcPr>
            <w:tcW w:w="525" w:type="pct"/>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jc w:val="center"/>
              <w:rPr>
                <w:rFonts w:ascii="Times New Roman" w:hAnsi="Times New Roman" w:cs="Times New Roman"/>
                <w:sz w:val="18"/>
                <w:szCs w:val="18"/>
              </w:rPr>
            </w:pPr>
            <w:r w:rsidRPr="004A25C2">
              <w:rPr>
                <w:rFonts w:ascii="Times New Roman" w:hAnsi="Times New Roman" w:cs="Times New Roman"/>
                <w:sz w:val="18"/>
                <w:szCs w:val="18"/>
              </w:rPr>
              <w:t>32,7</w:t>
            </w:r>
          </w:p>
        </w:tc>
      </w:tr>
      <w:tr w:rsidR="00285E02" w:rsidRPr="004A25C2" w:rsidTr="00CC5C8D">
        <w:trPr>
          <w:trHeight w:val="255"/>
          <w:jc w:val="center"/>
        </w:trPr>
        <w:tc>
          <w:tcPr>
            <w:tcW w:w="569"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78"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676"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498"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16"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60"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498"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c>
          <w:tcPr>
            <w:tcW w:w="525" w:type="pct"/>
            <w:tcBorders>
              <w:top w:val="nil"/>
              <w:left w:val="nil"/>
              <w:bottom w:val="single" w:sz="4" w:space="0" w:color="auto"/>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w:t>
            </w:r>
          </w:p>
        </w:tc>
      </w:tr>
      <w:tr w:rsidR="00CC5C8D" w:rsidRPr="004A25C2" w:rsidTr="00CC5C8D">
        <w:trPr>
          <w:trHeight w:val="255"/>
          <w:jc w:val="center"/>
        </w:trPr>
        <w:tc>
          <w:tcPr>
            <w:tcW w:w="5000" w:type="pct"/>
            <w:gridSpan w:val="9"/>
            <w:tcBorders>
              <w:top w:val="single" w:sz="4" w:space="0" w:color="auto"/>
              <w:left w:val="nil"/>
              <w:bottom w:val="nil"/>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El detalle de la admisibilidad de los recursos (casos terminados), de conformidad con lo ingresado únicamente</w:t>
            </w:r>
          </w:p>
        </w:tc>
      </w:tr>
      <w:tr w:rsidR="00CC5C8D" w:rsidRPr="004A25C2" w:rsidTr="00CC5C8D">
        <w:trPr>
          <w:trHeight w:val="255"/>
          <w:jc w:val="center"/>
        </w:trPr>
        <w:tc>
          <w:tcPr>
            <w:tcW w:w="5000" w:type="pct"/>
            <w:gridSpan w:val="9"/>
            <w:tcBorders>
              <w:top w:val="nil"/>
              <w:left w:val="nil"/>
              <w:bottom w:val="nil"/>
              <w:right w:val="nil"/>
            </w:tcBorders>
            <w:shd w:val="clear" w:color="auto" w:fill="auto"/>
            <w:noWrap/>
            <w:vAlign w:val="center"/>
            <w:hideMark/>
          </w:tcPr>
          <w:p w:rsidR="00CC5C8D" w:rsidRPr="004A25C2" w:rsidRDefault="00CC5C8D" w:rsidP="00CC5C8D">
            <w:pPr>
              <w:widowControl/>
              <w:autoSpaceDE/>
              <w:autoSpaceDN/>
              <w:adjustRightInd/>
              <w:rPr>
                <w:rFonts w:ascii="Times New Roman" w:hAnsi="Times New Roman" w:cs="Times New Roman"/>
                <w:sz w:val="18"/>
                <w:szCs w:val="18"/>
              </w:rPr>
            </w:pPr>
            <w:r w:rsidRPr="004A25C2">
              <w:rPr>
                <w:rFonts w:ascii="Times New Roman" w:hAnsi="Times New Roman" w:cs="Times New Roman"/>
                <w:sz w:val="18"/>
                <w:szCs w:val="18"/>
              </w:rPr>
              <w:t xml:space="preserve">   en cada año (casos entrados), se encuentra disponible a partir del 2013.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lastRenderedPageBreak/>
        <w:t xml:space="preserve">Con base en estos insumos, se calcula la “tasa de asuntos de fondo nuevos”, que consiste en un porcentaje derivado del cociente de la “entrada para resolver por el fondo” respecto a la carga de trabajo de la Sala (circulante inicial + casos entrados + casos reentrados), multiplicado por 100.   </w:t>
      </w:r>
    </w:p>
    <w:p w:rsidR="00CC5C8D" w:rsidRPr="004A25C2" w:rsidRDefault="00CC5C8D" w:rsidP="00CC5C8D">
      <w:pPr>
        <w:spacing w:line="360" w:lineRule="auto"/>
        <w:jc w:val="both"/>
        <w:rPr>
          <w:rFonts w:ascii="Times New Roman" w:hAnsi="Times New Roman" w:cs="Times New Roman"/>
          <w:sz w:val="28"/>
          <w:szCs w:val="28"/>
        </w:rPr>
      </w:pPr>
    </w:p>
    <w:p w:rsidR="00007D1C"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Este porcentaje llegó a 32,7% en la actualidad, mostrando el resulta</w:t>
      </w:r>
      <w:r w:rsidR="00285E02">
        <w:rPr>
          <w:rFonts w:ascii="Times New Roman" w:hAnsi="Times New Roman" w:cs="Times New Roman"/>
          <w:sz w:val="28"/>
          <w:szCs w:val="28"/>
        </w:rPr>
        <w:t xml:space="preserve">do más alto del último trienio. Sin embargo, este cálculo podría ser menor debido a que existe la eventualidad de que la posible entrada para resolver por el fondo (863 casos) contenga algunos asuntos que también podrían </w:t>
      </w:r>
      <w:r w:rsidR="008B3D6B">
        <w:rPr>
          <w:rFonts w:ascii="Times New Roman" w:hAnsi="Times New Roman" w:cs="Times New Roman"/>
          <w:sz w:val="28"/>
          <w:szCs w:val="28"/>
        </w:rPr>
        <w:t>determinar</w:t>
      </w:r>
      <w:r w:rsidR="00007D1C">
        <w:rPr>
          <w:rFonts w:ascii="Times New Roman" w:hAnsi="Times New Roman" w:cs="Times New Roman"/>
          <w:sz w:val="28"/>
          <w:szCs w:val="28"/>
        </w:rPr>
        <w:t>se</w:t>
      </w:r>
      <w:r w:rsidR="00285E02">
        <w:rPr>
          <w:rFonts w:ascii="Times New Roman" w:hAnsi="Times New Roman" w:cs="Times New Roman"/>
          <w:sz w:val="28"/>
          <w:szCs w:val="28"/>
        </w:rPr>
        <w:t xml:space="preserve"> en cuanto a su admisibilidad, lo cual no se podrá </w:t>
      </w:r>
      <w:r w:rsidR="00007D1C">
        <w:rPr>
          <w:rFonts w:ascii="Times New Roman" w:hAnsi="Times New Roman" w:cs="Times New Roman"/>
          <w:sz w:val="28"/>
          <w:szCs w:val="28"/>
        </w:rPr>
        <w:t>conocer</w:t>
      </w:r>
      <w:r w:rsidR="00285E02">
        <w:rPr>
          <w:rFonts w:ascii="Times New Roman" w:hAnsi="Times New Roman" w:cs="Times New Roman"/>
          <w:sz w:val="28"/>
          <w:szCs w:val="28"/>
        </w:rPr>
        <w:t xml:space="preserve"> hasta su resolución final.</w:t>
      </w:r>
      <w:r w:rsidR="00530220">
        <w:rPr>
          <w:rFonts w:ascii="Times New Roman" w:hAnsi="Times New Roman" w:cs="Times New Roman"/>
          <w:sz w:val="28"/>
          <w:szCs w:val="28"/>
        </w:rPr>
        <w:t xml:space="preserve"> </w:t>
      </w:r>
    </w:p>
    <w:p w:rsidR="00007D1C" w:rsidRDefault="00007D1C" w:rsidP="00CC5C8D">
      <w:pPr>
        <w:spacing w:line="360" w:lineRule="auto"/>
        <w:jc w:val="both"/>
        <w:rPr>
          <w:rFonts w:ascii="Times New Roman" w:hAnsi="Times New Roman" w:cs="Times New Roman"/>
          <w:sz w:val="28"/>
          <w:szCs w:val="28"/>
        </w:rPr>
      </w:pPr>
    </w:p>
    <w:p w:rsidR="00CC5C8D" w:rsidRPr="004A25C2" w:rsidRDefault="00007D1C" w:rsidP="00CC5C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 este sentido y con base en los resultados obtenidos por parte del personal de la Sala en los años más recientes, se estima que alrededor de un 60% de este posible volumen para resolver por el fondo se </w:t>
      </w:r>
      <w:r w:rsidR="00BA2525">
        <w:rPr>
          <w:rFonts w:ascii="Times New Roman" w:hAnsi="Times New Roman" w:cs="Times New Roman"/>
          <w:sz w:val="28"/>
          <w:szCs w:val="28"/>
        </w:rPr>
        <w:t>retiene</w:t>
      </w:r>
      <w:r>
        <w:rPr>
          <w:rFonts w:ascii="Times New Roman" w:hAnsi="Times New Roman" w:cs="Times New Roman"/>
          <w:sz w:val="28"/>
          <w:szCs w:val="28"/>
        </w:rPr>
        <w:t xml:space="preserve"> </w:t>
      </w:r>
      <w:r w:rsidR="00BA2525">
        <w:rPr>
          <w:rFonts w:ascii="Times New Roman" w:hAnsi="Times New Roman" w:cs="Times New Roman"/>
          <w:sz w:val="28"/>
          <w:szCs w:val="28"/>
        </w:rPr>
        <w:t xml:space="preserve">por </w:t>
      </w:r>
      <w:r>
        <w:rPr>
          <w:rFonts w:ascii="Times New Roman" w:hAnsi="Times New Roman" w:cs="Times New Roman"/>
          <w:sz w:val="28"/>
          <w:szCs w:val="28"/>
        </w:rPr>
        <w:t>aspectos relacionados con la admisibilidad, por lo que no se constituye</w:t>
      </w:r>
      <w:r w:rsidR="00BA2525">
        <w:rPr>
          <w:rFonts w:ascii="Times New Roman" w:hAnsi="Times New Roman" w:cs="Times New Roman"/>
          <w:sz w:val="28"/>
          <w:szCs w:val="28"/>
        </w:rPr>
        <w:t>n</w:t>
      </w:r>
      <w:r>
        <w:rPr>
          <w:rFonts w:ascii="Times New Roman" w:hAnsi="Times New Roman" w:cs="Times New Roman"/>
          <w:sz w:val="28"/>
          <w:szCs w:val="28"/>
        </w:rPr>
        <w:t xml:space="preserve"> en recursos efectivos, para ser turnados y po</w:t>
      </w:r>
      <w:r w:rsidR="0054535B">
        <w:rPr>
          <w:rFonts w:ascii="Times New Roman" w:hAnsi="Times New Roman" w:cs="Times New Roman"/>
          <w:sz w:val="28"/>
          <w:szCs w:val="28"/>
        </w:rPr>
        <w:t>s</w:t>
      </w:r>
      <w:r>
        <w:rPr>
          <w:rFonts w:ascii="Times New Roman" w:hAnsi="Times New Roman" w:cs="Times New Roman"/>
          <w:sz w:val="28"/>
          <w:szCs w:val="28"/>
        </w:rPr>
        <w:t>ter</w:t>
      </w:r>
      <w:r w:rsidR="0054535B">
        <w:rPr>
          <w:rFonts w:ascii="Times New Roman" w:hAnsi="Times New Roman" w:cs="Times New Roman"/>
          <w:sz w:val="28"/>
          <w:szCs w:val="28"/>
        </w:rPr>
        <w:t xml:space="preserve">iormente votados.  </w:t>
      </w:r>
      <w:r>
        <w:rPr>
          <w:rFonts w:ascii="Times New Roman" w:hAnsi="Times New Roman" w:cs="Times New Roman"/>
          <w:sz w:val="28"/>
          <w:szCs w:val="28"/>
        </w:rPr>
        <w:t xml:space="preserve">  </w:t>
      </w:r>
      <w:r w:rsidR="00530220">
        <w:rPr>
          <w:rFonts w:ascii="Times New Roman" w:hAnsi="Times New Roman" w:cs="Times New Roman"/>
          <w:sz w:val="28"/>
          <w:szCs w:val="28"/>
        </w:rPr>
        <w:t xml:space="preserve">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3"/>
        </w:numPr>
        <w:tabs>
          <w:tab w:val="clear" w:pos="1080"/>
        </w:tabs>
        <w:autoSpaceDE/>
        <w:autoSpaceDN/>
        <w:adjustRightInd/>
        <w:spacing w:line="360" w:lineRule="auto"/>
        <w:ind w:left="0" w:hanging="540"/>
        <w:jc w:val="both"/>
        <w:rPr>
          <w:rFonts w:ascii="Times New Roman" w:hAnsi="Times New Roman" w:cs="Times New Roman"/>
          <w:b/>
          <w:sz w:val="28"/>
          <w:szCs w:val="28"/>
        </w:rPr>
      </w:pPr>
      <w:r w:rsidRPr="004A25C2">
        <w:rPr>
          <w:rFonts w:ascii="Times New Roman" w:hAnsi="Times New Roman" w:cs="Times New Roman"/>
          <w:b/>
          <w:sz w:val="28"/>
          <w:szCs w:val="28"/>
        </w:rPr>
        <w:t>CASOS TERMINADOS</w:t>
      </w:r>
      <w:r w:rsidRPr="004A25C2">
        <w:rPr>
          <w:rFonts w:ascii="Times New Roman" w:hAnsi="Times New Roman" w:cs="Times New Roman"/>
          <w:sz w:val="28"/>
          <w:szCs w:val="28"/>
        </w:rPr>
        <w:t xml:space="preserve"> </w:t>
      </w:r>
      <w:r w:rsidRPr="004A25C2">
        <w:rPr>
          <w:rFonts w:ascii="Times New Roman" w:hAnsi="Times New Roman" w:cs="Times New Roman"/>
          <w:b/>
          <w:sz w:val="28"/>
          <w:szCs w:val="28"/>
        </w:rPr>
        <w:t xml:space="preserve">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En la Sala Primera se terminaron 1.157 asuntos en el 2015, reportando su resolución una baja de 162 procesos versus la cifra correspondiente al año anterior, para una merma relativa de 12,3%. </w:t>
      </w:r>
    </w:p>
    <w:p w:rsidR="00CC5C8D" w:rsidRDefault="00CC5C8D"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6272" w:type="dxa"/>
        <w:jc w:val="center"/>
        <w:tblCellMar>
          <w:left w:w="70" w:type="dxa"/>
          <w:right w:w="70" w:type="dxa"/>
        </w:tblCellMar>
        <w:tblLook w:val="04A0" w:firstRow="1" w:lastRow="0" w:firstColumn="1" w:lastColumn="0" w:noHBand="0" w:noVBand="1"/>
      </w:tblPr>
      <w:tblGrid>
        <w:gridCol w:w="1656"/>
        <w:gridCol w:w="924"/>
        <w:gridCol w:w="923"/>
        <w:gridCol w:w="923"/>
        <w:gridCol w:w="923"/>
        <w:gridCol w:w="923"/>
      </w:tblGrid>
      <w:tr w:rsidR="00CC5C8D" w:rsidRPr="004A25C2" w:rsidTr="00CC5C8D">
        <w:trPr>
          <w:trHeight w:val="255"/>
          <w:tblHeader/>
          <w:jc w:val="center"/>
        </w:trPr>
        <w:tc>
          <w:tcPr>
            <w:tcW w:w="1656"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lastRenderedPageBreak/>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Terminados</w:t>
            </w:r>
          </w:p>
        </w:tc>
      </w:tr>
      <w:tr w:rsidR="00CC5C8D" w:rsidRPr="004A25C2" w:rsidTr="00CC5C8D">
        <w:trPr>
          <w:trHeight w:val="255"/>
          <w:tblHeader/>
          <w:jc w:val="center"/>
        </w:trPr>
        <w:tc>
          <w:tcPr>
            <w:tcW w:w="1656"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Materia</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Absolutos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1.267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1.356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1.347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1.319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1.157</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298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363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337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207</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773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776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670</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Agraria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83</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Notarial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170</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Porcentajes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23,5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26,8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25,0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24,3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17,9</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57,0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57,6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54,7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57,9</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Agraria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Notarial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2,3</w:t>
            </w:r>
          </w:p>
        </w:tc>
      </w:tr>
      <w:tr w:rsidR="00CC5C8D" w:rsidRPr="004A25C2" w:rsidTr="00CC5C8D">
        <w:trPr>
          <w:trHeight w:val="255"/>
          <w:jc w:val="center"/>
        </w:trPr>
        <w:tc>
          <w:tcPr>
            <w:tcW w:w="1656"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14,7</w:t>
            </w:r>
          </w:p>
        </w:tc>
      </w:tr>
      <w:tr w:rsidR="00CC5C8D" w:rsidRPr="004A25C2" w:rsidTr="00CC5C8D">
        <w:trPr>
          <w:trHeight w:val="255"/>
          <w:jc w:val="center"/>
        </w:trPr>
        <w:tc>
          <w:tcPr>
            <w:tcW w:w="1656"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Por lo tanto, esta variable refiere su tercer descenso anual ininterrumpido, con una reducción más acentuada en esta oportunidad.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center"/>
        <w:rPr>
          <w:rFonts w:ascii="Times New Roman" w:hAnsi="Times New Roman" w:cs="Times New Roman"/>
          <w:sz w:val="28"/>
          <w:szCs w:val="28"/>
        </w:rPr>
      </w:pPr>
      <w:r w:rsidRPr="004A25C2">
        <w:rPr>
          <w:rFonts w:ascii="Times New Roman" w:hAnsi="Times New Roman" w:cs="Times New Roman"/>
          <w:sz w:val="28"/>
          <w:szCs w:val="28"/>
        </w:rPr>
        <w:object w:dxaOrig="7804" w:dyaOrig="5393">
          <v:shape id="_x0000_i1029" type="#_x0000_t75" style="width:385.2pt;height:258.6pt" o:ole="">
            <v:imagedata r:id="rId15" o:title=""/>
          </v:shape>
          <o:OLEObject Type="Embed" ProgID="Excel.Sheet.12" ShapeID="_x0000_i1029" DrawAspect="Content" ObjectID="_1542461511" r:id="rId16"/>
        </w:objec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El desglose de los asuntos fenecidos en el último año expresa que 207 casos se vincularon con la materia Civil (17,9%), 670 con la Contenciosa Administrativa (57,9%), 83 con la Agraria (7,2%), 27 con la Notarial (2,3%) y 170 con otras materias (14,7%). </w:t>
      </w:r>
    </w:p>
    <w:p w:rsidR="00CC5C8D" w:rsidRPr="004A25C2" w:rsidRDefault="00CC5C8D" w:rsidP="00CC5C8D">
      <w:pPr>
        <w:spacing w:line="360" w:lineRule="auto"/>
        <w:jc w:val="both"/>
        <w:rPr>
          <w:rFonts w:ascii="Times New Roman" w:hAnsi="Times New Roman" w:cs="Times New Roman"/>
          <w:sz w:val="28"/>
          <w:szCs w:val="28"/>
        </w:rPr>
      </w:pPr>
    </w:p>
    <w:p w:rsidR="00CC5C8D"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A pesar del patrón mostrado en la imagen reciente, se percibe un aumento significativo en el trabajo de fondo desarrollado en la Sala, al incrementarse la cantidad de votos de esta naturaleza en 102 resoluciones versus lo registrado en el 2014 (45,9%). </w:t>
      </w:r>
    </w:p>
    <w:p w:rsidR="007146DD" w:rsidRDefault="007146DD" w:rsidP="00CC5C8D">
      <w:pPr>
        <w:spacing w:line="360" w:lineRule="auto"/>
        <w:jc w:val="both"/>
        <w:rPr>
          <w:rFonts w:ascii="Times New Roman" w:hAnsi="Times New Roman" w:cs="Times New Roman"/>
          <w:sz w:val="28"/>
          <w:szCs w:val="28"/>
        </w:rPr>
      </w:pPr>
    </w:p>
    <w:p w:rsidR="007146DD" w:rsidRPr="004A25C2" w:rsidRDefault="007146DD" w:rsidP="00CC5C8D">
      <w:pPr>
        <w:spacing w:line="360" w:lineRule="auto"/>
        <w:jc w:val="both"/>
        <w:rPr>
          <w:rFonts w:ascii="Times New Roman" w:hAnsi="Times New Roman" w:cs="Times New Roman"/>
          <w:sz w:val="28"/>
          <w:szCs w:val="28"/>
        </w:rPr>
      </w:pPr>
    </w:p>
    <w:tbl>
      <w:tblPr>
        <w:tblW w:w="8525" w:type="dxa"/>
        <w:jc w:val="center"/>
        <w:tblCellMar>
          <w:left w:w="70" w:type="dxa"/>
          <w:right w:w="70" w:type="dxa"/>
        </w:tblCellMar>
        <w:tblLook w:val="04A0" w:firstRow="1" w:lastRow="0" w:firstColumn="1" w:lastColumn="0" w:noHBand="0" w:noVBand="1"/>
      </w:tblPr>
      <w:tblGrid>
        <w:gridCol w:w="3909"/>
        <w:gridCol w:w="924"/>
        <w:gridCol w:w="923"/>
        <w:gridCol w:w="923"/>
        <w:gridCol w:w="923"/>
        <w:gridCol w:w="923"/>
      </w:tblGrid>
      <w:tr w:rsidR="00CC5C8D" w:rsidRPr="004A25C2" w:rsidTr="00CC5C8D">
        <w:trPr>
          <w:trHeight w:val="255"/>
          <w:tblHeader/>
          <w:jc w:val="center"/>
        </w:trPr>
        <w:tc>
          <w:tcPr>
            <w:tcW w:w="3909"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Terminados</w:t>
            </w:r>
          </w:p>
        </w:tc>
      </w:tr>
      <w:tr w:rsidR="00CC5C8D" w:rsidRPr="004A25C2" w:rsidTr="00CC5C8D">
        <w:trPr>
          <w:trHeight w:val="255"/>
          <w:tblHeader/>
          <w:jc w:val="center"/>
        </w:trPr>
        <w:tc>
          <w:tcPr>
            <w:tcW w:w="3909"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Resolución Dictada</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Total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1.267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1.356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1.347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1.319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1.157</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Votos de Fondo</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393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410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298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222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324</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 lugar</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70</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Sin lugar</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297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176</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confirma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Parcialmente con lugar</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acoge</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revoca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revoca parcialmente</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anula el voto</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anula parciamente</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Otros Votos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874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946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1.049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1.097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833</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Rechazado de plano</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360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507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428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359</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resuelve competencia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477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348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344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487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259</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Auto de pase</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119</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Auto de pase en competencia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declara inadmisible el recurso</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lastRenderedPageBreak/>
              <w:t>Se rechaza de plano por extempor.</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Desistida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Desestimada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0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32</w:t>
            </w:r>
          </w:p>
        </w:tc>
      </w:tr>
      <w:tr w:rsidR="00CC5C8D" w:rsidRPr="004A25C2" w:rsidTr="00CC5C8D">
        <w:trPr>
          <w:trHeight w:val="255"/>
          <w:jc w:val="center"/>
        </w:trPr>
        <w:tc>
          <w:tcPr>
            <w:tcW w:w="3909"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Sin embargo, el presente descenso en la totalidad de los recursos concluidos obedece -en esencia- al decremento de 228 procesos en los cuales se determinó la competencia en una instancia previa (46,8%) y de 69 casos en lo atinente a los rechazos de plano (16,1%).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Otro aspecto importante a subrayar en este sentido incumbe a la tramitación, de carácter prioritaria, que el personal de la Sala Primera ha aplicado a los asuntos de vieja data; en especial, sobre aquellos que debieron resolverse sobre el fondo, lo cual explica el repunte comentado en cuanto a este tipo de recursos, así como la situación expuesta en el párrafo anterior.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Al profundizar -en forma conjunta- sobre las razones por las cuales se cancelaron los 1.157 expedientes durante este período se tiene un recuento de 359 rechazos de plano (31,0%), de 259 determinaciones de la competencia en una instancia previa (22,4%), así como el dictado de 176 votos sin lugar (15,2%), el registro de 119 autos de pase (10,3%) y la emisión de 70 votos declarados con lugar (6,1%), acaparando estos cinco escenarios al 85,0% de la resolución total.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lastRenderedPageBreak/>
        <w:t xml:space="preserve">Por otro lado, la clasificación de los procesos fenecidos según el tipo de resolución refiere el dictado de 324 votos de fondo (28,0%) y de 833 resoluciones de otro tipo (72,0%), conforme el detalle de la tabla anterior, así como de la siguiente. </w:t>
      </w:r>
    </w:p>
    <w:tbl>
      <w:tblPr>
        <w:tblW w:w="7026" w:type="dxa"/>
        <w:jc w:val="center"/>
        <w:tblCellMar>
          <w:left w:w="70" w:type="dxa"/>
          <w:right w:w="70" w:type="dxa"/>
        </w:tblCellMar>
        <w:tblLook w:val="04A0" w:firstRow="1" w:lastRow="0" w:firstColumn="1" w:lastColumn="0" w:noHBand="0" w:noVBand="1"/>
      </w:tblPr>
      <w:tblGrid>
        <w:gridCol w:w="2410"/>
        <w:gridCol w:w="924"/>
        <w:gridCol w:w="923"/>
        <w:gridCol w:w="923"/>
        <w:gridCol w:w="923"/>
        <w:gridCol w:w="923"/>
      </w:tblGrid>
      <w:tr w:rsidR="00CC5C8D" w:rsidRPr="004A25C2" w:rsidTr="00CC5C8D">
        <w:trPr>
          <w:trHeight w:val="255"/>
          <w:tblHeader/>
          <w:jc w:val="center"/>
        </w:trPr>
        <w:tc>
          <w:tcPr>
            <w:tcW w:w="2410"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Terminados</w:t>
            </w:r>
          </w:p>
        </w:tc>
      </w:tr>
      <w:tr w:rsidR="00CC5C8D" w:rsidRPr="004A25C2" w:rsidTr="00CC5C8D">
        <w:trPr>
          <w:trHeight w:val="255"/>
          <w:tblHeader/>
          <w:jc w:val="center"/>
        </w:trPr>
        <w:tc>
          <w:tcPr>
            <w:tcW w:w="2410"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Tipo de Resolución</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241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41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Total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1.267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1.356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1.347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1.319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1.157</w:t>
            </w:r>
          </w:p>
        </w:tc>
      </w:tr>
      <w:tr w:rsidR="00CC5C8D" w:rsidRPr="004A25C2" w:rsidTr="00CC5C8D">
        <w:trPr>
          <w:trHeight w:val="255"/>
          <w:jc w:val="center"/>
        </w:trPr>
        <w:tc>
          <w:tcPr>
            <w:tcW w:w="241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Votos de Fondo</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393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410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298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324</w:t>
            </w:r>
          </w:p>
        </w:tc>
      </w:tr>
      <w:tr w:rsidR="00CC5C8D" w:rsidRPr="004A25C2" w:rsidTr="00CC5C8D">
        <w:trPr>
          <w:trHeight w:val="255"/>
          <w:jc w:val="center"/>
        </w:trPr>
        <w:tc>
          <w:tcPr>
            <w:tcW w:w="241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Otros Votos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874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946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1.049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1.097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833</w:t>
            </w:r>
          </w:p>
        </w:tc>
      </w:tr>
      <w:tr w:rsidR="00CC5C8D" w:rsidRPr="004A25C2" w:rsidTr="00CC5C8D">
        <w:trPr>
          <w:trHeight w:val="255"/>
          <w:jc w:val="center"/>
        </w:trPr>
        <w:tc>
          <w:tcPr>
            <w:tcW w:w="241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41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Total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241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Votos de Fondo</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31,0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28,0</w:t>
            </w:r>
          </w:p>
        </w:tc>
      </w:tr>
      <w:tr w:rsidR="00CC5C8D" w:rsidRPr="004A25C2" w:rsidTr="00CC5C8D">
        <w:trPr>
          <w:trHeight w:val="255"/>
          <w:jc w:val="center"/>
        </w:trPr>
        <w:tc>
          <w:tcPr>
            <w:tcW w:w="241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Otros Votos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69,0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69,8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77,9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83,2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72,0</w:t>
            </w:r>
          </w:p>
        </w:tc>
      </w:tr>
      <w:tr w:rsidR="00CC5C8D" w:rsidRPr="004A25C2" w:rsidTr="00CC5C8D">
        <w:trPr>
          <w:trHeight w:val="255"/>
          <w:jc w:val="center"/>
        </w:trPr>
        <w:tc>
          <w:tcPr>
            <w:tcW w:w="2410"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Asimismo, las especificidades individuales de cada uno de estos dos estratos señalan que los votos decretados con lugar, sin lugar, parcialmente con lugar y en los que se confirma la sentencia previa abarcan el 92,6% de las resoluciones de fondo</w:t>
      </w:r>
      <w:r w:rsidRPr="004A25C2">
        <w:rPr>
          <w:rStyle w:val="Refdenotaalpie"/>
          <w:rFonts w:ascii="Times New Roman" w:hAnsi="Times New Roman"/>
          <w:sz w:val="28"/>
          <w:szCs w:val="28"/>
        </w:rPr>
        <w:footnoteReference w:id="5"/>
      </w:r>
      <w:r w:rsidRPr="004A25C2">
        <w:rPr>
          <w:rFonts w:ascii="Times New Roman" w:hAnsi="Times New Roman" w:cs="Times New Roman"/>
          <w:sz w:val="28"/>
          <w:szCs w:val="28"/>
        </w:rPr>
        <w:t>, mientras que los asuntos rechazados de plano, los resueltos en cuanto a la competencia y los autos de pase conforman el 88,5% de las demás determinaciones</w:t>
      </w:r>
      <w:r w:rsidRPr="004A25C2">
        <w:rPr>
          <w:rStyle w:val="Refdenotaalpie"/>
          <w:rFonts w:ascii="Times New Roman" w:hAnsi="Times New Roman"/>
          <w:sz w:val="28"/>
          <w:szCs w:val="28"/>
        </w:rPr>
        <w:footnoteReference w:id="6"/>
      </w:r>
      <w:r w:rsidRPr="004A25C2">
        <w:rPr>
          <w:rFonts w:ascii="Times New Roman" w:hAnsi="Times New Roman" w:cs="Times New Roman"/>
          <w:sz w:val="28"/>
          <w:szCs w:val="28"/>
        </w:rPr>
        <w:t xml:space="preserve">.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 exploración de los casos culminados por materia confirma -al igual que la entrada- que la mayoría de los recursos atendidos durante el 2015 se relacionaron con las materias Civil y Contenciosa Administrativa, con 49 y 213 casos en ese orden (15,1% y 65,7%), para el 80,9% del total. </w:t>
      </w:r>
    </w:p>
    <w:p w:rsidR="00CC5C8D" w:rsidRPr="004A25C2" w:rsidRDefault="00CC5C8D" w:rsidP="00CC5C8D">
      <w:pPr>
        <w:spacing w:line="360" w:lineRule="auto"/>
        <w:jc w:val="both"/>
        <w:rPr>
          <w:rFonts w:ascii="Times New Roman" w:hAnsi="Times New Roman" w:cs="Times New Roman"/>
          <w:sz w:val="28"/>
          <w:szCs w:val="28"/>
        </w:rPr>
      </w:pPr>
    </w:p>
    <w:tbl>
      <w:tblPr>
        <w:tblW w:w="6687" w:type="dxa"/>
        <w:jc w:val="center"/>
        <w:tblCellMar>
          <w:left w:w="70" w:type="dxa"/>
          <w:right w:w="70" w:type="dxa"/>
        </w:tblCellMar>
        <w:tblLook w:val="04A0" w:firstRow="1" w:lastRow="0" w:firstColumn="1" w:lastColumn="0" w:noHBand="0" w:noVBand="1"/>
      </w:tblPr>
      <w:tblGrid>
        <w:gridCol w:w="2071"/>
        <w:gridCol w:w="924"/>
        <w:gridCol w:w="923"/>
        <w:gridCol w:w="923"/>
        <w:gridCol w:w="923"/>
        <w:gridCol w:w="923"/>
      </w:tblGrid>
      <w:tr w:rsidR="00CC5C8D" w:rsidRPr="004A25C2" w:rsidTr="00CC5C8D">
        <w:trPr>
          <w:trHeight w:val="255"/>
          <w:tblHeader/>
          <w:jc w:val="center"/>
        </w:trPr>
        <w:tc>
          <w:tcPr>
            <w:tcW w:w="2071"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Votos de Fondo</w:t>
            </w:r>
          </w:p>
        </w:tc>
      </w:tr>
      <w:tr w:rsidR="00CC5C8D" w:rsidRPr="004A25C2" w:rsidTr="00CC5C8D">
        <w:trPr>
          <w:trHeight w:val="255"/>
          <w:tblHeader/>
          <w:jc w:val="center"/>
        </w:trPr>
        <w:tc>
          <w:tcPr>
            <w:tcW w:w="2071"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Materia</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Absolutos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393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410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298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222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324</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49</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297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198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213</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Agraria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31</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xml:space="preserve">Notarial </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Porcentajes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15,1</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75,6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69,8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66,4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73,9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65,7</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Agraria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6,6</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9,6</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xml:space="preserve">Notarial </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0,3</w:t>
            </w:r>
          </w:p>
        </w:tc>
      </w:tr>
      <w:tr w:rsidR="00CC5C8D" w:rsidRPr="004A25C2" w:rsidTr="00CC5C8D">
        <w:trPr>
          <w:trHeight w:val="255"/>
          <w:jc w:val="center"/>
        </w:trPr>
        <w:tc>
          <w:tcPr>
            <w:tcW w:w="207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9,3</w:t>
            </w:r>
          </w:p>
        </w:tc>
      </w:tr>
      <w:tr w:rsidR="00CC5C8D" w:rsidRPr="004A25C2" w:rsidTr="00CC5C8D">
        <w:trPr>
          <w:trHeight w:val="255"/>
          <w:jc w:val="center"/>
        </w:trPr>
        <w:tc>
          <w:tcPr>
            <w:tcW w:w="2071"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 próxima imagen muestra la distribución de los casos terminados en la Sala Primera por materia, desde el 2011.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center"/>
        <w:rPr>
          <w:rFonts w:ascii="Times New Roman" w:hAnsi="Times New Roman" w:cs="Times New Roman"/>
          <w:sz w:val="28"/>
          <w:szCs w:val="28"/>
        </w:rPr>
      </w:pPr>
      <w:r w:rsidRPr="004A25C2">
        <w:rPr>
          <w:rFonts w:ascii="Times New Roman" w:hAnsi="Times New Roman" w:cs="Times New Roman"/>
          <w:sz w:val="28"/>
          <w:szCs w:val="28"/>
        </w:rPr>
        <w:object w:dxaOrig="7758" w:dyaOrig="5453">
          <v:shape id="_x0000_i1030" type="#_x0000_t75" style="width:388.2pt;height:263.4pt" o:ole="">
            <v:imagedata r:id="rId17" o:title=""/>
          </v:shape>
          <o:OLEObject Type="Embed" ProgID="Excel.Sheet.12" ShapeID="_x0000_i1030" DrawAspect="Content" ObjectID="_1542461512" r:id="rId18"/>
        </w:objec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3"/>
        </w:numPr>
        <w:tabs>
          <w:tab w:val="clear" w:pos="1080"/>
        </w:tabs>
        <w:autoSpaceDE/>
        <w:autoSpaceDN/>
        <w:adjustRightInd/>
        <w:spacing w:line="360" w:lineRule="auto"/>
        <w:ind w:left="0" w:hanging="540"/>
        <w:jc w:val="both"/>
        <w:rPr>
          <w:rFonts w:ascii="Times New Roman" w:hAnsi="Times New Roman" w:cs="Times New Roman"/>
          <w:b/>
          <w:sz w:val="28"/>
          <w:szCs w:val="28"/>
        </w:rPr>
      </w:pPr>
      <w:r w:rsidRPr="004A25C2">
        <w:rPr>
          <w:rFonts w:ascii="Times New Roman" w:hAnsi="Times New Roman" w:cs="Times New Roman"/>
          <w:b/>
          <w:sz w:val="28"/>
          <w:szCs w:val="28"/>
        </w:rPr>
        <w:t>DURACIÓN DE LOS VOTOS DE FONDO</w:t>
      </w:r>
      <w:r w:rsidRPr="004A25C2">
        <w:rPr>
          <w:rFonts w:ascii="Times New Roman" w:hAnsi="Times New Roman" w:cs="Times New Roman"/>
          <w:sz w:val="28"/>
          <w:szCs w:val="28"/>
        </w:rPr>
        <w:t xml:space="preserve"> </w:t>
      </w:r>
      <w:r w:rsidRPr="004A25C2">
        <w:rPr>
          <w:rFonts w:ascii="Times New Roman" w:hAnsi="Times New Roman" w:cs="Times New Roman"/>
          <w:b/>
          <w:sz w:val="28"/>
          <w:szCs w:val="28"/>
        </w:rPr>
        <w:t xml:space="preserve">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 duración promedio de los 324 votos de fondo emitidos en la Sala Primera durante el presente año se calculó en 23 meses con dos semanas, resultado superior en un mes con dos semanas versus la durabilidad obtenida en el 2014; esto sin olvidar el importante repunte en el número de votos de fondo comentado en el apartado anterior (102 unidades), en donde inclusive se aplicó trámite prioritario a los recursos de vieja data.  </w:t>
      </w:r>
    </w:p>
    <w:p w:rsidR="00CC5C8D" w:rsidRDefault="00CC5C8D"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4436" w:type="pct"/>
        <w:jc w:val="center"/>
        <w:tblCellMar>
          <w:left w:w="70" w:type="dxa"/>
          <w:right w:w="70" w:type="dxa"/>
        </w:tblCellMar>
        <w:tblLook w:val="04A0" w:firstRow="1" w:lastRow="0" w:firstColumn="1" w:lastColumn="0" w:noHBand="0" w:noVBand="1"/>
      </w:tblPr>
      <w:tblGrid>
        <w:gridCol w:w="1259"/>
        <w:gridCol w:w="500"/>
        <w:gridCol w:w="497"/>
        <w:gridCol w:w="397"/>
        <w:gridCol w:w="494"/>
        <w:gridCol w:w="492"/>
        <w:gridCol w:w="379"/>
        <w:gridCol w:w="517"/>
        <w:gridCol w:w="492"/>
        <w:gridCol w:w="376"/>
        <w:gridCol w:w="494"/>
        <w:gridCol w:w="492"/>
        <w:gridCol w:w="392"/>
        <w:gridCol w:w="512"/>
        <w:gridCol w:w="494"/>
        <w:gridCol w:w="386"/>
      </w:tblGrid>
      <w:tr w:rsidR="00CC5C8D" w:rsidRPr="004A25C2" w:rsidTr="00CC5C8D">
        <w:trPr>
          <w:trHeight w:val="255"/>
          <w:tblHeader/>
          <w:jc w:val="center"/>
        </w:trPr>
        <w:tc>
          <w:tcPr>
            <w:tcW w:w="771" w:type="pct"/>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lastRenderedPageBreak/>
              <w:t> </w:t>
            </w:r>
          </w:p>
        </w:tc>
        <w:tc>
          <w:tcPr>
            <w:tcW w:w="4229" w:type="pct"/>
            <w:gridSpan w:val="15"/>
            <w:tcBorders>
              <w:top w:val="single" w:sz="4" w:space="0" w:color="auto"/>
              <w:left w:val="single" w:sz="4" w:space="0" w:color="auto"/>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Duración de los Votos de Fondo (V =  Votos M = Meses S = Semanas)</w:t>
            </w:r>
          </w:p>
        </w:tc>
      </w:tr>
      <w:tr w:rsidR="00CC5C8D" w:rsidRPr="004A25C2" w:rsidTr="00CC5C8D">
        <w:trPr>
          <w:trHeight w:val="255"/>
          <w:tblHeader/>
          <w:jc w:val="center"/>
        </w:trPr>
        <w:tc>
          <w:tcPr>
            <w:tcW w:w="7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Materia</w:t>
            </w:r>
          </w:p>
        </w:tc>
        <w:tc>
          <w:tcPr>
            <w:tcW w:w="85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2011</w:t>
            </w:r>
          </w:p>
        </w:tc>
        <w:tc>
          <w:tcPr>
            <w:tcW w:w="83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2012</w:t>
            </w:r>
          </w:p>
        </w:tc>
        <w:tc>
          <w:tcPr>
            <w:tcW w:w="84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2013</w:t>
            </w:r>
          </w:p>
        </w:tc>
        <w:tc>
          <w:tcPr>
            <w:tcW w:w="84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2014</w:t>
            </w:r>
          </w:p>
        </w:tc>
        <w:tc>
          <w:tcPr>
            <w:tcW w:w="853" w:type="pct"/>
            <w:gridSpan w:val="3"/>
            <w:tcBorders>
              <w:top w:val="single" w:sz="4" w:space="0" w:color="auto"/>
              <w:left w:val="single" w:sz="4" w:space="0" w:color="auto"/>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2015</w:t>
            </w:r>
          </w:p>
        </w:tc>
      </w:tr>
      <w:tr w:rsidR="00CC5C8D" w:rsidRPr="004A25C2" w:rsidTr="00CC5C8D">
        <w:trPr>
          <w:trHeight w:val="255"/>
          <w:tblHeader/>
          <w:jc w:val="center"/>
        </w:trPr>
        <w:tc>
          <w:tcPr>
            <w:tcW w:w="771"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06" w:type="pct"/>
            <w:tcBorders>
              <w:top w:val="nil"/>
              <w:left w:val="single" w:sz="4" w:space="0" w:color="auto"/>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V</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M</w:t>
            </w:r>
          </w:p>
        </w:tc>
        <w:tc>
          <w:tcPr>
            <w:tcW w:w="243"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S</w:t>
            </w:r>
          </w:p>
        </w:tc>
        <w:tc>
          <w:tcPr>
            <w:tcW w:w="302"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V</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M</w:t>
            </w:r>
          </w:p>
        </w:tc>
        <w:tc>
          <w:tcPr>
            <w:tcW w:w="232"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S</w:t>
            </w:r>
          </w:p>
        </w:tc>
        <w:tc>
          <w:tcPr>
            <w:tcW w:w="316"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V</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M</w:t>
            </w:r>
          </w:p>
        </w:tc>
        <w:tc>
          <w:tcPr>
            <w:tcW w:w="230"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S</w:t>
            </w:r>
          </w:p>
        </w:tc>
        <w:tc>
          <w:tcPr>
            <w:tcW w:w="302"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V</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M</w:t>
            </w:r>
          </w:p>
        </w:tc>
        <w:tc>
          <w:tcPr>
            <w:tcW w:w="240"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S</w:t>
            </w:r>
          </w:p>
        </w:tc>
        <w:tc>
          <w:tcPr>
            <w:tcW w:w="313"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V</w:t>
            </w:r>
          </w:p>
        </w:tc>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M</w:t>
            </w:r>
          </w:p>
        </w:tc>
        <w:tc>
          <w:tcPr>
            <w:tcW w:w="238"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S</w:t>
            </w:r>
          </w:p>
        </w:tc>
      </w:tr>
      <w:tr w:rsidR="00CC5C8D" w:rsidRPr="004A25C2" w:rsidTr="00CC5C8D">
        <w:trPr>
          <w:trHeight w:val="255"/>
          <w:jc w:val="center"/>
        </w:trPr>
        <w:tc>
          <w:tcPr>
            <w:tcW w:w="7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p>
        </w:tc>
        <w:tc>
          <w:tcPr>
            <w:tcW w:w="306" w:type="pct"/>
            <w:tcBorders>
              <w:top w:val="nil"/>
              <w:left w:val="single" w:sz="4" w:space="0" w:color="auto"/>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304"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243"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302"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232"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316"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23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302"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24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313"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302"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 </w:t>
            </w:r>
          </w:p>
        </w:tc>
        <w:tc>
          <w:tcPr>
            <w:tcW w:w="238"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p>
        </w:tc>
      </w:tr>
      <w:tr w:rsidR="00CC5C8D" w:rsidRPr="004A25C2" w:rsidTr="00CC5C8D">
        <w:trPr>
          <w:trHeight w:val="255"/>
          <w:jc w:val="center"/>
        </w:trPr>
        <w:tc>
          <w:tcPr>
            <w:tcW w:w="771"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sz w:val="22"/>
              </w:rPr>
            </w:pPr>
            <w:r w:rsidRPr="004A25C2">
              <w:rPr>
                <w:rFonts w:ascii="Times New Roman" w:hAnsi="Times New Roman" w:cs="Times New Roman"/>
                <w:b/>
                <w:bCs/>
                <w:sz w:val="22"/>
                <w:szCs w:val="22"/>
              </w:rPr>
              <w:t>Total</w:t>
            </w:r>
          </w:p>
        </w:tc>
        <w:tc>
          <w:tcPr>
            <w:tcW w:w="306" w:type="pct"/>
            <w:tcBorders>
              <w:top w:val="nil"/>
              <w:left w:val="single" w:sz="4" w:space="0" w:color="auto"/>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393</w:t>
            </w:r>
          </w:p>
        </w:tc>
        <w:tc>
          <w:tcPr>
            <w:tcW w:w="304"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14</w:t>
            </w:r>
          </w:p>
        </w:tc>
        <w:tc>
          <w:tcPr>
            <w:tcW w:w="243"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0</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410</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16</w:t>
            </w:r>
          </w:p>
        </w:tc>
        <w:tc>
          <w:tcPr>
            <w:tcW w:w="232"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0</w:t>
            </w:r>
          </w:p>
        </w:tc>
        <w:tc>
          <w:tcPr>
            <w:tcW w:w="316"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298</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18</w:t>
            </w:r>
          </w:p>
        </w:tc>
        <w:tc>
          <w:tcPr>
            <w:tcW w:w="23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222</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22</w:t>
            </w:r>
          </w:p>
        </w:tc>
        <w:tc>
          <w:tcPr>
            <w:tcW w:w="24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0</w:t>
            </w:r>
          </w:p>
        </w:tc>
        <w:tc>
          <w:tcPr>
            <w:tcW w:w="313"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324</w:t>
            </w:r>
          </w:p>
        </w:tc>
        <w:tc>
          <w:tcPr>
            <w:tcW w:w="302"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23</w:t>
            </w:r>
          </w:p>
        </w:tc>
        <w:tc>
          <w:tcPr>
            <w:tcW w:w="238"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2"/>
              </w:rPr>
            </w:pPr>
            <w:r w:rsidRPr="004A25C2">
              <w:rPr>
                <w:rFonts w:ascii="Times New Roman" w:hAnsi="Times New Roman" w:cs="Times New Roman"/>
                <w:b/>
                <w:bCs/>
                <w:sz w:val="22"/>
                <w:szCs w:val="22"/>
              </w:rPr>
              <w:t>2</w:t>
            </w:r>
          </w:p>
        </w:tc>
      </w:tr>
      <w:tr w:rsidR="00CC5C8D" w:rsidRPr="004A25C2" w:rsidTr="00CC5C8D">
        <w:trPr>
          <w:trHeight w:val="255"/>
          <w:jc w:val="center"/>
        </w:trPr>
        <w:tc>
          <w:tcPr>
            <w:tcW w:w="771"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p>
        </w:tc>
        <w:tc>
          <w:tcPr>
            <w:tcW w:w="306" w:type="pct"/>
            <w:tcBorders>
              <w:top w:val="nil"/>
              <w:left w:val="single" w:sz="4" w:space="0" w:color="auto"/>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04"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243" w:type="pct"/>
            <w:tcBorders>
              <w:top w:val="nil"/>
              <w:left w:val="nil"/>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02"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 </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232" w:type="pct"/>
            <w:tcBorders>
              <w:top w:val="nil"/>
              <w:left w:val="nil"/>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16"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 </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230" w:type="pct"/>
            <w:tcBorders>
              <w:top w:val="nil"/>
              <w:left w:val="nil"/>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02"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 </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240" w:type="pct"/>
            <w:tcBorders>
              <w:top w:val="nil"/>
              <w:left w:val="nil"/>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13"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 </w:t>
            </w:r>
          </w:p>
        </w:tc>
        <w:tc>
          <w:tcPr>
            <w:tcW w:w="302"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238"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p>
        </w:tc>
      </w:tr>
      <w:tr w:rsidR="00CC5C8D" w:rsidRPr="004A25C2" w:rsidTr="00CC5C8D">
        <w:trPr>
          <w:trHeight w:val="255"/>
          <w:jc w:val="center"/>
        </w:trPr>
        <w:tc>
          <w:tcPr>
            <w:tcW w:w="771"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Civil</w:t>
            </w:r>
          </w:p>
        </w:tc>
        <w:tc>
          <w:tcPr>
            <w:tcW w:w="306" w:type="pct"/>
            <w:tcBorders>
              <w:top w:val="nil"/>
              <w:left w:val="single" w:sz="4" w:space="0" w:color="auto"/>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52</w:t>
            </w:r>
          </w:p>
        </w:tc>
        <w:tc>
          <w:tcPr>
            <w:tcW w:w="304"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15</w:t>
            </w:r>
          </w:p>
        </w:tc>
        <w:tc>
          <w:tcPr>
            <w:tcW w:w="243"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66</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15</w:t>
            </w:r>
          </w:p>
        </w:tc>
        <w:tc>
          <w:tcPr>
            <w:tcW w:w="232"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w:t>
            </w:r>
          </w:p>
        </w:tc>
        <w:tc>
          <w:tcPr>
            <w:tcW w:w="316"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42</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16</w:t>
            </w:r>
          </w:p>
        </w:tc>
        <w:tc>
          <w:tcPr>
            <w:tcW w:w="23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38</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21</w:t>
            </w:r>
          </w:p>
        </w:tc>
        <w:tc>
          <w:tcPr>
            <w:tcW w:w="24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0</w:t>
            </w:r>
          </w:p>
        </w:tc>
        <w:tc>
          <w:tcPr>
            <w:tcW w:w="313"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49</w:t>
            </w:r>
          </w:p>
        </w:tc>
        <w:tc>
          <w:tcPr>
            <w:tcW w:w="302"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21</w:t>
            </w:r>
          </w:p>
        </w:tc>
        <w:tc>
          <w:tcPr>
            <w:tcW w:w="238"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w:t>
            </w:r>
          </w:p>
        </w:tc>
      </w:tr>
      <w:tr w:rsidR="00CC5C8D" w:rsidRPr="004A25C2" w:rsidTr="00CC5C8D">
        <w:trPr>
          <w:trHeight w:val="255"/>
          <w:jc w:val="center"/>
        </w:trPr>
        <w:tc>
          <w:tcPr>
            <w:tcW w:w="771"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Contenciosa</w:t>
            </w:r>
          </w:p>
        </w:tc>
        <w:tc>
          <w:tcPr>
            <w:tcW w:w="306" w:type="pct"/>
            <w:tcBorders>
              <w:top w:val="nil"/>
              <w:left w:val="single" w:sz="4" w:space="0" w:color="auto"/>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297</w:t>
            </w:r>
          </w:p>
        </w:tc>
        <w:tc>
          <w:tcPr>
            <w:tcW w:w="304"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14</w:t>
            </w:r>
          </w:p>
        </w:tc>
        <w:tc>
          <w:tcPr>
            <w:tcW w:w="243"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0</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286</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16</w:t>
            </w:r>
          </w:p>
        </w:tc>
        <w:tc>
          <w:tcPr>
            <w:tcW w:w="232"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w:t>
            </w:r>
          </w:p>
        </w:tc>
        <w:tc>
          <w:tcPr>
            <w:tcW w:w="316"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198</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19</w:t>
            </w:r>
          </w:p>
        </w:tc>
        <w:tc>
          <w:tcPr>
            <w:tcW w:w="23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163</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22</w:t>
            </w:r>
          </w:p>
        </w:tc>
        <w:tc>
          <w:tcPr>
            <w:tcW w:w="24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w:t>
            </w:r>
          </w:p>
        </w:tc>
        <w:tc>
          <w:tcPr>
            <w:tcW w:w="313"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213</w:t>
            </w:r>
          </w:p>
        </w:tc>
        <w:tc>
          <w:tcPr>
            <w:tcW w:w="302"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24</w:t>
            </w:r>
          </w:p>
        </w:tc>
        <w:tc>
          <w:tcPr>
            <w:tcW w:w="238"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w:t>
            </w:r>
          </w:p>
        </w:tc>
      </w:tr>
      <w:tr w:rsidR="00CC5C8D" w:rsidRPr="004A25C2" w:rsidTr="00CC5C8D">
        <w:trPr>
          <w:trHeight w:val="255"/>
          <w:jc w:val="center"/>
        </w:trPr>
        <w:tc>
          <w:tcPr>
            <w:tcW w:w="771"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Agraria</w:t>
            </w:r>
          </w:p>
        </w:tc>
        <w:tc>
          <w:tcPr>
            <w:tcW w:w="306" w:type="pct"/>
            <w:tcBorders>
              <w:top w:val="nil"/>
              <w:left w:val="single" w:sz="4" w:space="0" w:color="auto"/>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17</w:t>
            </w:r>
          </w:p>
        </w:tc>
        <w:tc>
          <w:tcPr>
            <w:tcW w:w="304"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12</w:t>
            </w:r>
          </w:p>
        </w:tc>
        <w:tc>
          <w:tcPr>
            <w:tcW w:w="243"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0</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27</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14</w:t>
            </w:r>
          </w:p>
        </w:tc>
        <w:tc>
          <w:tcPr>
            <w:tcW w:w="232"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w:t>
            </w:r>
          </w:p>
        </w:tc>
        <w:tc>
          <w:tcPr>
            <w:tcW w:w="316"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34</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18</w:t>
            </w:r>
          </w:p>
        </w:tc>
        <w:tc>
          <w:tcPr>
            <w:tcW w:w="23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9</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21</w:t>
            </w:r>
          </w:p>
        </w:tc>
        <w:tc>
          <w:tcPr>
            <w:tcW w:w="24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w:t>
            </w:r>
          </w:p>
        </w:tc>
        <w:tc>
          <w:tcPr>
            <w:tcW w:w="313"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31</w:t>
            </w:r>
          </w:p>
        </w:tc>
        <w:tc>
          <w:tcPr>
            <w:tcW w:w="302"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23</w:t>
            </w:r>
          </w:p>
        </w:tc>
        <w:tc>
          <w:tcPr>
            <w:tcW w:w="238"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w:t>
            </w:r>
          </w:p>
        </w:tc>
      </w:tr>
      <w:tr w:rsidR="00CC5C8D" w:rsidRPr="004A25C2" w:rsidTr="00CC5C8D">
        <w:trPr>
          <w:trHeight w:val="255"/>
          <w:jc w:val="center"/>
        </w:trPr>
        <w:tc>
          <w:tcPr>
            <w:tcW w:w="771"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Notarial</w:t>
            </w:r>
          </w:p>
        </w:tc>
        <w:tc>
          <w:tcPr>
            <w:tcW w:w="306" w:type="pct"/>
            <w:tcBorders>
              <w:top w:val="nil"/>
              <w:left w:val="single" w:sz="4" w:space="0" w:color="auto"/>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w:t>
            </w:r>
          </w:p>
        </w:tc>
        <w:tc>
          <w:tcPr>
            <w:tcW w:w="304"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5</w:t>
            </w:r>
          </w:p>
        </w:tc>
        <w:tc>
          <w:tcPr>
            <w:tcW w:w="243"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13</w:t>
            </w:r>
          </w:p>
        </w:tc>
        <w:tc>
          <w:tcPr>
            <w:tcW w:w="232"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0</w:t>
            </w:r>
          </w:p>
        </w:tc>
        <w:tc>
          <w:tcPr>
            <w:tcW w:w="316"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19</w:t>
            </w:r>
          </w:p>
        </w:tc>
        <w:tc>
          <w:tcPr>
            <w:tcW w:w="23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0</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0</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w:t>
            </w:r>
          </w:p>
        </w:tc>
        <w:tc>
          <w:tcPr>
            <w:tcW w:w="24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w:t>
            </w:r>
          </w:p>
        </w:tc>
        <w:tc>
          <w:tcPr>
            <w:tcW w:w="313"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0</w:t>
            </w:r>
          </w:p>
        </w:tc>
        <w:tc>
          <w:tcPr>
            <w:tcW w:w="302"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w:t>
            </w:r>
          </w:p>
        </w:tc>
        <w:tc>
          <w:tcPr>
            <w:tcW w:w="238"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w:t>
            </w:r>
          </w:p>
        </w:tc>
      </w:tr>
      <w:tr w:rsidR="00CC5C8D" w:rsidRPr="004A25C2" w:rsidTr="00CC5C8D">
        <w:trPr>
          <w:trHeight w:val="255"/>
          <w:jc w:val="center"/>
        </w:trPr>
        <w:tc>
          <w:tcPr>
            <w:tcW w:w="771"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Otra</w:t>
            </w:r>
          </w:p>
        </w:tc>
        <w:tc>
          <w:tcPr>
            <w:tcW w:w="306" w:type="pct"/>
            <w:tcBorders>
              <w:top w:val="nil"/>
              <w:left w:val="single" w:sz="4" w:space="0" w:color="auto"/>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25</w:t>
            </w:r>
          </w:p>
        </w:tc>
        <w:tc>
          <w:tcPr>
            <w:tcW w:w="304"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10</w:t>
            </w:r>
          </w:p>
        </w:tc>
        <w:tc>
          <w:tcPr>
            <w:tcW w:w="243"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30</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13</w:t>
            </w:r>
          </w:p>
        </w:tc>
        <w:tc>
          <w:tcPr>
            <w:tcW w:w="232"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w:t>
            </w:r>
          </w:p>
        </w:tc>
        <w:tc>
          <w:tcPr>
            <w:tcW w:w="316"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23</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14</w:t>
            </w:r>
          </w:p>
        </w:tc>
        <w:tc>
          <w:tcPr>
            <w:tcW w:w="23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0</w:t>
            </w:r>
          </w:p>
        </w:tc>
        <w:tc>
          <w:tcPr>
            <w:tcW w:w="302"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12</w:t>
            </w:r>
          </w:p>
        </w:tc>
        <w:tc>
          <w:tcPr>
            <w:tcW w:w="30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17</w:t>
            </w:r>
          </w:p>
        </w:tc>
        <w:tc>
          <w:tcPr>
            <w:tcW w:w="240"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w:t>
            </w:r>
          </w:p>
        </w:tc>
        <w:tc>
          <w:tcPr>
            <w:tcW w:w="313"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31</w:t>
            </w:r>
          </w:p>
        </w:tc>
        <w:tc>
          <w:tcPr>
            <w:tcW w:w="302"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18</w:t>
            </w:r>
          </w:p>
        </w:tc>
        <w:tc>
          <w:tcPr>
            <w:tcW w:w="238"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2"/>
              </w:rPr>
            </w:pPr>
            <w:r w:rsidRPr="004A25C2">
              <w:rPr>
                <w:rFonts w:ascii="Times New Roman" w:hAnsi="Times New Roman" w:cs="Times New Roman"/>
                <w:sz w:val="22"/>
                <w:szCs w:val="22"/>
              </w:rPr>
              <w:t>0</w:t>
            </w:r>
          </w:p>
        </w:tc>
      </w:tr>
      <w:tr w:rsidR="00CC5C8D" w:rsidRPr="004A25C2" w:rsidTr="00CC5C8D">
        <w:trPr>
          <w:trHeight w:val="255"/>
          <w:jc w:val="center"/>
        </w:trPr>
        <w:tc>
          <w:tcPr>
            <w:tcW w:w="771"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06" w:type="pct"/>
            <w:tcBorders>
              <w:top w:val="nil"/>
              <w:left w:val="single" w:sz="4" w:space="0" w:color="auto"/>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2"/>
              </w:rPr>
            </w:pPr>
            <w:r w:rsidRPr="004A25C2">
              <w:rPr>
                <w:rFonts w:ascii="Times New Roman" w:hAnsi="Times New Roman" w:cs="Times New Roman"/>
                <w:b/>
                <w:bCs/>
                <w:sz w:val="22"/>
                <w:szCs w:val="22"/>
              </w:rPr>
              <w:t> </w:t>
            </w:r>
          </w:p>
        </w:tc>
        <w:tc>
          <w:tcPr>
            <w:tcW w:w="243"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2"/>
              </w:rPr>
            </w:pPr>
            <w:r w:rsidRPr="004A25C2">
              <w:rPr>
                <w:rFonts w:ascii="Times New Roman" w:hAnsi="Times New Roman" w:cs="Times New Roman"/>
                <w:b/>
                <w:bCs/>
                <w:sz w:val="22"/>
                <w:szCs w:val="22"/>
              </w:rPr>
              <w:t> </w:t>
            </w:r>
          </w:p>
        </w:tc>
        <w:tc>
          <w:tcPr>
            <w:tcW w:w="302"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sz w:val="22"/>
              </w:rPr>
            </w:pPr>
            <w:r w:rsidRPr="004A25C2">
              <w:rPr>
                <w:rFonts w:ascii="Times New Roman" w:hAnsi="Times New Roman" w:cs="Times New Roman"/>
                <w:b/>
                <w:bCs/>
                <w:sz w:val="22"/>
                <w:szCs w:val="22"/>
              </w:rPr>
              <w:t> </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2"/>
              </w:rPr>
            </w:pPr>
            <w:r w:rsidRPr="004A25C2">
              <w:rPr>
                <w:rFonts w:ascii="Times New Roman" w:hAnsi="Times New Roman" w:cs="Times New Roman"/>
                <w:b/>
                <w:bCs/>
                <w:sz w:val="22"/>
                <w:szCs w:val="22"/>
              </w:rPr>
              <w:t> </w:t>
            </w:r>
          </w:p>
        </w:tc>
        <w:tc>
          <w:tcPr>
            <w:tcW w:w="232"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2"/>
              </w:rPr>
            </w:pPr>
            <w:r w:rsidRPr="004A25C2">
              <w:rPr>
                <w:rFonts w:ascii="Times New Roman" w:hAnsi="Times New Roman" w:cs="Times New Roman"/>
                <w:b/>
                <w:bCs/>
                <w:sz w:val="22"/>
                <w:szCs w:val="22"/>
              </w:rPr>
              <w:t> </w:t>
            </w:r>
          </w:p>
        </w:tc>
        <w:tc>
          <w:tcPr>
            <w:tcW w:w="316"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sz w:val="22"/>
              </w:rPr>
            </w:pPr>
            <w:r w:rsidRPr="004A25C2">
              <w:rPr>
                <w:rFonts w:ascii="Times New Roman" w:hAnsi="Times New Roman" w:cs="Times New Roman"/>
                <w:b/>
                <w:bCs/>
                <w:sz w:val="22"/>
                <w:szCs w:val="22"/>
              </w:rPr>
              <w:t> </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230"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02"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240"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13"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c>
          <w:tcPr>
            <w:tcW w:w="238"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sz w:val="22"/>
              </w:rPr>
            </w:pPr>
            <w:r w:rsidRPr="004A25C2">
              <w:rPr>
                <w:rFonts w:ascii="Times New Roman" w:hAnsi="Times New Roman" w:cs="Times New Roman"/>
                <w:sz w:val="22"/>
                <w:szCs w:val="22"/>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En consecuencia, la duración total de los votos de fondo expresa su cuarto aumento anual progresivo, comportamiento que de igual manera se manifiesta para los 49, los 213 y los 31 votos relacionados con las materias Civil, Contenciosa Administrativa y Agraria, en el asocie habitual.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El detalle de la duración de los votos de fondo por intervalos mensuales corrobora la atención de carácter prioritaria, aplicada a los asuntos de vieja data o de mayor antigüedad, en donde 251 de los fallos actuales dilataron más de 18 meses (año y medio) para ser finiquitados (77,5%), seguido de 54 que  demandaron de más de 12 a 18 meses (16,7%), representando estos 305 casos al 94,1% del total dictaminado.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En forma complementaria, cuatro votos necesitaron un tiempo de hasta seis meses para su dictado (1,2%) y en 15 se empleó de más de seis a 12 meses para lo propio (4,6%).  </w:t>
      </w:r>
    </w:p>
    <w:p w:rsidR="00CC5C8D" w:rsidRDefault="00CC5C8D"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7377" w:type="dxa"/>
        <w:jc w:val="center"/>
        <w:tblCellMar>
          <w:left w:w="70" w:type="dxa"/>
          <w:right w:w="70" w:type="dxa"/>
        </w:tblCellMar>
        <w:tblLook w:val="04A0" w:firstRow="1" w:lastRow="0" w:firstColumn="1" w:lastColumn="0" w:noHBand="0" w:noVBand="1"/>
      </w:tblPr>
      <w:tblGrid>
        <w:gridCol w:w="3261"/>
        <w:gridCol w:w="824"/>
        <w:gridCol w:w="823"/>
        <w:gridCol w:w="823"/>
        <w:gridCol w:w="823"/>
        <w:gridCol w:w="823"/>
      </w:tblGrid>
      <w:tr w:rsidR="00CC5C8D" w:rsidRPr="004A25C2" w:rsidTr="00CC5C8D">
        <w:trPr>
          <w:trHeight w:val="255"/>
          <w:tblHeader/>
          <w:jc w:val="center"/>
        </w:trPr>
        <w:tc>
          <w:tcPr>
            <w:tcW w:w="3261"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lastRenderedPageBreak/>
              <w:t> </w:t>
            </w:r>
          </w:p>
        </w:tc>
        <w:tc>
          <w:tcPr>
            <w:tcW w:w="41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Votos de Fondo</w:t>
            </w:r>
          </w:p>
        </w:tc>
      </w:tr>
      <w:tr w:rsidR="00CC5C8D" w:rsidRPr="004A25C2" w:rsidTr="00CC5C8D">
        <w:trPr>
          <w:trHeight w:val="255"/>
          <w:tblHeader/>
          <w:jc w:val="center"/>
        </w:trPr>
        <w:tc>
          <w:tcPr>
            <w:tcW w:w="3261"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Duración</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Absolutos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393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410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298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220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324</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Hasta 6 meses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Más de 6 meses a 12 meses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Más de 12 meses a 18 meses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218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241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54</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Más de 18 meses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251</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Porcentajes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Hasta 6 meses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Más de 6 meses a 12 meses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4,6</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Más de 12 meses a 18 meses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55,5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58,8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47,3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19,5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16,7</w:t>
            </w:r>
          </w:p>
        </w:tc>
      </w:tr>
      <w:tr w:rsidR="00CC5C8D" w:rsidRPr="004A25C2" w:rsidTr="00CC5C8D">
        <w:trPr>
          <w:trHeight w:val="255"/>
          <w:jc w:val="center"/>
        </w:trPr>
        <w:tc>
          <w:tcPr>
            <w:tcW w:w="326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Más de 18 meses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37,6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77,7</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77,5</w:t>
            </w:r>
          </w:p>
        </w:tc>
      </w:tr>
      <w:tr w:rsidR="00CC5C8D" w:rsidRPr="004A25C2" w:rsidTr="00CC5C8D">
        <w:trPr>
          <w:trHeight w:val="255"/>
          <w:jc w:val="center"/>
        </w:trPr>
        <w:tc>
          <w:tcPr>
            <w:tcW w:w="3261"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3"/>
        </w:numPr>
        <w:tabs>
          <w:tab w:val="clear" w:pos="1080"/>
        </w:tabs>
        <w:autoSpaceDE/>
        <w:autoSpaceDN/>
        <w:adjustRightInd/>
        <w:spacing w:line="360" w:lineRule="auto"/>
        <w:ind w:left="0" w:hanging="540"/>
        <w:jc w:val="both"/>
        <w:rPr>
          <w:rFonts w:ascii="Times New Roman" w:hAnsi="Times New Roman" w:cs="Times New Roman"/>
          <w:b/>
          <w:sz w:val="28"/>
          <w:szCs w:val="28"/>
        </w:rPr>
      </w:pPr>
      <w:r w:rsidRPr="004A25C2">
        <w:rPr>
          <w:rFonts w:ascii="Times New Roman" w:hAnsi="Times New Roman" w:cs="Times New Roman"/>
          <w:b/>
          <w:sz w:val="28"/>
          <w:szCs w:val="28"/>
        </w:rPr>
        <w:t xml:space="preserve">CIRCULANTE AL FINALIZAR EL AÑO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En la Sala Primera se acumuló un circulante de 1.479 casos al finalizar el 2015, por lo que su trabajo ordinario exteriorizó un incremento de 300 recursos en comparación con las existencias habidas al iniciar el año, para un ascenso porcentual de 25,4%. </w:t>
      </w:r>
    </w:p>
    <w:p w:rsidR="00CC5C8D" w:rsidRPr="004A25C2" w:rsidRDefault="00CC5C8D" w:rsidP="00CC5C8D">
      <w:pPr>
        <w:spacing w:line="360" w:lineRule="auto"/>
        <w:jc w:val="both"/>
        <w:rPr>
          <w:rFonts w:ascii="Times New Roman" w:hAnsi="Times New Roman" w:cs="Times New Roman"/>
          <w:sz w:val="28"/>
          <w:szCs w:val="28"/>
        </w:rPr>
      </w:pPr>
    </w:p>
    <w:tbl>
      <w:tblPr>
        <w:tblW w:w="6683" w:type="dxa"/>
        <w:jc w:val="center"/>
        <w:tblCellMar>
          <w:left w:w="70" w:type="dxa"/>
          <w:right w:w="70" w:type="dxa"/>
        </w:tblCellMar>
        <w:tblLook w:val="04A0" w:firstRow="1" w:lastRow="0" w:firstColumn="1" w:lastColumn="0" w:noHBand="0" w:noVBand="1"/>
      </w:tblPr>
      <w:tblGrid>
        <w:gridCol w:w="2067"/>
        <w:gridCol w:w="924"/>
        <w:gridCol w:w="923"/>
        <w:gridCol w:w="923"/>
        <w:gridCol w:w="923"/>
        <w:gridCol w:w="923"/>
      </w:tblGrid>
      <w:tr w:rsidR="00CC5C8D" w:rsidRPr="004A25C2" w:rsidTr="00CC5C8D">
        <w:trPr>
          <w:trHeight w:val="255"/>
          <w:jc w:val="center"/>
        </w:trPr>
        <w:tc>
          <w:tcPr>
            <w:tcW w:w="2067"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Circulante al Finalizar el Año</w:t>
            </w:r>
          </w:p>
        </w:tc>
      </w:tr>
      <w:tr w:rsidR="00CC5C8D" w:rsidRPr="004A25C2" w:rsidTr="00CC5C8D">
        <w:trPr>
          <w:trHeight w:val="255"/>
          <w:jc w:val="center"/>
        </w:trPr>
        <w:tc>
          <w:tcPr>
            <w:tcW w:w="2067"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Materia</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4"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Absolutos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820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891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1.014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1.179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1.479</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924"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109</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149</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163</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176</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270</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w:t>
            </w:r>
          </w:p>
        </w:tc>
        <w:tc>
          <w:tcPr>
            <w:tcW w:w="924"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618</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617</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729</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840</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1.066</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Agraria</w:t>
            </w:r>
          </w:p>
        </w:tc>
        <w:tc>
          <w:tcPr>
            <w:tcW w:w="924"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43</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70</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60</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68</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49</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Notarial</w:t>
            </w:r>
          </w:p>
        </w:tc>
        <w:tc>
          <w:tcPr>
            <w:tcW w:w="924"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924"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44</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42</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51</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86</w:t>
            </w:r>
          </w:p>
        </w:tc>
        <w:tc>
          <w:tcPr>
            <w:tcW w:w="923" w:type="dxa"/>
            <w:tcBorders>
              <w:top w:val="nil"/>
              <w:left w:val="nil"/>
              <w:bottom w:val="nil"/>
              <w:right w:val="nil"/>
            </w:tcBorders>
            <w:shd w:val="clear" w:color="auto" w:fill="auto"/>
            <w:noWrap/>
            <w:vAlign w:val="bottom"/>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76</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bottom"/>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Porcentajes</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Civil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18,3</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Contenciosa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75,4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69,2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71,9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71,2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72,1</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lastRenderedPageBreak/>
              <w:t>Agraria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3,3</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Notarial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0,8</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w:t>
            </w:r>
          </w:p>
        </w:tc>
      </w:tr>
      <w:tr w:rsidR="00CC5C8D" w:rsidRPr="004A25C2" w:rsidTr="00CC5C8D">
        <w:trPr>
          <w:trHeight w:val="255"/>
          <w:jc w:val="center"/>
        </w:trPr>
        <w:tc>
          <w:tcPr>
            <w:tcW w:w="2067"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Otra</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5,1</w:t>
            </w:r>
          </w:p>
        </w:tc>
      </w:tr>
      <w:tr w:rsidR="00CC5C8D" w:rsidRPr="004A25C2" w:rsidTr="00CC5C8D">
        <w:trPr>
          <w:trHeight w:val="255"/>
          <w:jc w:val="center"/>
        </w:trPr>
        <w:tc>
          <w:tcPr>
            <w:tcW w:w="2067"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bottom"/>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bottom"/>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bottom"/>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bottom"/>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bottom"/>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Por consiguiente, el volumen de asuntos activos en este despacho judicial de última instancia patentizó su cuarta alza anual ininterrumpida, coyuntura que obedece -en esencia- al mayor caudal de recursos admitidos versus la resolución conseguida, en todos los períodos del quinquenio estudiado.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center"/>
        <w:rPr>
          <w:rFonts w:ascii="Times New Roman" w:hAnsi="Times New Roman" w:cs="Times New Roman"/>
          <w:sz w:val="28"/>
          <w:szCs w:val="28"/>
        </w:rPr>
      </w:pPr>
      <w:r w:rsidRPr="004A25C2">
        <w:rPr>
          <w:rFonts w:ascii="Times New Roman" w:hAnsi="Times New Roman" w:cs="Times New Roman"/>
          <w:sz w:val="28"/>
          <w:szCs w:val="28"/>
        </w:rPr>
        <w:object w:dxaOrig="8299" w:dyaOrig="5738">
          <v:shape id="_x0000_i1031" type="#_x0000_t75" style="width:381pt;height:257.4pt" o:ole="">
            <v:imagedata r:id="rId19" o:title=""/>
          </v:shape>
          <o:OLEObject Type="Embed" ProgID="Excel.Sheet.12" ShapeID="_x0000_i1031" DrawAspect="Content" ObjectID="_1542461513" r:id="rId20"/>
        </w:objec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 clasificación del circulante a este corte por materia revela la presencia de 270 expedientes tramitándose mediante la vía Civil (18,3%), de 1.066 por la Contenciosa Administrativa (72,1%), de 49 por la Agraria (3,3%), de 18 por la Notarial (1,2%) y 76 competen a otras jurisdicciones (5,1%).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De esta manera, se confirma -al igual que las variables anteriores- que las proporciones más substanciales de los recursos tramitados se ventilan bajo los preceptos de las jurisdicciones Civil y Contenciosa Administrativa, en el último quinquenio.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center"/>
        <w:rPr>
          <w:rFonts w:ascii="Times New Roman" w:hAnsi="Times New Roman" w:cs="Times New Roman"/>
          <w:sz w:val="28"/>
          <w:szCs w:val="28"/>
        </w:rPr>
      </w:pPr>
      <w:r w:rsidRPr="004A25C2">
        <w:rPr>
          <w:rFonts w:ascii="Times New Roman" w:hAnsi="Times New Roman" w:cs="Times New Roman"/>
          <w:sz w:val="28"/>
          <w:szCs w:val="28"/>
        </w:rPr>
        <w:object w:dxaOrig="8419" w:dyaOrig="5752">
          <v:shape id="_x0000_i1032" type="#_x0000_t75" style="width:382.8pt;height:262.2pt" o:ole="">
            <v:imagedata r:id="rId21" o:title=""/>
          </v:shape>
          <o:OLEObject Type="Embed" ProgID="Excel.Sheet.12" ShapeID="_x0000_i1032" DrawAspect="Content" ObjectID="_1542461514" r:id="rId22"/>
        </w:objec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Por su parte, la conformación del circulante de acuerdo al año de entrada de los recursos a la Sala refiere que 970 casos iniciaron su conocimiento en el presente año (65,6%); es decir, que casi las dos terceras partes del trabajo pendiente en esta última instancia se mantienen en vigencia por intervalos de tiempo inferiores a los 12 meses (un año), lo cual indica que la naturaleza en cuanto a su antigüedad es de muy reciente data, en términos generales.</w:t>
      </w:r>
    </w:p>
    <w:p w:rsidR="00CC5C8D" w:rsidRPr="004A25C2" w:rsidRDefault="00CC5C8D" w:rsidP="00CC5C8D">
      <w:pPr>
        <w:spacing w:line="360" w:lineRule="auto"/>
        <w:jc w:val="both"/>
        <w:rPr>
          <w:rFonts w:ascii="Times New Roman" w:hAnsi="Times New Roman" w:cs="Times New Roman"/>
          <w:sz w:val="28"/>
          <w:szCs w:val="28"/>
        </w:rPr>
      </w:pPr>
    </w:p>
    <w:tbl>
      <w:tblPr>
        <w:tblW w:w="6147" w:type="dxa"/>
        <w:jc w:val="center"/>
        <w:tblCellMar>
          <w:left w:w="70" w:type="dxa"/>
          <w:right w:w="70" w:type="dxa"/>
        </w:tblCellMar>
        <w:tblLook w:val="04A0" w:firstRow="1" w:lastRow="0" w:firstColumn="1" w:lastColumn="0" w:noHBand="0" w:noVBand="1"/>
      </w:tblPr>
      <w:tblGrid>
        <w:gridCol w:w="1531"/>
        <w:gridCol w:w="924"/>
        <w:gridCol w:w="923"/>
        <w:gridCol w:w="923"/>
        <w:gridCol w:w="923"/>
        <w:gridCol w:w="923"/>
      </w:tblGrid>
      <w:tr w:rsidR="00CC5C8D" w:rsidRPr="004A25C2" w:rsidTr="00CC5C8D">
        <w:trPr>
          <w:trHeight w:val="255"/>
          <w:tblHeader/>
          <w:jc w:val="center"/>
        </w:trPr>
        <w:tc>
          <w:tcPr>
            <w:tcW w:w="1531" w:type="dxa"/>
            <w:tcBorders>
              <w:top w:val="single" w:sz="4" w:space="0" w:color="auto"/>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Año de</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Circulante al Finalizar el Año</w:t>
            </w:r>
          </w:p>
        </w:tc>
      </w:tr>
      <w:tr w:rsidR="00CC5C8D" w:rsidRPr="004A25C2" w:rsidTr="00CC5C8D">
        <w:trPr>
          <w:trHeight w:val="255"/>
          <w:tblHeader/>
          <w:jc w:val="center"/>
        </w:trPr>
        <w:tc>
          <w:tcPr>
            <w:tcW w:w="1531"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Entrada</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Total</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820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891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1.014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1.179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1.479</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9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2006</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2007</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2008</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2009</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2010</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2011</w:t>
            </w:r>
          </w:p>
        </w:tc>
        <w:tc>
          <w:tcPr>
            <w:tcW w:w="924" w:type="dxa"/>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643</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157</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2012</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711</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284</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2013</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712</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409</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171</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2014</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690</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319</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2015</w:t>
            </w:r>
          </w:p>
        </w:tc>
        <w:tc>
          <w:tcPr>
            <w:tcW w:w="9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w:t>
            </w:r>
          </w:p>
        </w:tc>
        <w:tc>
          <w:tcPr>
            <w:tcW w:w="923" w:type="dxa"/>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970</w:t>
            </w:r>
          </w:p>
        </w:tc>
      </w:tr>
      <w:tr w:rsidR="00CC5C8D" w:rsidRPr="004A25C2" w:rsidTr="00CC5C8D">
        <w:trPr>
          <w:trHeight w:val="255"/>
          <w:jc w:val="center"/>
        </w:trPr>
        <w:tc>
          <w:tcPr>
            <w:tcW w:w="1531"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Menos de 12 meses</w:t>
            </w:r>
          </w:p>
        </w:tc>
        <w:tc>
          <w:tcPr>
            <w:tcW w:w="924" w:type="dxa"/>
            <w:vMerge w:val="restar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78,4%</w:t>
            </w:r>
          </w:p>
        </w:tc>
        <w:tc>
          <w:tcPr>
            <w:tcW w:w="923" w:type="dxa"/>
            <w:vMerge w:val="restar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79,8%</w:t>
            </w:r>
          </w:p>
        </w:tc>
        <w:tc>
          <w:tcPr>
            <w:tcW w:w="923" w:type="dxa"/>
            <w:vMerge w:val="restar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70,2%</w:t>
            </w:r>
          </w:p>
        </w:tc>
        <w:tc>
          <w:tcPr>
            <w:tcW w:w="923" w:type="dxa"/>
            <w:vMerge w:val="restar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58,5%</w:t>
            </w:r>
          </w:p>
        </w:tc>
        <w:tc>
          <w:tcPr>
            <w:tcW w:w="923" w:type="dxa"/>
            <w:vMerge w:val="restar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65,6%</w:t>
            </w:r>
          </w:p>
        </w:tc>
      </w:tr>
      <w:tr w:rsidR="00CC5C8D" w:rsidRPr="004A25C2" w:rsidTr="00CC5C8D">
        <w:trPr>
          <w:trHeight w:val="255"/>
          <w:jc w:val="center"/>
        </w:trPr>
        <w:tc>
          <w:tcPr>
            <w:tcW w:w="1531"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en Trámite</w:t>
            </w:r>
          </w:p>
        </w:tc>
        <w:tc>
          <w:tcPr>
            <w:tcW w:w="924" w:type="dxa"/>
            <w:vMerge/>
            <w:tcBorders>
              <w:top w:val="nil"/>
              <w:left w:val="nil"/>
              <w:bottom w:val="nil"/>
              <w:right w:val="nil"/>
            </w:tcBorders>
            <w:vAlign w:val="center"/>
            <w:hideMark/>
          </w:tcPr>
          <w:p w:rsidR="00CC5C8D" w:rsidRPr="004A25C2" w:rsidRDefault="00CC5C8D" w:rsidP="00CC5C8D">
            <w:pPr>
              <w:rPr>
                <w:rFonts w:ascii="Times New Roman" w:hAnsi="Times New Roman" w:cs="Times New Roman"/>
              </w:rPr>
            </w:pPr>
          </w:p>
        </w:tc>
        <w:tc>
          <w:tcPr>
            <w:tcW w:w="923" w:type="dxa"/>
            <w:vMerge/>
            <w:tcBorders>
              <w:top w:val="nil"/>
              <w:left w:val="nil"/>
              <w:bottom w:val="nil"/>
              <w:right w:val="nil"/>
            </w:tcBorders>
            <w:vAlign w:val="center"/>
            <w:hideMark/>
          </w:tcPr>
          <w:p w:rsidR="00CC5C8D" w:rsidRPr="004A25C2" w:rsidRDefault="00CC5C8D" w:rsidP="00CC5C8D">
            <w:pPr>
              <w:rPr>
                <w:rFonts w:ascii="Times New Roman" w:hAnsi="Times New Roman" w:cs="Times New Roman"/>
              </w:rPr>
            </w:pPr>
          </w:p>
        </w:tc>
        <w:tc>
          <w:tcPr>
            <w:tcW w:w="923" w:type="dxa"/>
            <w:vMerge/>
            <w:tcBorders>
              <w:top w:val="nil"/>
              <w:left w:val="nil"/>
              <w:bottom w:val="nil"/>
              <w:right w:val="nil"/>
            </w:tcBorders>
            <w:vAlign w:val="center"/>
            <w:hideMark/>
          </w:tcPr>
          <w:p w:rsidR="00CC5C8D" w:rsidRPr="004A25C2" w:rsidRDefault="00CC5C8D" w:rsidP="00CC5C8D">
            <w:pPr>
              <w:rPr>
                <w:rFonts w:ascii="Times New Roman" w:hAnsi="Times New Roman" w:cs="Times New Roman"/>
              </w:rPr>
            </w:pPr>
          </w:p>
        </w:tc>
        <w:tc>
          <w:tcPr>
            <w:tcW w:w="923" w:type="dxa"/>
            <w:vMerge/>
            <w:tcBorders>
              <w:top w:val="nil"/>
              <w:left w:val="nil"/>
              <w:bottom w:val="nil"/>
              <w:right w:val="nil"/>
            </w:tcBorders>
            <w:vAlign w:val="center"/>
            <w:hideMark/>
          </w:tcPr>
          <w:p w:rsidR="00CC5C8D" w:rsidRPr="004A25C2" w:rsidRDefault="00CC5C8D" w:rsidP="00CC5C8D">
            <w:pPr>
              <w:rPr>
                <w:rFonts w:ascii="Times New Roman" w:hAnsi="Times New Roman" w:cs="Times New Roman"/>
              </w:rPr>
            </w:pPr>
          </w:p>
        </w:tc>
        <w:tc>
          <w:tcPr>
            <w:tcW w:w="923" w:type="dxa"/>
            <w:vMerge/>
            <w:tcBorders>
              <w:top w:val="nil"/>
              <w:left w:val="nil"/>
              <w:bottom w:val="nil"/>
              <w:right w:val="nil"/>
            </w:tcBorders>
            <w:vAlign w:val="center"/>
            <w:hideMark/>
          </w:tcPr>
          <w:p w:rsidR="00CC5C8D" w:rsidRPr="004A25C2" w:rsidRDefault="00CC5C8D" w:rsidP="00CC5C8D">
            <w:pPr>
              <w:rPr>
                <w:rFonts w:ascii="Times New Roman" w:hAnsi="Times New Roman" w:cs="Times New Roman"/>
              </w:rPr>
            </w:pP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widowControl/>
        <w:numPr>
          <w:ilvl w:val="0"/>
          <w:numId w:val="23"/>
        </w:numPr>
        <w:tabs>
          <w:tab w:val="clear" w:pos="1080"/>
          <w:tab w:val="num" w:pos="0"/>
        </w:tabs>
        <w:autoSpaceDE/>
        <w:autoSpaceDN/>
        <w:adjustRightInd/>
        <w:spacing w:line="360" w:lineRule="auto"/>
        <w:ind w:left="0" w:hanging="540"/>
        <w:jc w:val="both"/>
        <w:rPr>
          <w:rFonts w:ascii="Times New Roman" w:hAnsi="Times New Roman" w:cs="Times New Roman"/>
          <w:b/>
          <w:sz w:val="28"/>
          <w:szCs w:val="28"/>
        </w:rPr>
      </w:pPr>
      <w:r w:rsidRPr="004A25C2">
        <w:rPr>
          <w:rFonts w:ascii="Times New Roman" w:hAnsi="Times New Roman" w:cs="Times New Roman"/>
          <w:b/>
          <w:sz w:val="28"/>
          <w:szCs w:val="28"/>
        </w:rPr>
        <w:t>LA SALA PRIMERA EN FUNCIÓN DE TRIBUNAL DE CASACIÓN DE LO CONTENCIOSO ADMINISTRATIVO Y CIVIL DE HACIENDA</w:t>
      </w:r>
      <w:r w:rsidRPr="004A25C2">
        <w:rPr>
          <w:rFonts w:ascii="Times New Roman" w:hAnsi="Times New Roman" w:cs="Times New Roman"/>
          <w:sz w:val="28"/>
          <w:szCs w:val="28"/>
        </w:rPr>
        <w:t xml:space="preserve"> </w:t>
      </w:r>
      <w:r w:rsidRPr="004A25C2">
        <w:rPr>
          <w:rFonts w:ascii="Times New Roman" w:hAnsi="Times New Roman" w:cs="Times New Roman"/>
          <w:b/>
          <w:sz w:val="28"/>
          <w:szCs w:val="28"/>
        </w:rPr>
        <w:t xml:space="preserve">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En este apartado se examinarán las labores realizadas en la Sala Primera, fungiendo como Tribunal de Casación Contencioso Administrativo; recargo que asumió en el 2008, con la entrada en vigencia del Código Procesal Contencioso Administrativo. </w:t>
      </w:r>
    </w:p>
    <w:p w:rsidR="00CC5C8D" w:rsidRDefault="00CC5C8D"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6646" w:type="dxa"/>
        <w:jc w:val="center"/>
        <w:tblCellMar>
          <w:left w:w="70" w:type="dxa"/>
          <w:right w:w="70" w:type="dxa"/>
        </w:tblCellMar>
        <w:tblLook w:val="04A0" w:firstRow="1" w:lastRow="0" w:firstColumn="1" w:lastColumn="0" w:noHBand="0" w:noVBand="1"/>
      </w:tblPr>
      <w:tblGrid>
        <w:gridCol w:w="2530"/>
        <w:gridCol w:w="824"/>
        <w:gridCol w:w="823"/>
        <w:gridCol w:w="823"/>
        <w:gridCol w:w="823"/>
        <w:gridCol w:w="823"/>
      </w:tblGrid>
      <w:tr w:rsidR="00CC5C8D" w:rsidRPr="004A25C2" w:rsidTr="00CC5C8D">
        <w:trPr>
          <w:trHeight w:val="255"/>
          <w:tblHeader/>
          <w:jc w:val="center"/>
        </w:trPr>
        <w:tc>
          <w:tcPr>
            <w:tcW w:w="2530" w:type="dxa"/>
            <w:tcBorders>
              <w:top w:val="single" w:sz="4" w:space="0" w:color="auto"/>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41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Año</w:t>
            </w:r>
          </w:p>
        </w:tc>
      </w:tr>
      <w:tr w:rsidR="00CC5C8D" w:rsidRPr="004A25C2" w:rsidTr="00CC5C8D">
        <w:trPr>
          <w:trHeight w:val="255"/>
          <w:tblHeader/>
          <w:jc w:val="center"/>
        </w:trPr>
        <w:tc>
          <w:tcPr>
            <w:tcW w:w="2530"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Descripción</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 xml:space="preserve">Variables </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Circulante al iniciar</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114</w:t>
            </w: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Casos entrados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87</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130</w:t>
            </w: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Casos reentrados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Casos terminados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114</w:t>
            </w: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Circulante al finalizar</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134</w:t>
            </w: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Indicadores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Razón de congestión</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2,41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1,82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2,04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2,18</w:t>
            </w: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Tasa de pendencia</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58,5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44,9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41,1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50,9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54,0</w:t>
            </w:r>
          </w:p>
        </w:tc>
      </w:tr>
      <w:tr w:rsidR="00CC5C8D" w:rsidRPr="004A25C2" w:rsidTr="00CC5C8D">
        <w:trPr>
          <w:trHeight w:val="255"/>
          <w:jc w:val="center"/>
        </w:trPr>
        <w:tc>
          <w:tcPr>
            <w:tcW w:w="253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Tasa de resolución</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41,5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55,1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58,9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49,1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46,0</w:t>
            </w:r>
          </w:p>
        </w:tc>
      </w:tr>
      <w:tr w:rsidR="00CC5C8D" w:rsidRPr="004A25C2" w:rsidTr="00CC5C8D">
        <w:trPr>
          <w:trHeight w:val="255"/>
          <w:jc w:val="center"/>
        </w:trPr>
        <w:tc>
          <w:tcPr>
            <w:tcW w:w="2530"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Las cifras contenidas en la tabla anterior indican para el 2015 un circulante inicial de 114 casos, una entrada de 130 recursos, cuatro asuntos reentrados, 114 expedientes terminados y un circulante final de 134 procesos.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b/>
          <w:sz w:val="28"/>
          <w:szCs w:val="28"/>
        </w:rPr>
      </w:pPr>
      <w:r w:rsidRPr="004A25C2">
        <w:rPr>
          <w:rFonts w:ascii="Times New Roman" w:hAnsi="Times New Roman" w:cs="Times New Roman"/>
          <w:b/>
          <w:sz w:val="28"/>
          <w:szCs w:val="28"/>
        </w:rPr>
        <w:t>INDICADORES DE GESTIÓN JUDICIAL</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En virtud de lo anterior, se colige una razón de congestión de 2,18, mostrando este indicador su segundo aumento anual en forma continua, luego de sugerir una tendencia hacia la baja en el bienio 2012-2013</w:t>
      </w:r>
      <w:r w:rsidRPr="004A25C2">
        <w:rPr>
          <w:rStyle w:val="Refdenotaalpie"/>
          <w:rFonts w:ascii="Times New Roman" w:hAnsi="Times New Roman"/>
          <w:sz w:val="28"/>
          <w:szCs w:val="28"/>
        </w:rPr>
        <w:footnoteReference w:id="7"/>
      </w:r>
      <w:r w:rsidRPr="004A25C2">
        <w:rPr>
          <w:rFonts w:ascii="Times New Roman" w:hAnsi="Times New Roman" w:cs="Times New Roman"/>
          <w:sz w:val="28"/>
          <w:szCs w:val="28"/>
        </w:rPr>
        <w:t xml:space="preserve">.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Sin embargo, resulta atinente indicar que los resultados de la congestión se han </w:t>
      </w:r>
      <w:r w:rsidRPr="004A25C2">
        <w:rPr>
          <w:rFonts w:ascii="Times New Roman" w:hAnsi="Times New Roman" w:cs="Times New Roman"/>
          <w:sz w:val="28"/>
          <w:szCs w:val="28"/>
        </w:rPr>
        <w:lastRenderedPageBreak/>
        <w:t xml:space="preserve">mantenido entre 1,70 y 2,41 en el período considerado, siendo estos límites muy similares a los derivados de las labores ordinarias de la Sala, según se desprende de la tabla incluida en el inciso I de este diagnóstico (entiéndase: entre 1,65 y 2,28).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Un contexto análogo expresa la tasa de pendencia, al llegar a 54,0% en esta ocasión, mientras que la tasa de resolución (46,0%) arroja una evolución simétricamente inversa a la pendencia, recordando que estos dos últimos indicadores son complementarios entre sí (suman el 100%, entre sí).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b/>
          <w:sz w:val="28"/>
          <w:szCs w:val="28"/>
        </w:rPr>
      </w:pPr>
      <w:r w:rsidRPr="004A25C2">
        <w:rPr>
          <w:rFonts w:ascii="Times New Roman" w:hAnsi="Times New Roman" w:cs="Times New Roman"/>
          <w:b/>
          <w:sz w:val="28"/>
          <w:szCs w:val="28"/>
        </w:rPr>
        <w:t>MOVIMIENTOS GENERALES</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Por su parte, los casos entrados en labores de Tribunal de Casación Contencioso Administrativo presentan ahora una pequeña baja (13 unidades), interrumpiendo el modelo creciente esbozado en el trienio 2012-2014.  </w:t>
      </w:r>
    </w:p>
    <w:p w:rsidR="00CC5C8D" w:rsidRPr="004A25C2" w:rsidRDefault="00CC5C8D" w:rsidP="00CC5C8D">
      <w:pPr>
        <w:spacing w:line="360" w:lineRule="auto"/>
        <w:jc w:val="both"/>
        <w:rPr>
          <w:rFonts w:ascii="Times New Roman" w:hAnsi="Times New Roman" w:cs="Times New Roman"/>
          <w:sz w:val="28"/>
          <w:szCs w:val="28"/>
        </w:rPr>
      </w:pPr>
    </w:p>
    <w:tbl>
      <w:tblPr>
        <w:tblW w:w="6668" w:type="dxa"/>
        <w:jc w:val="center"/>
        <w:tblCellMar>
          <w:left w:w="70" w:type="dxa"/>
          <w:right w:w="70" w:type="dxa"/>
        </w:tblCellMar>
        <w:tblLook w:val="04A0" w:firstRow="1" w:lastRow="0" w:firstColumn="1" w:lastColumn="0" w:noHBand="0" w:noVBand="1"/>
      </w:tblPr>
      <w:tblGrid>
        <w:gridCol w:w="2552"/>
        <w:gridCol w:w="824"/>
        <w:gridCol w:w="823"/>
        <w:gridCol w:w="823"/>
        <w:gridCol w:w="823"/>
        <w:gridCol w:w="823"/>
      </w:tblGrid>
      <w:tr w:rsidR="00CC5C8D" w:rsidRPr="004A25C2" w:rsidTr="00CC5C8D">
        <w:trPr>
          <w:trHeight w:val="255"/>
          <w:tblHeader/>
          <w:jc w:val="center"/>
        </w:trPr>
        <w:tc>
          <w:tcPr>
            <w:tcW w:w="2552" w:type="dxa"/>
            <w:tcBorders>
              <w:top w:val="single" w:sz="4" w:space="0" w:color="auto"/>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41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Entrados</w:t>
            </w:r>
          </w:p>
        </w:tc>
      </w:tr>
      <w:tr w:rsidR="00CC5C8D" w:rsidRPr="004A25C2" w:rsidTr="00CC5C8D">
        <w:trPr>
          <w:trHeight w:val="255"/>
          <w:tblHeader/>
          <w:jc w:val="center"/>
        </w:trPr>
        <w:tc>
          <w:tcPr>
            <w:tcW w:w="2552"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Tipo de Caso</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Total</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87</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130</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Ordinario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130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114</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Ejecución de Sentencia</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Ejecución del acto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Empleo Público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r>
      <w:tr w:rsidR="00CC5C8D" w:rsidRPr="004A25C2" w:rsidTr="00CC5C8D">
        <w:trPr>
          <w:trHeight w:val="255"/>
          <w:jc w:val="center"/>
        </w:trPr>
        <w:tc>
          <w:tcPr>
            <w:tcW w:w="2552"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r w:rsidR="00CC5C8D" w:rsidRPr="004A25C2" w:rsidTr="00CC5C8D">
        <w:trPr>
          <w:trHeight w:val="255"/>
          <w:jc w:val="center"/>
        </w:trPr>
        <w:tc>
          <w:tcPr>
            <w:tcW w:w="2552"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Ordinarios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81,6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82,8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92,4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90,9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87,7</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De los 130 asuntos admitidos en el 2015, 114 se refieren a procesos ordinarios </w:t>
      </w:r>
      <w:r w:rsidRPr="004A25C2">
        <w:rPr>
          <w:rFonts w:ascii="Times New Roman" w:hAnsi="Times New Roman" w:cs="Times New Roman"/>
          <w:sz w:val="28"/>
          <w:szCs w:val="28"/>
        </w:rPr>
        <w:lastRenderedPageBreak/>
        <w:t xml:space="preserve">(87,7%), cuatro a ejecuciones de sentencia (3,1%), seis a sumarias por empleo público (4,6%) y otras seis a diversos litigios (4,6%). </w:t>
      </w: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Asimismo, la Sala en la ejecución de estas tareas logró terminar 114 recursos en este período, sea cuatro casos más respecto al año pasado, declarando su cuarto crecimiento anual sucesivo en la resolución.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Los principales procedimientos que provocaron la extinción de estos expedientes se relacionan con 56 rechazos de plano (49,1%), así como con el dictado de 27 votos sin lugar (23,7%) y de 17 con lugar (14,9%), constituyendo estos tres escenarios al 87,7% de lo consumado.  </w:t>
      </w:r>
    </w:p>
    <w:tbl>
      <w:tblPr>
        <w:tblW w:w="8089" w:type="dxa"/>
        <w:jc w:val="center"/>
        <w:tblCellMar>
          <w:left w:w="70" w:type="dxa"/>
          <w:right w:w="70" w:type="dxa"/>
        </w:tblCellMar>
        <w:tblLook w:val="04A0" w:firstRow="1" w:lastRow="0" w:firstColumn="1" w:lastColumn="0" w:noHBand="0" w:noVBand="1"/>
      </w:tblPr>
      <w:tblGrid>
        <w:gridCol w:w="3973"/>
        <w:gridCol w:w="824"/>
        <w:gridCol w:w="823"/>
        <w:gridCol w:w="823"/>
        <w:gridCol w:w="823"/>
        <w:gridCol w:w="823"/>
      </w:tblGrid>
      <w:tr w:rsidR="00CC5C8D" w:rsidRPr="004A25C2" w:rsidTr="00CC5C8D">
        <w:trPr>
          <w:trHeight w:val="255"/>
          <w:tblHeader/>
          <w:jc w:val="center"/>
        </w:trPr>
        <w:tc>
          <w:tcPr>
            <w:tcW w:w="3973" w:type="dxa"/>
            <w:tcBorders>
              <w:top w:val="single" w:sz="4" w:space="0" w:color="auto"/>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41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Terminados</w:t>
            </w:r>
          </w:p>
        </w:tc>
      </w:tr>
      <w:tr w:rsidR="00CC5C8D" w:rsidRPr="004A25C2" w:rsidTr="00CC5C8D">
        <w:trPr>
          <w:trHeight w:val="255"/>
          <w:tblHeader/>
          <w:jc w:val="center"/>
        </w:trPr>
        <w:tc>
          <w:tcPr>
            <w:tcW w:w="397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Motivo de Término</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Total</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65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114</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Votos de Fondo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51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48</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Sin lugar</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27</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confirma</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revoca</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Con lugar</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17</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Parcialmente con lugar</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revoca parciamente</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anula el voto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Acoge</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Otros Votos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37</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71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59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66</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Rechazado de plano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56</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resuelve competencia</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rechaza de plano por extempor.</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Se declara inadmisible el recurso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Auto de pase en competencias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Auto de pase</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Desistido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Rechazado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Deniega</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397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lastRenderedPageBreak/>
              <w:t>Otros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r>
      <w:tr w:rsidR="00CC5C8D" w:rsidRPr="004A25C2" w:rsidTr="00CC5C8D">
        <w:trPr>
          <w:trHeight w:val="255"/>
          <w:jc w:val="center"/>
        </w:trPr>
        <w:tc>
          <w:tcPr>
            <w:tcW w:w="397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Las características de los procesos fenecidos en casación contenciosa administrativa determinan para el 2015 la emisión de 48 votos de fondo (42,1%) y de 66 determinaciones de otro tipo (57,9%), siendo menor el porcentaje de los votos de fondo en todos los períodos del quinquenio, con excepción al 2011.    </w:t>
      </w:r>
    </w:p>
    <w:p w:rsidR="00CC5C8D" w:rsidRPr="004A25C2" w:rsidRDefault="00CC5C8D" w:rsidP="00CC5C8D">
      <w:pPr>
        <w:spacing w:line="360" w:lineRule="auto"/>
        <w:jc w:val="both"/>
        <w:rPr>
          <w:rFonts w:ascii="Times New Roman" w:hAnsi="Times New Roman" w:cs="Times New Roman"/>
          <w:sz w:val="28"/>
          <w:szCs w:val="28"/>
        </w:rPr>
      </w:pPr>
    </w:p>
    <w:tbl>
      <w:tblPr>
        <w:tblW w:w="6101" w:type="dxa"/>
        <w:jc w:val="center"/>
        <w:tblCellMar>
          <w:left w:w="70" w:type="dxa"/>
          <w:right w:w="70" w:type="dxa"/>
        </w:tblCellMar>
        <w:tblLook w:val="04A0" w:firstRow="1" w:lastRow="0" w:firstColumn="1" w:lastColumn="0" w:noHBand="0" w:noVBand="1"/>
      </w:tblPr>
      <w:tblGrid>
        <w:gridCol w:w="1985"/>
        <w:gridCol w:w="824"/>
        <w:gridCol w:w="823"/>
        <w:gridCol w:w="823"/>
        <w:gridCol w:w="823"/>
        <w:gridCol w:w="823"/>
      </w:tblGrid>
      <w:tr w:rsidR="00CC5C8D" w:rsidRPr="004A25C2" w:rsidTr="00CC5C8D">
        <w:trPr>
          <w:trHeight w:val="255"/>
          <w:tblHeader/>
          <w:jc w:val="center"/>
        </w:trPr>
        <w:tc>
          <w:tcPr>
            <w:tcW w:w="1985" w:type="dxa"/>
            <w:tcBorders>
              <w:top w:val="single" w:sz="4" w:space="0" w:color="auto"/>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4116" w:type="dxa"/>
            <w:gridSpan w:val="5"/>
            <w:tcBorders>
              <w:top w:val="single" w:sz="4" w:space="0" w:color="auto"/>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Casos Terminados</w:t>
            </w:r>
          </w:p>
        </w:tc>
      </w:tr>
      <w:tr w:rsidR="00CC5C8D" w:rsidRPr="004A25C2" w:rsidTr="00CC5C8D">
        <w:trPr>
          <w:trHeight w:val="255"/>
          <w:tblHeader/>
          <w:jc w:val="center"/>
        </w:trPr>
        <w:tc>
          <w:tcPr>
            <w:tcW w:w="1985"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Tipo de Voto</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1985"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1985"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Total</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22</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65</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114</w:t>
            </w:r>
          </w:p>
        </w:tc>
      </w:tr>
      <w:tr w:rsidR="00CC5C8D" w:rsidRPr="004A25C2" w:rsidTr="00CC5C8D">
        <w:trPr>
          <w:trHeight w:val="255"/>
          <w:jc w:val="center"/>
        </w:trPr>
        <w:tc>
          <w:tcPr>
            <w:tcW w:w="1985"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Votos de Fondo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48</w:t>
            </w:r>
          </w:p>
        </w:tc>
      </w:tr>
      <w:tr w:rsidR="00CC5C8D" w:rsidRPr="004A25C2" w:rsidTr="00CC5C8D">
        <w:trPr>
          <w:trHeight w:val="255"/>
          <w:jc w:val="center"/>
        </w:trPr>
        <w:tc>
          <w:tcPr>
            <w:tcW w:w="1985"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Otros Votos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8</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37</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71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66</w:t>
            </w:r>
          </w:p>
        </w:tc>
      </w:tr>
      <w:tr w:rsidR="00CC5C8D" w:rsidRPr="004A25C2" w:rsidTr="00CC5C8D">
        <w:trPr>
          <w:trHeight w:val="255"/>
          <w:jc w:val="center"/>
        </w:trPr>
        <w:tc>
          <w:tcPr>
            <w:tcW w:w="1985"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4"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823"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1985"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Total</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100,0</w:t>
            </w:r>
          </w:p>
        </w:tc>
      </w:tr>
      <w:tr w:rsidR="00CC5C8D" w:rsidRPr="004A25C2" w:rsidTr="00CC5C8D">
        <w:trPr>
          <w:trHeight w:val="255"/>
          <w:jc w:val="center"/>
        </w:trPr>
        <w:tc>
          <w:tcPr>
            <w:tcW w:w="1985"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Votos de Fondo</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63,6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43,1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34,9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46,4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42,1</w:t>
            </w:r>
          </w:p>
        </w:tc>
      </w:tr>
      <w:tr w:rsidR="00CC5C8D" w:rsidRPr="004A25C2" w:rsidTr="00CC5C8D">
        <w:trPr>
          <w:trHeight w:val="255"/>
          <w:jc w:val="center"/>
        </w:trPr>
        <w:tc>
          <w:tcPr>
            <w:tcW w:w="1985"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Otros Votos</w:t>
            </w:r>
          </w:p>
        </w:tc>
        <w:tc>
          <w:tcPr>
            <w:tcW w:w="824"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36,4</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56,9</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65,1</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53,6</w:t>
            </w:r>
          </w:p>
        </w:tc>
        <w:tc>
          <w:tcPr>
            <w:tcW w:w="823"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57,9</w:t>
            </w:r>
          </w:p>
        </w:tc>
      </w:tr>
      <w:tr w:rsidR="00CC5C8D" w:rsidRPr="004A25C2" w:rsidTr="00CC5C8D">
        <w:trPr>
          <w:trHeight w:val="255"/>
          <w:jc w:val="center"/>
        </w:trPr>
        <w:tc>
          <w:tcPr>
            <w:tcW w:w="1985"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4"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823"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bl>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Para decretar estos votos de fondo la Sala Primera debió emplear en promedio 12 meses con una semana (un poco más del año), cálculo que supera en dos meses a la durabilidad requerida en el 2014.  </w:t>
      </w:r>
    </w:p>
    <w:p w:rsidR="00CC5C8D" w:rsidRDefault="00CC5C8D"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5184" w:type="pct"/>
        <w:jc w:val="center"/>
        <w:tblCellMar>
          <w:left w:w="70" w:type="dxa"/>
          <w:right w:w="70" w:type="dxa"/>
        </w:tblCellMar>
        <w:tblLook w:val="04A0" w:firstRow="1" w:lastRow="0" w:firstColumn="1" w:lastColumn="0" w:noHBand="0" w:noVBand="1"/>
      </w:tblPr>
      <w:tblGrid>
        <w:gridCol w:w="1743"/>
        <w:gridCol w:w="517"/>
        <w:gridCol w:w="518"/>
        <w:gridCol w:w="523"/>
        <w:gridCol w:w="518"/>
        <w:gridCol w:w="518"/>
        <w:gridCol w:w="525"/>
        <w:gridCol w:w="518"/>
        <w:gridCol w:w="518"/>
        <w:gridCol w:w="525"/>
        <w:gridCol w:w="518"/>
        <w:gridCol w:w="518"/>
        <w:gridCol w:w="525"/>
        <w:gridCol w:w="518"/>
        <w:gridCol w:w="518"/>
        <w:gridCol w:w="516"/>
        <w:gridCol w:w="15"/>
      </w:tblGrid>
      <w:tr w:rsidR="00CC5C8D" w:rsidRPr="004A25C2" w:rsidTr="00CC5C8D">
        <w:trPr>
          <w:trHeight w:val="245"/>
          <w:tblHeader/>
          <w:jc w:val="center"/>
        </w:trPr>
        <w:tc>
          <w:tcPr>
            <w:tcW w:w="913" w:type="pct"/>
            <w:tcBorders>
              <w:top w:val="single" w:sz="4" w:space="0" w:color="auto"/>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lastRenderedPageBreak/>
              <w:t> </w:t>
            </w:r>
          </w:p>
        </w:tc>
        <w:tc>
          <w:tcPr>
            <w:tcW w:w="4087" w:type="pct"/>
            <w:gridSpan w:val="16"/>
            <w:tcBorders>
              <w:top w:val="single" w:sz="4" w:space="0" w:color="auto"/>
              <w:left w:val="single" w:sz="4" w:space="0" w:color="auto"/>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Duración de los Votos de Fondo</w:t>
            </w:r>
          </w:p>
        </w:tc>
      </w:tr>
      <w:tr w:rsidR="00CC5C8D" w:rsidRPr="004A25C2" w:rsidTr="00CC5C8D">
        <w:trPr>
          <w:trHeight w:val="245"/>
          <w:tblHeader/>
          <w:jc w:val="center"/>
        </w:trPr>
        <w:tc>
          <w:tcPr>
            <w:tcW w:w="913"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Tipo de</w:t>
            </w:r>
          </w:p>
        </w:tc>
        <w:tc>
          <w:tcPr>
            <w:tcW w:w="4087" w:type="pct"/>
            <w:gridSpan w:val="16"/>
            <w:tcBorders>
              <w:top w:val="single" w:sz="4" w:space="0" w:color="auto"/>
              <w:left w:val="single" w:sz="4" w:space="0" w:color="auto"/>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(V = Votos M = Meses S = Semanas)</w:t>
            </w:r>
          </w:p>
        </w:tc>
      </w:tr>
      <w:tr w:rsidR="00CC5C8D" w:rsidRPr="004A25C2" w:rsidTr="00CC5C8D">
        <w:trPr>
          <w:trHeight w:val="245"/>
          <w:tblHeader/>
          <w:jc w:val="center"/>
        </w:trPr>
        <w:tc>
          <w:tcPr>
            <w:tcW w:w="913"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Resolución</w:t>
            </w:r>
          </w:p>
        </w:tc>
        <w:tc>
          <w:tcPr>
            <w:tcW w:w="8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2011</w:t>
            </w:r>
          </w:p>
        </w:tc>
        <w:tc>
          <w:tcPr>
            <w:tcW w:w="8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2012</w:t>
            </w:r>
          </w:p>
        </w:tc>
        <w:tc>
          <w:tcPr>
            <w:tcW w:w="81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2013</w:t>
            </w:r>
          </w:p>
        </w:tc>
        <w:tc>
          <w:tcPr>
            <w:tcW w:w="81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2014</w:t>
            </w:r>
          </w:p>
        </w:tc>
        <w:tc>
          <w:tcPr>
            <w:tcW w:w="819" w:type="pct"/>
            <w:gridSpan w:val="4"/>
            <w:tcBorders>
              <w:top w:val="single" w:sz="4" w:space="0" w:color="auto"/>
              <w:left w:val="single" w:sz="4" w:space="0" w:color="auto"/>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2015</w:t>
            </w:r>
          </w:p>
        </w:tc>
      </w:tr>
      <w:tr w:rsidR="00CC5C8D" w:rsidRPr="004A25C2" w:rsidTr="00CC5C8D">
        <w:trPr>
          <w:gridAfter w:val="1"/>
          <w:wAfter w:w="9" w:type="pct"/>
          <w:trHeight w:val="245"/>
          <w:tblHeader/>
          <w:jc w:val="center"/>
        </w:trPr>
        <w:tc>
          <w:tcPr>
            <w:tcW w:w="910"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t> </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V</w:t>
            </w:r>
          </w:p>
        </w:tc>
        <w:tc>
          <w:tcPr>
            <w:tcW w:w="271"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M</w:t>
            </w:r>
          </w:p>
        </w:tc>
        <w:tc>
          <w:tcPr>
            <w:tcW w:w="273"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S</w:t>
            </w:r>
          </w:p>
        </w:tc>
        <w:tc>
          <w:tcPr>
            <w:tcW w:w="271"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V</w:t>
            </w:r>
          </w:p>
        </w:tc>
        <w:tc>
          <w:tcPr>
            <w:tcW w:w="271"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M</w:t>
            </w:r>
          </w:p>
        </w:tc>
        <w:tc>
          <w:tcPr>
            <w:tcW w:w="275"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S</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V</w:t>
            </w:r>
          </w:p>
        </w:tc>
        <w:tc>
          <w:tcPr>
            <w:tcW w:w="271"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M</w:t>
            </w:r>
          </w:p>
        </w:tc>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S</w:t>
            </w:r>
          </w:p>
        </w:tc>
        <w:tc>
          <w:tcPr>
            <w:tcW w:w="271"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V</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M</w:t>
            </w:r>
          </w:p>
        </w:tc>
        <w:tc>
          <w:tcPr>
            <w:tcW w:w="275"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S</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V</w:t>
            </w:r>
          </w:p>
        </w:tc>
        <w:tc>
          <w:tcPr>
            <w:tcW w:w="271"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M</w:t>
            </w:r>
          </w:p>
        </w:tc>
        <w:tc>
          <w:tcPr>
            <w:tcW w:w="270" w:type="pct"/>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S</w:t>
            </w:r>
          </w:p>
        </w:tc>
      </w:tr>
      <w:tr w:rsidR="00CC5C8D" w:rsidRPr="004A25C2" w:rsidTr="00CC5C8D">
        <w:trPr>
          <w:gridAfter w:val="1"/>
          <w:wAfter w:w="9" w:type="pct"/>
          <w:trHeight w:val="245"/>
          <w:jc w:val="center"/>
        </w:trPr>
        <w:tc>
          <w:tcPr>
            <w:tcW w:w="910"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3"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p>
        </w:tc>
        <w:tc>
          <w:tcPr>
            <w:tcW w:w="275" w:type="pct"/>
            <w:tcBorders>
              <w:top w:val="nil"/>
              <w:left w:val="single" w:sz="4" w:space="0" w:color="auto"/>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0"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p>
        </w:tc>
      </w:tr>
      <w:tr w:rsidR="00CC5C8D" w:rsidRPr="004A25C2" w:rsidTr="00CC5C8D">
        <w:trPr>
          <w:gridAfter w:val="1"/>
          <w:wAfter w:w="9" w:type="pct"/>
          <w:trHeight w:val="245"/>
          <w:jc w:val="center"/>
        </w:trPr>
        <w:tc>
          <w:tcPr>
            <w:tcW w:w="910"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Total</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14</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7</w:t>
            </w:r>
          </w:p>
        </w:tc>
        <w:tc>
          <w:tcPr>
            <w:tcW w:w="273"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2</w:t>
            </w:r>
          </w:p>
        </w:tc>
        <w:tc>
          <w:tcPr>
            <w:tcW w:w="271"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28</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4</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3</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38</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10</w:t>
            </w:r>
          </w:p>
        </w:tc>
        <w:tc>
          <w:tcPr>
            <w:tcW w:w="275" w:type="pct"/>
            <w:tcBorders>
              <w:top w:val="nil"/>
              <w:left w:val="single" w:sz="4" w:space="0" w:color="auto"/>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2</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51</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10</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1</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48</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12</w:t>
            </w:r>
          </w:p>
        </w:tc>
        <w:tc>
          <w:tcPr>
            <w:tcW w:w="270"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sz w:val="20"/>
                <w:szCs w:val="20"/>
              </w:rPr>
            </w:pPr>
            <w:r w:rsidRPr="004A25C2">
              <w:rPr>
                <w:rFonts w:ascii="Times New Roman" w:hAnsi="Times New Roman" w:cs="Times New Roman"/>
                <w:b/>
                <w:bCs/>
                <w:sz w:val="20"/>
                <w:szCs w:val="20"/>
              </w:rPr>
              <w:t>1</w:t>
            </w:r>
          </w:p>
        </w:tc>
      </w:tr>
      <w:tr w:rsidR="00CC5C8D" w:rsidRPr="004A25C2" w:rsidTr="00CC5C8D">
        <w:trPr>
          <w:gridAfter w:val="1"/>
          <w:wAfter w:w="9" w:type="pct"/>
          <w:trHeight w:val="245"/>
          <w:jc w:val="center"/>
        </w:trPr>
        <w:tc>
          <w:tcPr>
            <w:tcW w:w="910"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 </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p>
        </w:tc>
        <w:tc>
          <w:tcPr>
            <w:tcW w:w="273"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 </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 </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 </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p>
        </w:tc>
        <w:tc>
          <w:tcPr>
            <w:tcW w:w="275" w:type="pct"/>
            <w:tcBorders>
              <w:top w:val="nil"/>
              <w:left w:val="single" w:sz="4" w:space="0" w:color="auto"/>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 </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 </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 </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 </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 </w:t>
            </w:r>
          </w:p>
        </w:tc>
        <w:tc>
          <w:tcPr>
            <w:tcW w:w="270"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p>
        </w:tc>
      </w:tr>
      <w:tr w:rsidR="00CC5C8D" w:rsidRPr="004A25C2" w:rsidTr="00CC5C8D">
        <w:trPr>
          <w:gridAfter w:val="1"/>
          <w:wAfter w:w="9" w:type="pct"/>
          <w:trHeight w:val="245"/>
          <w:jc w:val="center"/>
        </w:trPr>
        <w:tc>
          <w:tcPr>
            <w:tcW w:w="910"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t xml:space="preserve">Con lugar </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3"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4</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3</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8</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9</w:t>
            </w:r>
          </w:p>
        </w:tc>
        <w:tc>
          <w:tcPr>
            <w:tcW w:w="275" w:type="pct"/>
            <w:tcBorders>
              <w:top w:val="nil"/>
              <w:left w:val="single" w:sz="4" w:space="0" w:color="auto"/>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16</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8</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17</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10</w:t>
            </w:r>
          </w:p>
        </w:tc>
        <w:tc>
          <w:tcPr>
            <w:tcW w:w="270"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3</w:t>
            </w:r>
          </w:p>
        </w:tc>
      </w:tr>
      <w:tr w:rsidR="00CC5C8D" w:rsidRPr="004A25C2" w:rsidTr="00CC5C8D">
        <w:trPr>
          <w:gridAfter w:val="1"/>
          <w:wAfter w:w="9" w:type="pct"/>
          <w:trHeight w:val="245"/>
          <w:jc w:val="center"/>
        </w:trPr>
        <w:tc>
          <w:tcPr>
            <w:tcW w:w="910" w:type="pct"/>
            <w:tcBorders>
              <w:top w:val="nil"/>
              <w:left w:val="nil"/>
              <w:bottom w:val="nil"/>
              <w:right w:val="nil"/>
            </w:tcBorders>
            <w:shd w:val="clear" w:color="auto" w:fill="auto"/>
            <w:noWrap/>
            <w:vAlign w:val="center"/>
            <w:hideMark/>
          </w:tcPr>
          <w:p w:rsidR="00CC5C8D" w:rsidRPr="004A25C2" w:rsidRDefault="00CC5C8D" w:rsidP="00CC5C8D">
            <w:pPr>
              <w:ind w:right="-452"/>
              <w:rPr>
                <w:rFonts w:ascii="Times New Roman" w:hAnsi="Times New Roman" w:cs="Times New Roman"/>
                <w:sz w:val="20"/>
                <w:szCs w:val="20"/>
              </w:rPr>
            </w:pPr>
            <w:r w:rsidRPr="004A25C2">
              <w:rPr>
                <w:rFonts w:ascii="Times New Roman" w:hAnsi="Times New Roman" w:cs="Times New Roman"/>
                <w:sz w:val="20"/>
                <w:szCs w:val="20"/>
              </w:rPr>
              <w:t xml:space="preserve">Sin lugar </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3"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24</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5</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27</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10</w:t>
            </w:r>
          </w:p>
        </w:tc>
        <w:tc>
          <w:tcPr>
            <w:tcW w:w="275" w:type="pct"/>
            <w:tcBorders>
              <w:top w:val="nil"/>
              <w:left w:val="single" w:sz="4" w:space="0" w:color="auto"/>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3</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35</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11</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27</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13</w:t>
            </w:r>
          </w:p>
        </w:tc>
        <w:tc>
          <w:tcPr>
            <w:tcW w:w="270"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r>
      <w:tr w:rsidR="00CC5C8D" w:rsidRPr="004A25C2" w:rsidTr="00CC5C8D">
        <w:trPr>
          <w:gridAfter w:val="1"/>
          <w:wAfter w:w="9" w:type="pct"/>
          <w:trHeight w:val="245"/>
          <w:jc w:val="center"/>
        </w:trPr>
        <w:tc>
          <w:tcPr>
            <w:tcW w:w="910"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t xml:space="preserve">Parcial con lugar </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3"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2</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18</w:t>
            </w:r>
          </w:p>
        </w:tc>
        <w:tc>
          <w:tcPr>
            <w:tcW w:w="275" w:type="pct"/>
            <w:tcBorders>
              <w:top w:val="nil"/>
              <w:left w:val="single" w:sz="4" w:space="0" w:color="auto"/>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3</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0"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r>
      <w:tr w:rsidR="00CC5C8D" w:rsidRPr="004A25C2" w:rsidTr="00CC5C8D">
        <w:trPr>
          <w:gridAfter w:val="1"/>
          <w:wAfter w:w="9" w:type="pct"/>
          <w:trHeight w:val="245"/>
          <w:jc w:val="center"/>
        </w:trPr>
        <w:tc>
          <w:tcPr>
            <w:tcW w:w="910"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t>Se acoge</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3"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4</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0"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r>
      <w:tr w:rsidR="00CC5C8D" w:rsidRPr="004A25C2" w:rsidTr="00CC5C8D">
        <w:trPr>
          <w:gridAfter w:val="1"/>
          <w:wAfter w:w="9" w:type="pct"/>
          <w:trHeight w:val="245"/>
          <w:jc w:val="center"/>
        </w:trPr>
        <w:tc>
          <w:tcPr>
            <w:tcW w:w="910" w:type="pct"/>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t>Se anula</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3"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nil"/>
              <w:bottom w:val="nil"/>
              <w:right w:val="nil"/>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1</w:t>
            </w:r>
          </w:p>
        </w:tc>
        <w:tc>
          <w:tcPr>
            <w:tcW w:w="271"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2</w:t>
            </w:r>
          </w:p>
        </w:tc>
        <w:tc>
          <w:tcPr>
            <w:tcW w:w="275" w:type="pct"/>
            <w:tcBorders>
              <w:top w:val="nil"/>
              <w:left w:val="single" w:sz="4" w:space="0" w:color="auto"/>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5"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1" w:type="pct"/>
            <w:tcBorders>
              <w:top w:val="nil"/>
              <w:left w:val="single" w:sz="4" w:space="0" w:color="auto"/>
              <w:bottom w:val="nil"/>
              <w:right w:val="single" w:sz="4" w:space="0" w:color="auto"/>
            </w:tcBorders>
            <w:shd w:val="clear" w:color="000000" w:fill="C0C0C0"/>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0</w:t>
            </w:r>
          </w:p>
        </w:tc>
        <w:tc>
          <w:tcPr>
            <w:tcW w:w="271" w:type="pct"/>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c>
          <w:tcPr>
            <w:tcW w:w="270" w:type="pct"/>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sz w:val="20"/>
                <w:szCs w:val="20"/>
              </w:rPr>
            </w:pPr>
            <w:r w:rsidRPr="004A25C2">
              <w:rPr>
                <w:rFonts w:ascii="Times New Roman" w:hAnsi="Times New Roman" w:cs="Times New Roman"/>
                <w:sz w:val="20"/>
                <w:szCs w:val="20"/>
              </w:rPr>
              <w:t>---</w:t>
            </w:r>
          </w:p>
        </w:tc>
      </w:tr>
      <w:tr w:rsidR="00CC5C8D" w:rsidRPr="004A25C2" w:rsidTr="00CC5C8D">
        <w:trPr>
          <w:gridAfter w:val="1"/>
          <w:wAfter w:w="9" w:type="pct"/>
          <w:trHeight w:val="245"/>
          <w:jc w:val="center"/>
        </w:trPr>
        <w:tc>
          <w:tcPr>
            <w:tcW w:w="910"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t> </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t> </w:t>
            </w:r>
          </w:p>
        </w:tc>
        <w:tc>
          <w:tcPr>
            <w:tcW w:w="271"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5"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5" w:type="pct"/>
            <w:tcBorders>
              <w:top w:val="nil"/>
              <w:left w:val="single" w:sz="4" w:space="0" w:color="auto"/>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5"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1" w:type="pct"/>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c>
          <w:tcPr>
            <w:tcW w:w="270" w:type="pct"/>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b/>
                <w:bCs/>
                <w:sz w:val="20"/>
                <w:szCs w:val="20"/>
              </w:rPr>
            </w:pPr>
            <w:r w:rsidRPr="004A25C2">
              <w:rPr>
                <w:rFonts w:ascii="Times New Roman" w:hAnsi="Times New Roman" w:cs="Times New Roman"/>
                <w:b/>
                <w:bCs/>
                <w:sz w:val="20"/>
                <w:szCs w:val="20"/>
              </w:rPr>
              <w:t> </w:t>
            </w:r>
          </w:p>
        </w:tc>
      </w:tr>
      <w:tr w:rsidR="00CC5C8D" w:rsidRPr="004A25C2" w:rsidTr="00CC5C8D">
        <w:trPr>
          <w:trHeight w:val="245"/>
          <w:jc w:val="center"/>
        </w:trPr>
        <w:tc>
          <w:tcPr>
            <w:tcW w:w="4997" w:type="pct"/>
            <w:gridSpan w:val="17"/>
            <w:tcBorders>
              <w:top w:val="single" w:sz="4" w:space="0" w:color="auto"/>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t xml:space="preserve">* Para el 2011 no se dispone de la información según tipo de resolución. </w:t>
            </w:r>
          </w:p>
        </w:tc>
      </w:tr>
      <w:tr w:rsidR="00CC5C8D" w:rsidRPr="004A25C2" w:rsidTr="00CC5C8D">
        <w:trPr>
          <w:trHeight w:val="245"/>
          <w:jc w:val="center"/>
        </w:trPr>
        <w:tc>
          <w:tcPr>
            <w:tcW w:w="4997" w:type="pct"/>
            <w:gridSpan w:val="17"/>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sz w:val="20"/>
                <w:szCs w:val="20"/>
              </w:rPr>
            </w:pPr>
            <w:r w:rsidRPr="004A25C2">
              <w:rPr>
                <w:rFonts w:ascii="Times New Roman" w:hAnsi="Times New Roman" w:cs="Times New Roman"/>
                <w:sz w:val="20"/>
                <w:szCs w:val="20"/>
              </w:rPr>
              <w:t xml:space="preserve">** Para el 2015 no se dispone de la información de 4 votos, en los cuales se acogió lo sometido a esta instancia. </w:t>
            </w:r>
          </w:p>
        </w:tc>
      </w:tr>
    </w:tbl>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En términos concretos, los 17 votos fallados con lugar externaron una media de 10 meses tres semanas, mientras que los 27 estimados sin lugar ocuparon un promedio de 13 meses exactos. En este sentido, se advierte que no se dispone de la información de cuatro asuntos, en los cuales se acogió lo sometido a esta instancia procesal, en la vía contenciosa. </w:t>
      </w:r>
    </w:p>
    <w:p w:rsidR="00CC5C8D" w:rsidRPr="004A25C2" w:rsidRDefault="00CC5C8D" w:rsidP="00CC5C8D">
      <w:pPr>
        <w:spacing w:line="360" w:lineRule="auto"/>
        <w:jc w:val="both"/>
        <w:rPr>
          <w:rFonts w:ascii="Times New Roman" w:hAnsi="Times New Roman" w:cs="Times New Roman"/>
          <w:sz w:val="28"/>
          <w:szCs w:val="28"/>
        </w:rPr>
      </w:pPr>
    </w:p>
    <w:p w:rsidR="00CC5C8D" w:rsidRPr="004A25C2" w:rsidRDefault="00CC5C8D" w:rsidP="00CC5C8D">
      <w:pPr>
        <w:spacing w:line="360" w:lineRule="auto"/>
        <w:jc w:val="both"/>
        <w:rPr>
          <w:rFonts w:ascii="Times New Roman" w:hAnsi="Times New Roman" w:cs="Times New Roman"/>
          <w:sz w:val="28"/>
          <w:szCs w:val="28"/>
        </w:rPr>
      </w:pPr>
      <w:r w:rsidRPr="004A25C2">
        <w:rPr>
          <w:rFonts w:ascii="Times New Roman" w:hAnsi="Times New Roman" w:cs="Times New Roman"/>
          <w:sz w:val="28"/>
          <w:szCs w:val="28"/>
        </w:rPr>
        <w:t xml:space="preserve">Finalmente, en la siguiente tabla se profundiza -en períodos mensuales- sobre la duración de los votos dictados por el fondo en la Sala Primera, en su calidad de Tribunal de Casación en materia Contenciosa Administrativa; esto durante el último quinquenio. </w:t>
      </w:r>
    </w:p>
    <w:p w:rsidR="00CC5C8D" w:rsidRDefault="00CC5C8D"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Default="003D114B" w:rsidP="00CC5C8D">
      <w:pPr>
        <w:spacing w:line="360" w:lineRule="auto"/>
        <w:jc w:val="both"/>
        <w:rPr>
          <w:rFonts w:ascii="Times New Roman" w:hAnsi="Times New Roman" w:cs="Times New Roman"/>
          <w:sz w:val="28"/>
          <w:szCs w:val="28"/>
        </w:rPr>
      </w:pPr>
    </w:p>
    <w:p w:rsidR="003D114B" w:rsidRPr="004A25C2" w:rsidRDefault="003D114B" w:rsidP="00CC5C8D">
      <w:pPr>
        <w:spacing w:line="360" w:lineRule="auto"/>
        <w:jc w:val="both"/>
        <w:rPr>
          <w:rFonts w:ascii="Times New Roman" w:hAnsi="Times New Roman" w:cs="Times New Roman"/>
          <w:sz w:val="28"/>
          <w:szCs w:val="28"/>
        </w:rPr>
      </w:pPr>
    </w:p>
    <w:tbl>
      <w:tblPr>
        <w:tblW w:w="7027" w:type="dxa"/>
        <w:jc w:val="center"/>
        <w:tblCellMar>
          <w:left w:w="70" w:type="dxa"/>
          <w:right w:w="70" w:type="dxa"/>
        </w:tblCellMar>
        <w:tblLook w:val="04A0" w:firstRow="1" w:lastRow="0" w:firstColumn="1" w:lastColumn="0" w:noHBand="0" w:noVBand="1"/>
      </w:tblPr>
      <w:tblGrid>
        <w:gridCol w:w="1960"/>
        <w:gridCol w:w="1054"/>
        <w:gridCol w:w="969"/>
        <w:gridCol w:w="1059"/>
        <w:gridCol w:w="1015"/>
        <w:gridCol w:w="970"/>
      </w:tblGrid>
      <w:tr w:rsidR="00CC5C8D" w:rsidRPr="004A25C2" w:rsidTr="00CC5C8D">
        <w:trPr>
          <w:trHeight w:val="255"/>
          <w:tblHeader/>
          <w:jc w:val="center"/>
        </w:trPr>
        <w:tc>
          <w:tcPr>
            <w:tcW w:w="1960" w:type="dxa"/>
            <w:tcBorders>
              <w:top w:val="single" w:sz="4" w:space="0" w:color="auto"/>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5067" w:type="dxa"/>
            <w:gridSpan w:val="5"/>
            <w:tcBorders>
              <w:top w:val="single" w:sz="4" w:space="0" w:color="auto"/>
              <w:left w:val="single" w:sz="4" w:space="0" w:color="auto"/>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Votos de Fondo</w:t>
            </w:r>
          </w:p>
        </w:tc>
      </w:tr>
      <w:tr w:rsidR="00CC5C8D" w:rsidRPr="004A25C2" w:rsidTr="00CC5C8D">
        <w:trPr>
          <w:trHeight w:val="255"/>
          <w:tblHeader/>
          <w:jc w:val="center"/>
        </w:trPr>
        <w:tc>
          <w:tcPr>
            <w:tcW w:w="1960"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Duración</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2011</w:t>
            </w:r>
          </w:p>
        </w:tc>
        <w:tc>
          <w:tcPr>
            <w:tcW w:w="969"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2012</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2013</w:t>
            </w:r>
          </w:p>
        </w:tc>
        <w:tc>
          <w:tcPr>
            <w:tcW w:w="1015" w:type="dxa"/>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2014</w:t>
            </w:r>
          </w:p>
        </w:tc>
        <w:tc>
          <w:tcPr>
            <w:tcW w:w="970" w:type="dxa"/>
            <w:tcBorders>
              <w:top w:val="nil"/>
              <w:left w:val="nil"/>
              <w:bottom w:val="single" w:sz="4" w:space="0" w:color="auto"/>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2015</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b/>
                <w:bCs/>
              </w:rPr>
            </w:pPr>
            <w:r w:rsidRPr="004A25C2">
              <w:rPr>
                <w:rFonts w:ascii="Times New Roman" w:hAnsi="Times New Roman" w:cs="Times New Roman"/>
                <w:b/>
                <w:bCs/>
              </w:rPr>
              <w:t>Total</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14</w:t>
            </w:r>
          </w:p>
        </w:tc>
        <w:tc>
          <w:tcPr>
            <w:tcW w:w="969"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28</w:t>
            </w:r>
          </w:p>
        </w:tc>
        <w:tc>
          <w:tcPr>
            <w:tcW w:w="1059"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38</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51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b/>
                <w:bCs/>
              </w:rPr>
            </w:pPr>
            <w:r w:rsidRPr="004A25C2">
              <w:rPr>
                <w:rFonts w:ascii="Times New Roman" w:hAnsi="Times New Roman" w:cs="Times New Roman"/>
                <w:b/>
                <w:bCs/>
              </w:rPr>
              <w:t>48</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 </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 </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 </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Menos de 1 mes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 mes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2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3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4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6</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5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6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7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8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9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10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15" w:type="dxa"/>
            <w:tcBorders>
              <w:top w:val="nil"/>
              <w:left w:val="nil"/>
              <w:bottom w:val="nil"/>
              <w:right w:val="single" w:sz="4" w:space="0" w:color="auto"/>
            </w:tcBorders>
            <w:shd w:val="clear" w:color="auto" w:fill="auto"/>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11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5</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12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13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14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15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16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17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18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20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21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22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2</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23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24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3</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25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26 meses</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1</w:t>
            </w:r>
          </w:p>
        </w:tc>
      </w:tr>
      <w:tr w:rsidR="00CC5C8D" w:rsidRPr="004A25C2" w:rsidTr="00CC5C8D">
        <w:trPr>
          <w:trHeight w:val="255"/>
          <w:jc w:val="center"/>
        </w:trPr>
        <w:tc>
          <w:tcPr>
            <w:tcW w:w="1960" w:type="dxa"/>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Ignorado</w:t>
            </w:r>
          </w:p>
        </w:tc>
        <w:tc>
          <w:tcPr>
            <w:tcW w:w="1054"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69"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59" w:type="dxa"/>
            <w:tcBorders>
              <w:top w:val="nil"/>
              <w:left w:val="single" w:sz="4" w:space="0" w:color="auto"/>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1015" w:type="dxa"/>
            <w:tcBorders>
              <w:top w:val="nil"/>
              <w:left w:val="nil"/>
              <w:bottom w:val="nil"/>
              <w:right w:val="single" w:sz="4" w:space="0" w:color="auto"/>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0</w:t>
            </w:r>
          </w:p>
        </w:tc>
        <w:tc>
          <w:tcPr>
            <w:tcW w:w="970" w:type="dxa"/>
            <w:tcBorders>
              <w:top w:val="nil"/>
              <w:left w:val="nil"/>
              <w:bottom w:val="nil"/>
              <w:right w:val="nil"/>
            </w:tcBorders>
            <w:shd w:val="clear" w:color="auto" w:fill="auto"/>
            <w:noWrap/>
            <w:vAlign w:val="center"/>
            <w:hideMark/>
          </w:tcPr>
          <w:p w:rsidR="00CC5C8D" w:rsidRPr="004A25C2" w:rsidRDefault="00CC5C8D" w:rsidP="00CC5C8D">
            <w:pPr>
              <w:jc w:val="center"/>
              <w:rPr>
                <w:rFonts w:ascii="Times New Roman" w:hAnsi="Times New Roman" w:cs="Times New Roman"/>
              </w:rPr>
            </w:pPr>
            <w:r w:rsidRPr="004A25C2">
              <w:rPr>
                <w:rFonts w:ascii="Times New Roman" w:hAnsi="Times New Roman" w:cs="Times New Roman"/>
              </w:rPr>
              <w:t>4</w:t>
            </w:r>
          </w:p>
        </w:tc>
      </w:tr>
      <w:tr w:rsidR="00CC5C8D" w:rsidRPr="004A25C2" w:rsidTr="00CC5C8D">
        <w:trPr>
          <w:trHeight w:val="255"/>
          <w:jc w:val="center"/>
        </w:trPr>
        <w:tc>
          <w:tcPr>
            <w:tcW w:w="1960"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69"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1015" w:type="dxa"/>
            <w:tcBorders>
              <w:top w:val="nil"/>
              <w:left w:val="nil"/>
              <w:bottom w:val="single" w:sz="4" w:space="0" w:color="auto"/>
              <w:right w:val="single" w:sz="4" w:space="0" w:color="auto"/>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c>
          <w:tcPr>
            <w:tcW w:w="970" w:type="dxa"/>
            <w:tcBorders>
              <w:top w:val="nil"/>
              <w:left w:val="nil"/>
              <w:bottom w:val="single" w:sz="4" w:space="0" w:color="auto"/>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w:t>
            </w:r>
          </w:p>
        </w:tc>
      </w:tr>
      <w:tr w:rsidR="00CC5C8D" w:rsidRPr="004A25C2" w:rsidTr="00CC5C8D">
        <w:trPr>
          <w:trHeight w:val="255"/>
          <w:jc w:val="center"/>
        </w:trPr>
        <w:tc>
          <w:tcPr>
            <w:tcW w:w="7027" w:type="dxa"/>
            <w:gridSpan w:val="6"/>
            <w:tcBorders>
              <w:top w:val="single" w:sz="4" w:space="0" w:color="auto"/>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xml:space="preserve">* Para el 2015 no se dispone de la información de 4 votos, </w:t>
            </w:r>
          </w:p>
        </w:tc>
      </w:tr>
      <w:tr w:rsidR="00CC5C8D" w:rsidRPr="004A25C2" w:rsidTr="00CC5C8D">
        <w:trPr>
          <w:trHeight w:val="255"/>
          <w:jc w:val="center"/>
        </w:trPr>
        <w:tc>
          <w:tcPr>
            <w:tcW w:w="7027" w:type="dxa"/>
            <w:gridSpan w:val="6"/>
            <w:tcBorders>
              <w:top w:val="nil"/>
              <w:left w:val="nil"/>
              <w:bottom w:val="nil"/>
              <w:right w:val="nil"/>
            </w:tcBorders>
            <w:shd w:val="clear" w:color="auto" w:fill="auto"/>
            <w:noWrap/>
            <w:vAlign w:val="center"/>
            <w:hideMark/>
          </w:tcPr>
          <w:p w:rsidR="00CC5C8D" w:rsidRPr="004A25C2" w:rsidRDefault="00CC5C8D" w:rsidP="00CC5C8D">
            <w:pPr>
              <w:rPr>
                <w:rFonts w:ascii="Times New Roman" w:hAnsi="Times New Roman" w:cs="Times New Roman"/>
              </w:rPr>
            </w:pPr>
            <w:r w:rsidRPr="004A25C2">
              <w:rPr>
                <w:rFonts w:ascii="Times New Roman" w:hAnsi="Times New Roman" w:cs="Times New Roman"/>
              </w:rPr>
              <w:t xml:space="preserve">   en los cuales se acogió lo sometido a esta instancia. </w:t>
            </w:r>
          </w:p>
        </w:tc>
      </w:tr>
    </w:tbl>
    <w:p w:rsidR="00CC5C8D" w:rsidRPr="004A25C2" w:rsidRDefault="00CC5C8D" w:rsidP="00CC5C8D">
      <w:pPr>
        <w:spacing w:line="360" w:lineRule="auto"/>
        <w:jc w:val="both"/>
        <w:rPr>
          <w:rFonts w:ascii="Times New Roman" w:hAnsi="Times New Roman" w:cs="Times New Roman"/>
        </w:rPr>
      </w:pPr>
    </w:p>
    <w:p w:rsidR="00CC5C8D" w:rsidRPr="004A25C2" w:rsidRDefault="00CC5C8D" w:rsidP="00CC5C8D">
      <w:pPr>
        <w:rPr>
          <w:rFonts w:ascii="Times New Roman" w:hAnsi="Times New Roman" w:cs="Times New Roman"/>
          <w:sz w:val="20"/>
          <w:szCs w:val="20"/>
        </w:rPr>
      </w:pPr>
    </w:p>
    <w:p w:rsidR="00440E51" w:rsidRDefault="00440E51" w:rsidP="00440E51">
      <w:pPr>
        <w:jc w:val="right"/>
        <w:rPr>
          <w:rFonts w:ascii="Book Antiqua" w:hAnsi="Book Antiqua" w:cs="Times New Roman"/>
          <w:bCs/>
          <w:color w:val="000000"/>
        </w:rPr>
      </w:pPr>
    </w:p>
    <w:sectPr w:rsidR="00440E51" w:rsidSect="00856429">
      <w:headerReference w:type="default" r:id="rId23"/>
      <w:footerReference w:type="default" r:id="rId24"/>
      <w:pgSz w:w="12242" w:h="15842" w:code="1"/>
      <w:pgMar w:top="1418" w:right="1469"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65" w:rsidRDefault="00B45165">
      <w:r>
        <w:separator/>
      </w:r>
    </w:p>
  </w:endnote>
  <w:endnote w:type="continuationSeparator" w:id="0">
    <w:p w:rsidR="00B45165" w:rsidRDefault="00B4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B4" w:rsidRDefault="007F35C0" w:rsidP="007C0BF9">
    <w:pPr>
      <w:pStyle w:val="Piedepgina"/>
      <w:framePr w:wrap="auto" w:vAnchor="text" w:hAnchor="margin" w:xAlign="right" w:y="1"/>
      <w:rPr>
        <w:rStyle w:val="Nmerodepgina"/>
        <w:rFonts w:cs="Arial"/>
      </w:rPr>
    </w:pPr>
    <w:r>
      <w:rPr>
        <w:rStyle w:val="Nmerodepgina"/>
        <w:rFonts w:cs="Arial"/>
      </w:rPr>
      <w:fldChar w:fldCharType="begin"/>
    </w:r>
    <w:r w:rsidR="00C000B4">
      <w:rPr>
        <w:rStyle w:val="Nmerodepgina"/>
        <w:rFonts w:cs="Arial"/>
      </w:rPr>
      <w:instrText xml:space="preserve">PAGE  </w:instrText>
    </w:r>
    <w:r>
      <w:rPr>
        <w:rStyle w:val="Nmerodepgina"/>
        <w:rFonts w:cs="Arial"/>
      </w:rPr>
      <w:fldChar w:fldCharType="separate"/>
    </w:r>
    <w:r w:rsidR="004A365B">
      <w:rPr>
        <w:rStyle w:val="Nmerodepgina"/>
        <w:rFonts w:cs="Arial"/>
        <w:noProof/>
      </w:rPr>
      <w:t>8</w:t>
    </w:r>
    <w:r>
      <w:rPr>
        <w:rStyle w:val="Nmerodepgina"/>
        <w:rFonts w:cs="Arial"/>
      </w:rPr>
      <w:fldChar w:fldCharType="end"/>
    </w:r>
  </w:p>
  <w:p w:rsidR="00C000B4" w:rsidRDefault="00C000B4"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Trabajamos por el desarrollo de la administración de justicia</w:t>
    </w:r>
    <w:r>
      <w:rPr>
        <w:rFonts w:ascii="Book Antiqua" w:hAnsi="Book Antiqua" w:cs="Times New Roman"/>
        <w:b/>
        <w:bCs/>
        <w:color w:val="000000"/>
      </w:rPr>
      <w:t xml:space="preserve">       </w:t>
    </w:r>
  </w:p>
  <w:p w:rsidR="00C000B4" w:rsidRPr="003F17C3" w:rsidRDefault="00C000B4"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con proyección e innovación</w:t>
    </w:r>
  </w:p>
  <w:p w:rsidR="00C000B4" w:rsidRDefault="00C000B4" w:rsidP="00C04D8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65" w:rsidRDefault="00B45165">
      <w:r>
        <w:separator/>
      </w:r>
    </w:p>
  </w:footnote>
  <w:footnote w:type="continuationSeparator" w:id="0">
    <w:p w:rsidR="00B45165" w:rsidRDefault="00B45165">
      <w:r>
        <w:continuationSeparator/>
      </w:r>
    </w:p>
  </w:footnote>
  <w:footnote w:id="1">
    <w:p w:rsidR="00C000B4" w:rsidRPr="00761580" w:rsidRDefault="00C000B4" w:rsidP="00CC5C8D">
      <w:pPr>
        <w:pStyle w:val="Textonotapie"/>
        <w:jc w:val="both"/>
      </w:pPr>
      <w:r w:rsidRPr="00761580">
        <w:rPr>
          <w:rStyle w:val="Refdenotaalpie"/>
        </w:rPr>
        <w:footnoteRef/>
      </w:r>
      <w:r w:rsidRPr="00761580">
        <w:t xml:space="preserve"> </w:t>
      </w:r>
      <w:r w:rsidRPr="00761580">
        <w:rPr>
          <w:lang w:val="es-CR"/>
        </w:rPr>
        <w:t xml:space="preserve">La </w:t>
      </w:r>
      <w:r>
        <w:rPr>
          <w:lang w:val="es-CR"/>
        </w:rPr>
        <w:t>razón</w:t>
      </w:r>
      <w:r w:rsidRPr="00761580">
        <w:rPr>
          <w:lang w:val="es-CR"/>
        </w:rPr>
        <w:t xml:space="preserve"> de congestión mide el nivel de saturación o </w:t>
      </w:r>
      <w:r>
        <w:rPr>
          <w:lang w:val="es-CR"/>
        </w:rPr>
        <w:t xml:space="preserve">de </w:t>
      </w:r>
      <w:r w:rsidRPr="00761580">
        <w:rPr>
          <w:lang w:val="es-CR"/>
        </w:rPr>
        <w:t>retraso que tienen las oficinas judiciales y su cálculo se obtiene al dividir la carga de trabajo entre el número de casos terminados en un período definido.</w:t>
      </w:r>
    </w:p>
  </w:footnote>
  <w:footnote w:id="2">
    <w:p w:rsidR="00C000B4" w:rsidRDefault="00C000B4" w:rsidP="00CC5C8D">
      <w:pPr>
        <w:pStyle w:val="Textonotapie"/>
        <w:jc w:val="both"/>
        <w:rPr>
          <w:lang w:val="es-CR"/>
        </w:rPr>
      </w:pPr>
      <w:r w:rsidRPr="00761580">
        <w:rPr>
          <w:rStyle w:val="Refdenotaalpie"/>
        </w:rPr>
        <w:footnoteRef/>
      </w:r>
      <w:r w:rsidRPr="00761580">
        <w:t xml:space="preserve"> </w:t>
      </w:r>
      <w:r w:rsidRPr="00761580">
        <w:rPr>
          <w:lang w:val="es-CR"/>
        </w:rPr>
        <w:t>La tasa de pendencia se calcula al dividir la cantidad de asuntos pendientes entre la carga de trabajo</w:t>
      </w:r>
      <w:r>
        <w:rPr>
          <w:lang w:val="es-CR"/>
        </w:rPr>
        <w:t>, multiplicado por 100, siendo su resultado un porcentaje</w:t>
      </w:r>
      <w:r w:rsidRPr="00761580">
        <w:rPr>
          <w:lang w:val="es-CR"/>
        </w:rPr>
        <w:t>.</w:t>
      </w:r>
    </w:p>
    <w:p w:rsidR="00C000B4" w:rsidRPr="00761580" w:rsidRDefault="00C000B4" w:rsidP="00CC5C8D">
      <w:pPr>
        <w:pStyle w:val="Textonotapie"/>
        <w:jc w:val="both"/>
        <w:rPr>
          <w:lang w:val="es-CR"/>
        </w:rPr>
      </w:pPr>
    </w:p>
  </w:footnote>
  <w:footnote w:id="3">
    <w:p w:rsidR="00C000B4" w:rsidRDefault="00C000B4" w:rsidP="00CC5C8D">
      <w:pPr>
        <w:pStyle w:val="Textonotapie"/>
        <w:jc w:val="both"/>
      </w:pPr>
      <w:r w:rsidRPr="00761580">
        <w:rPr>
          <w:rStyle w:val="Refdenotaalpie"/>
        </w:rPr>
        <w:footnoteRef/>
      </w:r>
      <w:r w:rsidRPr="00761580">
        <w:t xml:space="preserve"> </w:t>
      </w:r>
      <w:r w:rsidRPr="00761580">
        <w:rPr>
          <w:lang w:val="es-CR"/>
        </w:rPr>
        <w:t>La tasa de resolución se produce del cociente de los asuntos terminados respecto a la carga de trabajo</w:t>
      </w:r>
      <w:r>
        <w:rPr>
          <w:lang w:val="es-CR"/>
        </w:rPr>
        <w:t>, multiplicado por 100, siendo</w:t>
      </w:r>
      <w:r w:rsidRPr="00761580">
        <w:rPr>
          <w:lang w:val="es-CR"/>
        </w:rPr>
        <w:t xml:space="preserve"> </w:t>
      </w:r>
      <w:r>
        <w:rPr>
          <w:lang w:val="es-CR"/>
        </w:rPr>
        <w:t xml:space="preserve">su resultado un </w:t>
      </w:r>
      <w:r w:rsidRPr="00761580">
        <w:rPr>
          <w:lang w:val="es-CR"/>
        </w:rPr>
        <w:t>porcentaje.</w:t>
      </w:r>
    </w:p>
  </w:footnote>
  <w:footnote w:id="4">
    <w:p w:rsidR="00C000B4" w:rsidRPr="00907BA3" w:rsidRDefault="00C000B4" w:rsidP="00CC5C8D">
      <w:pPr>
        <w:pStyle w:val="Textonotapie"/>
        <w:jc w:val="both"/>
        <w:rPr>
          <w:lang w:val="es-CR"/>
        </w:rPr>
      </w:pPr>
      <w:r>
        <w:rPr>
          <w:rStyle w:val="Refdenotaalpie"/>
        </w:rPr>
        <w:footnoteRef/>
      </w:r>
      <w:r>
        <w:t xml:space="preserve"> </w:t>
      </w:r>
      <w:r>
        <w:rPr>
          <w:lang w:val="es-CR"/>
        </w:rPr>
        <w:t xml:space="preserve">Entiéndase como incompetencias entradas en la tabla o conflictos de competencia. </w:t>
      </w:r>
    </w:p>
  </w:footnote>
  <w:footnote w:id="5">
    <w:p w:rsidR="00C000B4" w:rsidRDefault="00C000B4" w:rsidP="00CC5C8D">
      <w:pPr>
        <w:pStyle w:val="Textonotapie"/>
      </w:pPr>
      <w:r>
        <w:rPr>
          <w:rStyle w:val="Refdenotaalpie"/>
        </w:rPr>
        <w:footnoteRef/>
      </w:r>
      <w:r>
        <w:t xml:space="preserve"> Cálculo de (70+176+27+27) / 324, multiplicado por 100, de la tabla por tipo de resolución. </w:t>
      </w:r>
    </w:p>
    <w:p w:rsidR="00C000B4" w:rsidRPr="001B734A" w:rsidRDefault="00C000B4" w:rsidP="00CC5C8D">
      <w:pPr>
        <w:pStyle w:val="Textonotapie"/>
      </w:pPr>
    </w:p>
  </w:footnote>
  <w:footnote w:id="6">
    <w:p w:rsidR="00C000B4" w:rsidRPr="001B734A" w:rsidRDefault="00C000B4" w:rsidP="00CC5C8D">
      <w:pPr>
        <w:pStyle w:val="Textonotapie"/>
      </w:pPr>
      <w:r>
        <w:rPr>
          <w:rStyle w:val="Refdenotaalpie"/>
        </w:rPr>
        <w:footnoteRef/>
      </w:r>
      <w:r>
        <w:t xml:space="preserve"> Cálculo de (359+259+119) / 833, multiplicado por 100, de la tabla por tipo de resolución.</w:t>
      </w:r>
    </w:p>
  </w:footnote>
  <w:footnote w:id="7">
    <w:p w:rsidR="00C000B4" w:rsidRPr="00D473E0" w:rsidRDefault="00C000B4" w:rsidP="00CC5C8D">
      <w:pPr>
        <w:pStyle w:val="Textonotapie"/>
        <w:jc w:val="both"/>
        <w:rPr>
          <w:lang w:val="es-CR"/>
        </w:rPr>
      </w:pPr>
      <w:r>
        <w:rPr>
          <w:rStyle w:val="Refdenotaalpie"/>
        </w:rPr>
        <w:footnoteRef/>
      </w:r>
      <w:r>
        <w:t xml:space="preserve"> </w:t>
      </w:r>
      <w:r>
        <w:rPr>
          <w:lang w:val="es-CR"/>
        </w:rPr>
        <w:t xml:space="preserve">Las definiciones de los indicadores de gestión judicial se delimitaron en el primer apartado del presente análisis, e igualmente aplican para estas labores especiales de la Sala Primera, en función </w:t>
      </w:r>
      <w:r w:rsidRPr="004A25C2">
        <w:rPr>
          <w:sz w:val="18"/>
          <w:szCs w:val="18"/>
          <w:lang w:val="es-CR"/>
        </w:rPr>
        <w:t>de Tribunal de Casación, en materia Contenciosa Administrativa.</w:t>
      </w:r>
      <w:r>
        <w:rPr>
          <w:lang w:val="es-C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B4" w:rsidRDefault="00C000B4" w:rsidP="00856429">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–Dirección de  Planificación</w:t>
    </w:r>
    <w:r w:rsidRPr="009B5F7C">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5.2pt;height:31.8pt" o:ole="">
          <v:imagedata r:id="rId1" o:title=""/>
        </v:shape>
        <o:OLEObject Type="Embed" ProgID="PBrush" ShapeID="_x0000_i1033" DrawAspect="Content" ObjectID="_1542461515" r:id="rId2"/>
      </w:object>
    </w:r>
  </w:p>
  <w:p w:rsidR="00C000B4" w:rsidRDefault="00C000B4" w:rsidP="00856429">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C000B4" w:rsidRPr="00667361" w:rsidRDefault="00C000B4" w:rsidP="00856429">
    <w:pPr>
      <w:pStyle w:val="Encabezado"/>
      <w:jc w:val="center"/>
      <w:rPr>
        <w:lang w:val="en-US"/>
      </w:rPr>
    </w:pPr>
    <w:r w:rsidRPr="00DA5916">
      <w:rPr>
        <w:rFonts w:ascii="Book Antiqua" w:hAnsi="Book Antiqua" w:cs="Book Antiqua"/>
        <w:i/>
        <w:iCs/>
        <w:sz w:val="18"/>
        <w:szCs w:val="18"/>
      </w:rPr>
      <w:t xml:space="preserve">Telf.   </w:t>
    </w:r>
    <w:r w:rsidRPr="00667361">
      <w:rPr>
        <w:rFonts w:ascii="Book Antiqua" w:hAnsi="Book Antiqua" w:cs="Book Antiqua"/>
        <w:i/>
        <w:iCs/>
        <w:sz w:val="18"/>
        <w:szCs w:val="18"/>
        <w:lang w:val="en-US"/>
      </w:rPr>
      <w:t>2295-3600 / 3599  Fax. 2</w:t>
    </w:r>
    <w:r>
      <w:rPr>
        <w:rFonts w:ascii="Book Antiqua" w:hAnsi="Book Antiqua" w:cs="Book Antiqua"/>
        <w:i/>
        <w:iCs/>
        <w:sz w:val="18"/>
        <w:szCs w:val="18"/>
        <w:lang w:val="en-US"/>
      </w:rPr>
      <w:t xml:space="preserve">257-5633   / Apdo.  95-1003  / </w:t>
    </w:r>
    <w:r w:rsidRPr="00667361">
      <w:rPr>
        <w:rFonts w:ascii="Book Antiqua" w:hAnsi="Book Antiqua" w:cs="Book Antiqua"/>
        <w:i/>
        <w:iCs/>
        <w:sz w:val="18"/>
        <w:szCs w:val="18"/>
        <w:lang w:val="en-US"/>
      </w:rPr>
      <w:t>planificacion@poder-judicial.go.cr</w:t>
    </w:r>
  </w:p>
  <w:p w:rsidR="00C000B4" w:rsidRPr="00667361" w:rsidRDefault="00C000B4" w:rsidP="00856429">
    <w:pPr>
      <w:pBdr>
        <w:bottom w:val="single" w:sz="6" w:space="0" w:color="auto"/>
      </w:pBdr>
      <w:spacing w:after="20"/>
      <w:rPr>
        <w:lang w:val="en-US"/>
      </w:rPr>
    </w:pPr>
  </w:p>
  <w:p w:rsidR="00C000B4" w:rsidRPr="00E55DAB" w:rsidRDefault="00C000B4">
    <w:pPr>
      <w:pStyle w:val="Encabezad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A7AE408"/>
    <w:lvl w:ilvl="0">
      <w:start w:val="1"/>
      <w:numFmt w:val="bullet"/>
      <w:lvlText w:val="q"/>
      <w:lvlJc w:val="left"/>
      <w:rPr>
        <w:rFonts w:ascii="Wingdings" w:hAnsi="Wingdings" w:cs="Wingdings"/>
        <w:sz w:val="24"/>
        <w:szCs w:val="24"/>
      </w:rPr>
    </w:lvl>
  </w:abstractNum>
  <w:abstractNum w:abstractNumId="1" w15:restartNumberingAfterBreak="0">
    <w:nsid w:val="FFFFFF83"/>
    <w:multiLevelType w:val="singleLevel"/>
    <w:tmpl w:val="3E2C891E"/>
    <w:lvl w:ilvl="0">
      <w:start w:val="1"/>
      <w:numFmt w:val="bullet"/>
      <w:lvlText w:val="·"/>
      <w:lvlJc w:val="left"/>
      <w:rPr>
        <w:rFonts w:ascii="Symbol" w:hAnsi="Symbol" w:cs="Symbol"/>
        <w:sz w:val="24"/>
        <w:szCs w:val="24"/>
      </w:rPr>
    </w:lvl>
  </w:abstractNum>
  <w:abstractNum w:abstractNumId="2" w15:restartNumberingAfterBreak="0">
    <w:nsid w:val="FFFFFF89"/>
    <w:multiLevelType w:val="singleLevel"/>
    <w:tmpl w:val="B83A0262"/>
    <w:lvl w:ilvl="0">
      <w:start w:val="1"/>
      <w:numFmt w:val="bullet"/>
      <w:lvlText w:val="·"/>
      <w:lvlJc w:val="left"/>
      <w:rPr>
        <w:rFonts w:ascii="Symbol" w:hAnsi="Symbol" w:cs="Symbol"/>
        <w:sz w:val="24"/>
        <w:szCs w:val="24"/>
      </w:rPr>
    </w:lvl>
  </w:abstractNum>
  <w:abstractNum w:abstractNumId="3" w15:restartNumberingAfterBreak="0">
    <w:nsid w:val="06825EB4"/>
    <w:multiLevelType w:val="hybridMultilevel"/>
    <w:tmpl w:val="E8E41D86"/>
    <w:lvl w:ilvl="0" w:tplc="0C0A0001">
      <w:start w:val="1"/>
      <w:numFmt w:val="bullet"/>
      <w:pStyle w:val="ListaconvietasTabla"/>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67EFE"/>
    <w:multiLevelType w:val="hybridMultilevel"/>
    <w:tmpl w:val="543A958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16B73"/>
    <w:multiLevelType w:val="hybridMultilevel"/>
    <w:tmpl w:val="1B1C86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6E644C"/>
    <w:multiLevelType w:val="multilevel"/>
    <w:tmpl w:val="25AC9698"/>
    <w:lvl w:ilvl="0">
      <w:start w:val="1"/>
      <w:numFmt w:val="bullet"/>
      <w:lvlText w:val="q"/>
      <w:lvlJc w:val="left"/>
      <w:rPr>
        <w:rFonts w:ascii="Wingdings" w:hAnsi="Wingdings" w:cs="Wingdings"/>
        <w:sz w:val="24"/>
        <w:szCs w:val="24"/>
      </w:rPr>
    </w:lvl>
    <w:lvl w:ilvl="1">
      <w:start w:val="1"/>
      <w:numFmt w:val="bullet"/>
      <w:lvlText w:val="o"/>
      <w:lvlJc w:val="left"/>
      <w:rPr>
        <w:rFonts w:ascii="Courier New" w:hAnsi="Courier New" w:cs="Courier New"/>
        <w:sz w:val="24"/>
        <w:szCs w:val="24"/>
      </w:rPr>
    </w:lvl>
    <w:lvl w:ilvl="2">
      <w:start w:val="1"/>
      <w:numFmt w:val="bullet"/>
      <w:lvlText w:val="§"/>
      <w:lvlJc w:val="left"/>
      <w:rPr>
        <w:rFonts w:ascii="Wingdings" w:hAnsi="Wingdings" w:cs="Wingdings"/>
        <w:sz w:val="24"/>
        <w:szCs w:val="24"/>
      </w:rPr>
    </w:lvl>
    <w:lvl w:ilvl="3">
      <w:start w:val="1"/>
      <w:numFmt w:val="bullet"/>
      <w:lvlText w:val="·"/>
      <w:lvlJc w:val="left"/>
      <w:rPr>
        <w:rFonts w:ascii="Symbol" w:hAnsi="Symbol" w:cs="Symbol"/>
        <w:sz w:val="24"/>
        <w:szCs w:val="24"/>
      </w:rPr>
    </w:lvl>
    <w:lvl w:ilvl="4">
      <w:start w:val="1"/>
      <w:numFmt w:val="bullet"/>
      <w:lvlText w:val="o"/>
      <w:lvlJc w:val="left"/>
      <w:rPr>
        <w:rFonts w:ascii="Courier New" w:hAnsi="Courier New" w:cs="Courier New"/>
        <w:sz w:val="24"/>
        <w:szCs w:val="24"/>
      </w:rPr>
    </w:lvl>
    <w:lvl w:ilvl="5">
      <w:start w:val="1"/>
      <w:numFmt w:val="bullet"/>
      <w:lvlText w:val="§"/>
      <w:lvlJc w:val="left"/>
      <w:rPr>
        <w:rFonts w:ascii="Wingdings" w:hAnsi="Wingdings" w:cs="Wingdings"/>
        <w:sz w:val="24"/>
        <w:szCs w:val="24"/>
      </w:rPr>
    </w:lvl>
    <w:lvl w:ilvl="6">
      <w:start w:val="1"/>
      <w:numFmt w:val="bullet"/>
      <w:lvlText w:val="·"/>
      <w:lvlJc w:val="left"/>
      <w:rPr>
        <w:rFonts w:ascii="Symbol" w:hAnsi="Symbol" w:cs="Symbol"/>
        <w:sz w:val="24"/>
        <w:szCs w:val="24"/>
      </w:rPr>
    </w:lvl>
    <w:lvl w:ilvl="7">
      <w:start w:val="1"/>
      <w:numFmt w:val="bullet"/>
      <w:lvlText w:val="o"/>
      <w:lvlJc w:val="left"/>
      <w:rPr>
        <w:rFonts w:ascii="Courier New" w:hAnsi="Courier New" w:cs="Courier New"/>
        <w:sz w:val="24"/>
        <w:szCs w:val="24"/>
      </w:rPr>
    </w:lvl>
    <w:lvl w:ilvl="8">
      <w:start w:val="1"/>
      <w:numFmt w:val="bullet"/>
      <w:lvlText w:val="§"/>
      <w:lvlJc w:val="left"/>
      <w:rPr>
        <w:rFonts w:ascii="Wingdings" w:hAnsi="Wingdings" w:cs="Wingdings"/>
        <w:sz w:val="24"/>
        <w:szCs w:val="24"/>
      </w:rPr>
    </w:lvl>
  </w:abstractNum>
  <w:abstractNum w:abstractNumId="8" w15:restartNumberingAfterBreak="0">
    <w:nsid w:val="19D00997"/>
    <w:multiLevelType w:val="hybridMultilevel"/>
    <w:tmpl w:val="3D7C11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55F55"/>
    <w:multiLevelType w:val="multilevel"/>
    <w:tmpl w:val="5B7C10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2C12BD"/>
    <w:multiLevelType w:val="hybridMultilevel"/>
    <w:tmpl w:val="32EA9696"/>
    <w:lvl w:ilvl="0" w:tplc="0C0A0001">
      <w:start w:val="1"/>
      <w:numFmt w:val="bullet"/>
      <w:lvlText w:val=""/>
      <w:lvlJc w:val="left"/>
      <w:pPr>
        <w:tabs>
          <w:tab w:val="num" w:pos="720"/>
        </w:tabs>
        <w:ind w:left="720" w:hanging="360"/>
      </w:pPr>
      <w:rPr>
        <w:rFonts w:ascii="Symbol" w:hAnsi="Symbol"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1B605BF1"/>
    <w:multiLevelType w:val="hybridMultilevel"/>
    <w:tmpl w:val="95369C2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D03DD"/>
    <w:multiLevelType w:val="hybridMultilevel"/>
    <w:tmpl w:val="E50C80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0DA0BAC"/>
    <w:multiLevelType w:val="hybridMultilevel"/>
    <w:tmpl w:val="E5F822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4D5ECD"/>
    <w:multiLevelType w:val="hybridMultilevel"/>
    <w:tmpl w:val="68422ED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27EA9"/>
    <w:multiLevelType w:val="hybridMultilevel"/>
    <w:tmpl w:val="4A36687E"/>
    <w:lvl w:ilvl="0" w:tplc="2674807E">
      <w:start w:val="1"/>
      <w:numFmt w:val="upperRoman"/>
      <w:lvlText w:val="%1."/>
      <w:lvlJc w:val="left"/>
      <w:pPr>
        <w:tabs>
          <w:tab w:val="num" w:pos="1080"/>
        </w:tabs>
        <w:ind w:left="1080" w:hanging="720"/>
      </w:pPr>
      <w:rPr>
        <w:rFonts w:hint="default"/>
      </w:rPr>
    </w:lvl>
    <w:lvl w:ilvl="1" w:tplc="C840C64E">
      <w:numFmt w:val="none"/>
      <w:lvlText w:val=""/>
      <w:lvlJc w:val="left"/>
      <w:pPr>
        <w:tabs>
          <w:tab w:val="num" w:pos="360"/>
        </w:tabs>
      </w:pPr>
    </w:lvl>
    <w:lvl w:ilvl="2" w:tplc="420AFD1E">
      <w:numFmt w:val="none"/>
      <w:lvlText w:val=""/>
      <w:lvlJc w:val="left"/>
      <w:pPr>
        <w:tabs>
          <w:tab w:val="num" w:pos="360"/>
        </w:tabs>
      </w:pPr>
    </w:lvl>
    <w:lvl w:ilvl="3" w:tplc="1B56F682">
      <w:numFmt w:val="none"/>
      <w:lvlText w:val=""/>
      <w:lvlJc w:val="left"/>
      <w:pPr>
        <w:tabs>
          <w:tab w:val="num" w:pos="360"/>
        </w:tabs>
      </w:pPr>
    </w:lvl>
    <w:lvl w:ilvl="4" w:tplc="8E0627E6">
      <w:numFmt w:val="none"/>
      <w:lvlText w:val=""/>
      <w:lvlJc w:val="left"/>
      <w:pPr>
        <w:tabs>
          <w:tab w:val="num" w:pos="360"/>
        </w:tabs>
      </w:pPr>
    </w:lvl>
    <w:lvl w:ilvl="5" w:tplc="2F146016">
      <w:numFmt w:val="none"/>
      <w:lvlText w:val=""/>
      <w:lvlJc w:val="left"/>
      <w:pPr>
        <w:tabs>
          <w:tab w:val="num" w:pos="360"/>
        </w:tabs>
      </w:pPr>
    </w:lvl>
    <w:lvl w:ilvl="6" w:tplc="C186E214">
      <w:numFmt w:val="none"/>
      <w:lvlText w:val=""/>
      <w:lvlJc w:val="left"/>
      <w:pPr>
        <w:tabs>
          <w:tab w:val="num" w:pos="360"/>
        </w:tabs>
      </w:pPr>
    </w:lvl>
    <w:lvl w:ilvl="7" w:tplc="D214C79C">
      <w:numFmt w:val="none"/>
      <w:lvlText w:val=""/>
      <w:lvlJc w:val="left"/>
      <w:pPr>
        <w:tabs>
          <w:tab w:val="num" w:pos="360"/>
        </w:tabs>
      </w:pPr>
    </w:lvl>
    <w:lvl w:ilvl="8" w:tplc="2D6295A4">
      <w:numFmt w:val="none"/>
      <w:lvlText w:val=""/>
      <w:lvlJc w:val="left"/>
      <w:pPr>
        <w:tabs>
          <w:tab w:val="num" w:pos="360"/>
        </w:tabs>
      </w:pPr>
    </w:lvl>
  </w:abstractNum>
  <w:abstractNum w:abstractNumId="16" w15:restartNumberingAfterBreak="0">
    <w:nsid w:val="37B715CE"/>
    <w:multiLevelType w:val="hybridMultilevel"/>
    <w:tmpl w:val="5C84BB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56E13"/>
    <w:multiLevelType w:val="multilevel"/>
    <w:tmpl w:val="68422ED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17D13"/>
    <w:multiLevelType w:val="multilevel"/>
    <w:tmpl w:val="7B8AD4F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E1C81"/>
    <w:multiLevelType w:val="hybridMultilevel"/>
    <w:tmpl w:val="4F0A8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23F1E9E"/>
    <w:multiLevelType w:val="multilevel"/>
    <w:tmpl w:val="82D6EEF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533E2"/>
    <w:multiLevelType w:val="singleLevel"/>
    <w:tmpl w:val="9F6A5670"/>
    <w:lvl w:ilvl="0">
      <w:start w:val="1"/>
      <w:numFmt w:val="bullet"/>
      <w:lvlText w:val="q"/>
      <w:lvlJc w:val="left"/>
      <w:rPr>
        <w:rFonts w:ascii="Wingdings" w:hAnsi="Wingdings" w:cs="Wingdings"/>
        <w:sz w:val="24"/>
        <w:szCs w:val="24"/>
      </w:rPr>
    </w:lvl>
  </w:abstractNum>
  <w:abstractNum w:abstractNumId="23" w15:restartNumberingAfterBreak="0">
    <w:nsid w:val="467FCA3A"/>
    <w:multiLevelType w:val="multilevel"/>
    <w:tmpl w:val="00000001"/>
    <w:name w:val="List118277996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467FCA49"/>
    <w:multiLevelType w:val="multilevel"/>
    <w:tmpl w:val="00000002"/>
    <w:name w:val="List11827799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67FCA55"/>
    <w:multiLevelType w:val="multilevel"/>
    <w:tmpl w:val="00000003"/>
    <w:name w:val="List118277998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467FCA5B"/>
    <w:multiLevelType w:val="multilevel"/>
    <w:tmpl w:val="00000004"/>
    <w:name w:val="List11827799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467FCB27"/>
    <w:multiLevelType w:val="multilevel"/>
    <w:tmpl w:val="00000005"/>
    <w:name w:val="List118278019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467FCB2B"/>
    <w:multiLevelType w:val="multilevel"/>
    <w:tmpl w:val="00000006"/>
    <w:name w:val="List11827802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467FCDA6"/>
    <w:multiLevelType w:val="multilevel"/>
    <w:tmpl w:val="00000007"/>
    <w:name w:val="List11827808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467FF4F6"/>
    <w:multiLevelType w:val="multilevel"/>
    <w:tmpl w:val="00000008"/>
    <w:name w:val="List118279090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468019A7"/>
    <w:multiLevelType w:val="multilevel"/>
    <w:tmpl w:val="00000009"/>
    <w:name w:val="List1182800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46816EEA"/>
    <w:multiLevelType w:val="multilevel"/>
    <w:tmpl w:val="0000000A"/>
    <w:name w:val="List118288765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4681700A"/>
    <w:multiLevelType w:val="multilevel"/>
    <w:tmpl w:val="0000000B"/>
    <w:name w:val="List118288794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6828F28"/>
    <w:multiLevelType w:val="multilevel"/>
    <w:tmpl w:val="238E84DD"/>
    <w:name w:val="List118296144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46895D6F"/>
    <w:multiLevelType w:val="multilevel"/>
    <w:tmpl w:val="00000001"/>
    <w:name w:val="List118340747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46895D72"/>
    <w:multiLevelType w:val="multilevel"/>
    <w:tmpl w:val="00000002"/>
    <w:name w:val="List11834074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468BC571"/>
    <w:multiLevelType w:val="multilevel"/>
    <w:tmpl w:val="00000006"/>
    <w:name w:val="List118356516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468BC576"/>
    <w:multiLevelType w:val="multilevel"/>
    <w:tmpl w:val="00000007"/>
    <w:name w:val="List11835651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4B7E7173"/>
    <w:multiLevelType w:val="multilevel"/>
    <w:tmpl w:val="F2A08C5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4CD25E28"/>
    <w:multiLevelType w:val="multilevel"/>
    <w:tmpl w:val="27040A68"/>
    <w:lvl w:ilvl="0">
      <w:start w:val="1"/>
      <w:numFmt w:val="upperRoman"/>
      <w:lvlText w:val="%1."/>
      <w:lvlJc w:val="left"/>
      <w:rPr>
        <w:rFonts w:ascii="Arial" w:hAnsi="Arial" w:cs="Arial"/>
        <w:b/>
        <w:bCs/>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54921D2F"/>
    <w:multiLevelType w:val="hybridMultilevel"/>
    <w:tmpl w:val="54B660DE"/>
    <w:lvl w:ilvl="0" w:tplc="0C0A0001">
      <w:start w:val="1"/>
      <w:numFmt w:val="bullet"/>
      <w:pStyle w:val="ListBulletBold"/>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9443D6"/>
    <w:multiLevelType w:val="hybridMultilevel"/>
    <w:tmpl w:val="7B8AD4F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157910"/>
    <w:multiLevelType w:val="hybridMultilevel"/>
    <w:tmpl w:val="5B7C10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8324AFC"/>
    <w:multiLevelType w:val="hybridMultilevel"/>
    <w:tmpl w:val="3D6EED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A606265"/>
    <w:multiLevelType w:val="hybridMultilevel"/>
    <w:tmpl w:val="CDE673C8"/>
    <w:lvl w:ilvl="0" w:tplc="0C0A0001">
      <w:start w:val="1"/>
      <w:numFmt w:val="bullet"/>
      <w:pStyle w:val="Listaconvietas"/>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AF7A6B"/>
    <w:multiLevelType w:val="multilevel"/>
    <w:tmpl w:val="7EA850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6CB36B01"/>
    <w:multiLevelType w:val="hybridMultilevel"/>
    <w:tmpl w:val="82D6EEF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EE44C0"/>
    <w:multiLevelType w:val="hybridMultilevel"/>
    <w:tmpl w:val="B69C224C"/>
    <w:lvl w:ilvl="0" w:tplc="53D461A4">
      <w:start w:val="1"/>
      <w:numFmt w:val="bullet"/>
      <w:pStyle w:val="Listaconvietas2"/>
      <w:lvlText w:val=""/>
      <w:lvlJc w:val="left"/>
      <w:pPr>
        <w:tabs>
          <w:tab w:val="num" w:pos="1080"/>
        </w:tabs>
        <w:ind w:left="1080" w:hanging="360"/>
      </w:pPr>
      <w:rPr>
        <w:rFonts w:ascii="Symbol" w:hAnsi="Symbol" w:hint="default"/>
        <w:color w:val="auto"/>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2D34DAC"/>
    <w:multiLevelType w:val="hybridMultilevel"/>
    <w:tmpl w:val="1936A7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4A5D15"/>
    <w:multiLevelType w:val="multilevel"/>
    <w:tmpl w:val="2558E7E1"/>
    <w:name w:val="List118315321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2" w15:restartNumberingAfterBreak="0">
    <w:nsid w:val="754A5D16"/>
    <w:multiLevelType w:val="multilevel"/>
    <w:tmpl w:val="2558E7E2"/>
    <w:name w:val="List11831532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754A5D17"/>
    <w:multiLevelType w:val="multilevel"/>
    <w:tmpl w:val="2558E7E3"/>
    <w:name w:val="List118315327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754A5D18"/>
    <w:multiLevelType w:val="multilevel"/>
    <w:tmpl w:val="2558E7E4"/>
    <w:name w:val="List118315331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5" w15:restartNumberingAfterBreak="0">
    <w:nsid w:val="754A5D19"/>
    <w:multiLevelType w:val="multilevel"/>
    <w:tmpl w:val="2558E7E5"/>
    <w:name w:val="List11831534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15:restartNumberingAfterBreak="0">
    <w:nsid w:val="754A5D1A"/>
    <w:multiLevelType w:val="multilevel"/>
    <w:tmpl w:val="2558E7E6"/>
    <w:name w:val="List118358339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754A5D1B"/>
    <w:multiLevelType w:val="multilevel"/>
    <w:tmpl w:val="2558E7E7"/>
    <w:name w:val="List11835834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8" w15:restartNumberingAfterBreak="0">
    <w:nsid w:val="754A5D1C"/>
    <w:multiLevelType w:val="multilevel"/>
    <w:tmpl w:val="684A596F"/>
    <w:name w:val="List118599822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15:restartNumberingAfterBreak="0">
    <w:nsid w:val="754A5D1D"/>
    <w:multiLevelType w:val="multilevel"/>
    <w:tmpl w:val="684A5970"/>
    <w:name w:val="List1185999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0" w15:restartNumberingAfterBreak="0">
    <w:nsid w:val="754A5D1E"/>
    <w:multiLevelType w:val="multilevel"/>
    <w:tmpl w:val="2558E7EA"/>
    <w:name w:val="List11859027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15:restartNumberingAfterBreak="0">
    <w:nsid w:val="754A5D1F"/>
    <w:multiLevelType w:val="multilevel"/>
    <w:tmpl w:val="2558E7EB"/>
    <w:name w:val="List118591208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15:restartNumberingAfterBreak="0">
    <w:nsid w:val="754A5D20"/>
    <w:multiLevelType w:val="multilevel"/>
    <w:tmpl w:val="2558E7EC"/>
    <w:name w:val="List118591329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3" w15:restartNumberingAfterBreak="0">
    <w:nsid w:val="754A5D21"/>
    <w:multiLevelType w:val="multilevel"/>
    <w:tmpl w:val="2558E7ED"/>
    <w:name w:val="List118591854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15:restartNumberingAfterBreak="0">
    <w:nsid w:val="754A5D22"/>
    <w:multiLevelType w:val="multilevel"/>
    <w:tmpl w:val="2558E7EE"/>
    <w:name w:val="List118591854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15:restartNumberingAfterBreak="0">
    <w:nsid w:val="754A5D23"/>
    <w:multiLevelType w:val="multilevel"/>
    <w:tmpl w:val="2558E7EF"/>
    <w:name w:val="List11859796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6" w15:restartNumberingAfterBreak="0">
    <w:nsid w:val="754A5D24"/>
    <w:multiLevelType w:val="multilevel"/>
    <w:tmpl w:val="76621B07"/>
    <w:name w:val="List11892026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15:restartNumberingAfterBreak="0">
    <w:nsid w:val="754A5D25"/>
    <w:multiLevelType w:val="multilevel"/>
    <w:tmpl w:val="76621B08"/>
    <w:name w:val="List11892027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8" w15:restartNumberingAfterBreak="0">
    <w:nsid w:val="76A562EC"/>
    <w:multiLevelType w:val="hybridMultilevel"/>
    <w:tmpl w:val="3CF4C256"/>
    <w:lvl w:ilvl="0" w:tplc="609CC88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9"/>
  </w:num>
  <w:num w:numId="2">
    <w:abstractNumId w:val="45"/>
  </w:num>
  <w:num w:numId="3">
    <w:abstractNumId w:val="41"/>
  </w:num>
  <w:num w:numId="4">
    <w:abstractNumId w:val="3"/>
  </w:num>
  <w:num w:numId="5">
    <w:abstractNumId w:val="46"/>
  </w:num>
  <w:num w:numId="6">
    <w:abstractNumId w:val="5"/>
  </w:num>
  <w:num w:numId="7">
    <w:abstractNumId w:val="8"/>
  </w:num>
  <w:num w:numId="8">
    <w:abstractNumId w:val="44"/>
  </w:num>
  <w:num w:numId="9">
    <w:abstractNumId w:val="4"/>
  </w:num>
  <w:num w:numId="10">
    <w:abstractNumId w:val="10"/>
  </w:num>
  <w:num w:numId="11">
    <w:abstractNumId w:val="15"/>
  </w:num>
  <w:num w:numId="12">
    <w:abstractNumId w:val="47"/>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0"/>
  </w:num>
  <w:num w:numId="18">
    <w:abstractNumId w:val="22"/>
  </w:num>
  <w:num w:numId="19">
    <w:abstractNumId w:val="7"/>
  </w:num>
  <w:num w:numId="20">
    <w:abstractNumId w:val="40"/>
  </w:num>
  <w:num w:numId="21">
    <w:abstractNumId w:val="39"/>
  </w:num>
  <w:num w:numId="22">
    <w:abstractNumId w:val="6"/>
  </w:num>
  <w:num w:numId="23">
    <w:abstractNumId w:val="68"/>
  </w:num>
  <w:num w:numId="24">
    <w:abstractNumId w:val="50"/>
  </w:num>
  <w:num w:numId="25">
    <w:abstractNumId w:val="11"/>
  </w:num>
  <w:num w:numId="26">
    <w:abstractNumId w:val="42"/>
  </w:num>
  <w:num w:numId="27">
    <w:abstractNumId w:val="18"/>
  </w:num>
  <w:num w:numId="28">
    <w:abstractNumId w:val="14"/>
  </w:num>
  <w:num w:numId="29">
    <w:abstractNumId w:val="17"/>
  </w:num>
  <w:num w:numId="30">
    <w:abstractNumId w:val="48"/>
  </w:num>
  <w:num w:numId="31">
    <w:abstractNumId w:val="21"/>
  </w:num>
  <w:num w:numId="32">
    <w:abstractNumId w:val="43"/>
  </w:num>
  <w:num w:numId="33">
    <w:abstractNumId w:val="9"/>
  </w:num>
  <w:num w:numId="34">
    <w:abstractNumId w:val="12"/>
  </w:num>
  <w:num w:numId="35">
    <w:abstractNumId w:val="19"/>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CR" w:vendorID="64" w:dllVersion="131078" w:nlCheck="1" w:checkStyle="0"/>
  <w:activeWritingStyle w:appName="MSWord" w:lang="es-ES"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33399C"/>
    <w:rsid w:val="00002597"/>
    <w:rsid w:val="000047A6"/>
    <w:rsid w:val="00007D1C"/>
    <w:rsid w:val="00013A3C"/>
    <w:rsid w:val="00013EFB"/>
    <w:rsid w:val="00015DD2"/>
    <w:rsid w:val="000179CE"/>
    <w:rsid w:val="000242F8"/>
    <w:rsid w:val="00036C0C"/>
    <w:rsid w:val="00041FA5"/>
    <w:rsid w:val="00047304"/>
    <w:rsid w:val="0005393F"/>
    <w:rsid w:val="00056425"/>
    <w:rsid w:val="00063591"/>
    <w:rsid w:val="00063C88"/>
    <w:rsid w:val="00077994"/>
    <w:rsid w:val="0009214F"/>
    <w:rsid w:val="000A3F46"/>
    <w:rsid w:val="000B082E"/>
    <w:rsid w:val="000C02FC"/>
    <w:rsid w:val="000D10F2"/>
    <w:rsid w:val="000D5F59"/>
    <w:rsid w:val="000E318D"/>
    <w:rsid w:val="000E4019"/>
    <w:rsid w:val="000F01AC"/>
    <w:rsid w:val="000F245B"/>
    <w:rsid w:val="000F29DF"/>
    <w:rsid w:val="00111EED"/>
    <w:rsid w:val="001131D3"/>
    <w:rsid w:val="00115F20"/>
    <w:rsid w:val="00116902"/>
    <w:rsid w:val="00116E2E"/>
    <w:rsid w:val="00123EAD"/>
    <w:rsid w:val="00124514"/>
    <w:rsid w:val="00132818"/>
    <w:rsid w:val="00134CEA"/>
    <w:rsid w:val="00135BD5"/>
    <w:rsid w:val="001549B6"/>
    <w:rsid w:val="001A3959"/>
    <w:rsid w:val="001A7688"/>
    <w:rsid w:val="001C1DF7"/>
    <w:rsid w:val="001D4A27"/>
    <w:rsid w:val="001D4F95"/>
    <w:rsid w:val="001E38DA"/>
    <w:rsid w:val="002062F2"/>
    <w:rsid w:val="0021204C"/>
    <w:rsid w:val="002176F6"/>
    <w:rsid w:val="002178E9"/>
    <w:rsid w:val="00243DEA"/>
    <w:rsid w:val="00245E2E"/>
    <w:rsid w:val="0025544A"/>
    <w:rsid w:val="00263456"/>
    <w:rsid w:val="002667DF"/>
    <w:rsid w:val="00266C92"/>
    <w:rsid w:val="00285E02"/>
    <w:rsid w:val="00287F54"/>
    <w:rsid w:val="002A5062"/>
    <w:rsid w:val="002A50B4"/>
    <w:rsid w:val="002A61CE"/>
    <w:rsid w:val="002A6DD9"/>
    <w:rsid w:val="002A7A25"/>
    <w:rsid w:val="002B59A2"/>
    <w:rsid w:val="002C3CBE"/>
    <w:rsid w:val="002C4565"/>
    <w:rsid w:val="002D04B7"/>
    <w:rsid w:val="002D67D9"/>
    <w:rsid w:val="002E78FA"/>
    <w:rsid w:val="002F7F61"/>
    <w:rsid w:val="00304812"/>
    <w:rsid w:val="00304AEB"/>
    <w:rsid w:val="00312A92"/>
    <w:rsid w:val="003149EE"/>
    <w:rsid w:val="0033399C"/>
    <w:rsid w:val="003343DC"/>
    <w:rsid w:val="0034301B"/>
    <w:rsid w:val="00353D85"/>
    <w:rsid w:val="003746CD"/>
    <w:rsid w:val="00375CD4"/>
    <w:rsid w:val="00382812"/>
    <w:rsid w:val="003B1523"/>
    <w:rsid w:val="003B6ED4"/>
    <w:rsid w:val="003D114B"/>
    <w:rsid w:val="003D40EA"/>
    <w:rsid w:val="003E04D6"/>
    <w:rsid w:val="003E5973"/>
    <w:rsid w:val="003E5A85"/>
    <w:rsid w:val="003E6006"/>
    <w:rsid w:val="003E725C"/>
    <w:rsid w:val="003F2547"/>
    <w:rsid w:val="003F3858"/>
    <w:rsid w:val="00400CEB"/>
    <w:rsid w:val="004147C2"/>
    <w:rsid w:val="00421957"/>
    <w:rsid w:val="004246FE"/>
    <w:rsid w:val="004328DB"/>
    <w:rsid w:val="0043696F"/>
    <w:rsid w:val="004376AE"/>
    <w:rsid w:val="00440E51"/>
    <w:rsid w:val="00445B47"/>
    <w:rsid w:val="004460EC"/>
    <w:rsid w:val="0045107F"/>
    <w:rsid w:val="00466813"/>
    <w:rsid w:val="0048544F"/>
    <w:rsid w:val="00494648"/>
    <w:rsid w:val="004975E6"/>
    <w:rsid w:val="004A25C2"/>
    <w:rsid w:val="004A3314"/>
    <w:rsid w:val="004A365B"/>
    <w:rsid w:val="004A48ED"/>
    <w:rsid w:val="004A596A"/>
    <w:rsid w:val="004A6660"/>
    <w:rsid w:val="004A6F6F"/>
    <w:rsid w:val="004B2CE8"/>
    <w:rsid w:val="004C0293"/>
    <w:rsid w:val="004C4AD7"/>
    <w:rsid w:val="004D14B9"/>
    <w:rsid w:val="004E1018"/>
    <w:rsid w:val="004E1538"/>
    <w:rsid w:val="004F72A8"/>
    <w:rsid w:val="005278C4"/>
    <w:rsid w:val="00530220"/>
    <w:rsid w:val="0053545B"/>
    <w:rsid w:val="00537041"/>
    <w:rsid w:val="0053785B"/>
    <w:rsid w:val="00542ECC"/>
    <w:rsid w:val="0054535B"/>
    <w:rsid w:val="00562721"/>
    <w:rsid w:val="00570534"/>
    <w:rsid w:val="0057147E"/>
    <w:rsid w:val="00587741"/>
    <w:rsid w:val="005A3B46"/>
    <w:rsid w:val="005A6AD9"/>
    <w:rsid w:val="005B27D6"/>
    <w:rsid w:val="005D4F74"/>
    <w:rsid w:val="005E3AA0"/>
    <w:rsid w:val="005E4849"/>
    <w:rsid w:val="005E5D27"/>
    <w:rsid w:val="005F4086"/>
    <w:rsid w:val="0060102B"/>
    <w:rsid w:val="006222BB"/>
    <w:rsid w:val="00641146"/>
    <w:rsid w:val="00653D46"/>
    <w:rsid w:val="0066126A"/>
    <w:rsid w:val="00667361"/>
    <w:rsid w:val="0067029D"/>
    <w:rsid w:val="00675949"/>
    <w:rsid w:val="00680EC7"/>
    <w:rsid w:val="006822E3"/>
    <w:rsid w:val="00695F65"/>
    <w:rsid w:val="006A489B"/>
    <w:rsid w:val="006A71F1"/>
    <w:rsid w:val="006C3246"/>
    <w:rsid w:val="006D5DE2"/>
    <w:rsid w:val="006D7603"/>
    <w:rsid w:val="006E15E3"/>
    <w:rsid w:val="006F08EA"/>
    <w:rsid w:val="006F3C97"/>
    <w:rsid w:val="006F4479"/>
    <w:rsid w:val="006F74DE"/>
    <w:rsid w:val="00704D30"/>
    <w:rsid w:val="00706670"/>
    <w:rsid w:val="00710890"/>
    <w:rsid w:val="00711B0A"/>
    <w:rsid w:val="007146DD"/>
    <w:rsid w:val="00732A06"/>
    <w:rsid w:val="00745AF6"/>
    <w:rsid w:val="0076370F"/>
    <w:rsid w:val="00770AFB"/>
    <w:rsid w:val="00771DA2"/>
    <w:rsid w:val="00781615"/>
    <w:rsid w:val="007B584C"/>
    <w:rsid w:val="007C0BF9"/>
    <w:rsid w:val="007C5F10"/>
    <w:rsid w:val="007D5F0B"/>
    <w:rsid w:val="007E2979"/>
    <w:rsid w:val="007F35C0"/>
    <w:rsid w:val="0080436B"/>
    <w:rsid w:val="008065AC"/>
    <w:rsid w:val="008149AF"/>
    <w:rsid w:val="0082077C"/>
    <w:rsid w:val="00823DA5"/>
    <w:rsid w:val="008317D0"/>
    <w:rsid w:val="00832AFB"/>
    <w:rsid w:val="00832B21"/>
    <w:rsid w:val="008426D8"/>
    <w:rsid w:val="00842D8E"/>
    <w:rsid w:val="00843775"/>
    <w:rsid w:val="00854653"/>
    <w:rsid w:val="00856429"/>
    <w:rsid w:val="00866612"/>
    <w:rsid w:val="008741D4"/>
    <w:rsid w:val="008901CB"/>
    <w:rsid w:val="00894307"/>
    <w:rsid w:val="008A04F3"/>
    <w:rsid w:val="008B1A43"/>
    <w:rsid w:val="008B2D70"/>
    <w:rsid w:val="008B3D6B"/>
    <w:rsid w:val="008B4B3D"/>
    <w:rsid w:val="008B5BDE"/>
    <w:rsid w:val="008C0841"/>
    <w:rsid w:val="008C371C"/>
    <w:rsid w:val="008C541F"/>
    <w:rsid w:val="008C6C47"/>
    <w:rsid w:val="008D0B3F"/>
    <w:rsid w:val="008D1384"/>
    <w:rsid w:val="008D30AC"/>
    <w:rsid w:val="008D694F"/>
    <w:rsid w:val="008E5522"/>
    <w:rsid w:val="008E55EB"/>
    <w:rsid w:val="008E5754"/>
    <w:rsid w:val="008E6480"/>
    <w:rsid w:val="008F6C20"/>
    <w:rsid w:val="00921A4A"/>
    <w:rsid w:val="00932230"/>
    <w:rsid w:val="00934B69"/>
    <w:rsid w:val="0093599D"/>
    <w:rsid w:val="00942B03"/>
    <w:rsid w:val="00946FE5"/>
    <w:rsid w:val="00953723"/>
    <w:rsid w:val="009676D8"/>
    <w:rsid w:val="00970E35"/>
    <w:rsid w:val="00972270"/>
    <w:rsid w:val="009772DD"/>
    <w:rsid w:val="00977E1A"/>
    <w:rsid w:val="009839B4"/>
    <w:rsid w:val="00983B19"/>
    <w:rsid w:val="00986667"/>
    <w:rsid w:val="009874C6"/>
    <w:rsid w:val="00994811"/>
    <w:rsid w:val="009A0348"/>
    <w:rsid w:val="009A16C5"/>
    <w:rsid w:val="009B036B"/>
    <w:rsid w:val="009B11E6"/>
    <w:rsid w:val="009B47C0"/>
    <w:rsid w:val="009B5F7C"/>
    <w:rsid w:val="009C13A6"/>
    <w:rsid w:val="009E1EAA"/>
    <w:rsid w:val="009E2091"/>
    <w:rsid w:val="009F0A2A"/>
    <w:rsid w:val="009F21DE"/>
    <w:rsid w:val="00A04027"/>
    <w:rsid w:val="00A17B50"/>
    <w:rsid w:val="00A23D40"/>
    <w:rsid w:val="00A361F6"/>
    <w:rsid w:val="00A56488"/>
    <w:rsid w:val="00A60FD1"/>
    <w:rsid w:val="00A65703"/>
    <w:rsid w:val="00A82EFC"/>
    <w:rsid w:val="00A83012"/>
    <w:rsid w:val="00A85998"/>
    <w:rsid w:val="00AA423A"/>
    <w:rsid w:val="00AC6020"/>
    <w:rsid w:val="00AD67E1"/>
    <w:rsid w:val="00B0245D"/>
    <w:rsid w:val="00B15C05"/>
    <w:rsid w:val="00B16358"/>
    <w:rsid w:val="00B21262"/>
    <w:rsid w:val="00B2396B"/>
    <w:rsid w:val="00B32F79"/>
    <w:rsid w:val="00B44314"/>
    <w:rsid w:val="00B45165"/>
    <w:rsid w:val="00B521E6"/>
    <w:rsid w:val="00B54D5A"/>
    <w:rsid w:val="00B715D5"/>
    <w:rsid w:val="00B77E9C"/>
    <w:rsid w:val="00B834BB"/>
    <w:rsid w:val="00B961C5"/>
    <w:rsid w:val="00BA1764"/>
    <w:rsid w:val="00BA2525"/>
    <w:rsid w:val="00BB2677"/>
    <w:rsid w:val="00BC046C"/>
    <w:rsid w:val="00BE1800"/>
    <w:rsid w:val="00BE41CB"/>
    <w:rsid w:val="00BF1764"/>
    <w:rsid w:val="00C000B4"/>
    <w:rsid w:val="00C01B04"/>
    <w:rsid w:val="00C04D85"/>
    <w:rsid w:val="00C10626"/>
    <w:rsid w:val="00C212E6"/>
    <w:rsid w:val="00C32F98"/>
    <w:rsid w:val="00C3445F"/>
    <w:rsid w:val="00C41919"/>
    <w:rsid w:val="00C54F4C"/>
    <w:rsid w:val="00C616A0"/>
    <w:rsid w:val="00C66C5A"/>
    <w:rsid w:val="00C816FC"/>
    <w:rsid w:val="00C87C75"/>
    <w:rsid w:val="00C92239"/>
    <w:rsid w:val="00C93551"/>
    <w:rsid w:val="00CA0644"/>
    <w:rsid w:val="00CB4FD4"/>
    <w:rsid w:val="00CC5C8D"/>
    <w:rsid w:val="00CD3B5E"/>
    <w:rsid w:val="00CD6B1A"/>
    <w:rsid w:val="00CE0107"/>
    <w:rsid w:val="00CE7909"/>
    <w:rsid w:val="00CF3917"/>
    <w:rsid w:val="00CF3E3D"/>
    <w:rsid w:val="00CF3ECA"/>
    <w:rsid w:val="00CF47A4"/>
    <w:rsid w:val="00D206B3"/>
    <w:rsid w:val="00D35F5E"/>
    <w:rsid w:val="00D4491A"/>
    <w:rsid w:val="00D45F18"/>
    <w:rsid w:val="00D52222"/>
    <w:rsid w:val="00D537AD"/>
    <w:rsid w:val="00D629FE"/>
    <w:rsid w:val="00D73C80"/>
    <w:rsid w:val="00D74953"/>
    <w:rsid w:val="00D80444"/>
    <w:rsid w:val="00D852A9"/>
    <w:rsid w:val="00D92A51"/>
    <w:rsid w:val="00DA2C94"/>
    <w:rsid w:val="00DA5916"/>
    <w:rsid w:val="00DB601A"/>
    <w:rsid w:val="00DC4EA9"/>
    <w:rsid w:val="00DD79CC"/>
    <w:rsid w:val="00DD7CF9"/>
    <w:rsid w:val="00DF16FC"/>
    <w:rsid w:val="00E11064"/>
    <w:rsid w:val="00E2016A"/>
    <w:rsid w:val="00E21E3D"/>
    <w:rsid w:val="00E26AB0"/>
    <w:rsid w:val="00E4091D"/>
    <w:rsid w:val="00E4258A"/>
    <w:rsid w:val="00E55DAB"/>
    <w:rsid w:val="00E57357"/>
    <w:rsid w:val="00E62EB1"/>
    <w:rsid w:val="00E67EAE"/>
    <w:rsid w:val="00E70ADC"/>
    <w:rsid w:val="00E73CF2"/>
    <w:rsid w:val="00E9691D"/>
    <w:rsid w:val="00EC4512"/>
    <w:rsid w:val="00EC70B3"/>
    <w:rsid w:val="00EF22CC"/>
    <w:rsid w:val="00EF5F55"/>
    <w:rsid w:val="00EF62B0"/>
    <w:rsid w:val="00EF6C5A"/>
    <w:rsid w:val="00EF7494"/>
    <w:rsid w:val="00F07257"/>
    <w:rsid w:val="00F131D2"/>
    <w:rsid w:val="00F135BF"/>
    <w:rsid w:val="00F31628"/>
    <w:rsid w:val="00F31C7D"/>
    <w:rsid w:val="00F41C8C"/>
    <w:rsid w:val="00F52303"/>
    <w:rsid w:val="00F642A8"/>
    <w:rsid w:val="00F6436F"/>
    <w:rsid w:val="00F64BCF"/>
    <w:rsid w:val="00F9409A"/>
    <w:rsid w:val="00FA5E13"/>
    <w:rsid w:val="00FA75C2"/>
    <w:rsid w:val="00FB0EA3"/>
    <w:rsid w:val="00FD0221"/>
    <w:rsid w:val="00FD3E95"/>
    <w:rsid w:val="00FE1F26"/>
    <w:rsid w:val="00FE5F91"/>
    <w:rsid w:val="00FF4ABD"/>
    <w:rsid w:val="00FF73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75B9C3E-8FAE-4C46-9059-0F49CDB0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F7C"/>
    <w:pPr>
      <w:widowControl w:val="0"/>
      <w:autoSpaceDE w:val="0"/>
      <w:autoSpaceDN w:val="0"/>
      <w:adjustRightInd w:val="0"/>
    </w:pPr>
    <w:rPr>
      <w:rFonts w:ascii="Arial" w:hAnsi="Arial" w:cs="Arial"/>
      <w:sz w:val="24"/>
      <w:szCs w:val="24"/>
      <w:lang w:val="es-ES" w:eastAsia="es-ES"/>
    </w:rPr>
  </w:style>
  <w:style w:type="paragraph" w:styleId="Ttulo1">
    <w:name w:val="heading 1"/>
    <w:aliases w:val="Título Principal"/>
    <w:basedOn w:val="Normal"/>
    <w:next w:val="Normal"/>
    <w:qFormat/>
    <w:rsid w:val="009B5F7C"/>
    <w:pPr>
      <w:keepNext/>
      <w:tabs>
        <w:tab w:val="center" w:pos="4680"/>
      </w:tabs>
      <w:jc w:val="both"/>
      <w:outlineLvl w:val="0"/>
    </w:pPr>
    <w:rPr>
      <w:b/>
      <w:bCs/>
      <w:i/>
      <w:iCs/>
      <w:color w:val="000000"/>
      <w:spacing w:val="-3"/>
      <w:u w:color="000000"/>
    </w:rPr>
  </w:style>
  <w:style w:type="paragraph" w:styleId="Ttulo2">
    <w:name w:val="heading 2"/>
    <w:basedOn w:val="Normal"/>
    <w:next w:val="Normal"/>
    <w:link w:val="Ttulo2Car"/>
    <w:qFormat/>
    <w:rsid w:val="00CC5C8D"/>
    <w:pPr>
      <w:keepNext/>
      <w:jc w:val="both"/>
      <w:outlineLvl w:val="1"/>
    </w:pPr>
    <w:rPr>
      <w:rFonts w:cs="Times New Roman"/>
      <w:sz w:val="32"/>
      <w:szCs w:val="32"/>
    </w:rPr>
  </w:style>
  <w:style w:type="paragraph" w:styleId="Ttulo3">
    <w:name w:val="heading 3"/>
    <w:basedOn w:val="Normal"/>
    <w:next w:val="Normal"/>
    <w:link w:val="Ttulo3Car"/>
    <w:qFormat/>
    <w:rsid w:val="00CC5C8D"/>
    <w:pPr>
      <w:keepNext/>
      <w:jc w:val="both"/>
      <w:outlineLvl w:val="2"/>
    </w:pPr>
    <w:rPr>
      <w:rFonts w:ascii="Tahoma" w:hAnsi="Tahoma" w:cs="Times New Roman"/>
      <w:b/>
      <w:bCs/>
    </w:rPr>
  </w:style>
  <w:style w:type="paragraph" w:styleId="Ttulo4">
    <w:name w:val="heading 4"/>
    <w:aliases w:val="h4"/>
    <w:basedOn w:val="Normal"/>
    <w:next w:val="Normal"/>
    <w:qFormat/>
    <w:rsid w:val="009B5F7C"/>
    <w:pPr>
      <w:keepNext/>
      <w:outlineLvl w:val="3"/>
    </w:pPr>
    <w:rPr>
      <w:rFonts w:ascii="Book Antiqua" w:hAnsi="Book Antiqua" w:cs="Book Antiqua"/>
      <w:b/>
      <w:bCs/>
      <w:u w:color="000000"/>
    </w:rPr>
  </w:style>
  <w:style w:type="paragraph" w:styleId="Ttulo5">
    <w:name w:val="heading 5"/>
    <w:basedOn w:val="Normal"/>
    <w:next w:val="Normal"/>
    <w:qFormat/>
    <w:rsid w:val="009B5F7C"/>
    <w:pPr>
      <w:keepNext/>
      <w:jc w:val="both"/>
      <w:outlineLvl w:val="4"/>
    </w:pPr>
    <w:rPr>
      <w:b/>
      <w:bCs/>
      <w:i/>
      <w:iCs/>
      <w:color w:val="000000"/>
      <w:u w:color="000000"/>
    </w:rPr>
  </w:style>
  <w:style w:type="paragraph" w:styleId="Ttulo6">
    <w:name w:val="heading 6"/>
    <w:basedOn w:val="Normal"/>
    <w:next w:val="Normal"/>
    <w:link w:val="Ttulo6Car"/>
    <w:qFormat/>
    <w:rsid w:val="00CC5C8D"/>
    <w:pPr>
      <w:keepNext/>
      <w:ind w:left="360"/>
      <w:jc w:val="both"/>
      <w:outlineLvl w:val="5"/>
    </w:pPr>
    <w:rPr>
      <w:rFonts w:cs="Times New Roman"/>
      <w:b/>
      <w:bCs/>
      <w:i/>
      <w:iCs/>
      <w:sz w:val="32"/>
      <w:szCs w:val="32"/>
    </w:rPr>
  </w:style>
  <w:style w:type="paragraph" w:styleId="Ttulo7">
    <w:name w:val="heading 7"/>
    <w:basedOn w:val="Normal"/>
    <w:next w:val="Normal"/>
    <w:link w:val="Ttulo7Car"/>
    <w:qFormat/>
    <w:rsid w:val="00CC5C8D"/>
    <w:pPr>
      <w:keepNext/>
      <w:jc w:val="center"/>
      <w:outlineLvl w:val="6"/>
    </w:pPr>
    <w:rPr>
      <w:rFonts w:cs="Times New Roman"/>
      <w:b/>
      <w:bCs/>
      <w:sz w:val="28"/>
      <w:szCs w:val="28"/>
    </w:rPr>
  </w:style>
  <w:style w:type="paragraph" w:styleId="Ttulo8">
    <w:name w:val="heading 8"/>
    <w:basedOn w:val="Normal"/>
    <w:next w:val="Normal"/>
    <w:qFormat/>
    <w:rsid w:val="009B5F7C"/>
    <w:pPr>
      <w:keepNext/>
      <w:jc w:val="right"/>
      <w:outlineLvl w:val="7"/>
    </w:pPr>
    <w:rPr>
      <w:rFonts w:ascii="Book Antiqua" w:hAnsi="Book Antiqua" w:cs="Book Antiqua"/>
    </w:rPr>
  </w:style>
  <w:style w:type="paragraph" w:styleId="Ttulo9">
    <w:name w:val="heading 9"/>
    <w:basedOn w:val="Normal"/>
    <w:next w:val="Normal"/>
    <w:link w:val="Ttulo9Car"/>
    <w:qFormat/>
    <w:rsid w:val="00CC5C8D"/>
    <w:pPr>
      <w:keepNext/>
      <w:ind w:left="1060"/>
      <w:jc w:val="both"/>
      <w:outlineLvl w:val="8"/>
    </w:pPr>
    <w:rPr>
      <w:rFonts w:cs="Times New Roman"/>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9B5F7C"/>
    <w:pPr>
      <w:widowControl/>
      <w:autoSpaceDE/>
      <w:autoSpaceDN/>
      <w:adjustRightInd/>
    </w:pPr>
    <w:rPr>
      <w:rFonts w:ascii="Tahoma" w:hAnsi="Tahoma" w:cs="Times New Roman"/>
      <w:sz w:val="16"/>
      <w:szCs w:val="16"/>
    </w:rPr>
  </w:style>
  <w:style w:type="paragraph" w:customStyle="1" w:styleId="Car">
    <w:name w:val="Car"/>
    <w:basedOn w:val="Normal"/>
    <w:rsid w:val="00A17B50"/>
    <w:pPr>
      <w:widowControl/>
      <w:autoSpaceDE/>
      <w:autoSpaceDN/>
      <w:adjustRightInd/>
      <w:spacing w:after="160" w:line="240" w:lineRule="exact"/>
    </w:pPr>
    <w:rPr>
      <w:rFonts w:ascii="Verdana" w:hAnsi="Verdana" w:cs="Verdana"/>
      <w:sz w:val="20"/>
      <w:szCs w:val="20"/>
      <w:lang w:val="en-AU" w:eastAsia="en-US"/>
    </w:rPr>
  </w:style>
  <w:style w:type="paragraph" w:customStyle="1" w:styleId="Estilo">
    <w:name w:val="Estilo"/>
    <w:next w:val="Normal"/>
    <w:rsid w:val="009B5F7C"/>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9B5F7C"/>
    <w:pPr>
      <w:widowControl w:val="0"/>
      <w:autoSpaceDE w:val="0"/>
      <w:autoSpaceDN w:val="0"/>
      <w:adjustRightInd w:val="0"/>
    </w:pPr>
    <w:rPr>
      <w:rFonts w:ascii="Arial" w:hAnsi="Arial" w:cs="Arial"/>
      <w:sz w:val="24"/>
      <w:szCs w:val="24"/>
      <w:u w:color="000000"/>
      <w:lang w:val="es-ES" w:eastAsia="es-ES"/>
    </w:rPr>
  </w:style>
  <w:style w:type="paragraph" w:styleId="Encabezado">
    <w:name w:val="header"/>
    <w:aliases w:val="encabezado"/>
    <w:basedOn w:val="Normal"/>
    <w:link w:val="EncabezadoCar"/>
    <w:rsid w:val="009B5F7C"/>
    <w:pPr>
      <w:tabs>
        <w:tab w:val="center" w:pos="4252"/>
        <w:tab w:val="right" w:pos="8504"/>
      </w:tabs>
    </w:pPr>
    <w:rPr>
      <w:rFonts w:cs="Times New Roman"/>
      <w:sz w:val="20"/>
      <w:szCs w:val="20"/>
      <w:u w:color="000000"/>
    </w:rPr>
  </w:style>
  <w:style w:type="character" w:customStyle="1" w:styleId="EncabezadoCar">
    <w:name w:val="Encabezado Car"/>
    <w:aliases w:val="encabezado Car"/>
    <w:link w:val="Encabezado"/>
    <w:locked/>
    <w:rsid w:val="008B5BDE"/>
    <w:rPr>
      <w:rFonts w:ascii="Arial" w:hAnsi="Arial"/>
      <w:u w:color="000000"/>
      <w:lang w:val="es-ES" w:eastAsia="es-ES"/>
    </w:rPr>
  </w:style>
  <w:style w:type="paragraph" w:styleId="Textoindependiente3">
    <w:name w:val="Body Text 3"/>
    <w:basedOn w:val="Normal"/>
    <w:rsid w:val="009B5F7C"/>
    <w:pPr>
      <w:jc w:val="both"/>
    </w:pPr>
    <w:rPr>
      <w:rFonts w:ascii="Book Antiqua" w:hAnsi="Book Antiqua" w:cs="Book Antiqua"/>
    </w:rPr>
  </w:style>
  <w:style w:type="paragraph" w:styleId="Piedepgina">
    <w:name w:val="footer"/>
    <w:basedOn w:val="Normal"/>
    <w:link w:val="PiedepginaCar"/>
    <w:rsid w:val="009B5F7C"/>
    <w:pPr>
      <w:tabs>
        <w:tab w:val="center" w:pos="4252"/>
        <w:tab w:val="right" w:pos="8504"/>
      </w:tabs>
    </w:pPr>
    <w:rPr>
      <w:sz w:val="20"/>
      <w:szCs w:val="20"/>
    </w:rPr>
  </w:style>
  <w:style w:type="paragraph" w:styleId="Textoindependiente2">
    <w:name w:val="Body Text 2"/>
    <w:basedOn w:val="Normal"/>
    <w:link w:val="Textoindependiente2Car"/>
    <w:rsid w:val="009B5F7C"/>
    <w:pPr>
      <w:jc w:val="both"/>
    </w:pPr>
    <w:rPr>
      <w:rFonts w:ascii="Book Antiqua" w:hAnsi="Book Antiqua" w:cs="Book Antiqua"/>
    </w:rPr>
  </w:style>
  <w:style w:type="character" w:styleId="Hipervnculo">
    <w:name w:val="Hyperlink"/>
    <w:rsid w:val="009B5F7C"/>
    <w:rPr>
      <w:rFonts w:cs="Times New Roman"/>
      <w:color w:val="0000FF"/>
      <w:u w:val="single"/>
    </w:rPr>
  </w:style>
  <w:style w:type="character" w:styleId="Nmerodepgina">
    <w:name w:val="page number"/>
    <w:rsid w:val="009B5F7C"/>
    <w:rPr>
      <w:rFonts w:cs="Times New Roman"/>
    </w:rPr>
  </w:style>
  <w:style w:type="character" w:styleId="Hipervnculovisitado">
    <w:name w:val="FollowedHyperlink"/>
    <w:rsid w:val="009B5F7C"/>
    <w:rPr>
      <w:rFonts w:cs="Times New Roman"/>
      <w:color w:val="800080"/>
      <w:u w:val="single"/>
    </w:rPr>
  </w:style>
  <w:style w:type="paragraph" w:customStyle="1" w:styleId="Ttulo30">
    <w:name w:val="TÍtulo 3"/>
    <w:next w:val="Normal"/>
    <w:rsid w:val="009B5F7C"/>
    <w:pPr>
      <w:keepNext/>
      <w:widowControl w:val="0"/>
      <w:autoSpaceDE w:val="0"/>
      <w:autoSpaceDN w:val="0"/>
      <w:adjustRightInd w:val="0"/>
      <w:jc w:val="both"/>
    </w:pPr>
    <w:rPr>
      <w:rFonts w:ascii="Arial" w:hAnsi="Arial" w:cs="Arial"/>
      <w:sz w:val="24"/>
      <w:szCs w:val="24"/>
      <w:lang w:val="es-ES" w:eastAsia="es-ES"/>
    </w:rPr>
  </w:style>
  <w:style w:type="paragraph" w:styleId="Textoindependiente">
    <w:name w:val="Body Text"/>
    <w:basedOn w:val="Normal"/>
    <w:rsid w:val="009B5F7C"/>
    <w:rPr>
      <w:rFonts w:ascii="Book Antiqua" w:hAnsi="Book Antiqua" w:cs="Book Antiqua"/>
      <w:sz w:val="22"/>
      <w:szCs w:val="22"/>
    </w:rPr>
  </w:style>
  <w:style w:type="paragraph" w:styleId="Textonotapie">
    <w:name w:val="footnote text"/>
    <w:basedOn w:val="Normal"/>
    <w:link w:val="TextonotapieCar"/>
    <w:semiHidden/>
    <w:rsid w:val="009B5F7C"/>
    <w:rPr>
      <w:rFonts w:cs="Times New Roman"/>
      <w:sz w:val="20"/>
      <w:szCs w:val="20"/>
    </w:rPr>
  </w:style>
  <w:style w:type="character" w:customStyle="1" w:styleId="TextonotapieCar">
    <w:name w:val="Texto nota pie Car"/>
    <w:link w:val="Textonotapie"/>
    <w:semiHidden/>
    <w:locked/>
    <w:rsid w:val="008B5BDE"/>
    <w:rPr>
      <w:rFonts w:ascii="Arial" w:hAnsi="Arial" w:cs="Arial"/>
      <w:lang w:val="es-ES" w:eastAsia="es-ES"/>
    </w:rPr>
  </w:style>
  <w:style w:type="character" w:styleId="Refdenotaalpie">
    <w:name w:val="footnote reference"/>
    <w:semiHidden/>
    <w:rsid w:val="009B5F7C"/>
    <w:rPr>
      <w:rFonts w:cs="Times New Roman"/>
      <w:vertAlign w:val="superscript"/>
    </w:rPr>
  </w:style>
  <w:style w:type="paragraph" w:styleId="Sangra2detindependiente">
    <w:name w:val="Body Text Indent 2"/>
    <w:basedOn w:val="Normal"/>
    <w:rsid w:val="009B5F7C"/>
    <w:pPr>
      <w:ind w:left="497"/>
      <w:jc w:val="both"/>
    </w:pPr>
    <w:rPr>
      <w:color w:val="000000"/>
      <w:spacing w:val="-10"/>
      <w:sz w:val="28"/>
      <w:szCs w:val="28"/>
      <w:u w:color="000000"/>
    </w:rPr>
  </w:style>
  <w:style w:type="paragraph" w:styleId="Mapadeldocumento">
    <w:name w:val="Document Map"/>
    <w:basedOn w:val="Normal"/>
    <w:semiHidden/>
    <w:rsid w:val="009B5F7C"/>
    <w:pPr>
      <w:shd w:val="clear" w:color="auto" w:fill="000080"/>
    </w:pPr>
    <w:rPr>
      <w:rFonts w:ascii="Tahoma" w:hAnsi="Tahoma" w:cs="Tahoma"/>
      <w:color w:val="000000"/>
      <w:sz w:val="20"/>
      <w:szCs w:val="20"/>
      <w:u w:color="000000"/>
    </w:rPr>
  </w:style>
  <w:style w:type="paragraph" w:styleId="NormalWeb">
    <w:name w:val="Normal (Web)"/>
    <w:basedOn w:val="Normal"/>
    <w:rsid w:val="009B5F7C"/>
    <w:rPr>
      <w:rFonts w:ascii="Arial Unicode MS" w:eastAsia="Arial Unicode MS" w:cs="Arial Unicode MS"/>
      <w:color w:val="000000"/>
      <w:u w:color="000000"/>
    </w:rPr>
  </w:style>
  <w:style w:type="table" w:styleId="Tablaconcuadrcula">
    <w:name w:val="Table Grid"/>
    <w:basedOn w:val="Tablanormal"/>
    <w:rsid w:val="008B5BD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8B5BDE"/>
    <w:pPr>
      <w:widowControl/>
      <w:autoSpaceDE/>
      <w:autoSpaceDN/>
      <w:adjustRightInd/>
      <w:spacing w:after="120"/>
      <w:ind w:left="283"/>
    </w:pPr>
    <w:rPr>
      <w:sz w:val="20"/>
      <w:szCs w:val="20"/>
      <w:lang w:val="es-CR"/>
    </w:rPr>
  </w:style>
  <w:style w:type="paragraph" w:customStyle="1" w:styleId="estilo2">
    <w:name w:val="estilo2"/>
    <w:basedOn w:val="Normal"/>
    <w:rsid w:val="00F52303"/>
    <w:pPr>
      <w:widowControl/>
      <w:autoSpaceDE/>
      <w:autoSpaceDN/>
      <w:adjustRightInd/>
      <w:spacing w:before="100" w:beforeAutospacing="1" w:after="100" w:afterAutospacing="1"/>
    </w:pPr>
    <w:rPr>
      <w:rFonts w:ascii="Verdana" w:hAnsi="Verdana" w:cs="Verdana"/>
    </w:rPr>
  </w:style>
  <w:style w:type="character" w:customStyle="1" w:styleId="estilo51">
    <w:name w:val="estilo51"/>
    <w:rsid w:val="00F52303"/>
    <w:rPr>
      <w:rFonts w:cs="Times New Roman"/>
      <w:b/>
      <w:bCs/>
    </w:rPr>
  </w:style>
  <w:style w:type="paragraph" w:customStyle="1" w:styleId="CharChar">
    <w:name w:val="Char Char"/>
    <w:basedOn w:val="Normal"/>
    <w:semiHidden/>
    <w:rsid w:val="004E1018"/>
    <w:pPr>
      <w:widowControl/>
      <w:autoSpaceDE/>
      <w:autoSpaceDN/>
      <w:adjustRightInd/>
      <w:spacing w:after="160" w:line="240" w:lineRule="exact"/>
    </w:pPr>
    <w:rPr>
      <w:rFonts w:ascii="Verdana" w:hAnsi="Verdana" w:cs="Verdana"/>
      <w:sz w:val="20"/>
      <w:szCs w:val="20"/>
      <w:lang w:val="en-AU" w:eastAsia="en-US"/>
    </w:rPr>
  </w:style>
  <w:style w:type="character" w:customStyle="1" w:styleId="CarCar">
    <w:name w:val="Car Car"/>
    <w:semiHidden/>
    <w:locked/>
    <w:rsid w:val="007C0BF9"/>
    <w:rPr>
      <w:rFonts w:ascii="Arial" w:hAnsi="Arial" w:cs="Arial"/>
      <w:color w:val="000000"/>
      <w:u w:color="000000"/>
      <w:lang w:val="es-ES" w:eastAsia="es-ES"/>
    </w:rPr>
  </w:style>
  <w:style w:type="paragraph" w:styleId="Prrafodelista">
    <w:name w:val="List Paragraph"/>
    <w:basedOn w:val="Normal"/>
    <w:uiPriority w:val="34"/>
    <w:qFormat/>
    <w:rsid w:val="001C1DF7"/>
    <w:pPr>
      <w:widowControl/>
      <w:autoSpaceDE/>
      <w:autoSpaceDN/>
      <w:adjustRightInd/>
      <w:ind w:left="708"/>
    </w:pPr>
  </w:style>
  <w:style w:type="paragraph" w:customStyle="1" w:styleId="Prrafodelista1">
    <w:name w:val="Párrafo de lista1"/>
    <w:basedOn w:val="Normal"/>
    <w:qFormat/>
    <w:rsid w:val="001C1DF7"/>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PiedepginaCar">
    <w:name w:val="Pie de página Car"/>
    <w:link w:val="Piedepgina"/>
    <w:rsid w:val="00111EED"/>
    <w:rPr>
      <w:rFonts w:ascii="Arial" w:hAnsi="Arial" w:cs="Arial"/>
      <w:lang w:val="es-ES" w:eastAsia="es-ES" w:bidi="ar-SA"/>
    </w:rPr>
  </w:style>
  <w:style w:type="character" w:customStyle="1" w:styleId="apple-converted-space">
    <w:name w:val="apple-converted-space"/>
    <w:basedOn w:val="Fuentedeprrafopredeter"/>
    <w:rsid w:val="00440E51"/>
  </w:style>
  <w:style w:type="character" w:customStyle="1" w:styleId="Ttulo2Car">
    <w:name w:val="Título 2 Car"/>
    <w:link w:val="Ttulo2"/>
    <w:rsid w:val="00CC5C8D"/>
    <w:rPr>
      <w:rFonts w:ascii="Arial" w:hAnsi="Arial" w:cs="Arial"/>
      <w:sz w:val="32"/>
      <w:szCs w:val="32"/>
      <w:lang w:val="es-ES" w:eastAsia="es-ES"/>
    </w:rPr>
  </w:style>
  <w:style w:type="character" w:customStyle="1" w:styleId="Ttulo3Car">
    <w:name w:val="Título 3 Car"/>
    <w:link w:val="Ttulo3"/>
    <w:rsid w:val="00CC5C8D"/>
    <w:rPr>
      <w:rFonts w:ascii="Tahoma" w:hAnsi="Tahoma" w:cs="Tahoma"/>
      <w:b/>
      <w:bCs/>
      <w:sz w:val="24"/>
      <w:szCs w:val="24"/>
      <w:lang w:val="es-ES" w:eastAsia="es-ES"/>
    </w:rPr>
  </w:style>
  <w:style w:type="character" w:customStyle="1" w:styleId="Ttulo6Car">
    <w:name w:val="Título 6 Car"/>
    <w:link w:val="Ttulo6"/>
    <w:rsid w:val="00CC5C8D"/>
    <w:rPr>
      <w:rFonts w:ascii="Arial" w:hAnsi="Arial" w:cs="Arial"/>
      <w:b/>
      <w:bCs/>
      <w:i/>
      <w:iCs/>
      <w:sz w:val="32"/>
      <w:szCs w:val="32"/>
      <w:lang w:val="es-ES" w:eastAsia="es-ES"/>
    </w:rPr>
  </w:style>
  <w:style w:type="character" w:customStyle="1" w:styleId="Ttulo7Car">
    <w:name w:val="Título 7 Car"/>
    <w:link w:val="Ttulo7"/>
    <w:rsid w:val="00CC5C8D"/>
    <w:rPr>
      <w:rFonts w:ascii="Arial" w:hAnsi="Arial" w:cs="Arial"/>
      <w:b/>
      <w:bCs/>
      <w:sz w:val="28"/>
      <w:szCs w:val="28"/>
      <w:lang w:val="es-ES" w:eastAsia="es-ES"/>
    </w:rPr>
  </w:style>
  <w:style w:type="character" w:customStyle="1" w:styleId="Ttulo9Car">
    <w:name w:val="Título 9 Car"/>
    <w:link w:val="Ttulo9"/>
    <w:rsid w:val="00CC5C8D"/>
    <w:rPr>
      <w:rFonts w:ascii="Arial" w:hAnsi="Arial" w:cs="Arial"/>
      <w:sz w:val="32"/>
      <w:szCs w:val="32"/>
      <w:lang w:val="es-ES" w:eastAsia="es-ES"/>
    </w:rPr>
  </w:style>
  <w:style w:type="character" w:customStyle="1" w:styleId="TextodegloboCar">
    <w:name w:val="Texto de globo Car"/>
    <w:link w:val="Textodeglobo"/>
    <w:rsid w:val="00CC5C8D"/>
    <w:rPr>
      <w:rFonts w:ascii="Tahoma" w:hAnsi="Tahoma" w:cs="Tahoma"/>
      <w:sz w:val="16"/>
      <w:szCs w:val="16"/>
      <w:lang w:val="es-ES" w:eastAsia="es-ES"/>
    </w:rPr>
  </w:style>
  <w:style w:type="paragraph" w:customStyle="1" w:styleId="Estilo20">
    <w:name w:val="Estilo2"/>
    <w:next w:val="Normal"/>
    <w:rsid w:val="00CC5C8D"/>
    <w:pPr>
      <w:widowControl w:val="0"/>
      <w:autoSpaceDE w:val="0"/>
      <w:autoSpaceDN w:val="0"/>
      <w:adjustRightInd w:val="0"/>
    </w:pPr>
    <w:rPr>
      <w:rFonts w:ascii="Arial" w:hAnsi="Arial" w:cs="Arial"/>
      <w:sz w:val="24"/>
      <w:szCs w:val="24"/>
      <w:u w:color="000000"/>
      <w:lang w:val="es-ES" w:eastAsia="es-ES"/>
    </w:rPr>
  </w:style>
  <w:style w:type="paragraph" w:customStyle="1" w:styleId="DefinitionTerm">
    <w:name w:val="Definition Term"/>
    <w:next w:val="DefinitionList"/>
    <w:rsid w:val="00CC5C8D"/>
    <w:pPr>
      <w:widowControl w:val="0"/>
      <w:autoSpaceDE w:val="0"/>
      <w:autoSpaceDN w:val="0"/>
      <w:adjustRightInd w:val="0"/>
    </w:pPr>
    <w:rPr>
      <w:rFonts w:ascii="Arial" w:hAnsi="Arial" w:cs="Arial"/>
      <w:sz w:val="24"/>
      <w:szCs w:val="24"/>
      <w:lang w:val="es-ES" w:eastAsia="es-ES"/>
    </w:rPr>
  </w:style>
  <w:style w:type="paragraph" w:customStyle="1" w:styleId="DefinitionList">
    <w:name w:val="Definition List"/>
    <w:next w:val="DefinitionTerm"/>
    <w:rsid w:val="00CC5C8D"/>
    <w:pPr>
      <w:widowControl w:val="0"/>
      <w:autoSpaceDE w:val="0"/>
      <w:autoSpaceDN w:val="0"/>
      <w:adjustRightInd w:val="0"/>
      <w:ind w:left="360"/>
    </w:pPr>
    <w:rPr>
      <w:rFonts w:ascii="Arial" w:hAnsi="Arial" w:cs="Arial"/>
      <w:sz w:val="24"/>
      <w:szCs w:val="24"/>
      <w:lang w:val="es-ES" w:eastAsia="es-ES"/>
    </w:rPr>
  </w:style>
  <w:style w:type="character" w:customStyle="1" w:styleId="Definition">
    <w:name w:val="Definition"/>
    <w:rsid w:val="00CC5C8D"/>
    <w:rPr>
      <w:i/>
      <w:iCs/>
    </w:rPr>
  </w:style>
  <w:style w:type="paragraph" w:customStyle="1" w:styleId="H1">
    <w:name w:val="H1"/>
    <w:next w:val="Normal"/>
    <w:rsid w:val="00CC5C8D"/>
    <w:pPr>
      <w:keepNext/>
      <w:widowControl w:val="0"/>
      <w:autoSpaceDE w:val="0"/>
      <w:autoSpaceDN w:val="0"/>
      <w:adjustRightInd w:val="0"/>
      <w:spacing w:before="100" w:after="100"/>
      <w:outlineLvl w:val="1"/>
    </w:pPr>
    <w:rPr>
      <w:rFonts w:ascii="Arial" w:hAnsi="Arial" w:cs="Arial"/>
      <w:b/>
      <w:bCs/>
      <w:sz w:val="48"/>
      <w:szCs w:val="48"/>
      <w:lang w:val="es-ES" w:eastAsia="es-ES"/>
    </w:rPr>
  </w:style>
  <w:style w:type="paragraph" w:customStyle="1" w:styleId="H2">
    <w:name w:val="H2"/>
    <w:next w:val="Normal"/>
    <w:rsid w:val="00CC5C8D"/>
    <w:pPr>
      <w:keepNext/>
      <w:widowControl w:val="0"/>
      <w:autoSpaceDE w:val="0"/>
      <w:autoSpaceDN w:val="0"/>
      <w:adjustRightInd w:val="0"/>
      <w:spacing w:before="100" w:after="100"/>
      <w:outlineLvl w:val="2"/>
    </w:pPr>
    <w:rPr>
      <w:rFonts w:ascii="Arial" w:hAnsi="Arial" w:cs="Arial"/>
      <w:b/>
      <w:bCs/>
      <w:sz w:val="36"/>
      <w:szCs w:val="36"/>
      <w:lang w:val="es-ES" w:eastAsia="es-ES"/>
    </w:rPr>
  </w:style>
  <w:style w:type="paragraph" w:customStyle="1" w:styleId="H3">
    <w:name w:val="H3"/>
    <w:next w:val="Normal"/>
    <w:rsid w:val="00CC5C8D"/>
    <w:pPr>
      <w:keepNext/>
      <w:widowControl w:val="0"/>
      <w:autoSpaceDE w:val="0"/>
      <w:autoSpaceDN w:val="0"/>
      <w:adjustRightInd w:val="0"/>
      <w:spacing w:before="100" w:after="100"/>
      <w:outlineLvl w:val="3"/>
    </w:pPr>
    <w:rPr>
      <w:rFonts w:ascii="Arial" w:hAnsi="Arial" w:cs="Arial"/>
      <w:b/>
      <w:bCs/>
      <w:sz w:val="28"/>
      <w:szCs w:val="28"/>
      <w:lang w:val="es-ES" w:eastAsia="es-ES"/>
    </w:rPr>
  </w:style>
  <w:style w:type="paragraph" w:customStyle="1" w:styleId="H4">
    <w:name w:val="H4"/>
    <w:next w:val="Normal"/>
    <w:rsid w:val="00CC5C8D"/>
    <w:pPr>
      <w:keepNext/>
      <w:widowControl w:val="0"/>
      <w:autoSpaceDE w:val="0"/>
      <w:autoSpaceDN w:val="0"/>
      <w:adjustRightInd w:val="0"/>
      <w:spacing w:before="100" w:after="100"/>
      <w:outlineLvl w:val="4"/>
    </w:pPr>
    <w:rPr>
      <w:rFonts w:ascii="Arial" w:hAnsi="Arial" w:cs="Arial"/>
      <w:b/>
      <w:bCs/>
      <w:sz w:val="24"/>
      <w:szCs w:val="24"/>
      <w:lang w:val="es-ES" w:eastAsia="es-ES"/>
    </w:rPr>
  </w:style>
  <w:style w:type="paragraph" w:customStyle="1" w:styleId="H5">
    <w:name w:val="H5"/>
    <w:next w:val="Normal"/>
    <w:rsid w:val="00CC5C8D"/>
    <w:pPr>
      <w:keepNext/>
      <w:widowControl w:val="0"/>
      <w:autoSpaceDE w:val="0"/>
      <w:autoSpaceDN w:val="0"/>
      <w:adjustRightInd w:val="0"/>
      <w:spacing w:before="100" w:after="100"/>
      <w:outlineLvl w:val="5"/>
    </w:pPr>
    <w:rPr>
      <w:rFonts w:ascii="Arial" w:hAnsi="Arial" w:cs="Arial"/>
      <w:b/>
      <w:bCs/>
      <w:lang w:val="es-ES" w:eastAsia="es-ES"/>
    </w:rPr>
  </w:style>
  <w:style w:type="paragraph" w:customStyle="1" w:styleId="H6">
    <w:name w:val="H6"/>
    <w:next w:val="Normal"/>
    <w:rsid w:val="00CC5C8D"/>
    <w:pPr>
      <w:keepNext/>
      <w:widowControl w:val="0"/>
      <w:autoSpaceDE w:val="0"/>
      <w:autoSpaceDN w:val="0"/>
      <w:adjustRightInd w:val="0"/>
      <w:spacing w:before="100" w:after="100"/>
      <w:outlineLvl w:val="6"/>
    </w:pPr>
    <w:rPr>
      <w:rFonts w:ascii="Arial" w:hAnsi="Arial" w:cs="Arial"/>
      <w:b/>
      <w:bCs/>
      <w:sz w:val="16"/>
      <w:szCs w:val="16"/>
      <w:lang w:val="es-ES" w:eastAsia="es-ES"/>
    </w:rPr>
  </w:style>
  <w:style w:type="paragraph" w:customStyle="1" w:styleId="Address">
    <w:name w:val="Address"/>
    <w:next w:val="Normal"/>
    <w:rsid w:val="00CC5C8D"/>
    <w:pPr>
      <w:widowControl w:val="0"/>
      <w:autoSpaceDE w:val="0"/>
      <w:autoSpaceDN w:val="0"/>
      <w:adjustRightInd w:val="0"/>
    </w:pPr>
    <w:rPr>
      <w:rFonts w:ascii="Arial" w:hAnsi="Arial" w:cs="Arial"/>
      <w:i/>
      <w:iCs/>
      <w:sz w:val="24"/>
      <w:szCs w:val="24"/>
      <w:lang w:val="es-ES" w:eastAsia="es-ES"/>
    </w:rPr>
  </w:style>
  <w:style w:type="paragraph" w:customStyle="1" w:styleId="Blockquote">
    <w:name w:val="Blockquote"/>
    <w:next w:val="Normal"/>
    <w:rsid w:val="00CC5C8D"/>
    <w:pPr>
      <w:widowControl w:val="0"/>
      <w:autoSpaceDE w:val="0"/>
      <w:autoSpaceDN w:val="0"/>
      <w:adjustRightInd w:val="0"/>
      <w:spacing w:before="100" w:after="100"/>
      <w:ind w:left="360" w:right="360"/>
    </w:pPr>
    <w:rPr>
      <w:rFonts w:ascii="Arial" w:hAnsi="Arial" w:cs="Arial"/>
      <w:sz w:val="24"/>
      <w:szCs w:val="24"/>
      <w:lang w:val="es-ES" w:eastAsia="es-ES"/>
    </w:rPr>
  </w:style>
  <w:style w:type="character" w:customStyle="1" w:styleId="CITE">
    <w:name w:val="CITE"/>
    <w:rsid w:val="00CC5C8D"/>
    <w:rPr>
      <w:i/>
      <w:iCs/>
    </w:rPr>
  </w:style>
  <w:style w:type="character" w:customStyle="1" w:styleId="CODE">
    <w:name w:val="CODE"/>
    <w:rsid w:val="00CC5C8D"/>
    <w:rPr>
      <w:rFonts w:ascii="Courier New" w:hAnsi="Courier New" w:cs="Courier New"/>
      <w:sz w:val="20"/>
      <w:szCs w:val="20"/>
    </w:rPr>
  </w:style>
  <w:style w:type="character" w:styleId="nfasis">
    <w:name w:val="Emphasis"/>
    <w:qFormat/>
    <w:rsid w:val="00CC5C8D"/>
    <w:rPr>
      <w:i/>
      <w:iCs/>
    </w:rPr>
  </w:style>
  <w:style w:type="character" w:customStyle="1" w:styleId="Keyboard">
    <w:name w:val="Keyboard"/>
    <w:rsid w:val="00CC5C8D"/>
    <w:rPr>
      <w:rFonts w:ascii="Courier New" w:hAnsi="Courier New" w:cs="Courier New"/>
      <w:b/>
      <w:bCs/>
      <w:sz w:val="20"/>
      <w:szCs w:val="20"/>
    </w:rPr>
  </w:style>
  <w:style w:type="paragraph" w:customStyle="1" w:styleId="Preformatted">
    <w:name w:val="Preformatted"/>
    <w:next w:val="Normal"/>
    <w:rsid w:val="00CC5C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lang w:val="es-ES" w:eastAsia="es-ES"/>
    </w:rPr>
  </w:style>
  <w:style w:type="paragraph" w:customStyle="1" w:styleId="z-BottomofForm">
    <w:name w:val="z-Bottom of Form"/>
    <w:next w:val="Normal"/>
    <w:rsid w:val="00CC5C8D"/>
    <w:pPr>
      <w:widowControl w:val="0"/>
      <w:pBdr>
        <w:top w:val="double" w:sz="6" w:space="0" w:color="000000"/>
      </w:pBdr>
      <w:autoSpaceDE w:val="0"/>
      <w:autoSpaceDN w:val="0"/>
      <w:adjustRightInd w:val="0"/>
      <w:jc w:val="center"/>
    </w:pPr>
    <w:rPr>
      <w:rFonts w:ascii="Arial" w:hAnsi="Arial" w:cs="Arial"/>
      <w:vanish/>
      <w:sz w:val="16"/>
      <w:szCs w:val="16"/>
      <w:lang w:val="es-ES" w:eastAsia="es-ES"/>
    </w:rPr>
  </w:style>
  <w:style w:type="paragraph" w:customStyle="1" w:styleId="z-TopofForm">
    <w:name w:val="z-Top of Form"/>
    <w:next w:val="Normal"/>
    <w:rsid w:val="00CC5C8D"/>
    <w:pPr>
      <w:widowControl w:val="0"/>
      <w:pBdr>
        <w:bottom w:val="double" w:sz="6" w:space="0" w:color="000000"/>
      </w:pBdr>
      <w:autoSpaceDE w:val="0"/>
      <w:autoSpaceDN w:val="0"/>
      <w:adjustRightInd w:val="0"/>
      <w:jc w:val="center"/>
    </w:pPr>
    <w:rPr>
      <w:rFonts w:ascii="Arial" w:hAnsi="Arial" w:cs="Arial"/>
      <w:vanish/>
      <w:sz w:val="16"/>
      <w:szCs w:val="16"/>
      <w:lang w:val="es-ES" w:eastAsia="es-ES"/>
    </w:rPr>
  </w:style>
  <w:style w:type="character" w:customStyle="1" w:styleId="Sample">
    <w:name w:val="Sample"/>
    <w:rsid w:val="00CC5C8D"/>
    <w:rPr>
      <w:rFonts w:ascii="Courier New" w:hAnsi="Courier New" w:cs="Courier New"/>
    </w:rPr>
  </w:style>
  <w:style w:type="character" w:styleId="Textoennegrita">
    <w:name w:val="Strong"/>
    <w:qFormat/>
    <w:rsid w:val="00CC5C8D"/>
    <w:rPr>
      <w:b/>
      <w:bCs/>
    </w:rPr>
  </w:style>
  <w:style w:type="character" w:customStyle="1" w:styleId="Typewriter">
    <w:name w:val="Typewriter"/>
    <w:rsid w:val="00CC5C8D"/>
    <w:rPr>
      <w:rFonts w:ascii="Courier New" w:hAnsi="Courier New" w:cs="Courier New"/>
      <w:sz w:val="20"/>
      <w:szCs w:val="20"/>
    </w:rPr>
  </w:style>
  <w:style w:type="character" w:customStyle="1" w:styleId="Variable">
    <w:name w:val="Variable"/>
    <w:rsid w:val="00CC5C8D"/>
    <w:rPr>
      <w:i/>
      <w:iCs/>
    </w:rPr>
  </w:style>
  <w:style w:type="character" w:customStyle="1" w:styleId="HTMLMarkup">
    <w:name w:val="HTML Markup"/>
    <w:rsid w:val="00CC5C8D"/>
    <w:rPr>
      <w:vanish/>
      <w:color w:val="FF0000"/>
    </w:rPr>
  </w:style>
  <w:style w:type="character" w:customStyle="1" w:styleId="Comment">
    <w:name w:val="Comment"/>
    <w:rsid w:val="00CC5C8D"/>
    <w:rPr>
      <w:vanish/>
    </w:rPr>
  </w:style>
  <w:style w:type="paragraph" w:styleId="Sangra3detindependiente">
    <w:name w:val="Body Text Indent 3"/>
    <w:basedOn w:val="Normal"/>
    <w:link w:val="Sangra3detindependienteCar"/>
    <w:rsid w:val="00CC5C8D"/>
    <w:pPr>
      <w:ind w:left="426"/>
      <w:jc w:val="both"/>
    </w:pPr>
    <w:rPr>
      <w:rFonts w:cs="Times New Roman"/>
      <w:sz w:val="32"/>
      <w:szCs w:val="32"/>
    </w:rPr>
  </w:style>
  <w:style w:type="character" w:customStyle="1" w:styleId="Sangra3detindependienteCar">
    <w:name w:val="Sangría 3 de t. independiente Car"/>
    <w:link w:val="Sangra3detindependiente"/>
    <w:rsid w:val="00CC5C8D"/>
    <w:rPr>
      <w:rFonts w:ascii="Arial" w:hAnsi="Arial" w:cs="Arial"/>
      <w:sz w:val="32"/>
      <w:szCs w:val="32"/>
      <w:lang w:val="es-ES" w:eastAsia="es-ES"/>
    </w:rPr>
  </w:style>
  <w:style w:type="paragraph" w:customStyle="1" w:styleId="BodyText22">
    <w:name w:val="Body Text 22"/>
    <w:rsid w:val="00CC5C8D"/>
    <w:pPr>
      <w:widowControl w:val="0"/>
      <w:autoSpaceDE w:val="0"/>
      <w:autoSpaceDN w:val="0"/>
      <w:adjustRightInd w:val="0"/>
      <w:jc w:val="both"/>
    </w:pPr>
    <w:rPr>
      <w:rFonts w:ascii="Arial" w:hAnsi="Arial" w:cs="Arial"/>
      <w:sz w:val="24"/>
      <w:szCs w:val="24"/>
      <w:lang w:val="es-ES" w:eastAsia="es-ES"/>
    </w:rPr>
  </w:style>
  <w:style w:type="paragraph" w:styleId="Textodebloque">
    <w:name w:val="Block Text"/>
    <w:basedOn w:val="Normal"/>
    <w:rsid w:val="00CC5C8D"/>
    <w:pPr>
      <w:ind w:left="190" w:right="200"/>
      <w:jc w:val="both"/>
    </w:pPr>
    <w:rPr>
      <w:color w:val="0000FF"/>
      <w:sz w:val="28"/>
      <w:szCs w:val="28"/>
    </w:rPr>
  </w:style>
  <w:style w:type="paragraph" w:customStyle="1" w:styleId="NormaldespesTabla">
    <w:name w:val="Normal despúes Tabla"/>
    <w:rsid w:val="00CC5C8D"/>
    <w:pPr>
      <w:keepLines/>
      <w:widowControl w:val="0"/>
      <w:autoSpaceDE w:val="0"/>
      <w:autoSpaceDN w:val="0"/>
      <w:adjustRightInd w:val="0"/>
      <w:spacing w:before="120" w:after="120"/>
      <w:ind w:left="851"/>
      <w:jc w:val="both"/>
    </w:pPr>
    <w:rPr>
      <w:rFonts w:ascii="Tahoma" w:hAnsi="Tahoma" w:cs="Tahoma"/>
      <w:lang w:val="es-ES" w:eastAsia="es-ES"/>
    </w:rPr>
  </w:style>
  <w:style w:type="paragraph" w:styleId="Listaconvietas">
    <w:name w:val="List Bullet"/>
    <w:aliases w:val="UL"/>
    <w:basedOn w:val="Normal"/>
    <w:rsid w:val="00CC5C8D"/>
    <w:pPr>
      <w:keepLines/>
      <w:numPr>
        <w:numId w:val="2"/>
      </w:numPr>
      <w:tabs>
        <w:tab w:val="left" w:pos="1208"/>
      </w:tabs>
      <w:spacing w:before="60" w:after="60"/>
      <w:ind w:left="1208" w:hanging="357"/>
      <w:jc w:val="both"/>
    </w:pPr>
    <w:rPr>
      <w:rFonts w:ascii="Tahoma" w:hAnsi="Tahoma" w:cs="Tahoma"/>
      <w:sz w:val="20"/>
      <w:szCs w:val="20"/>
    </w:rPr>
  </w:style>
  <w:style w:type="paragraph" w:styleId="Continuarlista">
    <w:name w:val="List Continue"/>
    <w:basedOn w:val="Normal"/>
    <w:rsid w:val="00CC5C8D"/>
    <w:pPr>
      <w:keepLines/>
      <w:spacing w:before="60" w:after="60"/>
      <w:ind w:left="1208"/>
      <w:jc w:val="both"/>
    </w:pPr>
    <w:rPr>
      <w:rFonts w:ascii="Tahoma" w:hAnsi="Tahoma" w:cs="Tahoma"/>
      <w:sz w:val="20"/>
      <w:szCs w:val="20"/>
    </w:rPr>
  </w:style>
  <w:style w:type="paragraph" w:customStyle="1" w:styleId="ListBulletBold">
    <w:name w:val="List Bullet Bold"/>
    <w:next w:val="Continuarlista"/>
    <w:rsid w:val="00CC5C8D"/>
    <w:pPr>
      <w:keepNext/>
      <w:keepLines/>
      <w:widowControl w:val="0"/>
      <w:numPr>
        <w:numId w:val="3"/>
      </w:numPr>
      <w:tabs>
        <w:tab w:val="clear" w:pos="720"/>
        <w:tab w:val="left" w:pos="643"/>
        <w:tab w:val="left" w:pos="717"/>
      </w:tabs>
      <w:autoSpaceDE w:val="0"/>
      <w:autoSpaceDN w:val="0"/>
      <w:adjustRightInd w:val="0"/>
      <w:spacing w:before="60" w:after="60"/>
      <w:ind w:left="714"/>
      <w:jc w:val="both"/>
    </w:pPr>
    <w:rPr>
      <w:rFonts w:ascii="Tahoma" w:hAnsi="Tahoma" w:cs="Tahoma"/>
      <w:b/>
      <w:bCs/>
      <w:lang w:val="es-ES" w:eastAsia="es-ES"/>
    </w:rPr>
  </w:style>
  <w:style w:type="paragraph" w:customStyle="1" w:styleId="Default">
    <w:name w:val="Default"/>
    <w:rsid w:val="00CC5C8D"/>
    <w:pPr>
      <w:widowControl w:val="0"/>
      <w:autoSpaceDE w:val="0"/>
      <w:autoSpaceDN w:val="0"/>
      <w:adjustRightInd w:val="0"/>
    </w:pPr>
    <w:rPr>
      <w:rFonts w:ascii="Arial" w:hAnsi="Arial" w:cs="Arial"/>
      <w:color w:val="000000"/>
      <w:sz w:val="24"/>
      <w:szCs w:val="24"/>
      <w:lang w:val="es-ES" w:eastAsia="es-ES"/>
    </w:rPr>
  </w:style>
  <w:style w:type="paragraph" w:customStyle="1" w:styleId="Ttulo60">
    <w:name w:val="T’tulo 6"/>
    <w:next w:val="Normal"/>
    <w:rsid w:val="00CC5C8D"/>
    <w:pPr>
      <w:keepNext/>
      <w:widowControl w:val="0"/>
      <w:tabs>
        <w:tab w:val="left" w:pos="-720"/>
      </w:tabs>
      <w:autoSpaceDE w:val="0"/>
      <w:autoSpaceDN w:val="0"/>
      <w:adjustRightInd w:val="0"/>
      <w:jc w:val="center"/>
    </w:pPr>
    <w:rPr>
      <w:rFonts w:ascii="Arial" w:hAnsi="Arial" w:cs="Arial"/>
      <w:b/>
      <w:bCs/>
      <w:spacing w:val="-3"/>
      <w:sz w:val="22"/>
      <w:szCs w:val="22"/>
      <w:lang w:val="es-ES" w:eastAsia="es-ES"/>
    </w:rPr>
  </w:style>
  <w:style w:type="paragraph" w:customStyle="1" w:styleId="Piedepgina0">
    <w:name w:val="Pie de p‡gina"/>
    <w:rsid w:val="00CC5C8D"/>
    <w:pPr>
      <w:widowControl w:val="0"/>
      <w:tabs>
        <w:tab w:val="center" w:pos="4252"/>
        <w:tab w:val="right" w:pos="8504"/>
      </w:tabs>
      <w:autoSpaceDE w:val="0"/>
      <w:autoSpaceDN w:val="0"/>
      <w:adjustRightInd w:val="0"/>
    </w:pPr>
    <w:rPr>
      <w:rFonts w:ascii="Arial" w:hAnsi="Arial" w:cs="Arial"/>
      <w:sz w:val="24"/>
      <w:szCs w:val="24"/>
      <w:lang w:val="es-ES" w:eastAsia="es-ES"/>
    </w:rPr>
  </w:style>
  <w:style w:type="paragraph" w:customStyle="1" w:styleId="NormalTabla">
    <w:name w:val="Normal Tabla"/>
    <w:rsid w:val="00CC5C8D"/>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sz w:val="18"/>
      <w:szCs w:val="18"/>
      <w:lang w:val="es-ES" w:eastAsia="es-ES"/>
    </w:rPr>
  </w:style>
  <w:style w:type="paragraph" w:customStyle="1" w:styleId="NormalTabla10">
    <w:name w:val="Normal Tabla 10"/>
    <w:rsid w:val="00CC5C8D"/>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lang w:val="es-ES" w:eastAsia="es-ES"/>
    </w:rPr>
  </w:style>
  <w:style w:type="paragraph" w:customStyle="1" w:styleId="Ttulo50">
    <w:name w:val="T’tulo 5"/>
    <w:next w:val="Normal"/>
    <w:rsid w:val="00CC5C8D"/>
    <w:pPr>
      <w:keepNext/>
      <w:widowControl w:val="0"/>
      <w:tabs>
        <w:tab w:val="left" w:pos="-720"/>
      </w:tabs>
      <w:autoSpaceDE w:val="0"/>
      <w:autoSpaceDN w:val="0"/>
      <w:adjustRightInd w:val="0"/>
      <w:jc w:val="both"/>
    </w:pPr>
    <w:rPr>
      <w:rFonts w:ascii="Arial" w:hAnsi="Arial" w:cs="Arial"/>
      <w:b/>
      <w:bCs/>
      <w:spacing w:val="-3"/>
      <w:sz w:val="24"/>
      <w:szCs w:val="24"/>
      <w:lang w:val="es-ES" w:eastAsia="es-ES"/>
    </w:rPr>
  </w:style>
  <w:style w:type="paragraph" w:styleId="Listaconvietas2">
    <w:name w:val="List Bullet 2"/>
    <w:basedOn w:val="Normal"/>
    <w:rsid w:val="00CC5C8D"/>
    <w:pPr>
      <w:keepLines/>
      <w:numPr>
        <w:numId w:val="1"/>
      </w:numPr>
      <w:tabs>
        <w:tab w:val="left" w:pos="643"/>
        <w:tab w:val="left" w:pos="1565"/>
      </w:tabs>
      <w:spacing w:before="60" w:after="60"/>
      <w:ind w:left="1565" w:hanging="357"/>
      <w:jc w:val="both"/>
    </w:pPr>
    <w:rPr>
      <w:rFonts w:ascii="Tahoma" w:hAnsi="Tahoma" w:cs="Tahoma"/>
      <w:sz w:val="20"/>
      <w:szCs w:val="20"/>
    </w:rPr>
  </w:style>
  <w:style w:type="paragraph" w:customStyle="1" w:styleId="CapituloNombre">
    <w:name w:val="Capitulo Nombre"/>
    <w:rsid w:val="00CC5C8D"/>
    <w:pPr>
      <w:keepLines/>
      <w:widowControl w:val="0"/>
      <w:autoSpaceDE w:val="0"/>
      <w:autoSpaceDN w:val="0"/>
      <w:adjustRightInd w:val="0"/>
      <w:spacing w:before="120" w:after="480"/>
      <w:jc w:val="center"/>
    </w:pPr>
    <w:rPr>
      <w:rFonts w:ascii="Tahoma" w:hAnsi="Tahoma" w:cs="Tahoma"/>
      <w:b/>
      <w:bCs/>
      <w:smallCaps/>
      <w:color w:val="800000"/>
      <w:sz w:val="40"/>
      <w:szCs w:val="40"/>
      <w:lang w:val="es-ES" w:eastAsia="es-ES"/>
    </w:rPr>
  </w:style>
  <w:style w:type="paragraph" w:customStyle="1" w:styleId="Normalprueba1">
    <w:name w:val="Normal.prueba1"/>
    <w:rsid w:val="00CC5C8D"/>
    <w:pPr>
      <w:widowControl w:val="0"/>
      <w:autoSpaceDE w:val="0"/>
      <w:autoSpaceDN w:val="0"/>
      <w:adjustRightInd w:val="0"/>
      <w:jc w:val="both"/>
    </w:pPr>
    <w:rPr>
      <w:rFonts w:ascii="Arial" w:hAnsi="Arial" w:cs="Arial"/>
      <w:sz w:val="24"/>
      <w:szCs w:val="24"/>
      <w:lang w:val="es-ES" w:eastAsia="es-ES"/>
    </w:rPr>
  </w:style>
  <w:style w:type="paragraph" w:customStyle="1" w:styleId="a">
    <w:basedOn w:val="Normal"/>
    <w:next w:val="Puesto"/>
    <w:qFormat/>
    <w:rsid w:val="00CC5C8D"/>
    <w:pPr>
      <w:ind w:firstLine="284"/>
      <w:jc w:val="center"/>
    </w:pPr>
    <w:rPr>
      <w:rFonts w:ascii="Comic Sans MS" w:hAnsi="Comic Sans MS" w:cs="Comic Sans MS"/>
      <w:b/>
      <w:bCs/>
      <w:sz w:val="28"/>
      <w:szCs w:val="28"/>
    </w:rPr>
  </w:style>
  <w:style w:type="paragraph" w:styleId="Subttulo">
    <w:name w:val="Subtitle"/>
    <w:basedOn w:val="Normal"/>
    <w:link w:val="SubttuloCar"/>
    <w:qFormat/>
    <w:rsid w:val="00CC5C8D"/>
    <w:pPr>
      <w:jc w:val="center"/>
    </w:pPr>
    <w:rPr>
      <w:rFonts w:ascii="Garamond" w:hAnsi="Garamond" w:cs="Times New Roman"/>
      <w:b/>
      <w:bCs/>
      <w:i/>
      <w:iCs/>
    </w:rPr>
  </w:style>
  <w:style w:type="character" w:customStyle="1" w:styleId="SubttuloCar">
    <w:name w:val="Subtítulo Car"/>
    <w:link w:val="Subttulo"/>
    <w:rsid w:val="00CC5C8D"/>
    <w:rPr>
      <w:rFonts w:ascii="Garamond" w:hAnsi="Garamond" w:cs="Garamond"/>
      <w:b/>
      <w:bCs/>
      <w:i/>
      <w:iCs/>
      <w:sz w:val="24"/>
      <w:szCs w:val="24"/>
      <w:lang w:val="es-ES" w:eastAsia="es-ES"/>
    </w:rPr>
  </w:style>
  <w:style w:type="paragraph" w:styleId="Cita">
    <w:name w:val="Quote"/>
    <w:next w:val="Normal"/>
    <w:link w:val="CitaCar"/>
    <w:qFormat/>
    <w:rsid w:val="00CC5C8D"/>
    <w:pPr>
      <w:widowControl w:val="0"/>
      <w:tabs>
        <w:tab w:val="left" w:pos="-720"/>
      </w:tabs>
      <w:autoSpaceDE w:val="0"/>
      <w:autoSpaceDN w:val="0"/>
      <w:adjustRightInd w:val="0"/>
      <w:ind w:left="851" w:right="851"/>
      <w:jc w:val="both"/>
    </w:pPr>
    <w:rPr>
      <w:rFonts w:ascii="Arial" w:hAnsi="Arial" w:cs="Arial"/>
      <w:b/>
      <w:bCs/>
      <w:spacing w:val="-3"/>
      <w:sz w:val="22"/>
      <w:szCs w:val="22"/>
      <w:lang w:val="es-ES" w:eastAsia="es-ES"/>
    </w:rPr>
  </w:style>
  <w:style w:type="character" w:customStyle="1" w:styleId="CitaCar">
    <w:name w:val="Cita Car"/>
    <w:link w:val="Cita"/>
    <w:rsid w:val="00CC5C8D"/>
    <w:rPr>
      <w:rFonts w:ascii="Arial" w:hAnsi="Arial" w:cs="Arial"/>
      <w:b/>
      <w:bCs/>
      <w:spacing w:val="-3"/>
      <w:sz w:val="22"/>
      <w:szCs w:val="22"/>
      <w:lang w:val="es-ES" w:eastAsia="es-ES" w:bidi="ar-SA"/>
    </w:rPr>
  </w:style>
  <w:style w:type="paragraph" w:customStyle="1" w:styleId="NormalNegrita">
    <w:name w:val="Normal Negrita"/>
    <w:rsid w:val="00CC5C8D"/>
    <w:pPr>
      <w:keepNext/>
      <w:keepLines/>
      <w:widowControl w:val="0"/>
      <w:autoSpaceDE w:val="0"/>
      <w:autoSpaceDN w:val="0"/>
      <w:adjustRightInd w:val="0"/>
      <w:spacing w:before="120" w:after="120"/>
      <w:ind w:left="851"/>
      <w:jc w:val="both"/>
    </w:pPr>
    <w:rPr>
      <w:rFonts w:ascii="Tahoma" w:hAnsi="Tahoma" w:cs="Tahoma"/>
      <w:b/>
      <w:bCs/>
      <w:lang w:val="es-ES" w:eastAsia="es-ES"/>
    </w:rPr>
  </w:style>
  <w:style w:type="paragraph" w:customStyle="1" w:styleId="Figura">
    <w:name w:val="Figura"/>
    <w:rsid w:val="00CC5C8D"/>
    <w:pPr>
      <w:keepLines/>
      <w:widowControl w:val="0"/>
      <w:autoSpaceDE w:val="0"/>
      <w:autoSpaceDN w:val="0"/>
      <w:adjustRightInd w:val="0"/>
      <w:spacing w:before="60"/>
      <w:ind w:left="851"/>
      <w:jc w:val="center"/>
    </w:pPr>
    <w:rPr>
      <w:rFonts w:ascii="Tahoma" w:hAnsi="Tahoma" w:cs="Tahoma"/>
      <w:lang w:val="es-ES" w:eastAsia="es-ES"/>
    </w:rPr>
  </w:style>
  <w:style w:type="paragraph" w:customStyle="1" w:styleId="ListaconvietasTabla">
    <w:name w:val="Lista con viñetas Tabla"/>
    <w:rsid w:val="00CC5C8D"/>
    <w:pPr>
      <w:keepLines/>
      <w:widowControl w:val="0"/>
      <w:numPr>
        <w:numId w:val="4"/>
      </w:numPr>
      <w:tabs>
        <w:tab w:val="left" w:pos="720"/>
        <w:tab w:val="left" w:pos="1170"/>
      </w:tabs>
      <w:autoSpaceDE w:val="0"/>
      <w:autoSpaceDN w:val="0"/>
      <w:adjustRightInd w:val="0"/>
      <w:spacing w:before="60" w:after="60"/>
      <w:ind w:left="1167" w:hanging="357"/>
      <w:jc w:val="both"/>
    </w:pPr>
    <w:rPr>
      <w:rFonts w:ascii="Tahoma" w:hAnsi="Tahoma" w:cs="Tahoma"/>
      <w:lang w:val="es-ES" w:eastAsia="es-ES"/>
    </w:rPr>
  </w:style>
  <w:style w:type="paragraph" w:customStyle="1" w:styleId="Contenidodelatabla">
    <w:name w:val="Contenido de la tabla"/>
    <w:rsid w:val="00CC5C8D"/>
    <w:pPr>
      <w:widowControl w:val="0"/>
      <w:autoSpaceDE w:val="0"/>
      <w:autoSpaceDN w:val="0"/>
      <w:adjustRightInd w:val="0"/>
      <w:spacing w:after="120"/>
    </w:pPr>
    <w:rPr>
      <w:rFonts w:ascii="Arial" w:hAnsi="Arial" w:cs="Arial"/>
      <w:sz w:val="24"/>
      <w:szCs w:val="24"/>
      <w:lang w:val="es-ES" w:eastAsia="es-ES"/>
    </w:rPr>
  </w:style>
  <w:style w:type="paragraph" w:styleId="Puesto">
    <w:name w:val="Title"/>
    <w:basedOn w:val="Normal"/>
    <w:next w:val="Normal"/>
    <w:link w:val="PuestoCar"/>
    <w:qFormat/>
    <w:rsid w:val="00CC5C8D"/>
    <w:pPr>
      <w:spacing w:before="240" w:after="60"/>
      <w:jc w:val="center"/>
      <w:outlineLvl w:val="0"/>
    </w:pPr>
    <w:rPr>
      <w:rFonts w:ascii="Cambria" w:hAnsi="Cambria" w:cs="Times New Roman"/>
      <w:b/>
      <w:bCs/>
      <w:kern w:val="28"/>
      <w:sz w:val="32"/>
      <w:szCs w:val="32"/>
    </w:rPr>
  </w:style>
  <w:style w:type="character" w:customStyle="1" w:styleId="PuestoCar">
    <w:name w:val="Puesto Car"/>
    <w:link w:val="Puesto"/>
    <w:rsid w:val="00CC5C8D"/>
    <w:rPr>
      <w:rFonts w:ascii="Cambria" w:eastAsia="Times New Roman" w:hAnsi="Cambria" w:cs="Times New Roman"/>
      <w:b/>
      <w:bCs/>
      <w:kern w:val="28"/>
      <w:sz w:val="32"/>
      <w:szCs w:val="32"/>
      <w:lang w:val="es-ES" w:eastAsia="es-ES"/>
    </w:rPr>
  </w:style>
  <w:style w:type="character" w:customStyle="1" w:styleId="Textoindependiente2Car">
    <w:name w:val="Texto independiente 2 Car"/>
    <w:basedOn w:val="Fuentedeprrafopredeter"/>
    <w:link w:val="Textoindependiente2"/>
    <w:rsid w:val="00AA423A"/>
    <w:rPr>
      <w:rFonts w:ascii="Book Antiqua" w:hAnsi="Book Antiqua" w:cs="Book Antiqu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7094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4.emf"/><Relationship Id="rId18" Type="http://schemas.openxmlformats.org/officeDocument/2006/relationships/package" Target="embeddings/Microsoft_Excel_Worksheet6.xls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Excel_Worksheet3.xls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Excel_Worksheet5.xlsx"/><Relationship Id="rId20" Type="http://schemas.openxmlformats.org/officeDocument/2006/relationships/package" Target="embeddings/Microsoft_Excel_Worksheet7.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package" Target="embeddings/Microsoft_Excel_Worksheet2.xls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4.xlsx"/><Relationship Id="rId22" Type="http://schemas.openxmlformats.org/officeDocument/2006/relationships/package" Target="embeddings/Microsoft_Excel_Worksheet8.xlsx"/></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4662</Words>
  <Characters>25645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1388-PLA-2013</vt:lpstr>
    </vt:vector>
  </TitlesOfParts>
  <Company>Poder Judicial</Company>
  <LinksUpToDate>false</LinksUpToDate>
  <CharactersWithSpaces>30247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1388-PLA-2013</dc:title>
  <dc:creator>xbarrientos</dc:creator>
  <cp:lastModifiedBy>Elías Muñoz Jiménez</cp:lastModifiedBy>
  <cp:revision>11</cp:revision>
  <dcterms:created xsi:type="dcterms:W3CDTF">2016-11-30T17:04:00Z</dcterms:created>
  <dcterms:modified xsi:type="dcterms:W3CDTF">2016-12-05T22:45:00Z</dcterms:modified>
</cp:coreProperties>
</file>