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75" w:rsidRPr="00965AFE" w:rsidRDefault="002E7075" w:rsidP="0013233F">
      <w:pPr>
        <w:pStyle w:val="Prrafodelista"/>
        <w:numPr>
          <w:ilvl w:val="0"/>
          <w:numId w:val="1"/>
        </w:numPr>
        <w:ind w:left="426" w:hanging="426"/>
        <w:jc w:val="center"/>
        <w:rPr>
          <w:rFonts w:ascii="Times New Roman" w:hAnsi="Times New Roman" w:cs="Times New Roman"/>
          <w:b/>
          <w:sz w:val="36"/>
          <w:szCs w:val="36"/>
        </w:rPr>
      </w:pPr>
      <w:r w:rsidRPr="00965AFE">
        <w:rPr>
          <w:rFonts w:ascii="Times New Roman" w:hAnsi="Times New Roman" w:cs="Times New Roman"/>
          <w:b/>
          <w:sz w:val="36"/>
          <w:szCs w:val="36"/>
        </w:rPr>
        <w:t>Introducción</w:t>
      </w:r>
    </w:p>
    <w:p w:rsidR="00EA4E22" w:rsidRPr="00965AFE" w:rsidRDefault="004578DF" w:rsidP="00C21E46">
      <w:pPr>
        <w:ind w:firstLine="426"/>
        <w:jc w:val="both"/>
        <w:rPr>
          <w:rFonts w:ascii="Times New Roman" w:hAnsi="Times New Roman" w:cs="Times New Roman"/>
          <w:sz w:val="28"/>
          <w:szCs w:val="28"/>
        </w:rPr>
      </w:pPr>
      <w:r w:rsidRPr="00965AFE">
        <w:rPr>
          <w:rFonts w:ascii="Times New Roman" w:hAnsi="Times New Roman" w:cs="Times New Roman"/>
          <w:sz w:val="28"/>
          <w:szCs w:val="28"/>
        </w:rPr>
        <w:t>Este es el anuario estadístico del Poder Judicial de Costa Rica número 44</w:t>
      </w:r>
      <w:r w:rsidR="006609B8" w:rsidRPr="00965AFE">
        <w:rPr>
          <w:rFonts w:ascii="Times New Roman" w:hAnsi="Times New Roman" w:cs="Times New Roman"/>
          <w:sz w:val="28"/>
          <w:szCs w:val="28"/>
        </w:rPr>
        <w:t xml:space="preserve">. </w:t>
      </w:r>
      <w:r w:rsidR="00F80BC7" w:rsidRPr="00965AFE">
        <w:rPr>
          <w:rFonts w:ascii="Times New Roman" w:hAnsi="Times New Roman" w:cs="Times New Roman"/>
          <w:sz w:val="28"/>
          <w:szCs w:val="28"/>
        </w:rPr>
        <w:t>El documento</w:t>
      </w:r>
      <w:r w:rsidR="005C473F" w:rsidRPr="00965AFE">
        <w:rPr>
          <w:rFonts w:ascii="Times New Roman" w:hAnsi="Times New Roman" w:cs="Times New Roman"/>
          <w:sz w:val="28"/>
          <w:szCs w:val="28"/>
        </w:rPr>
        <w:t xml:space="preserve"> muestra información n</w:t>
      </w:r>
      <w:r w:rsidR="00CE1E06" w:rsidRPr="00965AFE">
        <w:rPr>
          <w:rFonts w:ascii="Times New Roman" w:hAnsi="Times New Roman" w:cs="Times New Roman"/>
          <w:sz w:val="28"/>
          <w:szCs w:val="28"/>
        </w:rPr>
        <w:t>umé</w:t>
      </w:r>
      <w:r w:rsidR="005C473F" w:rsidRPr="00965AFE">
        <w:rPr>
          <w:rFonts w:ascii="Times New Roman" w:hAnsi="Times New Roman" w:cs="Times New Roman"/>
          <w:sz w:val="28"/>
          <w:szCs w:val="28"/>
        </w:rPr>
        <w:t>rica de las principales variables de naturaleza estadística para cada instancia, materia y competencia territorial del quehacer judicial y a</w:t>
      </w:r>
      <w:r w:rsidR="00CE1E06" w:rsidRPr="00965AFE">
        <w:rPr>
          <w:rFonts w:ascii="Times New Roman" w:hAnsi="Times New Roman" w:cs="Times New Roman"/>
          <w:sz w:val="28"/>
          <w:szCs w:val="28"/>
        </w:rPr>
        <w:t>uxiliar de justicia del Poder Judicial Costarricense acontecido durante el 201</w:t>
      </w:r>
      <w:r w:rsidRPr="00965AFE">
        <w:rPr>
          <w:rFonts w:ascii="Times New Roman" w:hAnsi="Times New Roman" w:cs="Times New Roman"/>
          <w:sz w:val="28"/>
          <w:szCs w:val="28"/>
        </w:rPr>
        <w:t>6</w:t>
      </w:r>
      <w:r w:rsidR="00CE1E06" w:rsidRPr="00965AFE">
        <w:rPr>
          <w:rFonts w:ascii="Times New Roman" w:hAnsi="Times New Roman" w:cs="Times New Roman"/>
          <w:sz w:val="28"/>
          <w:szCs w:val="28"/>
        </w:rPr>
        <w:t>.</w:t>
      </w:r>
      <w:r w:rsidR="00A54E31" w:rsidRPr="00965AFE">
        <w:rPr>
          <w:rFonts w:ascii="Times New Roman" w:hAnsi="Times New Roman" w:cs="Times New Roman"/>
          <w:sz w:val="28"/>
          <w:szCs w:val="28"/>
        </w:rPr>
        <w:t xml:space="preserve"> Está divido en dos grandes componentes, a saber, el análisis descriptivo para facilitar la interpretación de la información resultante del procesamiento y presentación de datos y el otro </w:t>
      </w:r>
      <w:r w:rsidR="00F80BC7" w:rsidRPr="00965AFE">
        <w:rPr>
          <w:rFonts w:ascii="Times New Roman" w:hAnsi="Times New Roman" w:cs="Times New Roman"/>
          <w:sz w:val="28"/>
          <w:szCs w:val="28"/>
        </w:rPr>
        <w:t xml:space="preserve">incluye todos </w:t>
      </w:r>
      <w:r w:rsidR="00A54E31" w:rsidRPr="00965AFE">
        <w:rPr>
          <w:rFonts w:ascii="Times New Roman" w:hAnsi="Times New Roman" w:cs="Times New Roman"/>
          <w:sz w:val="28"/>
          <w:szCs w:val="28"/>
        </w:rPr>
        <w:t xml:space="preserve">los cuadros estadísticos con los cuales se realizaron tales observaciones. </w:t>
      </w:r>
    </w:p>
    <w:p w:rsidR="00E970EC" w:rsidRPr="00965AFE" w:rsidRDefault="00E970EC" w:rsidP="00C21E46">
      <w:pPr>
        <w:ind w:firstLine="708"/>
        <w:jc w:val="both"/>
        <w:rPr>
          <w:rFonts w:ascii="Times New Roman" w:hAnsi="Times New Roman" w:cs="Times New Roman"/>
          <w:sz w:val="28"/>
          <w:szCs w:val="28"/>
        </w:rPr>
      </w:pPr>
      <w:r w:rsidRPr="00965AFE">
        <w:rPr>
          <w:rFonts w:ascii="Times New Roman" w:hAnsi="Times New Roman" w:cs="Times New Roman"/>
          <w:sz w:val="28"/>
          <w:szCs w:val="28"/>
        </w:rPr>
        <w:t xml:space="preserve">La estadística judicial es uno de los insumos básicos para la valuación cuantitativa del sistema judicial costarricense. </w:t>
      </w:r>
      <w:r w:rsidR="00EA4E22" w:rsidRPr="00965AFE">
        <w:rPr>
          <w:rFonts w:ascii="Times New Roman" w:hAnsi="Times New Roman" w:cs="Times New Roman"/>
          <w:sz w:val="28"/>
          <w:szCs w:val="28"/>
        </w:rPr>
        <w:t xml:space="preserve">En el proceso para identificar </w:t>
      </w:r>
      <w:r w:rsidR="005F253D" w:rsidRPr="00965AFE">
        <w:rPr>
          <w:rFonts w:ascii="Times New Roman" w:hAnsi="Times New Roman" w:cs="Times New Roman"/>
          <w:sz w:val="28"/>
          <w:szCs w:val="28"/>
        </w:rPr>
        <w:t xml:space="preserve">problemáticas a </w:t>
      </w:r>
      <w:r w:rsidR="00EA4E22" w:rsidRPr="00965AFE">
        <w:rPr>
          <w:rFonts w:ascii="Times New Roman" w:hAnsi="Times New Roman" w:cs="Times New Roman"/>
          <w:sz w:val="28"/>
          <w:szCs w:val="28"/>
        </w:rPr>
        <w:t xml:space="preserve">solucionar </w:t>
      </w:r>
      <w:r w:rsidR="005F253D" w:rsidRPr="00965AFE">
        <w:rPr>
          <w:rFonts w:ascii="Times New Roman" w:hAnsi="Times New Roman" w:cs="Times New Roman"/>
          <w:sz w:val="28"/>
          <w:szCs w:val="28"/>
        </w:rPr>
        <w:t xml:space="preserve">proponiendo </w:t>
      </w:r>
      <w:r w:rsidR="00EA4E22" w:rsidRPr="00965AFE">
        <w:rPr>
          <w:rFonts w:ascii="Times New Roman" w:hAnsi="Times New Roman" w:cs="Times New Roman"/>
          <w:sz w:val="28"/>
          <w:szCs w:val="28"/>
        </w:rPr>
        <w:t>cursos de acción en diferentes aspectos relacionados con el quehacer judicial</w:t>
      </w:r>
      <w:r w:rsidR="00B0092E" w:rsidRPr="00965AFE">
        <w:rPr>
          <w:rFonts w:ascii="Times New Roman" w:hAnsi="Times New Roman" w:cs="Times New Roman"/>
          <w:sz w:val="28"/>
          <w:szCs w:val="28"/>
        </w:rPr>
        <w:t xml:space="preserve"> propio</w:t>
      </w:r>
      <w:r w:rsidR="005F253D" w:rsidRPr="00965AFE">
        <w:rPr>
          <w:rFonts w:ascii="Times New Roman" w:hAnsi="Times New Roman" w:cs="Times New Roman"/>
          <w:sz w:val="28"/>
          <w:szCs w:val="28"/>
        </w:rPr>
        <w:t>,</w:t>
      </w:r>
      <w:r w:rsidR="00EA4E22" w:rsidRPr="00965AFE">
        <w:rPr>
          <w:rFonts w:ascii="Times New Roman" w:hAnsi="Times New Roman" w:cs="Times New Roman"/>
          <w:sz w:val="28"/>
          <w:szCs w:val="28"/>
        </w:rPr>
        <w:t xml:space="preserve"> es importante contar con información estadística primaria</w:t>
      </w:r>
      <w:r w:rsidR="005F253D" w:rsidRPr="00965AFE">
        <w:rPr>
          <w:rFonts w:ascii="Times New Roman" w:hAnsi="Times New Roman" w:cs="Times New Roman"/>
          <w:sz w:val="28"/>
          <w:szCs w:val="28"/>
        </w:rPr>
        <w:t xml:space="preserve"> para </w:t>
      </w:r>
      <w:r w:rsidR="00EA4E22" w:rsidRPr="00965AFE">
        <w:rPr>
          <w:rFonts w:ascii="Times New Roman" w:hAnsi="Times New Roman" w:cs="Times New Roman"/>
          <w:sz w:val="28"/>
          <w:szCs w:val="28"/>
        </w:rPr>
        <w:t>coadyuva</w:t>
      </w:r>
      <w:r w:rsidR="005F253D" w:rsidRPr="00965AFE">
        <w:rPr>
          <w:rFonts w:ascii="Times New Roman" w:hAnsi="Times New Roman" w:cs="Times New Roman"/>
          <w:sz w:val="28"/>
          <w:szCs w:val="28"/>
        </w:rPr>
        <w:t>r</w:t>
      </w:r>
      <w:r w:rsidR="00EA4E22" w:rsidRPr="00965AFE">
        <w:rPr>
          <w:rFonts w:ascii="Times New Roman" w:hAnsi="Times New Roman" w:cs="Times New Roman"/>
          <w:sz w:val="28"/>
          <w:szCs w:val="28"/>
        </w:rPr>
        <w:t xml:space="preserve"> a esa determinación</w:t>
      </w:r>
      <w:r w:rsidR="005F253D" w:rsidRPr="00965AFE">
        <w:rPr>
          <w:rFonts w:ascii="Times New Roman" w:hAnsi="Times New Roman" w:cs="Times New Roman"/>
          <w:sz w:val="28"/>
          <w:szCs w:val="28"/>
        </w:rPr>
        <w:t>.</w:t>
      </w:r>
      <w:r w:rsidR="00EA4E22" w:rsidRPr="00965AFE">
        <w:rPr>
          <w:rFonts w:ascii="Times New Roman" w:hAnsi="Times New Roman" w:cs="Times New Roman"/>
          <w:sz w:val="28"/>
          <w:szCs w:val="28"/>
        </w:rPr>
        <w:t xml:space="preserve">Por otro lado, la información </w:t>
      </w:r>
      <w:r w:rsidRPr="00965AFE">
        <w:rPr>
          <w:rFonts w:ascii="Times New Roman" w:hAnsi="Times New Roman" w:cs="Times New Roman"/>
          <w:sz w:val="28"/>
          <w:szCs w:val="28"/>
        </w:rPr>
        <w:t>con</w:t>
      </w:r>
      <w:r w:rsidR="00EA4E22" w:rsidRPr="00965AFE">
        <w:rPr>
          <w:rFonts w:ascii="Times New Roman" w:hAnsi="Times New Roman" w:cs="Times New Roman"/>
          <w:sz w:val="28"/>
          <w:szCs w:val="28"/>
        </w:rPr>
        <w:t xml:space="preserve"> datos estadísticos es de gran utilidad en </w:t>
      </w:r>
      <w:r w:rsidR="00DB21F6" w:rsidRPr="00965AFE">
        <w:rPr>
          <w:rFonts w:ascii="Times New Roman" w:hAnsi="Times New Roman" w:cs="Times New Roman"/>
          <w:sz w:val="28"/>
          <w:szCs w:val="28"/>
        </w:rPr>
        <w:t xml:space="preserve">la investigación científica social </w:t>
      </w:r>
      <w:r w:rsidR="00B0092E" w:rsidRPr="00965AFE">
        <w:rPr>
          <w:rFonts w:ascii="Times New Roman" w:hAnsi="Times New Roman" w:cs="Times New Roman"/>
          <w:sz w:val="28"/>
          <w:szCs w:val="28"/>
        </w:rPr>
        <w:t xml:space="preserve">realizado a lo externo de la institución, </w:t>
      </w:r>
      <w:r w:rsidR="00EA4E22" w:rsidRPr="00965AFE">
        <w:rPr>
          <w:rFonts w:ascii="Times New Roman" w:hAnsi="Times New Roman" w:cs="Times New Roman"/>
          <w:sz w:val="28"/>
          <w:szCs w:val="28"/>
        </w:rPr>
        <w:t xml:space="preserve">siendo </w:t>
      </w:r>
      <w:r w:rsidR="00DB21F6" w:rsidRPr="00965AFE">
        <w:rPr>
          <w:rFonts w:ascii="Times New Roman" w:hAnsi="Times New Roman" w:cs="Times New Roman"/>
          <w:sz w:val="28"/>
          <w:szCs w:val="28"/>
        </w:rPr>
        <w:t xml:space="preserve">requeridos por personas </w:t>
      </w:r>
      <w:r w:rsidR="00452126" w:rsidRPr="00965AFE">
        <w:rPr>
          <w:rFonts w:ascii="Times New Roman" w:hAnsi="Times New Roman" w:cs="Times New Roman"/>
          <w:sz w:val="28"/>
          <w:szCs w:val="28"/>
        </w:rPr>
        <w:t>interesad</w:t>
      </w:r>
      <w:r w:rsidR="00B0092E" w:rsidRPr="00965AFE">
        <w:rPr>
          <w:rFonts w:ascii="Times New Roman" w:hAnsi="Times New Roman" w:cs="Times New Roman"/>
          <w:sz w:val="28"/>
          <w:szCs w:val="28"/>
        </w:rPr>
        <w:t>a</w:t>
      </w:r>
      <w:r w:rsidR="00452126" w:rsidRPr="00965AFE">
        <w:rPr>
          <w:rFonts w:ascii="Times New Roman" w:hAnsi="Times New Roman" w:cs="Times New Roman"/>
          <w:sz w:val="28"/>
          <w:szCs w:val="28"/>
        </w:rPr>
        <w:t xml:space="preserve">s </w:t>
      </w:r>
      <w:r w:rsidR="00DB21F6" w:rsidRPr="00965AFE">
        <w:rPr>
          <w:rFonts w:ascii="Times New Roman" w:hAnsi="Times New Roman" w:cs="Times New Roman"/>
          <w:sz w:val="28"/>
          <w:szCs w:val="28"/>
        </w:rPr>
        <w:t>en temas judiciales</w:t>
      </w:r>
      <w:r w:rsidR="00B0092E" w:rsidRPr="00965AFE">
        <w:rPr>
          <w:rFonts w:ascii="Times New Roman" w:hAnsi="Times New Roman" w:cs="Times New Roman"/>
          <w:sz w:val="28"/>
          <w:szCs w:val="28"/>
        </w:rPr>
        <w:t xml:space="preserve">para </w:t>
      </w:r>
      <w:r w:rsidR="00EA4E22" w:rsidRPr="00965AFE">
        <w:rPr>
          <w:rFonts w:ascii="Times New Roman" w:hAnsi="Times New Roman" w:cs="Times New Roman"/>
          <w:sz w:val="28"/>
          <w:szCs w:val="28"/>
        </w:rPr>
        <w:t xml:space="preserve">la generación de opciones de solución a problemas correlativos </w:t>
      </w:r>
      <w:r w:rsidR="00B0092E" w:rsidRPr="00965AFE">
        <w:rPr>
          <w:rFonts w:ascii="Times New Roman" w:hAnsi="Times New Roman" w:cs="Times New Roman"/>
          <w:sz w:val="28"/>
          <w:szCs w:val="28"/>
        </w:rPr>
        <w:t xml:space="preserve">y específicos </w:t>
      </w:r>
      <w:r w:rsidRPr="00965AFE">
        <w:rPr>
          <w:rFonts w:ascii="Times New Roman" w:hAnsi="Times New Roman" w:cs="Times New Roman"/>
          <w:sz w:val="28"/>
          <w:szCs w:val="28"/>
        </w:rPr>
        <w:t xml:space="preserve">mediante la construcción de propuestas atinentes. Además, es de gran utilidad para ubicar situacionalmente el Sistema Judicial Costarricense </w:t>
      </w:r>
      <w:r w:rsidR="00B0092E" w:rsidRPr="00965AFE">
        <w:rPr>
          <w:rFonts w:ascii="Times New Roman" w:hAnsi="Times New Roman" w:cs="Times New Roman"/>
          <w:sz w:val="28"/>
          <w:szCs w:val="28"/>
        </w:rPr>
        <w:t xml:space="preserve">respecto otros sistemas similares </w:t>
      </w:r>
      <w:r w:rsidRPr="00965AFE">
        <w:rPr>
          <w:rFonts w:ascii="Times New Roman" w:hAnsi="Times New Roman" w:cs="Times New Roman"/>
          <w:sz w:val="28"/>
          <w:szCs w:val="28"/>
        </w:rPr>
        <w:t xml:space="preserve">mediante </w:t>
      </w:r>
      <w:r w:rsidR="00DB21F6" w:rsidRPr="00965AFE">
        <w:rPr>
          <w:rFonts w:ascii="Times New Roman" w:hAnsi="Times New Roman" w:cs="Times New Roman"/>
          <w:sz w:val="28"/>
          <w:szCs w:val="28"/>
        </w:rPr>
        <w:t>comparación internacional.</w:t>
      </w:r>
    </w:p>
    <w:p w:rsidR="00D10FCE" w:rsidRPr="00965AFE" w:rsidRDefault="00D13DFE" w:rsidP="00C21E46">
      <w:pPr>
        <w:ind w:firstLine="708"/>
        <w:jc w:val="both"/>
        <w:rPr>
          <w:rFonts w:ascii="Times New Roman" w:hAnsi="Times New Roman" w:cs="Times New Roman"/>
          <w:sz w:val="28"/>
          <w:szCs w:val="28"/>
        </w:rPr>
      </w:pPr>
      <w:r w:rsidRPr="00965AFE">
        <w:rPr>
          <w:rFonts w:ascii="Times New Roman" w:hAnsi="Times New Roman" w:cs="Times New Roman"/>
          <w:sz w:val="28"/>
          <w:szCs w:val="28"/>
        </w:rPr>
        <w:t xml:space="preserve">La evolución estadística ha acontecido desde un proceso de análisis de datos centrado en la materia penal en sus </w:t>
      </w:r>
      <w:r w:rsidR="005B7430" w:rsidRPr="00965AFE">
        <w:rPr>
          <w:rFonts w:ascii="Times New Roman" w:hAnsi="Times New Roman" w:cs="Times New Roman"/>
          <w:sz w:val="28"/>
          <w:szCs w:val="28"/>
        </w:rPr>
        <w:t>labores</w:t>
      </w:r>
      <w:r w:rsidRPr="00965AFE">
        <w:rPr>
          <w:rFonts w:ascii="Times New Roman" w:hAnsi="Times New Roman" w:cs="Times New Roman"/>
          <w:sz w:val="28"/>
          <w:szCs w:val="28"/>
        </w:rPr>
        <w:t xml:space="preserve">, para ir incorporando, en forma paulatina las otras materias competencia del Poder Judicial </w:t>
      </w:r>
      <w:r w:rsidR="00462108">
        <w:rPr>
          <w:rFonts w:ascii="Times New Roman" w:hAnsi="Times New Roman" w:cs="Times New Roman"/>
          <w:sz w:val="28"/>
          <w:szCs w:val="28"/>
        </w:rPr>
        <w:t>c</w:t>
      </w:r>
      <w:r w:rsidRPr="00965AFE">
        <w:rPr>
          <w:rFonts w:ascii="Times New Roman" w:hAnsi="Times New Roman" w:cs="Times New Roman"/>
          <w:sz w:val="28"/>
          <w:szCs w:val="28"/>
        </w:rPr>
        <w:t xml:space="preserve">ostarricense. </w:t>
      </w:r>
      <w:r w:rsidR="00E970EC" w:rsidRPr="00965AFE">
        <w:rPr>
          <w:rFonts w:ascii="Times New Roman" w:hAnsi="Times New Roman" w:cs="Times New Roman"/>
          <w:sz w:val="28"/>
          <w:szCs w:val="28"/>
        </w:rPr>
        <w:t>La producción de anuarios estadísticos se da</w:t>
      </w:r>
      <w:r w:rsidR="001A3F5D" w:rsidRPr="00965AFE">
        <w:rPr>
          <w:rFonts w:ascii="Times New Roman" w:hAnsi="Times New Roman" w:cs="Times New Roman"/>
          <w:sz w:val="28"/>
          <w:szCs w:val="28"/>
        </w:rPr>
        <w:t xml:space="preserve">, </w:t>
      </w:r>
      <w:r w:rsidR="005B7430" w:rsidRPr="00965AFE">
        <w:rPr>
          <w:rFonts w:ascii="Times New Roman" w:hAnsi="Times New Roman" w:cs="Times New Roman"/>
          <w:sz w:val="28"/>
          <w:szCs w:val="28"/>
        </w:rPr>
        <w:t>ininterrumpidamente, desde</w:t>
      </w:r>
      <w:r w:rsidR="00E970EC" w:rsidRPr="00965AFE">
        <w:rPr>
          <w:rFonts w:ascii="Times New Roman" w:hAnsi="Times New Roman" w:cs="Times New Roman"/>
          <w:sz w:val="28"/>
          <w:szCs w:val="28"/>
        </w:rPr>
        <w:t xml:space="preserve"> 1972</w:t>
      </w:r>
      <w:r w:rsidR="0026230F" w:rsidRPr="004C7283">
        <w:rPr>
          <w:rFonts w:ascii="Times New Roman" w:hAnsi="Times New Roman" w:cs="Times New Roman"/>
          <w:sz w:val="28"/>
          <w:szCs w:val="28"/>
          <w:vertAlign w:val="superscript"/>
        </w:rPr>
        <w:t>(</w:t>
      </w:r>
      <w:r w:rsidR="0026230F">
        <w:rPr>
          <w:rStyle w:val="Refdenotaalpie"/>
          <w:rFonts w:ascii="Times New Roman" w:hAnsi="Times New Roman" w:cs="Times New Roman"/>
          <w:sz w:val="28"/>
          <w:szCs w:val="28"/>
        </w:rPr>
        <w:footnoteReference w:id="1"/>
      </w:r>
      <w:r w:rsidR="0026230F" w:rsidRPr="004C7283">
        <w:rPr>
          <w:rFonts w:ascii="Times New Roman" w:hAnsi="Times New Roman" w:cs="Times New Roman"/>
          <w:sz w:val="28"/>
          <w:szCs w:val="28"/>
          <w:vertAlign w:val="superscript"/>
        </w:rPr>
        <w:t>)</w:t>
      </w:r>
      <w:r w:rsidR="0026230F">
        <w:rPr>
          <w:rFonts w:ascii="Times New Roman" w:hAnsi="Times New Roman" w:cs="Times New Roman"/>
          <w:sz w:val="28"/>
          <w:szCs w:val="28"/>
        </w:rPr>
        <w:t xml:space="preserve">con la </w:t>
      </w:r>
      <w:r w:rsidR="00E970EC" w:rsidRPr="00965AFE">
        <w:rPr>
          <w:rFonts w:ascii="Times New Roman" w:hAnsi="Times New Roman" w:cs="Times New Roman"/>
          <w:sz w:val="28"/>
          <w:szCs w:val="28"/>
        </w:rPr>
        <w:t xml:space="preserve">compilación y procesamiento </w:t>
      </w:r>
      <w:r w:rsidR="00E970EC" w:rsidRPr="00965AFE">
        <w:rPr>
          <w:rFonts w:ascii="Times New Roman" w:hAnsi="Times New Roman" w:cs="Times New Roman"/>
          <w:sz w:val="28"/>
          <w:szCs w:val="28"/>
        </w:rPr>
        <w:lastRenderedPageBreak/>
        <w:t>estadístico</w:t>
      </w:r>
      <w:r w:rsidR="0026230F">
        <w:rPr>
          <w:rFonts w:ascii="Times New Roman" w:hAnsi="Times New Roman" w:cs="Times New Roman"/>
          <w:sz w:val="28"/>
          <w:szCs w:val="28"/>
        </w:rPr>
        <w:t>policial</w:t>
      </w:r>
      <w:r w:rsidR="00692F45" w:rsidRPr="00965AFE">
        <w:rPr>
          <w:rFonts w:ascii="Times New Roman" w:hAnsi="Times New Roman" w:cs="Times New Roman"/>
          <w:sz w:val="28"/>
          <w:szCs w:val="28"/>
        </w:rPr>
        <w:t xml:space="preserve">. </w:t>
      </w:r>
      <w:r w:rsidR="00D10FCE" w:rsidRPr="00965AFE">
        <w:rPr>
          <w:rFonts w:ascii="Times New Roman" w:hAnsi="Times New Roman" w:cs="Times New Roman"/>
          <w:sz w:val="28"/>
          <w:szCs w:val="28"/>
        </w:rPr>
        <w:t>En ese proceso de cambio o transformación del Sistema de Información Estadística, la cobertura ampliada material se acompañ</w:t>
      </w:r>
      <w:r w:rsidR="009B4EEB">
        <w:rPr>
          <w:rFonts w:ascii="Times New Roman" w:hAnsi="Times New Roman" w:cs="Times New Roman"/>
          <w:sz w:val="28"/>
          <w:szCs w:val="28"/>
        </w:rPr>
        <w:t>ó</w:t>
      </w:r>
      <w:r w:rsidR="00D10FCE" w:rsidRPr="00965AFE">
        <w:rPr>
          <w:rFonts w:ascii="Times New Roman" w:hAnsi="Times New Roman" w:cs="Times New Roman"/>
          <w:sz w:val="28"/>
          <w:szCs w:val="28"/>
        </w:rPr>
        <w:t xml:space="preserve"> del incesante crecimiento en el número de variables estadísticas. Éste componente transformador es producto de la necesaria adaptación y ajuste de los datos en función de los diferentes cambios legales sustantivos correlacionados con los procesos judiciales y los requerimientos cada vez mayores de información para la toma de decisiones.</w:t>
      </w:r>
    </w:p>
    <w:p w:rsidR="00692F45" w:rsidRPr="00965AFE" w:rsidRDefault="00692F45" w:rsidP="00C21E46">
      <w:pPr>
        <w:ind w:firstLine="708"/>
        <w:jc w:val="both"/>
        <w:rPr>
          <w:rFonts w:ascii="Times New Roman" w:hAnsi="Times New Roman" w:cs="Times New Roman"/>
          <w:sz w:val="28"/>
          <w:szCs w:val="28"/>
        </w:rPr>
      </w:pPr>
      <w:r w:rsidRPr="00965AFE">
        <w:rPr>
          <w:rFonts w:ascii="Times New Roman" w:hAnsi="Times New Roman" w:cs="Times New Roman"/>
          <w:sz w:val="28"/>
          <w:szCs w:val="28"/>
        </w:rPr>
        <w:t xml:space="preserve">En la actualidad el Subproceso de Estadística de la Dirección de Planificación, es el ente rector para la generación, procesamiento y disposición de datos de calidad. Este </w:t>
      </w:r>
      <w:r w:rsidR="006856CC">
        <w:rPr>
          <w:rFonts w:ascii="Times New Roman" w:hAnsi="Times New Roman" w:cs="Times New Roman"/>
          <w:sz w:val="28"/>
          <w:szCs w:val="28"/>
        </w:rPr>
        <w:t>es</w:t>
      </w:r>
      <w:r w:rsidRPr="00965AFE">
        <w:rPr>
          <w:rFonts w:ascii="Times New Roman" w:hAnsi="Times New Roman" w:cs="Times New Roman"/>
          <w:sz w:val="28"/>
          <w:szCs w:val="28"/>
        </w:rPr>
        <w:t xml:space="preserve"> el centro de información donde se proporciona información numérica requerida en el proceso de la planificación institucional. Para ello, se promueve y se desarrollan métodos de la recopilación y presentación de información estadística de cada una de las materias competentes el Poder Judicial, esto es, Constitucional, Penal, Penal Juvenil Contravencional, Tránsito, Civil (ordinario y cobratorio), Agraria, Contenciosa Administrativa, Familia, Laboral, Pensiones Alimentarias, Violencia doméstica, Notarial</w:t>
      </w:r>
      <w:r w:rsidR="00462108">
        <w:rPr>
          <w:rFonts w:ascii="Times New Roman" w:hAnsi="Times New Roman" w:cs="Times New Roman"/>
          <w:sz w:val="28"/>
          <w:szCs w:val="28"/>
        </w:rPr>
        <w:t>,</w:t>
      </w:r>
      <w:r w:rsidRPr="00965AFE">
        <w:rPr>
          <w:rFonts w:ascii="Times New Roman" w:hAnsi="Times New Roman" w:cs="Times New Roman"/>
          <w:sz w:val="28"/>
          <w:szCs w:val="28"/>
        </w:rPr>
        <w:t xml:space="preserve"> entre otras.</w:t>
      </w:r>
    </w:p>
    <w:p w:rsidR="00A23917" w:rsidRPr="00965AFE" w:rsidRDefault="00993AE1" w:rsidP="00C21E46">
      <w:pPr>
        <w:ind w:firstLine="708"/>
        <w:jc w:val="both"/>
        <w:rPr>
          <w:rFonts w:ascii="Times New Roman" w:eastAsia="Calibri" w:hAnsi="Times New Roman" w:cs="Times New Roman"/>
          <w:sz w:val="28"/>
          <w:szCs w:val="28"/>
        </w:rPr>
      </w:pPr>
      <w:r w:rsidRPr="00965AFE">
        <w:rPr>
          <w:rFonts w:ascii="Times New Roman" w:hAnsi="Times New Roman" w:cs="Times New Roman"/>
          <w:sz w:val="28"/>
          <w:szCs w:val="28"/>
        </w:rPr>
        <w:t xml:space="preserve">Al igual que en anuarios anteriores, en este </w:t>
      </w:r>
      <w:r w:rsidR="00C878CC" w:rsidRPr="00965AFE">
        <w:rPr>
          <w:rFonts w:ascii="Times New Roman" w:hAnsi="Times New Roman" w:cs="Times New Roman"/>
          <w:sz w:val="28"/>
          <w:szCs w:val="28"/>
        </w:rPr>
        <w:t>e</w:t>
      </w:r>
      <w:r w:rsidRPr="00965AFE">
        <w:rPr>
          <w:rFonts w:ascii="Times New Roman" w:hAnsi="Times New Roman" w:cs="Times New Roman"/>
          <w:sz w:val="28"/>
          <w:szCs w:val="28"/>
        </w:rPr>
        <w:t>scrito inicial, se introduce la descripción de los principales patrones estadísticos a escala general del quehacer institucional desde la óptica estadística.S</w:t>
      </w:r>
      <w:r w:rsidR="00A23917" w:rsidRPr="00965AFE">
        <w:rPr>
          <w:rFonts w:ascii="Times New Roman" w:hAnsi="Times New Roman" w:cs="Times New Roman"/>
          <w:sz w:val="28"/>
          <w:szCs w:val="28"/>
        </w:rPr>
        <w:t>e acompaña de 26 cuadros estadísticos en los cuales los tres primeros tratan información estadística de las variables indicadas cuyos montos se clasifican según circuito judicial y materia</w:t>
      </w:r>
      <w:r w:rsidR="000C4889" w:rsidRPr="00965AFE">
        <w:rPr>
          <w:rFonts w:ascii="Times New Roman" w:hAnsi="Times New Roman" w:cs="Times New Roman"/>
          <w:sz w:val="28"/>
          <w:szCs w:val="28"/>
        </w:rPr>
        <w:t>. E</w:t>
      </w:r>
      <w:r w:rsidR="00A23917" w:rsidRPr="00965AFE">
        <w:rPr>
          <w:rFonts w:ascii="Times New Roman" w:hAnsi="Times New Roman" w:cs="Times New Roman"/>
          <w:sz w:val="28"/>
          <w:szCs w:val="28"/>
        </w:rPr>
        <w:t>n los cuadros del 4 al 6 se presenta</w:t>
      </w:r>
      <w:r w:rsidR="000C4889" w:rsidRPr="00965AFE">
        <w:rPr>
          <w:rFonts w:ascii="Times New Roman" w:hAnsi="Times New Roman" w:cs="Times New Roman"/>
          <w:sz w:val="28"/>
          <w:szCs w:val="28"/>
        </w:rPr>
        <w:t>n</w:t>
      </w:r>
      <w:r w:rsidR="00A23917" w:rsidRPr="00965AFE">
        <w:rPr>
          <w:rFonts w:ascii="Times New Roman" w:hAnsi="Times New Roman" w:cs="Times New Roman"/>
          <w:sz w:val="28"/>
          <w:szCs w:val="28"/>
        </w:rPr>
        <w:t xml:space="preserve"> los datos según materia y por año desde el 2011, en los cuadros 7 al 9 se muestran los montos asociados según despacho judicial y por materia y en los cuadros del 10 al 26 se muestran los movimientos generales (principales variables estadísticas) e “indicadores de gest</w:t>
      </w:r>
      <w:r w:rsidR="003E77CF" w:rsidRPr="00965AFE">
        <w:rPr>
          <w:rFonts w:ascii="Times New Roman" w:hAnsi="Times New Roman" w:cs="Times New Roman"/>
          <w:sz w:val="28"/>
          <w:szCs w:val="28"/>
        </w:rPr>
        <w:t>ión</w:t>
      </w:r>
      <w:r w:rsidR="00A23917" w:rsidRPr="00965AFE">
        <w:rPr>
          <w:rFonts w:ascii="Times New Roman" w:hAnsi="Times New Roman" w:cs="Times New Roman"/>
          <w:sz w:val="28"/>
          <w:szCs w:val="28"/>
        </w:rPr>
        <w:t>” por materia para cada despacho judicial.</w:t>
      </w:r>
    </w:p>
    <w:p w:rsidR="005C473F" w:rsidRDefault="00EF2EFA" w:rsidP="00C21E46">
      <w:pPr>
        <w:ind w:firstLine="708"/>
        <w:jc w:val="both"/>
        <w:rPr>
          <w:rFonts w:ascii="Times New Roman" w:hAnsi="Times New Roman" w:cs="Times New Roman"/>
          <w:sz w:val="28"/>
          <w:szCs w:val="28"/>
        </w:rPr>
      </w:pPr>
      <w:r w:rsidRPr="00965AFE">
        <w:rPr>
          <w:rFonts w:ascii="Times New Roman" w:hAnsi="Times New Roman" w:cs="Times New Roman"/>
          <w:sz w:val="28"/>
          <w:szCs w:val="28"/>
        </w:rPr>
        <w:t>A continuación</w:t>
      </w:r>
      <w:r w:rsidR="00026096" w:rsidRPr="00965AFE">
        <w:rPr>
          <w:rFonts w:ascii="Times New Roman" w:hAnsi="Times New Roman" w:cs="Times New Roman"/>
          <w:sz w:val="28"/>
          <w:szCs w:val="28"/>
        </w:rPr>
        <w:t>,</w:t>
      </w:r>
      <w:r w:rsidRPr="00965AFE">
        <w:rPr>
          <w:rFonts w:ascii="Times New Roman" w:hAnsi="Times New Roman" w:cs="Times New Roman"/>
          <w:sz w:val="28"/>
          <w:szCs w:val="28"/>
        </w:rPr>
        <w:t xml:space="preserve"> se hace una serie de descripciones </w:t>
      </w:r>
      <w:r w:rsidR="00692F45" w:rsidRPr="00965AFE">
        <w:rPr>
          <w:rFonts w:ascii="Times New Roman" w:hAnsi="Times New Roman" w:cs="Times New Roman"/>
          <w:sz w:val="28"/>
          <w:szCs w:val="28"/>
        </w:rPr>
        <w:t xml:space="preserve">acerca </w:t>
      </w:r>
      <w:r w:rsidRPr="00965AFE">
        <w:rPr>
          <w:rFonts w:ascii="Times New Roman" w:hAnsi="Times New Roman" w:cs="Times New Roman"/>
          <w:sz w:val="28"/>
          <w:szCs w:val="28"/>
        </w:rPr>
        <w:t xml:space="preserve">de los principales patrones estadísticos </w:t>
      </w:r>
      <w:r w:rsidR="00297415" w:rsidRPr="00965AFE">
        <w:rPr>
          <w:rFonts w:ascii="Times New Roman" w:hAnsi="Times New Roman" w:cs="Times New Roman"/>
          <w:sz w:val="28"/>
          <w:szCs w:val="28"/>
        </w:rPr>
        <w:t>de</w:t>
      </w:r>
      <w:r w:rsidRPr="00965AFE">
        <w:rPr>
          <w:rFonts w:ascii="Times New Roman" w:hAnsi="Times New Roman" w:cs="Times New Roman"/>
          <w:sz w:val="28"/>
          <w:szCs w:val="28"/>
        </w:rPr>
        <w:t xml:space="preserve"> las </w:t>
      </w:r>
      <w:r w:rsidR="00297415" w:rsidRPr="00965AFE">
        <w:rPr>
          <w:rFonts w:ascii="Times New Roman" w:hAnsi="Times New Roman" w:cs="Times New Roman"/>
          <w:sz w:val="28"/>
          <w:szCs w:val="28"/>
        </w:rPr>
        <w:t xml:space="preserve">cifras asociadas con las </w:t>
      </w:r>
      <w:r w:rsidRPr="00965AFE">
        <w:rPr>
          <w:rFonts w:ascii="Times New Roman" w:hAnsi="Times New Roman" w:cs="Times New Roman"/>
          <w:sz w:val="28"/>
          <w:szCs w:val="28"/>
        </w:rPr>
        <w:t xml:space="preserve">variables </w:t>
      </w:r>
      <w:r w:rsidR="006913F7" w:rsidRPr="00965AFE">
        <w:rPr>
          <w:rFonts w:ascii="Times New Roman" w:hAnsi="Times New Roman" w:cs="Times New Roman"/>
          <w:sz w:val="28"/>
          <w:szCs w:val="28"/>
        </w:rPr>
        <w:t>estadísticas básicas</w:t>
      </w:r>
      <w:r w:rsidRPr="00965AFE">
        <w:rPr>
          <w:rFonts w:ascii="Times New Roman" w:hAnsi="Times New Roman" w:cs="Times New Roman"/>
          <w:sz w:val="28"/>
          <w:szCs w:val="28"/>
        </w:rPr>
        <w:t xml:space="preserve"> a lo largo delaño</w:t>
      </w:r>
      <w:r w:rsidR="00026096" w:rsidRPr="00965AFE">
        <w:rPr>
          <w:rFonts w:ascii="Times New Roman" w:hAnsi="Times New Roman" w:cs="Times New Roman"/>
          <w:sz w:val="28"/>
          <w:szCs w:val="28"/>
        </w:rPr>
        <w:t>. En específico</w:t>
      </w:r>
      <w:r w:rsidR="00297415" w:rsidRPr="00965AFE">
        <w:rPr>
          <w:rFonts w:ascii="Times New Roman" w:hAnsi="Times New Roman" w:cs="Times New Roman"/>
          <w:sz w:val="28"/>
          <w:szCs w:val="28"/>
        </w:rPr>
        <w:t>,</w:t>
      </w:r>
      <w:r w:rsidR="00026096" w:rsidRPr="00965AFE">
        <w:rPr>
          <w:rFonts w:ascii="Times New Roman" w:hAnsi="Times New Roman" w:cs="Times New Roman"/>
          <w:sz w:val="28"/>
          <w:szCs w:val="28"/>
        </w:rPr>
        <w:t xml:space="preserve"> de presentan las generalidades estadísticas para:</w:t>
      </w:r>
      <w:r w:rsidRPr="00965AFE">
        <w:rPr>
          <w:rFonts w:ascii="Times New Roman" w:hAnsi="Times New Roman" w:cs="Times New Roman"/>
          <w:sz w:val="28"/>
          <w:szCs w:val="28"/>
        </w:rPr>
        <w:t xml:space="preserve"> el nuevo ingreso de causas, el nivel de </w:t>
      </w:r>
      <w:r w:rsidRPr="00965AFE">
        <w:rPr>
          <w:rFonts w:ascii="Times New Roman" w:hAnsi="Times New Roman" w:cs="Times New Roman"/>
          <w:sz w:val="28"/>
          <w:szCs w:val="28"/>
        </w:rPr>
        <w:lastRenderedPageBreak/>
        <w:t xml:space="preserve">finiquito de los asuntos y el volumen de lo pendiente de trámite al final del </w:t>
      </w:r>
      <w:r w:rsidR="00026096" w:rsidRPr="00965AFE">
        <w:rPr>
          <w:rFonts w:ascii="Times New Roman" w:hAnsi="Times New Roman" w:cs="Times New Roman"/>
          <w:sz w:val="28"/>
          <w:szCs w:val="28"/>
        </w:rPr>
        <w:t>201</w:t>
      </w:r>
      <w:r w:rsidR="00965AFE" w:rsidRPr="00965AFE">
        <w:rPr>
          <w:rFonts w:ascii="Times New Roman" w:hAnsi="Times New Roman" w:cs="Times New Roman"/>
          <w:sz w:val="28"/>
          <w:szCs w:val="28"/>
        </w:rPr>
        <w:t>6</w:t>
      </w:r>
      <w:r w:rsidR="00026096" w:rsidRPr="00965AFE">
        <w:rPr>
          <w:rFonts w:ascii="Times New Roman" w:hAnsi="Times New Roman" w:cs="Times New Roman"/>
          <w:sz w:val="28"/>
          <w:szCs w:val="28"/>
        </w:rPr>
        <w:t>, año</w:t>
      </w:r>
      <w:r w:rsidRPr="00965AFE">
        <w:rPr>
          <w:rFonts w:ascii="Times New Roman" w:hAnsi="Times New Roman" w:cs="Times New Roman"/>
          <w:sz w:val="28"/>
          <w:szCs w:val="28"/>
        </w:rPr>
        <w:t xml:space="preserve"> bajo observación estadística</w:t>
      </w:r>
      <w:r w:rsidR="00026096" w:rsidRPr="00965AFE">
        <w:rPr>
          <w:rFonts w:ascii="Times New Roman" w:hAnsi="Times New Roman" w:cs="Times New Roman"/>
          <w:sz w:val="28"/>
          <w:szCs w:val="28"/>
        </w:rPr>
        <w:t xml:space="preserve"> y objeto temporal de esta compilación</w:t>
      </w:r>
      <w:r w:rsidRPr="00965AFE">
        <w:rPr>
          <w:rFonts w:ascii="Times New Roman" w:hAnsi="Times New Roman" w:cs="Times New Roman"/>
          <w:sz w:val="28"/>
          <w:szCs w:val="28"/>
        </w:rPr>
        <w:t>.</w:t>
      </w:r>
    </w:p>
    <w:p w:rsidR="005C473F" w:rsidRPr="00FE6D15" w:rsidRDefault="00FE6D15" w:rsidP="00FE6D15">
      <w:pPr>
        <w:jc w:val="center"/>
        <w:rPr>
          <w:rFonts w:ascii="Times New Roman" w:hAnsi="Times New Roman" w:cs="Times New Roman"/>
          <w:b/>
          <w:sz w:val="32"/>
          <w:szCs w:val="32"/>
        </w:rPr>
      </w:pPr>
      <w:r w:rsidRPr="00FE6D15">
        <w:rPr>
          <w:rFonts w:ascii="Times New Roman" w:hAnsi="Times New Roman" w:cs="Times New Roman"/>
          <w:b/>
          <w:sz w:val="32"/>
          <w:szCs w:val="32"/>
        </w:rPr>
        <w:t xml:space="preserve">II </w:t>
      </w:r>
      <w:r w:rsidR="00CE1E06" w:rsidRPr="00FE6D15">
        <w:rPr>
          <w:rFonts w:ascii="Times New Roman" w:hAnsi="Times New Roman" w:cs="Times New Roman"/>
          <w:b/>
          <w:sz w:val="32"/>
          <w:szCs w:val="32"/>
        </w:rPr>
        <w:t>Patrones generales</w:t>
      </w:r>
    </w:p>
    <w:p w:rsidR="00203EE5" w:rsidRPr="00203EE5" w:rsidRDefault="00C878CC" w:rsidP="00E639F0">
      <w:pPr>
        <w:rPr>
          <w:rFonts w:ascii="Times New Roman" w:hAnsi="Times New Roman" w:cs="Times New Roman"/>
          <w:b/>
          <w:sz w:val="28"/>
          <w:szCs w:val="28"/>
        </w:rPr>
      </w:pPr>
      <w:r>
        <w:rPr>
          <w:rFonts w:ascii="Times New Roman" w:hAnsi="Times New Roman" w:cs="Times New Roman"/>
          <w:b/>
          <w:sz w:val="28"/>
          <w:szCs w:val="28"/>
        </w:rPr>
        <w:t>2.1</w:t>
      </w:r>
      <w:r w:rsidR="00203EE5" w:rsidRPr="00203EE5">
        <w:rPr>
          <w:rFonts w:ascii="Times New Roman" w:hAnsi="Times New Roman" w:cs="Times New Roman"/>
          <w:b/>
          <w:sz w:val="28"/>
          <w:szCs w:val="28"/>
        </w:rPr>
        <w:t>Casos entrados</w:t>
      </w:r>
      <w:r w:rsidR="00DB311B">
        <w:rPr>
          <w:rFonts w:ascii="Times New Roman" w:hAnsi="Times New Roman" w:cs="Times New Roman"/>
          <w:b/>
          <w:sz w:val="28"/>
          <w:szCs w:val="28"/>
        </w:rPr>
        <w:t xml:space="preserve"> (ingreso nuevo de causas)</w:t>
      </w:r>
    </w:p>
    <w:p w:rsidR="00F27C92" w:rsidRPr="00E45B16" w:rsidRDefault="00F27C92" w:rsidP="00C21E46">
      <w:pPr>
        <w:ind w:firstLine="708"/>
        <w:jc w:val="both"/>
        <w:rPr>
          <w:rFonts w:ascii="Times New Roman" w:hAnsi="Times New Roman" w:cs="Times New Roman"/>
          <w:sz w:val="28"/>
          <w:szCs w:val="28"/>
        </w:rPr>
      </w:pPr>
      <w:r w:rsidRPr="00E45B16">
        <w:rPr>
          <w:rFonts w:ascii="Times New Roman" w:hAnsi="Times New Roman" w:cs="Times New Roman"/>
          <w:sz w:val="28"/>
          <w:szCs w:val="28"/>
        </w:rPr>
        <w:t>En el contexto histórico reciente</w:t>
      </w:r>
      <w:r w:rsidR="00E639F0" w:rsidRPr="00E45B16">
        <w:rPr>
          <w:rFonts w:ascii="Times New Roman" w:hAnsi="Times New Roman" w:cs="Times New Roman"/>
          <w:sz w:val="28"/>
          <w:szCs w:val="28"/>
        </w:rPr>
        <w:t>,</w:t>
      </w:r>
      <w:r w:rsidRPr="00E45B16">
        <w:rPr>
          <w:rFonts w:ascii="Times New Roman" w:hAnsi="Times New Roman" w:cs="Times New Roman"/>
          <w:sz w:val="28"/>
          <w:szCs w:val="28"/>
        </w:rPr>
        <w:t xml:space="preserve"> y a pesar </w:t>
      </w:r>
      <w:r w:rsidR="00223392" w:rsidRPr="00E45B16">
        <w:rPr>
          <w:rFonts w:ascii="Times New Roman" w:hAnsi="Times New Roman" w:cs="Times New Roman"/>
          <w:sz w:val="28"/>
          <w:szCs w:val="28"/>
        </w:rPr>
        <w:t>de la suspensión</w:t>
      </w:r>
      <w:r w:rsidR="00E639F0" w:rsidRPr="00E45B16">
        <w:rPr>
          <w:rFonts w:ascii="Times New Roman" w:hAnsi="Times New Roman" w:cs="Times New Roman"/>
          <w:sz w:val="28"/>
          <w:szCs w:val="28"/>
        </w:rPr>
        <w:t xml:space="preserve"> de tendencia</w:t>
      </w:r>
      <w:r w:rsidR="00223392" w:rsidRPr="00E45B16">
        <w:rPr>
          <w:rFonts w:ascii="Times New Roman" w:hAnsi="Times New Roman" w:cs="Times New Roman"/>
          <w:sz w:val="28"/>
          <w:szCs w:val="28"/>
        </w:rPr>
        <w:t xml:space="preserve"> acaecida en el 2015, e</w:t>
      </w:r>
      <w:r w:rsidR="006F661E" w:rsidRPr="00E45B16">
        <w:rPr>
          <w:rFonts w:ascii="Times New Roman" w:hAnsi="Times New Roman" w:cs="Times New Roman"/>
          <w:sz w:val="28"/>
          <w:szCs w:val="28"/>
        </w:rPr>
        <w:t>n este año</w:t>
      </w:r>
      <w:r w:rsidR="00E639F0" w:rsidRPr="00E45B16">
        <w:rPr>
          <w:rFonts w:ascii="Times New Roman" w:hAnsi="Times New Roman" w:cs="Times New Roman"/>
          <w:sz w:val="28"/>
          <w:szCs w:val="28"/>
        </w:rPr>
        <w:t>,</w:t>
      </w:r>
      <w:r w:rsidR="006F661E" w:rsidRPr="00E45B16">
        <w:rPr>
          <w:rFonts w:ascii="Times New Roman" w:hAnsi="Times New Roman" w:cs="Times New Roman"/>
          <w:sz w:val="28"/>
          <w:szCs w:val="28"/>
        </w:rPr>
        <w:t xml:space="preserve"> se </w:t>
      </w:r>
      <w:r w:rsidR="00223392" w:rsidRPr="00E45B16">
        <w:rPr>
          <w:rFonts w:ascii="Times New Roman" w:hAnsi="Times New Roman" w:cs="Times New Roman"/>
          <w:sz w:val="28"/>
          <w:szCs w:val="28"/>
        </w:rPr>
        <w:t xml:space="preserve">retoma el </w:t>
      </w:r>
      <w:r w:rsidR="006F661E" w:rsidRPr="00E45B16">
        <w:rPr>
          <w:rFonts w:ascii="Times New Roman" w:hAnsi="Times New Roman" w:cs="Times New Roman"/>
          <w:sz w:val="28"/>
          <w:szCs w:val="28"/>
        </w:rPr>
        <w:t xml:space="preserve">crecimiento de la cantidad de casos entrados a escala general y nacional. </w:t>
      </w:r>
      <w:r w:rsidR="00223392" w:rsidRPr="00E45B16">
        <w:rPr>
          <w:rFonts w:ascii="Times New Roman" w:hAnsi="Times New Roman" w:cs="Times New Roman"/>
          <w:sz w:val="28"/>
          <w:szCs w:val="28"/>
        </w:rPr>
        <w:t>Como se muestra en el siguiente gráfico, l</w:t>
      </w:r>
      <w:r w:rsidR="00581D34" w:rsidRPr="00E45B16">
        <w:rPr>
          <w:rFonts w:ascii="Times New Roman" w:hAnsi="Times New Roman" w:cs="Times New Roman"/>
          <w:sz w:val="28"/>
          <w:szCs w:val="28"/>
        </w:rPr>
        <w:t xml:space="preserve">uego de la fuerte caída del ingreso de causas acaecida en el 2012 </w:t>
      </w:r>
      <w:r w:rsidR="00223392" w:rsidRPr="00E45B16">
        <w:rPr>
          <w:rFonts w:ascii="Times New Roman" w:hAnsi="Times New Roman" w:cs="Times New Roman"/>
          <w:sz w:val="28"/>
          <w:szCs w:val="28"/>
        </w:rPr>
        <w:t xml:space="preserve">respecto a lo reportado en el 2011, </w:t>
      </w:r>
      <w:r w:rsidR="00581D34" w:rsidRPr="00E45B16">
        <w:rPr>
          <w:rFonts w:ascii="Times New Roman" w:hAnsi="Times New Roman" w:cs="Times New Roman"/>
          <w:sz w:val="28"/>
          <w:szCs w:val="28"/>
        </w:rPr>
        <w:t>en los siguientes dos años la cifra asociada a la entrada de casos nuevos por año aumentaba hasta llegar al 201</w:t>
      </w:r>
      <w:r w:rsidR="00E639F0" w:rsidRPr="00E45B16">
        <w:rPr>
          <w:rFonts w:ascii="Times New Roman" w:hAnsi="Times New Roman" w:cs="Times New Roman"/>
          <w:sz w:val="28"/>
          <w:szCs w:val="28"/>
        </w:rPr>
        <w:t xml:space="preserve">5cuando tal </w:t>
      </w:r>
      <w:r w:rsidR="00223392" w:rsidRPr="00E45B16">
        <w:rPr>
          <w:rFonts w:ascii="Times New Roman" w:hAnsi="Times New Roman" w:cs="Times New Roman"/>
          <w:sz w:val="28"/>
          <w:szCs w:val="28"/>
        </w:rPr>
        <w:t xml:space="preserve">patrón se detiene </w:t>
      </w:r>
      <w:r w:rsidR="00E639F0" w:rsidRPr="00E45B16">
        <w:rPr>
          <w:rFonts w:ascii="Times New Roman" w:hAnsi="Times New Roman" w:cs="Times New Roman"/>
          <w:sz w:val="28"/>
          <w:szCs w:val="28"/>
        </w:rPr>
        <w:t xml:space="preserve">por </w:t>
      </w:r>
      <w:r w:rsidR="00223392" w:rsidRPr="00E45B16">
        <w:rPr>
          <w:rFonts w:ascii="Times New Roman" w:hAnsi="Times New Roman" w:cs="Times New Roman"/>
          <w:sz w:val="28"/>
          <w:szCs w:val="28"/>
        </w:rPr>
        <w:t xml:space="preserve">el decrecimiento relativo </w:t>
      </w:r>
      <w:r w:rsidR="00E639F0" w:rsidRPr="00E45B16">
        <w:rPr>
          <w:rFonts w:ascii="Times New Roman" w:hAnsi="Times New Roman" w:cs="Times New Roman"/>
          <w:sz w:val="28"/>
          <w:szCs w:val="28"/>
        </w:rPr>
        <w:t>ocurrido de ese año</w:t>
      </w:r>
      <w:r w:rsidR="00972C3F" w:rsidRPr="00E45B16">
        <w:rPr>
          <w:rFonts w:ascii="Times New Roman" w:hAnsi="Times New Roman" w:cs="Times New Roman"/>
          <w:sz w:val="28"/>
          <w:szCs w:val="28"/>
        </w:rPr>
        <w:t xml:space="preserve">. </w:t>
      </w:r>
      <w:r w:rsidR="00E63119" w:rsidRPr="00E45B16">
        <w:rPr>
          <w:rFonts w:ascii="Times New Roman" w:hAnsi="Times New Roman" w:cs="Times New Roman"/>
          <w:sz w:val="28"/>
          <w:szCs w:val="28"/>
        </w:rPr>
        <w:t>No obstante, este último evento no se mantuvo en el 2016 cuando, al contrario, la cifra de casos entrados se increment</w:t>
      </w:r>
      <w:r w:rsidR="00E639F0" w:rsidRPr="00E45B16">
        <w:rPr>
          <w:rFonts w:ascii="Times New Roman" w:hAnsi="Times New Roman" w:cs="Times New Roman"/>
          <w:sz w:val="28"/>
          <w:szCs w:val="28"/>
        </w:rPr>
        <w:t>óde poco más de</w:t>
      </w:r>
      <w:r w:rsidR="00E63119" w:rsidRPr="00E45B16">
        <w:rPr>
          <w:rFonts w:ascii="Times New Roman" w:hAnsi="Times New Roman" w:cs="Times New Roman"/>
          <w:sz w:val="28"/>
          <w:szCs w:val="28"/>
        </w:rPr>
        <w:t xml:space="preserve"> un </w:t>
      </w:r>
      <w:r w:rsidR="00E63119" w:rsidRPr="00E45B16">
        <w:rPr>
          <w:rFonts w:ascii="Times New Roman" w:hAnsi="Times New Roman" w:cs="Times New Roman"/>
          <w:b/>
          <w:sz w:val="28"/>
          <w:szCs w:val="28"/>
        </w:rPr>
        <w:t>4%</w:t>
      </w:r>
      <w:r w:rsidR="00E45B16" w:rsidRPr="00E45B16">
        <w:rPr>
          <w:rFonts w:ascii="Times New Roman" w:hAnsi="Times New Roman" w:cs="Times New Roman"/>
          <w:sz w:val="28"/>
          <w:szCs w:val="28"/>
        </w:rPr>
        <w:t>,</w:t>
      </w:r>
      <w:r w:rsidR="00E63119" w:rsidRPr="00E45B16">
        <w:rPr>
          <w:rFonts w:ascii="Times New Roman" w:hAnsi="Times New Roman" w:cs="Times New Roman"/>
          <w:sz w:val="28"/>
          <w:szCs w:val="28"/>
        </w:rPr>
        <w:t xml:space="preserve"> al pasar de </w:t>
      </w:r>
      <w:r w:rsidR="00E63119" w:rsidRPr="00E45B16">
        <w:rPr>
          <w:rFonts w:ascii="Times New Roman" w:hAnsi="Times New Roman" w:cs="Times New Roman"/>
          <w:b/>
          <w:sz w:val="28"/>
          <w:szCs w:val="28"/>
        </w:rPr>
        <w:t>638.357</w:t>
      </w:r>
      <w:r w:rsidR="00E63119" w:rsidRPr="00E45B16">
        <w:rPr>
          <w:rFonts w:ascii="Times New Roman" w:hAnsi="Times New Roman" w:cs="Times New Roman"/>
          <w:sz w:val="28"/>
          <w:szCs w:val="28"/>
        </w:rPr>
        <w:t xml:space="preserve"> causas del 2015 a </w:t>
      </w:r>
      <w:r w:rsidR="00E63119" w:rsidRPr="00E45B16">
        <w:rPr>
          <w:rFonts w:ascii="Times New Roman" w:hAnsi="Times New Roman" w:cs="Times New Roman"/>
          <w:b/>
          <w:sz w:val="28"/>
          <w:szCs w:val="28"/>
        </w:rPr>
        <w:t>665.930</w:t>
      </w:r>
      <w:r w:rsidR="00E63119" w:rsidRPr="00E45B16">
        <w:rPr>
          <w:rFonts w:ascii="Times New Roman" w:hAnsi="Times New Roman" w:cs="Times New Roman"/>
          <w:sz w:val="28"/>
          <w:szCs w:val="28"/>
        </w:rPr>
        <w:t xml:space="preserve"> en el 2016; </w:t>
      </w:r>
      <w:r w:rsidR="00E63119" w:rsidRPr="00E45B16">
        <w:rPr>
          <w:rFonts w:ascii="Times New Roman" w:hAnsi="Times New Roman" w:cs="Times New Roman"/>
          <w:b/>
          <w:sz w:val="28"/>
          <w:szCs w:val="28"/>
        </w:rPr>
        <w:t>27.573</w:t>
      </w:r>
      <w:r w:rsidR="00E63119" w:rsidRPr="00E45B16">
        <w:rPr>
          <w:rFonts w:ascii="Times New Roman" w:hAnsi="Times New Roman" w:cs="Times New Roman"/>
          <w:sz w:val="28"/>
          <w:szCs w:val="28"/>
        </w:rPr>
        <w:t xml:space="preserve"> más. </w:t>
      </w:r>
    </w:p>
    <w:p w:rsidR="00900B03" w:rsidRDefault="00937CCD" w:rsidP="00C21E46">
      <w:pPr>
        <w:ind w:firstLine="708"/>
        <w:jc w:val="both"/>
        <w:rPr>
          <w:rFonts w:ascii="Times New Roman" w:hAnsi="Times New Roman" w:cs="Times New Roman"/>
          <w:sz w:val="28"/>
          <w:szCs w:val="28"/>
        </w:rPr>
      </w:pPr>
      <w:r w:rsidRPr="00E45B16">
        <w:rPr>
          <w:rFonts w:ascii="Times New Roman" w:hAnsi="Times New Roman" w:cs="Times New Roman"/>
          <w:sz w:val="28"/>
          <w:szCs w:val="28"/>
        </w:rPr>
        <w:t>No obstante,</w:t>
      </w:r>
      <w:r w:rsidR="00900B03" w:rsidRPr="00E45B16">
        <w:rPr>
          <w:rFonts w:ascii="Times New Roman" w:hAnsi="Times New Roman" w:cs="Times New Roman"/>
          <w:sz w:val="28"/>
          <w:szCs w:val="28"/>
        </w:rPr>
        <w:t xml:space="preserve">los montos alcanzados por </w:t>
      </w:r>
      <w:r w:rsidR="00462108">
        <w:rPr>
          <w:rFonts w:ascii="Times New Roman" w:hAnsi="Times New Roman" w:cs="Times New Roman"/>
          <w:sz w:val="28"/>
          <w:szCs w:val="28"/>
        </w:rPr>
        <w:t>e</w:t>
      </w:r>
      <w:r w:rsidRPr="00E45B16">
        <w:rPr>
          <w:rFonts w:ascii="Times New Roman" w:hAnsi="Times New Roman" w:cs="Times New Roman"/>
          <w:sz w:val="28"/>
          <w:szCs w:val="28"/>
        </w:rPr>
        <w:t>sta variable estadística</w:t>
      </w:r>
      <w:r w:rsidR="006B1E02" w:rsidRPr="00E45B16">
        <w:rPr>
          <w:rFonts w:ascii="Times New Roman" w:hAnsi="Times New Roman" w:cs="Times New Roman"/>
          <w:sz w:val="28"/>
          <w:szCs w:val="28"/>
        </w:rPr>
        <w:t xml:space="preserve"> están </w:t>
      </w:r>
      <w:r w:rsidR="00900B03" w:rsidRPr="00E45B16">
        <w:rPr>
          <w:rFonts w:ascii="Times New Roman" w:hAnsi="Times New Roman" w:cs="Times New Roman"/>
          <w:sz w:val="28"/>
          <w:szCs w:val="28"/>
        </w:rPr>
        <w:t>determinados</w:t>
      </w:r>
      <w:r w:rsidRPr="00E45B16">
        <w:rPr>
          <w:rFonts w:ascii="Times New Roman" w:hAnsi="Times New Roman" w:cs="Times New Roman"/>
          <w:sz w:val="28"/>
          <w:szCs w:val="28"/>
        </w:rPr>
        <w:t>, principalmente,</w:t>
      </w:r>
      <w:r w:rsidR="006B1E02" w:rsidRPr="00E45B16">
        <w:rPr>
          <w:rFonts w:ascii="Times New Roman" w:hAnsi="Times New Roman" w:cs="Times New Roman"/>
          <w:sz w:val="28"/>
          <w:szCs w:val="28"/>
        </w:rPr>
        <w:t>por factores externos a la institución y cambios situacionales</w:t>
      </w:r>
      <w:r w:rsidR="00E45B16" w:rsidRPr="00E45B16">
        <w:rPr>
          <w:rFonts w:ascii="Times New Roman" w:hAnsi="Times New Roman" w:cs="Times New Roman"/>
          <w:sz w:val="28"/>
          <w:szCs w:val="28"/>
        </w:rPr>
        <w:t>,</w:t>
      </w:r>
      <w:r w:rsidR="00E45B16">
        <w:rPr>
          <w:rFonts w:ascii="Times New Roman" w:hAnsi="Times New Roman" w:cs="Times New Roman"/>
          <w:sz w:val="28"/>
          <w:szCs w:val="28"/>
        </w:rPr>
        <w:t xml:space="preserve"> hacen imprevisible </w:t>
      </w:r>
      <w:r w:rsidR="006B1E02" w:rsidRPr="00E45B16">
        <w:rPr>
          <w:rFonts w:ascii="Times New Roman" w:hAnsi="Times New Roman" w:cs="Times New Roman"/>
          <w:sz w:val="28"/>
          <w:szCs w:val="28"/>
        </w:rPr>
        <w:t>el comportamiento futuro de los datos</w:t>
      </w:r>
      <w:r w:rsidR="00E45B16">
        <w:rPr>
          <w:rFonts w:ascii="Times New Roman" w:hAnsi="Times New Roman" w:cs="Times New Roman"/>
          <w:sz w:val="28"/>
          <w:szCs w:val="28"/>
        </w:rPr>
        <w:t>, por el momento</w:t>
      </w:r>
      <w:r w:rsidR="006B1E02" w:rsidRPr="00E45B16">
        <w:rPr>
          <w:rFonts w:ascii="Times New Roman" w:hAnsi="Times New Roman" w:cs="Times New Roman"/>
          <w:sz w:val="28"/>
          <w:szCs w:val="28"/>
        </w:rPr>
        <w:t>.</w:t>
      </w:r>
    </w:p>
    <w:p w:rsidR="00DA7217" w:rsidRPr="00203552" w:rsidRDefault="00DA7217" w:rsidP="002F487F">
      <w:pPr>
        <w:jc w:val="both"/>
        <w:rPr>
          <w:sz w:val="28"/>
          <w:szCs w:val="28"/>
        </w:rPr>
      </w:pPr>
    </w:p>
    <w:p w:rsidR="00972C3F" w:rsidRDefault="00972C3F" w:rsidP="006B1E02">
      <w:pPr>
        <w:jc w:val="center"/>
        <w:rPr>
          <w:rFonts w:ascii="Times New Roman" w:hAnsi="Times New Roman" w:cs="Times New Roman"/>
          <w:sz w:val="28"/>
          <w:szCs w:val="28"/>
        </w:rPr>
      </w:pPr>
      <w:r w:rsidRPr="00972C3F">
        <w:rPr>
          <w:rFonts w:ascii="Times New Roman" w:hAnsi="Times New Roman" w:cs="Times New Roman"/>
          <w:noProof/>
          <w:sz w:val="28"/>
          <w:szCs w:val="28"/>
          <w:lang w:eastAsia="es-CR"/>
        </w:rPr>
        <w:lastRenderedPageBreak/>
        <w:drawing>
          <wp:inline distT="0" distB="0" distL="0" distR="0">
            <wp:extent cx="5028656" cy="3309257"/>
            <wp:effectExtent l="19050" t="0" r="19594" b="5443"/>
            <wp:docPr id="1"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0B03" w:rsidRDefault="00900B03" w:rsidP="00B74E63">
      <w:pPr>
        <w:jc w:val="both"/>
        <w:rPr>
          <w:rFonts w:ascii="Times New Roman" w:hAnsi="Times New Roman" w:cs="Times New Roman"/>
          <w:sz w:val="28"/>
          <w:szCs w:val="28"/>
        </w:rPr>
      </w:pPr>
    </w:p>
    <w:p w:rsidR="00407E26" w:rsidRDefault="00620AE5" w:rsidP="00C21E46">
      <w:pPr>
        <w:ind w:firstLine="708"/>
        <w:jc w:val="both"/>
        <w:rPr>
          <w:rFonts w:ascii="Times New Roman" w:hAnsi="Times New Roman" w:cs="Times New Roman"/>
          <w:sz w:val="28"/>
          <w:szCs w:val="28"/>
        </w:rPr>
      </w:pPr>
      <w:r w:rsidRPr="0081701F">
        <w:rPr>
          <w:rFonts w:ascii="Times New Roman" w:hAnsi="Times New Roman" w:cs="Times New Roman"/>
          <w:sz w:val="28"/>
          <w:szCs w:val="28"/>
        </w:rPr>
        <w:t xml:space="preserve">Existen comportamientos estadísticos diferentes </w:t>
      </w:r>
      <w:r w:rsidR="00D36D17" w:rsidRPr="0081701F">
        <w:rPr>
          <w:rFonts w:ascii="Times New Roman" w:hAnsi="Times New Roman" w:cs="Times New Roman"/>
          <w:sz w:val="28"/>
          <w:szCs w:val="28"/>
        </w:rPr>
        <w:t xml:space="preserve">por materia </w:t>
      </w:r>
      <w:r w:rsidRPr="0081701F">
        <w:rPr>
          <w:rFonts w:ascii="Times New Roman" w:hAnsi="Times New Roman" w:cs="Times New Roman"/>
          <w:sz w:val="28"/>
          <w:szCs w:val="28"/>
        </w:rPr>
        <w:t xml:space="preserve">cuando se compara en el tiempo los volúmenes de casos entrados. </w:t>
      </w:r>
      <w:r w:rsidR="00FE3315" w:rsidRPr="0081701F">
        <w:rPr>
          <w:rFonts w:ascii="Times New Roman" w:hAnsi="Times New Roman" w:cs="Times New Roman"/>
          <w:sz w:val="28"/>
          <w:szCs w:val="28"/>
        </w:rPr>
        <w:t xml:space="preserve">Si bien </w:t>
      </w:r>
      <w:r w:rsidR="00FD0A7C" w:rsidRPr="0081701F">
        <w:rPr>
          <w:rFonts w:ascii="Times New Roman" w:hAnsi="Times New Roman" w:cs="Times New Roman"/>
          <w:sz w:val="28"/>
          <w:szCs w:val="28"/>
        </w:rPr>
        <w:t>a escala total el último cambio (del 201</w:t>
      </w:r>
      <w:r w:rsidR="00FE3315" w:rsidRPr="0081701F">
        <w:rPr>
          <w:rFonts w:ascii="Times New Roman" w:hAnsi="Times New Roman" w:cs="Times New Roman"/>
          <w:sz w:val="28"/>
          <w:szCs w:val="28"/>
        </w:rPr>
        <w:t>5</w:t>
      </w:r>
      <w:r w:rsidR="00FD0A7C" w:rsidRPr="0081701F">
        <w:rPr>
          <w:rFonts w:ascii="Times New Roman" w:hAnsi="Times New Roman" w:cs="Times New Roman"/>
          <w:sz w:val="28"/>
          <w:szCs w:val="28"/>
        </w:rPr>
        <w:t xml:space="preserve"> al 201</w:t>
      </w:r>
      <w:r w:rsidR="00FE3315" w:rsidRPr="0081701F">
        <w:rPr>
          <w:rFonts w:ascii="Times New Roman" w:hAnsi="Times New Roman" w:cs="Times New Roman"/>
          <w:sz w:val="28"/>
          <w:szCs w:val="28"/>
        </w:rPr>
        <w:t>6</w:t>
      </w:r>
      <w:r w:rsidR="00FD0A7C" w:rsidRPr="0081701F">
        <w:rPr>
          <w:rFonts w:ascii="Times New Roman" w:hAnsi="Times New Roman" w:cs="Times New Roman"/>
          <w:sz w:val="28"/>
          <w:szCs w:val="28"/>
        </w:rPr>
        <w:t xml:space="preserve">) </w:t>
      </w:r>
      <w:r w:rsidR="00751030" w:rsidRPr="0081701F">
        <w:rPr>
          <w:rFonts w:ascii="Times New Roman" w:hAnsi="Times New Roman" w:cs="Times New Roman"/>
          <w:sz w:val="28"/>
          <w:szCs w:val="28"/>
        </w:rPr>
        <w:t xml:space="preserve">se caracteriza por ser </w:t>
      </w:r>
      <w:r w:rsidR="00345F45" w:rsidRPr="0081701F">
        <w:rPr>
          <w:rFonts w:ascii="Times New Roman" w:hAnsi="Times New Roman" w:cs="Times New Roman"/>
          <w:sz w:val="28"/>
          <w:szCs w:val="28"/>
        </w:rPr>
        <w:t>al alza</w:t>
      </w:r>
      <w:r w:rsidR="00FD0A7C" w:rsidRPr="0081701F">
        <w:rPr>
          <w:rFonts w:ascii="Times New Roman" w:hAnsi="Times New Roman" w:cs="Times New Roman"/>
          <w:sz w:val="28"/>
          <w:szCs w:val="28"/>
        </w:rPr>
        <w:t xml:space="preserve">, por materia no se observa el mismo </w:t>
      </w:r>
      <w:r w:rsidR="00FE3315" w:rsidRPr="0081701F">
        <w:rPr>
          <w:rFonts w:ascii="Times New Roman" w:hAnsi="Times New Roman" w:cs="Times New Roman"/>
          <w:sz w:val="28"/>
          <w:szCs w:val="28"/>
        </w:rPr>
        <w:t>patrón</w:t>
      </w:r>
      <w:r w:rsidR="00FD0A7C" w:rsidRPr="0081701F">
        <w:rPr>
          <w:rFonts w:ascii="Times New Roman" w:hAnsi="Times New Roman" w:cs="Times New Roman"/>
          <w:sz w:val="28"/>
          <w:szCs w:val="28"/>
        </w:rPr>
        <w:t>. En la siguiente tabla</w:t>
      </w:r>
      <w:r w:rsidR="00B74E63" w:rsidRPr="0081701F">
        <w:rPr>
          <w:rFonts w:ascii="Times New Roman" w:hAnsi="Times New Roman" w:cs="Times New Roman"/>
          <w:sz w:val="28"/>
          <w:szCs w:val="28"/>
        </w:rPr>
        <w:t>,</w:t>
      </w:r>
      <w:r w:rsidR="00FD0A7C" w:rsidRPr="0081701F">
        <w:rPr>
          <w:rFonts w:ascii="Times New Roman" w:hAnsi="Times New Roman" w:cs="Times New Roman"/>
          <w:sz w:val="28"/>
          <w:szCs w:val="28"/>
        </w:rPr>
        <w:t xml:space="preserve"> se presentan los datos del ingreso nuevo de causas de primera instancia al sistema judicial para cada uno de los dos últimos años por materia y variaciones tanto absolutas como relativas. Las materias han sido agrupadas de acuerdo a si aconteció aumento o disminución de las cifras asociadas </w:t>
      </w:r>
      <w:r w:rsidR="007873ED" w:rsidRPr="0081701F">
        <w:rPr>
          <w:rFonts w:ascii="Times New Roman" w:hAnsi="Times New Roman" w:cs="Times New Roman"/>
          <w:sz w:val="28"/>
          <w:szCs w:val="28"/>
        </w:rPr>
        <w:t>del 201</w:t>
      </w:r>
      <w:r w:rsidR="00FE3315" w:rsidRPr="0081701F">
        <w:rPr>
          <w:rFonts w:ascii="Times New Roman" w:hAnsi="Times New Roman" w:cs="Times New Roman"/>
          <w:sz w:val="28"/>
          <w:szCs w:val="28"/>
        </w:rPr>
        <w:t>6</w:t>
      </w:r>
      <w:r w:rsidR="007873ED" w:rsidRPr="0081701F">
        <w:rPr>
          <w:rFonts w:ascii="Times New Roman" w:hAnsi="Times New Roman" w:cs="Times New Roman"/>
          <w:sz w:val="28"/>
          <w:szCs w:val="28"/>
        </w:rPr>
        <w:t xml:space="preserve"> respecto al 201</w:t>
      </w:r>
      <w:r w:rsidR="00FE3315" w:rsidRPr="0081701F">
        <w:rPr>
          <w:rFonts w:ascii="Times New Roman" w:hAnsi="Times New Roman" w:cs="Times New Roman"/>
          <w:sz w:val="28"/>
          <w:szCs w:val="28"/>
        </w:rPr>
        <w:t>5</w:t>
      </w:r>
      <w:r w:rsidR="00FD0A7C" w:rsidRPr="0081701F">
        <w:rPr>
          <w:rFonts w:ascii="Times New Roman" w:hAnsi="Times New Roman" w:cs="Times New Roman"/>
          <w:sz w:val="28"/>
          <w:szCs w:val="28"/>
        </w:rPr>
        <w:t xml:space="preserve">y dentro de cada subconjunto las materias fueron ordenadas por magnitud del cambio relativo. </w:t>
      </w:r>
      <w:r w:rsidR="00020D61" w:rsidRPr="0081701F">
        <w:rPr>
          <w:rFonts w:ascii="Times New Roman" w:hAnsi="Times New Roman" w:cs="Times New Roman"/>
          <w:sz w:val="28"/>
          <w:szCs w:val="28"/>
        </w:rPr>
        <w:t>D</w:t>
      </w:r>
      <w:r w:rsidR="00FD0A7C" w:rsidRPr="0081701F">
        <w:rPr>
          <w:rFonts w:ascii="Times New Roman" w:hAnsi="Times New Roman" w:cs="Times New Roman"/>
          <w:sz w:val="28"/>
          <w:szCs w:val="28"/>
        </w:rPr>
        <w:t xml:space="preserve">onde </w:t>
      </w:r>
      <w:r w:rsidR="00514CD0" w:rsidRPr="0081701F">
        <w:rPr>
          <w:rFonts w:ascii="Times New Roman" w:hAnsi="Times New Roman" w:cs="Times New Roman"/>
          <w:sz w:val="28"/>
          <w:szCs w:val="28"/>
        </w:rPr>
        <w:t>suceden</w:t>
      </w:r>
      <w:r w:rsidR="00FD0A7C" w:rsidRPr="0081701F">
        <w:rPr>
          <w:rFonts w:ascii="Times New Roman" w:hAnsi="Times New Roman" w:cs="Times New Roman"/>
          <w:sz w:val="28"/>
          <w:szCs w:val="28"/>
        </w:rPr>
        <w:t xml:space="preserve"> los mayores aumentos</w:t>
      </w:r>
      <w:r w:rsidR="00FE3315" w:rsidRPr="0081701F">
        <w:rPr>
          <w:rFonts w:ascii="Times New Roman" w:hAnsi="Times New Roman" w:cs="Times New Roman"/>
          <w:sz w:val="28"/>
          <w:szCs w:val="28"/>
        </w:rPr>
        <w:t xml:space="preserve"> relativos</w:t>
      </w:r>
      <w:r w:rsidR="0081701F" w:rsidRPr="0081701F">
        <w:rPr>
          <w:rFonts w:ascii="Times New Roman" w:hAnsi="Times New Roman" w:cs="Times New Roman"/>
          <w:sz w:val="28"/>
          <w:szCs w:val="28"/>
        </w:rPr>
        <w:t>es</w:t>
      </w:r>
      <w:r w:rsidR="00020D61" w:rsidRPr="0081701F">
        <w:rPr>
          <w:rFonts w:ascii="Times New Roman" w:hAnsi="Times New Roman" w:cs="Times New Roman"/>
          <w:sz w:val="28"/>
          <w:szCs w:val="28"/>
        </w:rPr>
        <w:t xml:space="preserve">en las materias de </w:t>
      </w:r>
      <w:r w:rsidR="00FE3315" w:rsidRPr="0081701F">
        <w:rPr>
          <w:rFonts w:ascii="Times New Roman" w:hAnsi="Times New Roman" w:cs="Times New Roman"/>
          <w:sz w:val="28"/>
          <w:szCs w:val="28"/>
        </w:rPr>
        <w:t>Notarial, Cobro Judicial y en menor medida en Contencioso Administrativo</w:t>
      </w:r>
      <w:r w:rsidR="00FD0A7C" w:rsidRPr="0081701F">
        <w:rPr>
          <w:rFonts w:ascii="Times New Roman" w:hAnsi="Times New Roman" w:cs="Times New Roman"/>
          <w:sz w:val="28"/>
          <w:szCs w:val="28"/>
        </w:rPr>
        <w:t xml:space="preserve"> con el </w:t>
      </w:r>
      <w:r w:rsidR="00FE3315" w:rsidRPr="0081701F">
        <w:rPr>
          <w:rFonts w:ascii="Times New Roman" w:hAnsi="Times New Roman" w:cs="Times New Roman"/>
          <w:b/>
          <w:sz w:val="28"/>
          <w:szCs w:val="28"/>
        </w:rPr>
        <w:t>25</w:t>
      </w:r>
      <w:r w:rsidR="00B74E63" w:rsidRPr="0081701F">
        <w:rPr>
          <w:rFonts w:ascii="Times New Roman" w:hAnsi="Times New Roman" w:cs="Times New Roman"/>
          <w:b/>
          <w:sz w:val="28"/>
          <w:szCs w:val="28"/>
        </w:rPr>
        <w:t>%</w:t>
      </w:r>
      <w:r w:rsidR="00FE3315" w:rsidRPr="0081701F">
        <w:rPr>
          <w:rFonts w:ascii="Times New Roman" w:hAnsi="Times New Roman" w:cs="Times New Roman"/>
          <w:b/>
          <w:sz w:val="28"/>
          <w:szCs w:val="28"/>
        </w:rPr>
        <w:t>, 23%</w:t>
      </w:r>
      <w:r w:rsidR="00B74E63" w:rsidRPr="0081701F">
        <w:rPr>
          <w:rFonts w:ascii="Times New Roman" w:hAnsi="Times New Roman" w:cs="Times New Roman"/>
          <w:sz w:val="28"/>
          <w:szCs w:val="28"/>
        </w:rPr>
        <w:t xml:space="preserve"> y </w:t>
      </w:r>
      <w:r w:rsidR="00FE3315" w:rsidRPr="0081701F">
        <w:rPr>
          <w:rFonts w:ascii="Times New Roman" w:hAnsi="Times New Roman" w:cs="Times New Roman"/>
          <w:b/>
          <w:sz w:val="28"/>
          <w:szCs w:val="28"/>
        </w:rPr>
        <w:t>16</w:t>
      </w:r>
      <w:r w:rsidR="00B74E63" w:rsidRPr="0081701F">
        <w:rPr>
          <w:rFonts w:ascii="Times New Roman" w:hAnsi="Times New Roman" w:cs="Times New Roman"/>
          <w:b/>
          <w:sz w:val="28"/>
          <w:szCs w:val="28"/>
        </w:rPr>
        <w:t>%</w:t>
      </w:r>
      <w:r w:rsidR="007873ED" w:rsidRPr="0081701F">
        <w:rPr>
          <w:rFonts w:ascii="Times New Roman" w:hAnsi="Times New Roman" w:cs="Times New Roman"/>
          <w:sz w:val="28"/>
          <w:szCs w:val="28"/>
        </w:rPr>
        <w:t>adicional</w:t>
      </w:r>
      <w:r w:rsidR="00B74E63" w:rsidRPr="0081701F">
        <w:rPr>
          <w:rFonts w:ascii="Times New Roman" w:hAnsi="Times New Roman" w:cs="Times New Roman"/>
          <w:sz w:val="28"/>
          <w:szCs w:val="28"/>
        </w:rPr>
        <w:t xml:space="preserve"> respectivamente</w:t>
      </w:r>
      <w:r w:rsidR="00FE3315" w:rsidRPr="0081701F">
        <w:rPr>
          <w:rFonts w:ascii="Times New Roman" w:hAnsi="Times New Roman" w:cs="Times New Roman"/>
          <w:sz w:val="28"/>
          <w:szCs w:val="28"/>
        </w:rPr>
        <w:t>,</w:t>
      </w:r>
      <w:r w:rsidR="00B74E63" w:rsidRPr="0081701F">
        <w:rPr>
          <w:rFonts w:ascii="Times New Roman" w:hAnsi="Times New Roman" w:cs="Times New Roman"/>
          <w:sz w:val="28"/>
          <w:szCs w:val="28"/>
        </w:rPr>
        <w:t xml:space="preserve"> mientras que</w:t>
      </w:r>
      <w:r w:rsidR="00FE3315" w:rsidRPr="0081701F">
        <w:rPr>
          <w:rFonts w:ascii="Times New Roman" w:hAnsi="Times New Roman" w:cs="Times New Roman"/>
          <w:sz w:val="28"/>
          <w:szCs w:val="28"/>
        </w:rPr>
        <w:t>,</w:t>
      </w:r>
      <w:r w:rsidR="00B74E63" w:rsidRPr="0081701F">
        <w:rPr>
          <w:rFonts w:ascii="Times New Roman" w:hAnsi="Times New Roman" w:cs="Times New Roman"/>
          <w:sz w:val="28"/>
          <w:szCs w:val="28"/>
        </w:rPr>
        <w:t xml:space="preserve"> fue en </w:t>
      </w:r>
      <w:r w:rsidR="00FE3315" w:rsidRPr="0081701F">
        <w:rPr>
          <w:rFonts w:ascii="Times New Roman" w:hAnsi="Times New Roman" w:cs="Times New Roman"/>
          <w:sz w:val="28"/>
          <w:szCs w:val="28"/>
        </w:rPr>
        <w:t>Laboral (</w:t>
      </w:r>
      <w:r w:rsidR="00FE3315" w:rsidRPr="0081701F">
        <w:rPr>
          <w:rFonts w:ascii="Times New Roman" w:hAnsi="Times New Roman" w:cs="Times New Roman"/>
          <w:b/>
          <w:sz w:val="28"/>
          <w:szCs w:val="28"/>
        </w:rPr>
        <w:t>8%</w:t>
      </w:r>
      <w:r w:rsidR="00FE3315" w:rsidRPr="0081701F">
        <w:rPr>
          <w:rFonts w:ascii="Times New Roman" w:hAnsi="Times New Roman" w:cs="Times New Roman"/>
          <w:sz w:val="28"/>
          <w:szCs w:val="28"/>
        </w:rPr>
        <w:t xml:space="preserve"> menos) y en lo Agrario (</w:t>
      </w:r>
      <w:r w:rsidR="00FE3315" w:rsidRPr="0081701F">
        <w:rPr>
          <w:rFonts w:ascii="Times New Roman" w:hAnsi="Times New Roman" w:cs="Times New Roman"/>
          <w:b/>
          <w:sz w:val="28"/>
          <w:szCs w:val="28"/>
        </w:rPr>
        <w:t>7%</w:t>
      </w:r>
      <w:r w:rsidR="00FE3315" w:rsidRPr="0081701F">
        <w:rPr>
          <w:rFonts w:ascii="Times New Roman" w:hAnsi="Times New Roman" w:cs="Times New Roman"/>
          <w:sz w:val="28"/>
          <w:szCs w:val="28"/>
        </w:rPr>
        <w:t xml:space="preserve"> menos)</w:t>
      </w:r>
      <w:r w:rsidR="00B74E63" w:rsidRPr="0081701F">
        <w:rPr>
          <w:rFonts w:ascii="Times New Roman" w:hAnsi="Times New Roman" w:cs="Times New Roman"/>
          <w:sz w:val="28"/>
          <w:szCs w:val="28"/>
        </w:rPr>
        <w:t xml:space="preserve"> se reporta</w:t>
      </w:r>
      <w:r w:rsidR="00FE3315" w:rsidRPr="0081701F">
        <w:rPr>
          <w:rFonts w:ascii="Times New Roman" w:hAnsi="Times New Roman" w:cs="Times New Roman"/>
          <w:sz w:val="28"/>
          <w:szCs w:val="28"/>
        </w:rPr>
        <w:t>n</w:t>
      </w:r>
      <w:r w:rsidR="00B74E63" w:rsidRPr="0081701F">
        <w:rPr>
          <w:rFonts w:ascii="Times New Roman" w:hAnsi="Times New Roman" w:cs="Times New Roman"/>
          <w:sz w:val="28"/>
          <w:szCs w:val="28"/>
        </w:rPr>
        <w:t xml:space="preserve"> la</w:t>
      </w:r>
      <w:r w:rsidR="00FE3315" w:rsidRPr="0081701F">
        <w:rPr>
          <w:rFonts w:ascii="Times New Roman" w:hAnsi="Times New Roman" w:cs="Times New Roman"/>
          <w:sz w:val="28"/>
          <w:szCs w:val="28"/>
        </w:rPr>
        <w:t>s</w:t>
      </w:r>
      <w:r w:rsidR="00345F45" w:rsidRPr="0081701F">
        <w:rPr>
          <w:rFonts w:ascii="Times New Roman" w:hAnsi="Times New Roman" w:cs="Times New Roman"/>
          <w:sz w:val="28"/>
          <w:szCs w:val="28"/>
        </w:rPr>
        <w:t>rebaja</w:t>
      </w:r>
      <w:r w:rsidR="00462108">
        <w:rPr>
          <w:rFonts w:ascii="Times New Roman" w:hAnsi="Times New Roman" w:cs="Times New Roman"/>
          <w:sz w:val="28"/>
          <w:szCs w:val="28"/>
        </w:rPr>
        <w:t>s</w:t>
      </w:r>
      <w:r w:rsidR="00345F45" w:rsidRPr="0081701F">
        <w:rPr>
          <w:rFonts w:ascii="Times New Roman" w:hAnsi="Times New Roman" w:cs="Times New Roman"/>
          <w:sz w:val="28"/>
          <w:szCs w:val="28"/>
        </w:rPr>
        <w:t xml:space="preserve"> más importante</w:t>
      </w:r>
      <w:r w:rsidR="00FE3315" w:rsidRPr="0081701F">
        <w:rPr>
          <w:rFonts w:ascii="Times New Roman" w:hAnsi="Times New Roman" w:cs="Times New Roman"/>
          <w:sz w:val="28"/>
          <w:szCs w:val="28"/>
        </w:rPr>
        <w:t xml:space="preserve">pero menores al </w:t>
      </w:r>
      <w:r w:rsidR="00B74E63" w:rsidRPr="0081701F">
        <w:rPr>
          <w:rFonts w:ascii="Times New Roman" w:hAnsi="Times New Roman" w:cs="Times New Roman"/>
          <w:b/>
          <w:sz w:val="28"/>
          <w:szCs w:val="28"/>
        </w:rPr>
        <w:t>10%</w:t>
      </w:r>
      <w:r w:rsidR="000D5C8D" w:rsidRPr="0081701F">
        <w:rPr>
          <w:rFonts w:ascii="Times New Roman" w:hAnsi="Times New Roman" w:cs="Times New Roman"/>
          <w:sz w:val="28"/>
          <w:szCs w:val="28"/>
        </w:rPr>
        <w:t>.</w:t>
      </w:r>
    </w:p>
    <w:p w:rsidR="000D5C8D" w:rsidRDefault="000D5C8D" w:rsidP="00B74E63">
      <w:pPr>
        <w:jc w:val="both"/>
        <w:rPr>
          <w:rFonts w:ascii="Times New Roman" w:hAnsi="Times New Roman" w:cs="Times New Roman"/>
          <w:sz w:val="28"/>
          <w:szCs w:val="28"/>
        </w:rPr>
      </w:pPr>
    </w:p>
    <w:p w:rsidR="00462108" w:rsidRDefault="00462108" w:rsidP="00B74E63">
      <w:pPr>
        <w:jc w:val="both"/>
        <w:rPr>
          <w:rFonts w:ascii="Times New Roman" w:hAnsi="Times New Roman" w:cs="Times New Roman"/>
          <w:sz w:val="28"/>
          <w:szCs w:val="28"/>
        </w:rPr>
      </w:pPr>
    </w:p>
    <w:p w:rsidR="00462108" w:rsidRDefault="00462108" w:rsidP="00B74E63">
      <w:pPr>
        <w:jc w:val="both"/>
        <w:rPr>
          <w:rFonts w:ascii="Times New Roman" w:hAnsi="Times New Roman" w:cs="Times New Roman"/>
          <w:sz w:val="28"/>
          <w:szCs w:val="28"/>
        </w:rPr>
      </w:pPr>
    </w:p>
    <w:p w:rsidR="00462108" w:rsidRDefault="00462108" w:rsidP="00B74E63">
      <w:pPr>
        <w:jc w:val="both"/>
        <w:rPr>
          <w:rFonts w:ascii="Times New Roman" w:hAnsi="Times New Roman" w:cs="Times New Roman"/>
          <w:sz w:val="28"/>
          <w:szCs w:val="28"/>
        </w:rPr>
      </w:pPr>
    </w:p>
    <w:tbl>
      <w:tblPr>
        <w:tblW w:w="7700" w:type="dxa"/>
        <w:jc w:val="center"/>
        <w:tblCellMar>
          <w:left w:w="70" w:type="dxa"/>
          <w:right w:w="70" w:type="dxa"/>
        </w:tblCellMar>
        <w:tblLook w:val="04A0"/>
      </w:tblPr>
      <w:tblGrid>
        <w:gridCol w:w="2900"/>
        <w:gridCol w:w="1200"/>
        <w:gridCol w:w="1200"/>
        <w:gridCol w:w="1200"/>
        <w:gridCol w:w="1200"/>
      </w:tblGrid>
      <w:tr w:rsidR="005C6FA5" w:rsidRPr="005C6FA5" w:rsidTr="005C6FA5">
        <w:trPr>
          <w:trHeight w:val="310"/>
          <w:jc w:val="center"/>
        </w:trPr>
        <w:tc>
          <w:tcPr>
            <w:tcW w:w="7700" w:type="dxa"/>
            <w:gridSpan w:val="5"/>
            <w:tcBorders>
              <w:top w:val="single" w:sz="8" w:space="0" w:color="auto"/>
              <w:left w:val="single" w:sz="8" w:space="0" w:color="auto"/>
              <w:bottom w:val="single" w:sz="8" w:space="0" w:color="auto"/>
              <w:right w:val="single" w:sz="8" w:space="0" w:color="000000"/>
            </w:tcBorders>
            <w:shd w:val="clear" w:color="000000" w:fill="FFCC99"/>
            <w:vAlign w:val="bottom"/>
            <w:hideMark/>
          </w:tcPr>
          <w:p w:rsidR="005C6FA5" w:rsidRPr="005C6FA5" w:rsidRDefault="005C6FA5" w:rsidP="005C6FA5">
            <w:pPr>
              <w:spacing w:after="0" w:line="240" w:lineRule="auto"/>
              <w:jc w:val="center"/>
              <w:rPr>
                <w:rFonts w:ascii="Times New Roman" w:eastAsia="Times New Roman" w:hAnsi="Times New Roman" w:cs="Times New Roman"/>
                <w:b/>
                <w:bCs/>
                <w:color w:val="000000"/>
                <w:sz w:val="24"/>
                <w:szCs w:val="24"/>
                <w:lang w:eastAsia="es-CR"/>
              </w:rPr>
            </w:pPr>
            <w:r w:rsidRPr="005C6FA5">
              <w:rPr>
                <w:rFonts w:ascii="Times New Roman" w:eastAsia="Times New Roman" w:hAnsi="Times New Roman" w:cs="Times New Roman"/>
                <w:b/>
                <w:bCs/>
                <w:color w:val="000000"/>
                <w:sz w:val="24"/>
                <w:szCs w:val="24"/>
                <w:lang w:eastAsia="es-CR"/>
              </w:rPr>
              <w:t>Variación de los casos entrados en últimos dos años</w:t>
            </w:r>
          </w:p>
        </w:tc>
      </w:tr>
      <w:tr w:rsidR="005C6FA5" w:rsidRPr="005C6FA5" w:rsidTr="005C6FA5">
        <w:trPr>
          <w:trHeight w:val="300"/>
          <w:jc w:val="center"/>
        </w:trPr>
        <w:tc>
          <w:tcPr>
            <w:tcW w:w="2900" w:type="dxa"/>
            <w:vMerge w:val="restart"/>
            <w:tcBorders>
              <w:top w:val="nil"/>
              <w:left w:val="nil"/>
              <w:bottom w:val="nil"/>
              <w:right w:val="nil"/>
            </w:tcBorders>
            <w:shd w:val="clear" w:color="auto" w:fill="auto"/>
            <w:vAlign w:val="bottom"/>
            <w:hideMark/>
          </w:tcPr>
          <w:p w:rsidR="005C6FA5" w:rsidRPr="005C6FA5" w:rsidRDefault="005C6FA5" w:rsidP="005C6FA5">
            <w:pPr>
              <w:spacing w:after="0" w:line="240" w:lineRule="auto"/>
              <w:jc w:val="center"/>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Materia</w:t>
            </w:r>
          </w:p>
        </w:tc>
        <w:tc>
          <w:tcPr>
            <w:tcW w:w="2400" w:type="dxa"/>
            <w:gridSpan w:val="2"/>
            <w:tcBorders>
              <w:top w:val="single" w:sz="8" w:space="0" w:color="auto"/>
              <w:left w:val="nil"/>
              <w:bottom w:val="nil"/>
              <w:right w:val="nil"/>
            </w:tcBorders>
            <w:shd w:val="clear" w:color="auto" w:fill="auto"/>
            <w:vAlign w:val="bottom"/>
            <w:hideMark/>
          </w:tcPr>
          <w:p w:rsidR="005C6FA5" w:rsidRPr="005C6FA5" w:rsidRDefault="005C6FA5" w:rsidP="005C6FA5">
            <w:pPr>
              <w:spacing w:after="0" w:line="240" w:lineRule="auto"/>
              <w:jc w:val="center"/>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Año</w:t>
            </w:r>
          </w:p>
        </w:tc>
        <w:tc>
          <w:tcPr>
            <w:tcW w:w="2400" w:type="dxa"/>
            <w:gridSpan w:val="2"/>
            <w:tcBorders>
              <w:top w:val="single" w:sz="8" w:space="0" w:color="auto"/>
              <w:left w:val="nil"/>
              <w:bottom w:val="nil"/>
              <w:right w:val="nil"/>
            </w:tcBorders>
            <w:shd w:val="clear" w:color="auto" w:fill="auto"/>
            <w:vAlign w:val="bottom"/>
            <w:hideMark/>
          </w:tcPr>
          <w:p w:rsidR="005C6FA5" w:rsidRPr="005C6FA5" w:rsidRDefault="005C6FA5" w:rsidP="005C6FA5">
            <w:pPr>
              <w:spacing w:after="0" w:line="240" w:lineRule="auto"/>
              <w:jc w:val="center"/>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Variación</w:t>
            </w:r>
          </w:p>
        </w:tc>
      </w:tr>
      <w:tr w:rsidR="005C6FA5" w:rsidRPr="005C6FA5" w:rsidTr="005C6FA5">
        <w:trPr>
          <w:trHeight w:val="300"/>
          <w:jc w:val="center"/>
        </w:trPr>
        <w:tc>
          <w:tcPr>
            <w:tcW w:w="2900" w:type="dxa"/>
            <w:vMerge/>
            <w:tcBorders>
              <w:top w:val="nil"/>
              <w:left w:val="nil"/>
              <w:bottom w:val="nil"/>
              <w:right w:val="nil"/>
            </w:tcBorders>
            <w:vAlign w:val="center"/>
            <w:hideMark/>
          </w:tcPr>
          <w:p w:rsidR="005C6FA5" w:rsidRPr="005C6FA5" w:rsidRDefault="005C6FA5" w:rsidP="005C6FA5">
            <w:pPr>
              <w:spacing w:after="0" w:line="240" w:lineRule="auto"/>
              <w:rPr>
                <w:rFonts w:ascii="Times New Roman" w:eastAsia="Times New Roman" w:hAnsi="Times New Roman" w:cs="Times New Roman"/>
                <w:b/>
                <w:bCs/>
                <w:sz w:val="24"/>
                <w:szCs w:val="24"/>
                <w:u w:val="single"/>
                <w:lang w:eastAsia="es-CR"/>
              </w:rPr>
            </w:pP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center"/>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2015</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center"/>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2016</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center"/>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Absoluta</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center"/>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Relativa</w:t>
            </w:r>
          </w:p>
        </w:tc>
      </w:tr>
      <w:tr w:rsidR="005C6FA5" w:rsidRPr="005C6FA5" w:rsidTr="005C6FA5">
        <w:trPr>
          <w:trHeight w:val="30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TOTAL</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638.357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665.930</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27.573</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b/>
                <w:bCs/>
                <w:sz w:val="24"/>
                <w:szCs w:val="24"/>
                <w:u w:val="single"/>
                <w:lang w:eastAsia="es-CR"/>
              </w:rPr>
            </w:pPr>
            <w:r w:rsidRPr="005C6FA5">
              <w:rPr>
                <w:rFonts w:ascii="Times New Roman" w:eastAsia="Times New Roman" w:hAnsi="Times New Roman" w:cs="Times New Roman"/>
                <w:b/>
                <w:bCs/>
                <w:sz w:val="24"/>
                <w:szCs w:val="24"/>
                <w:u w:val="single"/>
                <w:lang w:eastAsia="es-CR"/>
              </w:rPr>
              <w:t>4%</w:t>
            </w:r>
          </w:p>
        </w:tc>
      </w:tr>
      <w:tr w:rsidR="005C6FA5" w:rsidRPr="005C6FA5" w:rsidTr="005C6FA5">
        <w:trPr>
          <w:trHeight w:val="300"/>
          <w:jc w:val="center"/>
        </w:trPr>
        <w:tc>
          <w:tcPr>
            <w:tcW w:w="7700" w:type="dxa"/>
            <w:gridSpan w:val="5"/>
            <w:tcBorders>
              <w:top w:val="nil"/>
              <w:left w:val="nil"/>
              <w:bottom w:val="nil"/>
              <w:right w:val="nil"/>
            </w:tcBorders>
            <w:shd w:val="clear" w:color="000000" w:fill="CCFFCC"/>
            <w:vAlign w:val="bottom"/>
            <w:hideMark/>
          </w:tcPr>
          <w:p w:rsidR="005C6FA5" w:rsidRPr="005C6FA5" w:rsidRDefault="005C6FA5" w:rsidP="005C6FA5">
            <w:pPr>
              <w:spacing w:after="0" w:line="240" w:lineRule="auto"/>
              <w:jc w:val="center"/>
              <w:rPr>
                <w:rFonts w:ascii="Times New Roman" w:eastAsia="Times New Roman" w:hAnsi="Times New Roman" w:cs="Times New Roman"/>
                <w:b/>
                <w:bCs/>
                <w:color w:val="000000"/>
                <w:sz w:val="24"/>
                <w:szCs w:val="24"/>
                <w:lang w:eastAsia="es-CR"/>
              </w:rPr>
            </w:pPr>
            <w:r w:rsidRPr="005C6FA5">
              <w:rPr>
                <w:rFonts w:ascii="Times New Roman" w:eastAsia="Times New Roman" w:hAnsi="Times New Roman" w:cs="Times New Roman"/>
                <w:b/>
                <w:bCs/>
                <w:color w:val="000000"/>
                <w:sz w:val="24"/>
                <w:szCs w:val="24"/>
                <w:lang w:eastAsia="es-CR"/>
              </w:rPr>
              <w:t>Aumentos</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Notarial</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929</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1161</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232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25%</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Cobro Judicial</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133.766</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164.522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30.756</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23%</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Contenciosa Administrativa</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12.742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14.758</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2.016</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16%</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Tránsito</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77.236</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81.515</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4.279</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6%</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Penal Juvenil</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9.105</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9.317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212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Civil Ordinarios</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16.503</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16.645</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142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Violencia Doméstica</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48.485</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48.607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122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0%</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Familia</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29.884</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29.922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38</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0%</w:t>
            </w:r>
          </w:p>
        </w:tc>
      </w:tr>
      <w:tr w:rsidR="005C6FA5" w:rsidRPr="005C6FA5" w:rsidTr="005C6FA5">
        <w:trPr>
          <w:trHeight w:val="300"/>
          <w:jc w:val="center"/>
        </w:trPr>
        <w:tc>
          <w:tcPr>
            <w:tcW w:w="7700" w:type="dxa"/>
            <w:gridSpan w:val="5"/>
            <w:tcBorders>
              <w:top w:val="nil"/>
              <w:left w:val="nil"/>
              <w:bottom w:val="nil"/>
              <w:right w:val="nil"/>
            </w:tcBorders>
            <w:shd w:val="clear" w:color="000000" w:fill="CCFFCC"/>
            <w:vAlign w:val="bottom"/>
            <w:hideMark/>
          </w:tcPr>
          <w:p w:rsidR="005C6FA5" w:rsidRPr="005C6FA5" w:rsidRDefault="005C6FA5" w:rsidP="005C6FA5">
            <w:pPr>
              <w:spacing w:after="0" w:line="240" w:lineRule="auto"/>
              <w:jc w:val="center"/>
              <w:rPr>
                <w:rFonts w:ascii="Times New Roman" w:eastAsia="Times New Roman" w:hAnsi="Times New Roman" w:cs="Times New Roman"/>
                <w:b/>
                <w:bCs/>
                <w:color w:val="000000"/>
                <w:sz w:val="24"/>
                <w:szCs w:val="24"/>
                <w:lang w:eastAsia="es-CR"/>
              </w:rPr>
            </w:pPr>
            <w:r w:rsidRPr="005C6FA5">
              <w:rPr>
                <w:rFonts w:ascii="Times New Roman" w:eastAsia="Times New Roman" w:hAnsi="Times New Roman" w:cs="Times New Roman"/>
                <w:b/>
                <w:bCs/>
                <w:color w:val="000000"/>
                <w:sz w:val="24"/>
                <w:szCs w:val="24"/>
                <w:lang w:eastAsia="es-CR"/>
              </w:rPr>
              <w:t>Disminuciones</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Trabajo</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34.317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31.450</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-2.867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-8%</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Agraria</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3.275</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3.058</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-217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-7%</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Contravencional</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41.290</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39.356</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-1.934</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-5%</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Constitucional</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18.569</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17.967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-602</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Pensiones Alimentarias</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41.038</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40.001</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-1.037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w:t>
            </w:r>
          </w:p>
        </w:tc>
      </w:tr>
      <w:tr w:rsidR="005C6FA5" w:rsidRPr="005C6FA5" w:rsidTr="005C6FA5">
        <w:trPr>
          <w:trHeight w:val="310"/>
          <w:jc w:val="center"/>
        </w:trPr>
        <w:tc>
          <w:tcPr>
            <w:tcW w:w="29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Penal</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171.218</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ind w:right="63"/>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167.651</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-3.567</w:t>
            </w:r>
          </w:p>
        </w:tc>
        <w:tc>
          <w:tcPr>
            <w:tcW w:w="1200" w:type="dxa"/>
            <w:tcBorders>
              <w:top w:val="nil"/>
              <w:left w:val="nil"/>
              <w:bottom w:val="nil"/>
              <w:right w:val="nil"/>
            </w:tcBorders>
            <w:shd w:val="clear" w:color="auto" w:fill="auto"/>
            <w:vAlign w:val="bottom"/>
            <w:hideMark/>
          </w:tcPr>
          <w:p w:rsidR="005C6FA5" w:rsidRPr="005C6FA5" w:rsidRDefault="005C6FA5" w:rsidP="005C6FA5">
            <w:pPr>
              <w:spacing w:after="0" w:line="240" w:lineRule="auto"/>
              <w:jc w:val="right"/>
              <w:rPr>
                <w:rFonts w:ascii="Times New Roman" w:eastAsia="Times New Roman" w:hAnsi="Times New Roman" w:cs="Times New Roman"/>
                <w:sz w:val="24"/>
                <w:szCs w:val="24"/>
                <w:lang w:eastAsia="es-CR"/>
              </w:rPr>
            </w:pPr>
            <w:r w:rsidRPr="005C6FA5">
              <w:rPr>
                <w:rFonts w:ascii="Times New Roman" w:eastAsia="Times New Roman" w:hAnsi="Times New Roman" w:cs="Times New Roman"/>
                <w:sz w:val="24"/>
                <w:szCs w:val="24"/>
                <w:lang w:eastAsia="es-CR"/>
              </w:rPr>
              <w:t>-2%</w:t>
            </w:r>
          </w:p>
        </w:tc>
      </w:tr>
    </w:tbl>
    <w:p w:rsidR="00DF4BDB" w:rsidRDefault="00DF4BDB" w:rsidP="00B74E63">
      <w:pPr>
        <w:jc w:val="both"/>
        <w:rPr>
          <w:rFonts w:ascii="Times New Roman" w:eastAsia="Times New Roman" w:hAnsi="Times New Roman" w:cs="Times New Roman"/>
          <w:b/>
          <w:bCs/>
          <w:color w:val="000000"/>
          <w:sz w:val="24"/>
          <w:szCs w:val="24"/>
          <w:lang w:eastAsia="es-CR"/>
        </w:rPr>
      </w:pPr>
    </w:p>
    <w:p w:rsidR="005B13D2" w:rsidRPr="00A7417B" w:rsidRDefault="005B13D2" w:rsidP="00C21E46">
      <w:pPr>
        <w:ind w:firstLine="708"/>
        <w:jc w:val="both"/>
        <w:rPr>
          <w:rFonts w:ascii="Times New Roman" w:hAnsi="Times New Roman" w:cs="Times New Roman"/>
          <w:sz w:val="28"/>
          <w:szCs w:val="28"/>
        </w:rPr>
      </w:pPr>
      <w:r w:rsidRPr="008D4A42">
        <w:rPr>
          <w:rFonts w:ascii="Times New Roman" w:hAnsi="Times New Roman" w:cs="Times New Roman"/>
          <w:sz w:val="28"/>
          <w:szCs w:val="28"/>
        </w:rPr>
        <w:t>El efecto conjunto del aumento de los casos entrados en materia de cobro (</w:t>
      </w:r>
      <w:r w:rsidRPr="008D4A42">
        <w:rPr>
          <w:rFonts w:ascii="Times New Roman" w:hAnsi="Times New Roman" w:cs="Times New Roman"/>
          <w:b/>
          <w:sz w:val="28"/>
          <w:szCs w:val="28"/>
        </w:rPr>
        <w:t>25%</w:t>
      </w:r>
      <w:r w:rsidRPr="008D4A42">
        <w:rPr>
          <w:rFonts w:ascii="Times New Roman" w:hAnsi="Times New Roman" w:cs="Times New Roman"/>
          <w:sz w:val="28"/>
          <w:szCs w:val="28"/>
        </w:rPr>
        <w:t xml:space="preserve"> más) y la leve baja en el ingreso en materia Penal (</w:t>
      </w:r>
      <w:r w:rsidRPr="008D4A42">
        <w:rPr>
          <w:rFonts w:ascii="Times New Roman" w:hAnsi="Times New Roman" w:cs="Times New Roman"/>
          <w:b/>
          <w:sz w:val="28"/>
          <w:szCs w:val="28"/>
        </w:rPr>
        <w:t>2%</w:t>
      </w:r>
      <w:r w:rsidRPr="008D4A42">
        <w:rPr>
          <w:rFonts w:ascii="Times New Roman" w:hAnsi="Times New Roman" w:cs="Times New Roman"/>
          <w:sz w:val="28"/>
          <w:szCs w:val="28"/>
        </w:rPr>
        <w:t xml:space="preserve"> menos) </w:t>
      </w:r>
      <w:r w:rsidR="008D4A42" w:rsidRPr="008D4A42">
        <w:rPr>
          <w:rFonts w:ascii="Times New Roman" w:hAnsi="Times New Roman" w:cs="Times New Roman"/>
          <w:sz w:val="28"/>
          <w:szCs w:val="28"/>
        </w:rPr>
        <w:t>impacta</w:t>
      </w:r>
      <w:r w:rsidRPr="008D4A42">
        <w:rPr>
          <w:rFonts w:ascii="Times New Roman" w:hAnsi="Times New Roman" w:cs="Times New Roman"/>
          <w:sz w:val="28"/>
          <w:szCs w:val="28"/>
        </w:rPr>
        <w:t xml:space="preserve"> la distribución porcentual por materia (Gráfico N°2) de este año respecto al inmediatamente </w:t>
      </w:r>
      <w:r w:rsidRPr="008978E3">
        <w:rPr>
          <w:rFonts w:ascii="Times New Roman" w:hAnsi="Times New Roman" w:cs="Times New Roman"/>
          <w:sz w:val="28"/>
          <w:szCs w:val="28"/>
        </w:rPr>
        <w:t xml:space="preserve">anterior. Estas dos materias son las que reportan los valores más altos de ingreso nuevo de causas al Poder Judicial y por ello los cambios que se produzcan </w:t>
      </w:r>
      <w:r w:rsidR="008D4A42" w:rsidRPr="008978E3">
        <w:rPr>
          <w:rFonts w:ascii="Times New Roman" w:hAnsi="Times New Roman" w:cs="Times New Roman"/>
          <w:sz w:val="28"/>
          <w:szCs w:val="28"/>
        </w:rPr>
        <w:t xml:space="preserve">en éstas, </w:t>
      </w:r>
      <w:r w:rsidRPr="008978E3">
        <w:rPr>
          <w:rFonts w:ascii="Times New Roman" w:hAnsi="Times New Roman" w:cs="Times New Roman"/>
          <w:sz w:val="28"/>
          <w:szCs w:val="28"/>
        </w:rPr>
        <w:t>hacen variar la forma como se distribuyen los casos entrados por m</w:t>
      </w:r>
      <w:r w:rsidR="00A64D2F">
        <w:rPr>
          <w:rFonts w:ascii="Times New Roman" w:hAnsi="Times New Roman" w:cs="Times New Roman"/>
          <w:sz w:val="28"/>
          <w:szCs w:val="28"/>
        </w:rPr>
        <w:t>ateria. Continua en el 2016 lo P</w:t>
      </w:r>
      <w:r w:rsidRPr="008978E3">
        <w:rPr>
          <w:rFonts w:ascii="Times New Roman" w:hAnsi="Times New Roman" w:cs="Times New Roman"/>
          <w:sz w:val="28"/>
          <w:szCs w:val="28"/>
        </w:rPr>
        <w:t>enal como la materia con mayor ingreso de causas, pero en este año en términos prácticos comparte lugar con la materia de Cobro Judicial. Durante el 2015</w:t>
      </w:r>
      <w:r w:rsidR="00711413" w:rsidRPr="008978E3">
        <w:rPr>
          <w:rFonts w:ascii="Times New Roman" w:hAnsi="Times New Roman" w:cs="Times New Roman"/>
          <w:sz w:val="28"/>
          <w:szCs w:val="28"/>
        </w:rPr>
        <w:t>,</w:t>
      </w:r>
      <w:r w:rsidR="008978E3" w:rsidRPr="008978E3">
        <w:rPr>
          <w:rFonts w:ascii="Times New Roman" w:hAnsi="Times New Roman" w:cs="Times New Roman"/>
          <w:sz w:val="28"/>
          <w:szCs w:val="28"/>
        </w:rPr>
        <w:t>lo</w:t>
      </w:r>
      <w:r w:rsidRPr="008978E3">
        <w:rPr>
          <w:rFonts w:ascii="Times New Roman" w:hAnsi="Times New Roman" w:cs="Times New Roman"/>
          <w:sz w:val="28"/>
          <w:szCs w:val="28"/>
        </w:rPr>
        <w:t xml:space="preserve"> penal era el </w:t>
      </w:r>
      <w:r w:rsidRPr="008978E3">
        <w:rPr>
          <w:rFonts w:ascii="Times New Roman" w:hAnsi="Times New Roman" w:cs="Times New Roman"/>
          <w:b/>
          <w:sz w:val="28"/>
          <w:szCs w:val="28"/>
        </w:rPr>
        <w:t>27%</w:t>
      </w:r>
      <w:r w:rsidRPr="008978E3">
        <w:rPr>
          <w:rFonts w:ascii="Times New Roman" w:hAnsi="Times New Roman" w:cs="Times New Roman"/>
          <w:sz w:val="28"/>
          <w:szCs w:val="28"/>
        </w:rPr>
        <w:t xml:space="preserve"> de todos los asuntos entrados en primera instancia a escala nacional pero un año después el volumen reportado tiene un peso relativo </w:t>
      </w:r>
      <w:r w:rsidR="003201CE" w:rsidRPr="008978E3">
        <w:rPr>
          <w:rFonts w:ascii="Times New Roman" w:hAnsi="Times New Roman" w:cs="Times New Roman"/>
          <w:sz w:val="28"/>
          <w:szCs w:val="28"/>
        </w:rPr>
        <w:t xml:space="preserve">levemente </w:t>
      </w:r>
      <w:r w:rsidR="00345F45">
        <w:rPr>
          <w:rFonts w:ascii="Times New Roman" w:hAnsi="Times New Roman" w:cs="Times New Roman"/>
          <w:sz w:val="28"/>
          <w:szCs w:val="28"/>
        </w:rPr>
        <w:t>menor</w:t>
      </w:r>
      <w:r w:rsidR="003201CE" w:rsidRPr="008978E3">
        <w:rPr>
          <w:rFonts w:ascii="Times New Roman" w:hAnsi="Times New Roman" w:cs="Times New Roman"/>
          <w:sz w:val="28"/>
          <w:szCs w:val="28"/>
        </w:rPr>
        <w:t xml:space="preserve"> al </w:t>
      </w:r>
      <w:r w:rsidRPr="008978E3">
        <w:rPr>
          <w:rFonts w:ascii="Times New Roman" w:hAnsi="Times New Roman" w:cs="Times New Roman"/>
          <w:b/>
          <w:sz w:val="28"/>
          <w:szCs w:val="28"/>
        </w:rPr>
        <w:t>25%</w:t>
      </w:r>
      <w:r w:rsidRPr="008978E3">
        <w:rPr>
          <w:rFonts w:ascii="Times New Roman" w:hAnsi="Times New Roman" w:cs="Times New Roman"/>
          <w:sz w:val="28"/>
          <w:szCs w:val="28"/>
        </w:rPr>
        <w:t>. Por otro lado, la cant</w:t>
      </w:r>
      <w:r w:rsidR="00A64D2F">
        <w:rPr>
          <w:rFonts w:ascii="Times New Roman" w:hAnsi="Times New Roman" w:cs="Times New Roman"/>
          <w:sz w:val="28"/>
          <w:szCs w:val="28"/>
        </w:rPr>
        <w:t>idad de casos entrados materia Civil de naturaleza C</w:t>
      </w:r>
      <w:r w:rsidRPr="008978E3">
        <w:rPr>
          <w:rFonts w:ascii="Times New Roman" w:hAnsi="Times New Roman" w:cs="Times New Roman"/>
          <w:sz w:val="28"/>
          <w:szCs w:val="28"/>
        </w:rPr>
        <w:t xml:space="preserve">obratoria era el </w:t>
      </w:r>
      <w:r w:rsidRPr="008978E3">
        <w:rPr>
          <w:rFonts w:ascii="Times New Roman" w:hAnsi="Times New Roman" w:cs="Times New Roman"/>
          <w:b/>
          <w:sz w:val="28"/>
          <w:szCs w:val="28"/>
        </w:rPr>
        <w:t>21%</w:t>
      </w:r>
      <w:r w:rsidRPr="008978E3">
        <w:rPr>
          <w:rFonts w:ascii="Times New Roman" w:hAnsi="Times New Roman" w:cs="Times New Roman"/>
          <w:sz w:val="28"/>
          <w:szCs w:val="28"/>
        </w:rPr>
        <w:t xml:space="preserve"> en el 2015 pero doce meses después </w:t>
      </w:r>
      <w:r w:rsidR="003201CE" w:rsidRPr="008978E3">
        <w:rPr>
          <w:rFonts w:ascii="Times New Roman" w:hAnsi="Times New Roman" w:cs="Times New Roman"/>
          <w:sz w:val="28"/>
          <w:szCs w:val="28"/>
        </w:rPr>
        <w:t xml:space="preserve">casi llega al </w:t>
      </w:r>
      <w:r w:rsidRPr="008978E3">
        <w:rPr>
          <w:rFonts w:ascii="Times New Roman" w:hAnsi="Times New Roman" w:cs="Times New Roman"/>
          <w:b/>
          <w:sz w:val="28"/>
          <w:szCs w:val="28"/>
        </w:rPr>
        <w:t>25%</w:t>
      </w:r>
      <w:r w:rsidRPr="008978E3">
        <w:rPr>
          <w:rFonts w:ascii="Times New Roman" w:hAnsi="Times New Roman" w:cs="Times New Roman"/>
          <w:sz w:val="28"/>
          <w:szCs w:val="28"/>
        </w:rPr>
        <w:t>.Así</w:t>
      </w:r>
      <w:r w:rsidR="003201CE" w:rsidRPr="008978E3">
        <w:rPr>
          <w:rFonts w:ascii="Times New Roman" w:hAnsi="Times New Roman" w:cs="Times New Roman"/>
          <w:sz w:val="28"/>
          <w:szCs w:val="28"/>
        </w:rPr>
        <w:t>,</w:t>
      </w:r>
      <w:r w:rsidR="00345F45" w:rsidRPr="008978E3">
        <w:rPr>
          <w:rFonts w:ascii="Times New Roman" w:hAnsi="Times New Roman" w:cs="Times New Roman"/>
          <w:sz w:val="28"/>
          <w:szCs w:val="28"/>
        </w:rPr>
        <w:t>estas dos materias</w:t>
      </w:r>
      <w:r w:rsidRPr="008978E3">
        <w:rPr>
          <w:rFonts w:ascii="Times New Roman" w:hAnsi="Times New Roman" w:cs="Times New Roman"/>
          <w:sz w:val="28"/>
          <w:szCs w:val="28"/>
        </w:rPr>
        <w:t xml:space="preserve"> comparten lugar este año y juntas son </w:t>
      </w:r>
      <w:r w:rsidR="003201CE" w:rsidRPr="008978E3">
        <w:rPr>
          <w:rFonts w:ascii="Times New Roman" w:hAnsi="Times New Roman" w:cs="Times New Roman"/>
          <w:sz w:val="28"/>
          <w:szCs w:val="28"/>
        </w:rPr>
        <w:t>cerca de</w:t>
      </w:r>
      <w:r w:rsidRPr="008978E3">
        <w:rPr>
          <w:rFonts w:ascii="Times New Roman" w:hAnsi="Times New Roman" w:cs="Times New Roman"/>
          <w:sz w:val="28"/>
          <w:szCs w:val="28"/>
        </w:rPr>
        <w:t xml:space="preserve">l </w:t>
      </w:r>
      <w:r w:rsidRPr="008978E3">
        <w:rPr>
          <w:rFonts w:ascii="Times New Roman" w:hAnsi="Times New Roman" w:cs="Times New Roman"/>
          <w:b/>
          <w:sz w:val="28"/>
          <w:szCs w:val="28"/>
        </w:rPr>
        <w:t>50%</w:t>
      </w:r>
      <w:r w:rsidRPr="008978E3">
        <w:rPr>
          <w:rFonts w:ascii="Times New Roman" w:hAnsi="Times New Roman" w:cs="Times New Roman"/>
          <w:sz w:val="28"/>
          <w:szCs w:val="28"/>
        </w:rPr>
        <w:t xml:space="preserve"> de todo lo entrada en el 2016 a escala nacional.</w:t>
      </w:r>
    </w:p>
    <w:p w:rsidR="00B74E63" w:rsidRDefault="00B74E63" w:rsidP="006B1E02">
      <w:pPr>
        <w:jc w:val="center"/>
        <w:rPr>
          <w:rFonts w:ascii="Times New Roman" w:hAnsi="Times New Roman" w:cs="Times New Roman"/>
          <w:sz w:val="28"/>
          <w:szCs w:val="28"/>
        </w:rPr>
      </w:pPr>
    </w:p>
    <w:p w:rsidR="00407E26" w:rsidRDefault="00B74E63" w:rsidP="006B1E02">
      <w:pPr>
        <w:jc w:val="center"/>
        <w:rPr>
          <w:rFonts w:ascii="Times New Roman" w:hAnsi="Times New Roman" w:cs="Times New Roman"/>
          <w:sz w:val="28"/>
          <w:szCs w:val="28"/>
        </w:rPr>
      </w:pPr>
      <w:r w:rsidRPr="00B74E63">
        <w:rPr>
          <w:rFonts w:ascii="Times New Roman" w:hAnsi="Times New Roman" w:cs="Times New Roman"/>
          <w:noProof/>
          <w:sz w:val="28"/>
          <w:szCs w:val="28"/>
          <w:lang w:eastAsia="es-CR"/>
        </w:rPr>
        <w:drawing>
          <wp:inline distT="0" distB="0" distL="0" distR="0">
            <wp:extent cx="5097428" cy="3585172"/>
            <wp:effectExtent l="19050" t="0" r="27022" b="0"/>
            <wp:docPr id="6" name="Objeto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7E26" w:rsidRDefault="00407E26" w:rsidP="006B1E02">
      <w:pPr>
        <w:jc w:val="center"/>
        <w:rPr>
          <w:rFonts w:ascii="Times New Roman" w:hAnsi="Times New Roman" w:cs="Times New Roman"/>
          <w:sz w:val="28"/>
          <w:szCs w:val="28"/>
        </w:rPr>
      </w:pPr>
    </w:p>
    <w:p w:rsidR="00203EE5" w:rsidRPr="00F307C7" w:rsidRDefault="00E639F0" w:rsidP="00FC03CC">
      <w:pPr>
        <w:jc w:val="both"/>
        <w:rPr>
          <w:rFonts w:ascii="Times New Roman" w:hAnsi="Times New Roman" w:cs="Times New Roman"/>
          <w:b/>
          <w:sz w:val="28"/>
          <w:szCs w:val="28"/>
        </w:rPr>
      </w:pPr>
      <w:r w:rsidRPr="00F307C7">
        <w:rPr>
          <w:rFonts w:ascii="Times New Roman" w:hAnsi="Times New Roman" w:cs="Times New Roman"/>
          <w:b/>
          <w:sz w:val="28"/>
          <w:szCs w:val="28"/>
        </w:rPr>
        <w:t>2</w:t>
      </w:r>
      <w:r w:rsidR="00203EE5" w:rsidRPr="00F307C7">
        <w:rPr>
          <w:rFonts w:ascii="Times New Roman" w:hAnsi="Times New Roman" w:cs="Times New Roman"/>
          <w:b/>
          <w:sz w:val="28"/>
          <w:szCs w:val="28"/>
        </w:rPr>
        <w:t>.2 Casos terminados</w:t>
      </w:r>
    </w:p>
    <w:p w:rsidR="001E56C2" w:rsidRDefault="001E56C2" w:rsidP="00C21E46">
      <w:pPr>
        <w:ind w:firstLine="708"/>
        <w:jc w:val="both"/>
        <w:rPr>
          <w:rFonts w:ascii="Times New Roman" w:hAnsi="Times New Roman" w:cs="Times New Roman"/>
          <w:sz w:val="28"/>
          <w:szCs w:val="28"/>
        </w:rPr>
      </w:pPr>
      <w:r w:rsidRPr="00F307C7">
        <w:rPr>
          <w:rFonts w:ascii="Times New Roman" w:hAnsi="Times New Roman" w:cs="Times New Roman"/>
          <w:sz w:val="28"/>
          <w:szCs w:val="28"/>
        </w:rPr>
        <w:t xml:space="preserve">Si bien el volumen de catos terminados en primera instancia del 2016 aumenta luego de la contracción acaecida en el 2015, el valor alcanzado se encuentra dentro de lo acontecido desde el 2014. </w:t>
      </w:r>
      <w:r w:rsidR="00E361FD" w:rsidRPr="00F307C7">
        <w:rPr>
          <w:rFonts w:ascii="Times New Roman" w:hAnsi="Times New Roman" w:cs="Times New Roman"/>
          <w:sz w:val="28"/>
          <w:szCs w:val="28"/>
        </w:rPr>
        <w:t>En el Poder Judicial costarricense la cantidad de</w:t>
      </w:r>
      <w:r w:rsidR="00402CEE" w:rsidRPr="00F307C7">
        <w:rPr>
          <w:rFonts w:ascii="Times New Roman" w:hAnsi="Times New Roman" w:cs="Times New Roman"/>
          <w:sz w:val="28"/>
          <w:szCs w:val="28"/>
        </w:rPr>
        <w:t xml:space="preserve"> casos terminados </w:t>
      </w:r>
      <w:r w:rsidR="00E361FD" w:rsidRPr="00F307C7">
        <w:rPr>
          <w:rFonts w:ascii="Times New Roman" w:hAnsi="Times New Roman" w:cs="Times New Roman"/>
          <w:sz w:val="28"/>
          <w:szCs w:val="28"/>
        </w:rPr>
        <w:t>de</w:t>
      </w:r>
      <w:r w:rsidRPr="00F307C7">
        <w:rPr>
          <w:rFonts w:ascii="Times New Roman" w:hAnsi="Times New Roman" w:cs="Times New Roman"/>
          <w:sz w:val="28"/>
          <w:szCs w:val="28"/>
        </w:rPr>
        <w:t xml:space="preserve"> este año aumentó a </w:t>
      </w:r>
      <w:r w:rsidRPr="00F307C7">
        <w:rPr>
          <w:rFonts w:ascii="Times New Roman" w:hAnsi="Times New Roman" w:cs="Times New Roman"/>
          <w:b/>
          <w:sz w:val="28"/>
          <w:szCs w:val="28"/>
        </w:rPr>
        <w:t>612.363</w:t>
      </w:r>
      <w:r w:rsidRPr="00F307C7">
        <w:rPr>
          <w:rFonts w:ascii="Times New Roman" w:hAnsi="Times New Roman" w:cs="Times New Roman"/>
          <w:sz w:val="28"/>
          <w:szCs w:val="28"/>
        </w:rPr>
        <w:t xml:space="preserve"> de los </w:t>
      </w:r>
      <w:r w:rsidRPr="00F307C7">
        <w:rPr>
          <w:rFonts w:ascii="Times New Roman" w:hAnsi="Times New Roman" w:cs="Times New Roman"/>
          <w:b/>
          <w:sz w:val="28"/>
          <w:szCs w:val="28"/>
        </w:rPr>
        <w:t>605.022</w:t>
      </w:r>
      <w:r w:rsidRPr="00F307C7">
        <w:rPr>
          <w:rFonts w:ascii="Times New Roman" w:hAnsi="Times New Roman" w:cs="Times New Roman"/>
          <w:sz w:val="28"/>
          <w:szCs w:val="28"/>
        </w:rPr>
        <w:t xml:space="preserve"> reportados doce meses antes</w:t>
      </w:r>
      <w:r w:rsidR="00F337BC" w:rsidRPr="00F307C7">
        <w:rPr>
          <w:rFonts w:ascii="Times New Roman" w:hAnsi="Times New Roman" w:cs="Times New Roman"/>
          <w:sz w:val="28"/>
          <w:szCs w:val="28"/>
        </w:rPr>
        <w:t>;</w:t>
      </w:r>
      <w:r w:rsidRPr="00F307C7">
        <w:rPr>
          <w:rFonts w:ascii="Times New Roman" w:hAnsi="Times New Roman" w:cs="Times New Roman"/>
          <w:sz w:val="28"/>
          <w:szCs w:val="28"/>
        </w:rPr>
        <w:t xml:space="preserve"> un incremento de </w:t>
      </w:r>
      <w:r w:rsidRPr="00F307C7">
        <w:rPr>
          <w:rFonts w:ascii="Times New Roman" w:hAnsi="Times New Roman" w:cs="Times New Roman"/>
          <w:b/>
          <w:sz w:val="28"/>
          <w:szCs w:val="28"/>
        </w:rPr>
        <w:t>7.341</w:t>
      </w:r>
      <w:r w:rsidRPr="00F307C7">
        <w:rPr>
          <w:rFonts w:ascii="Times New Roman" w:hAnsi="Times New Roman" w:cs="Times New Roman"/>
          <w:sz w:val="28"/>
          <w:szCs w:val="28"/>
        </w:rPr>
        <w:t xml:space="preserve"> casos de un período anual al otro lo que</w:t>
      </w:r>
      <w:r w:rsidR="00F337BC" w:rsidRPr="00F307C7">
        <w:rPr>
          <w:rFonts w:ascii="Times New Roman" w:hAnsi="Times New Roman" w:cs="Times New Roman"/>
          <w:sz w:val="28"/>
          <w:szCs w:val="28"/>
        </w:rPr>
        <w:t>,</w:t>
      </w:r>
      <w:r w:rsidRPr="00F307C7">
        <w:rPr>
          <w:rFonts w:ascii="Times New Roman" w:hAnsi="Times New Roman" w:cs="Times New Roman"/>
          <w:sz w:val="28"/>
          <w:szCs w:val="28"/>
        </w:rPr>
        <w:t xml:space="preserve"> en términos relativos</w:t>
      </w:r>
      <w:r w:rsidR="00F337BC" w:rsidRPr="00F307C7">
        <w:rPr>
          <w:rFonts w:ascii="Times New Roman" w:hAnsi="Times New Roman" w:cs="Times New Roman"/>
          <w:sz w:val="28"/>
          <w:szCs w:val="28"/>
        </w:rPr>
        <w:t>,</w:t>
      </w:r>
      <w:r w:rsidRPr="00F307C7">
        <w:rPr>
          <w:rFonts w:ascii="Times New Roman" w:hAnsi="Times New Roman" w:cs="Times New Roman"/>
          <w:sz w:val="28"/>
          <w:szCs w:val="28"/>
        </w:rPr>
        <w:t xml:space="preserve"> significa un incremento leve del </w:t>
      </w:r>
      <w:r w:rsidRPr="00F307C7">
        <w:rPr>
          <w:rFonts w:ascii="Times New Roman" w:hAnsi="Times New Roman" w:cs="Times New Roman"/>
          <w:b/>
          <w:sz w:val="28"/>
          <w:szCs w:val="28"/>
        </w:rPr>
        <w:t>1%.</w:t>
      </w:r>
      <w:r w:rsidRPr="00F307C7">
        <w:rPr>
          <w:rFonts w:ascii="Times New Roman" w:hAnsi="Times New Roman" w:cs="Times New Roman"/>
          <w:sz w:val="28"/>
          <w:szCs w:val="28"/>
        </w:rPr>
        <w:t xml:space="preserve"> Como se puede apreciar del gráfico siguiente las cifras nacionales del nivel de finiquito de los últimos tres años rondan un promedio anual de </w:t>
      </w:r>
      <w:r w:rsidRPr="00F307C7">
        <w:rPr>
          <w:rFonts w:ascii="Times New Roman" w:hAnsi="Times New Roman" w:cs="Times New Roman"/>
          <w:b/>
          <w:sz w:val="28"/>
          <w:szCs w:val="28"/>
        </w:rPr>
        <w:t>609.271</w:t>
      </w:r>
      <w:r w:rsidRPr="00F307C7">
        <w:rPr>
          <w:rFonts w:ascii="Times New Roman" w:hAnsi="Times New Roman" w:cs="Times New Roman"/>
          <w:sz w:val="28"/>
          <w:szCs w:val="28"/>
        </w:rPr>
        <w:t xml:space="preserve"> asuntos</w:t>
      </w:r>
      <w:r w:rsidR="005C4C45" w:rsidRPr="00F307C7">
        <w:rPr>
          <w:rFonts w:ascii="Times New Roman" w:hAnsi="Times New Roman" w:cs="Times New Roman"/>
          <w:sz w:val="28"/>
          <w:szCs w:val="28"/>
        </w:rPr>
        <w:t>, valor ubicado por encima de lo reportado en el 2013 y 2014.</w:t>
      </w:r>
    </w:p>
    <w:p w:rsidR="002F487F" w:rsidRDefault="002F487F" w:rsidP="006B1E02">
      <w:pPr>
        <w:jc w:val="center"/>
        <w:rPr>
          <w:rFonts w:ascii="Times New Roman" w:hAnsi="Times New Roman" w:cs="Times New Roman"/>
          <w:sz w:val="28"/>
          <w:szCs w:val="28"/>
        </w:rPr>
      </w:pPr>
    </w:p>
    <w:p w:rsidR="002F487F" w:rsidRDefault="002F487F" w:rsidP="006B1E02">
      <w:pPr>
        <w:jc w:val="center"/>
        <w:rPr>
          <w:rFonts w:ascii="Times New Roman" w:hAnsi="Times New Roman" w:cs="Times New Roman"/>
          <w:sz w:val="28"/>
          <w:szCs w:val="28"/>
        </w:rPr>
      </w:pPr>
      <w:r w:rsidRPr="002F487F">
        <w:rPr>
          <w:rFonts w:ascii="Times New Roman" w:hAnsi="Times New Roman" w:cs="Times New Roman"/>
          <w:noProof/>
          <w:sz w:val="28"/>
          <w:szCs w:val="28"/>
          <w:lang w:eastAsia="es-CR"/>
        </w:rPr>
        <w:lastRenderedPageBreak/>
        <w:drawing>
          <wp:inline distT="0" distB="0" distL="0" distR="0">
            <wp:extent cx="5028656" cy="3309257"/>
            <wp:effectExtent l="19050" t="0" r="19594" b="5443"/>
            <wp:docPr id="2"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1673" w:rsidRDefault="00EE1673" w:rsidP="00203EE5">
      <w:pPr>
        <w:rPr>
          <w:rFonts w:ascii="Times New Roman" w:hAnsi="Times New Roman" w:cs="Times New Roman"/>
          <w:sz w:val="28"/>
          <w:szCs w:val="28"/>
        </w:rPr>
      </w:pPr>
    </w:p>
    <w:p w:rsidR="00380BC3" w:rsidRPr="00691893" w:rsidRDefault="00CC08D6" w:rsidP="00C21E46">
      <w:pPr>
        <w:ind w:firstLine="708"/>
        <w:jc w:val="both"/>
        <w:rPr>
          <w:rFonts w:ascii="Times New Roman" w:hAnsi="Times New Roman" w:cs="Times New Roman"/>
          <w:sz w:val="28"/>
          <w:szCs w:val="28"/>
        </w:rPr>
      </w:pPr>
      <w:r w:rsidRPr="00F307C7">
        <w:rPr>
          <w:rFonts w:ascii="Times New Roman" w:hAnsi="Times New Roman" w:cs="Times New Roman"/>
          <w:sz w:val="28"/>
          <w:szCs w:val="28"/>
        </w:rPr>
        <w:t>La</w:t>
      </w:r>
      <w:r w:rsidR="00EE1673" w:rsidRPr="00F307C7">
        <w:rPr>
          <w:rFonts w:ascii="Times New Roman" w:hAnsi="Times New Roman" w:cs="Times New Roman"/>
          <w:sz w:val="28"/>
          <w:szCs w:val="28"/>
        </w:rPr>
        <w:t xml:space="preserve"> información estadística asociada con la cantidad de causas terminadas en la primera instancia en el 201</w:t>
      </w:r>
      <w:r w:rsidRPr="00F307C7">
        <w:rPr>
          <w:rFonts w:ascii="Times New Roman" w:hAnsi="Times New Roman" w:cs="Times New Roman"/>
          <w:sz w:val="28"/>
          <w:szCs w:val="28"/>
        </w:rPr>
        <w:t>5</w:t>
      </w:r>
      <w:r w:rsidR="00EE1673" w:rsidRPr="00F307C7">
        <w:rPr>
          <w:rFonts w:ascii="Times New Roman" w:hAnsi="Times New Roman" w:cs="Times New Roman"/>
          <w:sz w:val="28"/>
          <w:szCs w:val="28"/>
        </w:rPr>
        <w:t xml:space="preserve"> y 201</w:t>
      </w:r>
      <w:r w:rsidRPr="00F307C7">
        <w:rPr>
          <w:rFonts w:ascii="Times New Roman" w:hAnsi="Times New Roman" w:cs="Times New Roman"/>
          <w:sz w:val="28"/>
          <w:szCs w:val="28"/>
        </w:rPr>
        <w:t>6</w:t>
      </w:r>
      <w:r w:rsidR="00EE1673" w:rsidRPr="00F307C7">
        <w:rPr>
          <w:rFonts w:ascii="Times New Roman" w:hAnsi="Times New Roman" w:cs="Times New Roman"/>
          <w:sz w:val="28"/>
          <w:szCs w:val="28"/>
        </w:rPr>
        <w:t xml:space="preserve"> así como las variaciones absolutas y relativas acaecidas para cada materia,</w:t>
      </w:r>
      <w:r w:rsidRPr="00F307C7">
        <w:rPr>
          <w:rFonts w:ascii="Times New Roman" w:hAnsi="Times New Roman" w:cs="Times New Roman"/>
          <w:sz w:val="28"/>
          <w:szCs w:val="28"/>
        </w:rPr>
        <w:t xml:space="preserve"> señala patrones estadísticos diferenciales. Los resultados de cada nivel de finiquito</w:t>
      </w:r>
      <w:r w:rsidR="00EE1673" w:rsidRPr="00F307C7">
        <w:rPr>
          <w:rFonts w:ascii="Times New Roman" w:hAnsi="Times New Roman" w:cs="Times New Roman"/>
          <w:sz w:val="28"/>
          <w:szCs w:val="28"/>
        </w:rPr>
        <w:t xml:space="preserve"> fueron </w:t>
      </w:r>
      <w:r w:rsidRPr="00F307C7">
        <w:rPr>
          <w:rFonts w:ascii="Times New Roman" w:hAnsi="Times New Roman" w:cs="Times New Roman"/>
          <w:sz w:val="28"/>
          <w:szCs w:val="28"/>
        </w:rPr>
        <w:t xml:space="preserve">dispuestos </w:t>
      </w:r>
      <w:r w:rsidR="00EE1673" w:rsidRPr="00F307C7">
        <w:rPr>
          <w:rFonts w:ascii="Times New Roman" w:hAnsi="Times New Roman" w:cs="Times New Roman"/>
          <w:sz w:val="28"/>
          <w:szCs w:val="28"/>
        </w:rPr>
        <w:t>de acuerdo a s</w:t>
      </w:r>
      <w:r w:rsidR="00EE1673" w:rsidRPr="00691893">
        <w:rPr>
          <w:rFonts w:ascii="Times New Roman" w:hAnsi="Times New Roman" w:cs="Times New Roman"/>
          <w:sz w:val="28"/>
          <w:szCs w:val="28"/>
        </w:rPr>
        <w:t xml:space="preserve">i </w:t>
      </w:r>
      <w:r w:rsidR="00E361FD" w:rsidRPr="00691893">
        <w:rPr>
          <w:rFonts w:ascii="Times New Roman" w:hAnsi="Times New Roman" w:cs="Times New Roman"/>
          <w:sz w:val="28"/>
          <w:szCs w:val="28"/>
        </w:rPr>
        <w:t xml:space="preserve">aconteció </w:t>
      </w:r>
      <w:r w:rsidR="00EE1673" w:rsidRPr="00691893">
        <w:rPr>
          <w:rFonts w:ascii="Times New Roman" w:hAnsi="Times New Roman" w:cs="Times New Roman"/>
          <w:sz w:val="28"/>
          <w:szCs w:val="28"/>
        </w:rPr>
        <w:t>aument</w:t>
      </w:r>
      <w:r w:rsidR="00E361FD" w:rsidRPr="00691893">
        <w:rPr>
          <w:rFonts w:ascii="Times New Roman" w:hAnsi="Times New Roman" w:cs="Times New Roman"/>
          <w:sz w:val="28"/>
          <w:szCs w:val="28"/>
        </w:rPr>
        <w:t>o</w:t>
      </w:r>
      <w:r w:rsidR="00EE1673" w:rsidRPr="00691893">
        <w:rPr>
          <w:rFonts w:ascii="Times New Roman" w:hAnsi="Times New Roman" w:cs="Times New Roman"/>
          <w:sz w:val="28"/>
          <w:szCs w:val="28"/>
        </w:rPr>
        <w:t xml:space="preserve"> o disminu</w:t>
      </w:r>
      <w:r w:rsidR="00E361FD" w:rsidRPr="00691893">
        <w:rPr>
          <w:rFonts w:ascii="Times New Roman" w:hAnsi="Times New Roman" w:cs="Times New Roman"/>
          <w:sz w:val="28"/>
          <w:szCs w:val="28"/>
        </w:rPr>
        <w:t xml:space="preserve">ción entre cifras </w:t>
      </w:r>
      <w:r w:rsidRPr="00691893">
        <w:rPr>
          <w:rFonts w:ascii="Times New Roman" w:hAnsi="Times New Roman" w:cs="Times New Roman"/>
          <w:sz w:val="28"/>
          <w:szCs w:val="28"/>
        </w:rPr>
        <w:t xml:space="preserve">anuales </w:t>
      </w:r>
      <w:r w:rsidR="00EE1673" w:rsidRPr="00691893">
        <w:rPr>
          <w:rFonts w:ascii="Times New Roman" w:hAnsi="Times New Roman" w:cs="Times New Roman"/>
          <w:sz w:val="28"/>
          <w:szCs w:val="28"/>
        </w:rPr>
        <w:t xml:space="preserve">y </w:t>
      </w:r>
      <w:r w:rsidRPr="00691893">
        <w:rPr>
          <w:rFonts w:ascii="Times New Roman" w:hAnsi="Times New Roman" w:cs="Times New Roman"/>
          <w:sz w:val="28"/>
          <w:szCs w:val="28"/>
        </w:rPr>
        <w:t xml:space="preserve">fueron ordenadas por magnitud del cambio relativo o porcentual acontecido en cada </w:t>
      </w:r>
      <w:r w:rsidR="00EE1673" w:rsidRPr="00691893">
        <w:rPr>
          <w:rFonts w:ascii="Times New Roman" w:hAnsi="Times New Roman" w:cs="Times New Roman"/>
          <w:sz w:val="28"/>
          <w:szCs w:val="28"/>
        </w:rPr>
        <w:t xml:space="preserve"> materia</w:t>
      </w:r>
      <w:r w:rsidR="00380BC3" w:rsidRPr="00691893">
        <w:rPr>
          <w:rFonts w:ascii="Times New Roman" w:hAnsi="Times New Roman" w:cs="Times New Roman"/>
          <w:sz w:val="28"/>
          <w:szCs w:val="28"/>
        </w:rPr>
        <w:t xml:space="preserve"> y se presentan en el siguiente gráfico</w:t>
      </w:r>
      <w:r w:rsidR="00EE1673" w:rsidRPr="00691893">
        <w:rPr>
          <w:rFonts w:ascii="Times New Roman" w:hAnsi="Times New Roman" w:cs="Times New Roman"/>
          <w:sz w:val="28"/>
          <w:szCs w:val="28"/>
        </w:rPr>
        <w:t>.</w:t>
      </w:r>
    </w:p>
    <w:p w:rsidR="00CC08D6" w:rsidRPr="00691893" w:rsidRDefault="00CC08D6" w:rsidP="00C21E46">
      <w:pPr>
        <w:ind w:firstLine="708"/>
        <w:jc w:val="both"/>
        <w:rPr>
          <w:rFonts w:ascii="Times New Roman" w:hAnsi="Times New Roman" w:cs="Times New Roman"/>
          <w:sz w:val="28"/>
          <w:szCs w:val="28"/>
        </w:rPr>
      </w:pPr>
      <w:r w:rsidRPr="00691893">
        <w:rPr>
          <w:rFonts w:ascii="Times New Roman" w:hAnsi="Times New Roman" w:cs="Times New Roman"/>
          <w:sz w:val="28"/>
          <w:szCs w:val="28"/>
        </w:rPr>
        <w:t>El volumen de casos termi</w:t>
      </w:r>
      <w:r w:rsidR="00A64D2F">
        <w:rPr>
          <w:rFonts w:ascii="Times New Roman" w:hAnsi="Times New Roman" w:cs="Times New Roman"/>
          <w:sz w:val="28"/>
          <w:szCs w:val="28"/>
        </w:rPr>
        <w:t>nados en materia N</w:t>
      </w:r>
      <w:r w:rsidR="00FA4589">
        <w:rPr>
          <w:rFonts w:ascii="Times New Roman" w:hAnsi="Times New Roman" w:cs="Times New Roman"/>
          <w:sz w:val="28"/>
          <w:szCs w:val="28"/>
        </w:rPr>
        <w:t>otarial fue el</w:t>
      </w:r>
      <w:r w:rsidRPr="00691893">
        <w:rPr>
          <w:rFonts w:ascii="Times New Roman" w:hAnsi="Times New Roman" w:cs="Times New Roman"/>
          <w:sz w:val="28"/>
          <w:szCs w:val="28"/>
        </w:rPr>
        <w:t xml:space="preserve"> que registra el aumento relativo más alto (</w:t>
      </w:r>
      <w:r w:rsidRPr="00691893">
        <w:rPr>
          <w:rFonts w:ascii="Times New Roman" w:hAnsi="Times New Roman" w:cs="Times New Roman"/>
          <w:b/>
          <w:sz w:val="28"/>
          <w:szCs w:val="28"/>
        </w:rPr>
        <w:t>36%</w:t>
      </w:r>
      <w:r w:rsidRPr="00691893">
        <w:rPr>
          <w:rFonts w:ascii="Times New Roman" w:hAnsi="Times New Roman" w:cs="Times New Roman"/>
          <w:sz w:val="28"/>
          <w:szCs w:val="28"/>
        </w:rPr>
        <w:t xml:space="preserve"> adicional)</w:t>
      </w:r>
      <w:r w:rsidR="00BB418D" w:rsidRPr="00691893">
        <w:rPr>
          <w:rFonts w:ascii="Times New Roman" w:hAnsi="Times New Roman" w:cs="Times New Roman"/>
          <w:sz w:val="28"/>
          <w:szCs w:val="28"/>
        </w:rPr>
        <w:t>,sin embargo,</w:t>
      </w:r>
      <w:r w:rsidRPr="00691893">
        <w:rPr>
          <w:rFonts w:ascii="Times New Roman" w:hAnsi="Times New Roman" w:cs="Times New Roman"/>
          <w:sz w:val="28"/>
          <w:szCs w:val="28"/>
        </w:rPr>
        <w:t xml:space="preserve"> su impacto absoluto es pequeño pues la base tenida es significativamente menor que la  asociada, por ejemplo, en las materias “Contencioso Administrativo” y “Pensiones Alimenticias”que le siguen en cuanto a crecimiento proporcional (</w:t>
      </w:r>
      <w:r w:rsidRPr="00691893">
        <w:rPr>
          <w:rFonts w:ascii="Times New Roman" w:hAnsi="Times New Roman" w:cs="Times New Roman"/>
          <w:b/>
          <w:sz w:val="28"/>
          <w:szCs w:val="28"/>
        </w:rPr>
        <w:t>17%</w:t>
      </w:r>
      <w:r w:rsidRPr="00691893">
        <w:rPr>
          <w:rFonts w:ascii="Times New Roman" w:hAnsi="Times New Roman" w:cs="Times New Roman"/>
          <w:sz w:val="28"/>
          <w:szCs w:val="28"/>
        </w:rPr>
        <w:t xml:space="preserve"> y </w:t>
      </w:r>
      <w:r w:rsidRPr="00691893">
        <w:rPr>
          <w:rFonts w:ascii="Times New Roman" w:hAnsi="Times New Roman" w:cs="Times New Roman"/>
          <w:b/>
          <w:sz w:val="28"/>
          <w:szCs w:val="28"/>
        </w:rPr>
        <w:t>16%</w:t>
      </w:r>
      <w:r w:rsidRPr="00691893">
        <w:rPr>
          <w:rFonts w:ascii="Times New Roman" w:hAnsi="Times New Roman" w:cs="Times New Roman"/>
          <w:sz w:val="28"/>
          <w:szCs w:val="28"/>
        </w:rPr>
        <w:t xml:space="preserve"> adicional de un año al otro, re</w:t>
      </w:r>
      <w:r w:rsidR="00A64D2F">
        <w:rPr>
          <w:rFonts w:ascii="Times New Roman" w:hAnsi="Times New Roman" w:cs="Times New Roman"/>
          <w:sz w:val="28"/>
          <w:szCs w:val="28"/>
        </w:rPr>
        <w:t>spectivamente) o la materia de T</w:t>
      </w:r>
      <w:r w:rsidRPr="00691893">
        <w:rPr>
          <w:rFonts w:ascii="Times New Roman" w:hAnsi="Times New Roman" w:cs="Times New Roman"/>
          <w:sz w:val="28"/>
          <w:szCs w:val="28"/>
        </w:rPr>
        <w:t xml:space="preserve">ránsito </w:t>
      </w:r>
      <w:r w:rsidR="00380BC3" w:rsidRPr="00691893">
        <w:rPr>
          <w:rFonts w:ascii="Times New Roman" w:hAnsi="Times New Roman" w:cs="Times New Roman"/>
          <w:sz w:val="28"/>
          <w:szCs w:val="28"/>
        </w:rPr>
        <w:t xml:space="preserve">en donde la cantidad de casos terminados aumento en un </w:t>
      </w:r>
      <w:r w:rsidR="00380BC3" w:rsidRPr="00691893">
        <w:rPr>
          <w:rFonts w:ascii="Times New Roman" w:hAnsi="Times New Roman" w:cs="Times New Roman"/>
          <w:b/>
          <w:sz w:val="28"/>
          <w:szCs w:val="28"/>
        </w:rPr>
        <w:t>11%</w:t>
      </w:r>
      <w:r w:rsidR="00380BC3" w:rsidRPr="00691893">
        <w:rPr>
          <w:rFonts w:ascii="Times New Roman" w:hAnsi="Times New Roman" w:cs="Times New Roman"/>
          <w:sz w:val="28"/>
          <w:szCs w:val="28"/>
        </w:rPr>
        <w:t xml:space="preserve"> pero  es 80 veces más alta</w:t>
      </w:r>
      <w:r w:rsidRPr="00691893">
        <w:rPr>
          <w:rFonts w:ascii="Times New Roman" w:hAnsi="Times New Roman" w:cs="Times New Roman"/>
          <w:sz w:val="28"/>
          <w:szCs w:val="28"/>
        </w:rPr>
        <w:t>.</w:t>
      </w:r>
    </w:p>
    <w:p w:rsidR="00380BC3" w:rsidRDefault="00380BC3" w:rsidP="00C21E46">
      <w:pPr>
        <w:ind w:firstLine="708"/>
        <w:jc w:val="both"/>
        <w:rPr>
          <w:rFonts w:ascii="Times New Roman" w:hAnsi="Times New Roman" w:cs="Times New Roman"/>
          <w:sz w:val="28"/>
          <w:szCs w:val="28"/>
        </w:rPr>
      </w:pPr>
      <w:r w:rsidRPr="00691893">
        <w:rPr>
          <w:rFonts w:ascii="Times New Roman" w:hAnsi="Times New Roman" w:cs="Times New Roman"/>
          <w:sz w:val="28"/>
          <w:szCs w:val="28"/>
        </w:rPr>
        <w:t>Por otro lado, en términos proporcionales la materia que más disminuy</w:t>
      </w:r>
      <w:r w:rsidR="00462108">
        <w:rPr>
          <w:rFonts w:ascii="Times New Roman" w:hAnsi="Times New Roman" w:cs="Times New Roman"/>
          <w:sz w:val="28"/>
          <w:szCs w:val="28"/>
        </w:rPr>
        <w:t>ó</w:t>
      </w:r>
      <w:r w:rsidR="00A64D2F">
        <w:rPr>
          <w:rFonts w:ascii="Times New Roman" w:hAnsi="Times New Roman" w:cs="Times New Roman"/>
          <w:sz w:val="28"/>
          <w:szCs w:val="28"/>
        </w:rPr>
        <w:t xml:space="preserve"> fue la materia A</w:t>
      </w:r>
      <w:r w:rsidRPr="00691893">
        <w:rPr>
          <w:rFonts w:ascii="Times New Roman" w:hAnsi="Times New Roman" w:cs="Times New Roman"/>
          <w:sz w:val="28"/>
          <w:szCs w:val="28"/>
        </w:rPr>
        <w:t xml:space="preserve">graria que pasó de </w:t>
      </w:r>
      <w:r w:rsidRPr="00691893">
        <w:rPr>
          <w:rFonts w:ascii="Times New Roman" w:hAnsi="Times New Roman" w:cs="Times New Roman"/>
          <w:b/>
          <w:sz w:val="28"/>
          <w:szCs w:val="28"/>
        </w:rPr>
        <w:t>3.835</w:t>
      </w:r>
      <w:r w:rsidRPr="00691893">
        <w:rPr>
          <w:rFonts w:ascii="Times New Roman" w:hAnsi="Times New Roman" w:cs="Times New Roman"/>
          <w:sz w:val="28"/>
          <w:szCs w:val="28"/>
        </w:rPr>
        <w:t xml:space="preserve"> asuntos terminados en el 2015 a </w:t>
      </w:r>
      <w:r w:rsidRPr="00691893">
        <w:rPr>
          <w:rFonts w:ascii="Times New Roman" w:hAnsi="Times New Roman" w:cs="Times New Roman"/>
          <w:b/>
          <w:sz w:val="28"/>
          <w:szCs w:val="28"/>
        </w:rPr>
        <w:lastRenderedPageBreak/>
        <w:t>3.237</w:t>
      </w:r>
      <w:r w:rsidRPr="00691893">
        <w:rPr>
          <w:rFonts w:ascii="Times New Roman" w:hAnsi="Times New Roman" w:cs="Times New Roman"/>
          <w:sz w:val="28"/>
          <w:szCs w:val="28"/>
        </w:rPr>
        <w:t xml:space="preserve"> en el este año; </w:t>
      </w:r>
      <w:r w:rsidRPr="00691893">
        <w:rPr>
          <w:rFonts w:ascii="Times New Roman" w:hAnsi="Times New Roman" w:cs="Times New Roman"/>
          <w:b/>
          <w:sz w:val="28"/>
          <w:szCs w:val="28"/>
        </w:rPr>
        <w:t>598</w:t>
      </w:r>
      <w:r w:rsidRPr="00691893">
        <w:rPr>
          <w:rFonts w:ascii="Times New Roman" w:hAnsi="Times New Roman" w:cs="Times New Roman"/>
          <w:sz w:val="28"/>
          <w:szCs w:val="28"/>
        </w:rPr>
        <w:t xml:space="preserve"> finiquitos menos que significan un baja porcentual del </w:t>
      </w:r>
      <w:r w:rsidRPr="00691893">
        <w:rPr>
          <w:rFonts w:ascii="Times New Roman" w:hAnsi="Times New Roman" w:cs="Times New Roman"/>
          <w:b/>
          <w:sz w:val="28"/>
          <w:szCs w:val="28"/>
        </w:rPr>
        <w:t>16%</w:t>
      </w:r>
      <w:r w:rsidRPr="00691893">
        <w:rPr>
          <w:rFonts w:ascii="Times New Roman" w:hAnsi="Times New Roman" w:cs="Times New Roman"/>
          <w:sz w:val="28"/>
          <w:szCs w:val="28"/>
        </w:rPr>
        <w:t>. Pero la contribución al cambio general de esta materia es relativamente pequeño</w:t>
      </w:r>
      <w:r w:rsidR="00080DB9" w:rsidRPr="00691893">
        <w:rPr>
          <w:rFonts w:ascii="Times New Roman" w:hAnsi="Times New Roman" w:cs="Times New Roman"/>
          <w:sz w:val="28"/>
          <w:szCs w:val="28"/>
        </w:rPr>
        <w:t xml:space="preserve">respecto a </w:t>
      </w:r>
      <w:r w:rsidR="00A64D2F">
        <w:rPr>
          <w:rFonts w:ascii="Times New Roman" w:hAnsi="Times New Roman" w:cs="Times New Roman"/>
          <w:sz w:val="28"/>
          <w:szCs w:val="28"/>
        </w:rPr>
        <w:t>lo P</w:t>
      </w:r>
      <w:r w:rsidRPr="00691893">
        <w:rPr>
          <w:rFonts w:ascii="Times New Roman" w:hAnsi="Times New Roman" w:cs="Times New Roman"/>
          <w:sz w:val="28"/>
          <w:szCs w:val="28"/>
        </w:rPr>
        <w:t xml:space="preserve">enal (segunda en reducción del volumen de casos terminados) donde </w:t>
      </w:r>
      <w:r w:rsidR="00080DB9" w:rsidRPr="00691893">
        <w:rPr>
          <w:rFonts w:ascii="Times New Roman" w:hAnsi="Times New Roman" w:cs="Times New Roman"/>
          <w:sz w:val="28"/>
          <w:szCs w:val="28"/>
        </w:rPr>
        <w:t>l</w:t>
      </w:r>
      <w:r w:rsidRPr="00691893">
        <w:rPr>
          <w:rFonts w:ascii="Times New Roman" w:hAnsi="Times New Roman" w:cs="Times New Roman"/>
          <w:sz w:val="28"/>
          <w:szCs w:val="28"/>
        </w:rPr>
        <w:t xml:space="preserve">a cifra del 2016 </w:t>
      </w:r>
      <w:r w:rsidR="00080DB9" w:rsidRPr="00691893">
        <w:rPr>
          <w:rFonts w:ascii="Times New Roman" w:hAnsi="Times New Roman" w:cs="Times New Roman"/>
          <w:sz w:val="28"/>
          <w:szCs w:val="28"/>
        </w:rPr>
        <w:t xml:space="preserve">es menor, </w:t>
      </w:r>
      <w:r w:rsidRPr="00691893">
        <w:rPr>
          <w:rFonts w:ascii="Times New Roman" w:hAnsi="Times New Roman" w:cs="Times New Roman"/>
          <w:sz w:val="28"/>
          <w:szCs w:val="28"/>
        </w:rPr>
        <w:t xml:space="preserve">en un </w:t>
      </w:r>
      <w:r w:rsidRPr="00691893">
        <w:rPr>
          <w:rFonts w:ascii="Times New Roman" w:hAnsi="Times New Roman" w:cs="Times New Roman"/>
          <w:b/>
          <w:sz w:val="28"/>
          <w:szCs w:val="28"/>
        </w:rPr>
        <w:t>6%</w:t>
      </w:r>
      <w:r w:rsidR="00080DB9" w:rsidRPr="00691893">
        <w:rPr>
          <w:rFonts w:ascii="Times New Roman" w:hAnsi="Times New Roman" w:cs="Times New Roman"/>
          <w:b/>
          <w:sz w:val="28"/>
          <w:szCs w:val="28"/>
        </w:rPr>
        <w:t>,</w:t>
      </w:r>
      <w:r w:rsidR="00080DB9" w:rsidRPr="00691893">
        <w:rPr>
          <w:rFonts w:ascii="Times New Roman" w:hAnsi="Times New Roman" w:cs="Times New Roman"/>
          <w:sz w:val="28"/>
          <w:szCs w:val="28"/>
        </w:rPr>
        <w:t xml:space="preserve"> respecto a lo reportado en el 2015</w:t>
      </w:r>
      <w:r w:rsidR="00A64D2F">
        <w:rPr>
          <w:rFonts w:ascii="Times New Roman" w:hAnsi="Times New Roman" w:cs="Times New Roman"/>
          <w:sz w:val="28"/>
          <w:szCs w:val="28"/>
        </w:rPr>
        <w:t>. Esto debido a que la materia A</w:t>
      </w:r>
      <w:r w:rsidR="00080DB9" w:rsidRPr="00691893">
        <w:rPr>
          <w:rFonts w:ascii="Times New Roman" w:hAnsi="Times New Roman" w:cs="Times New Roman"/>
          <w:sz w:val="28"/>
          <w:szCs w:val="28"/>
        </w:rPr>
        <w:t>graria tienen una bas</w:t>
      </w:r>
      <w:r w:rsidR="00A64D2F">
        <w:rPr>
          <w:rFonts w:ascii="Times New Roman" w:hAnsi="Times New Roman" w:cs="Times New Roman"/>
          <w:sz w:val="28"/>
          <w:szCs w:val="28"/>
        </w:rPr>
        <w:t>e considerablemente menor a la P</w:t>
      </w:r>
      <w:r w:rsidR="00080DB9" w:rsidRPr="00691893">
        <w:rPr>
          <w:rFonts w:ascii="Times New Roman" w:hAnsi="Times New Roman" w:cs="Times New Roman"/>
          <w:sz w:val="28"/>
          <w:szCs w:val="28"/>
        </w:rPr>
        <w:t>enal que es en promedio 50 veces mayor.</w:t>
      </w:r>
    </w:p>
    <w:p w:rsidR="00137FBD" w:rsidRDefault="00137FBD" w:rsidP="005968B0">
      <w:pPr>
        <w:jc w:val="both"/>
        <w:rPr>
          <w:rFonts w:ascii="Times New Roman" w:hAnsi="Times New Roman" w:cs="Times New Roman"/>
          <w:sz w:val="28"/>
          <w:szCs w:val="28"/>
        </w:rPr>
      </w:pPr>
    </w:p>
    <w:tbl>
      <w:tblPr>
        <w:tblW w:w="7060" w:type="dxa"/>
        <w:jc w:val="center"/>
        <w:tblCellMar>
          <w:left w:w="70" w:type="dxa"/>
          <w:right w:w="70" w:type="dxa"/>
        </w:tblCellMar>
        <w:tblLook w:val="04A0"/>
      </w:tblPr>
      <w:tblGrid>
        <w:gridCol w:w="2884"/>
        <w:gridCol w:w="1038"/>
        <w:gridCol w:w="1038"/>
        <w:gridCol w:w="1061"/>
        <w:gridCol w:w="1039"/>
      </w:tblGrid>
      <w:tr w:rsidR="00137FBD" w:rsidRPr="00137FBD" w:rsidTr="00137FBD">
        <w:trPr>
          <w:trHeight w:val="610"/>
          <w:jc w:val="center"/>
        </w:trPr>
        <w:tc>
          <w:tcPr>
            <w:tcW w:w="7060" w:type="dxa"/>
            <w:gridSpan w:val="5"/>
            <w:tcBorders>
              <w:top w:val="single" w:sz="8" w:space="0" w:color="auto"/>
              <w:left w:val="single" w:sz="8" w:space="0" w:color="auto"/>
              <w:bottom w:val="single" w:sz="8" w:space="0" w:color="auto"/>
              <w:right w:val="single" w:sz="8" w:space="0" w:color="000000"/>
            </w:tcBorders>
            <w:shd w:val="clear" w:color="000000" w:fill="FFCC99"/>
            <w:vAlign w:val="center"/>
            <w:hideMark/>
          </w:tcPr>
          <w:p w:rsidR="00137FBD" w:rsidRPr="00137FBD" w:rsidRDefault="00137FBD" w:rsidP="00137FBD">
            <w:pPr>
              <w:spacing w:after="0" w:line="240" w:lineRule="auto"/>
              <w:jc w:val="center"/>
              <w:rPr>
                <w:rFonts w:ascii="Times New Roman" w:eastAsia="Times New Roman" w:hAnsi="Times New Roman" w:cs="Times New Roman"/>
                <w:b/>
                <w:bCs/>
                <w:color w:val="000000"/>
                <w:sz w:val="24"/>
                <w:szCs w:val="24"/>
                <w:lang w:eastAsia="es-CR"/>
              </w:rPr>
            </w:pPr>
            <w:r w:rsidRPr="00137FBD">
              <w:rPr>
                <w:rFonts w:ascii="Times New Roman" w:eastAsia="Times New Roman" w:hAnsi="Times New Roman" w:cs="Times New Roman"/>
                <w:b/>
                <w:bCs/>
                <w:color w:val="000000"/>
                <w:sz w:val="24"/>
                <w:szCs w:val="24"/>
                <w:lang w:eastAsia="es-CR"/>
              </w:rPr>
              <w:t xml:space="preserve">Variación de los casos </w:t>
            </w:r>
            <w:r w:rsidRPr="00137FBD">
              <w:rPr>
                <w:rFonts w:ascii="Times New Roman" w:eastAsia="Times New Roman" w:hAnsi="Times New Roman" w:cs="Times New Roman"/>
                <w:b/>
                <w:bCs/>
                <w:color w:val="000000"/>
                <w:sz w:val="24"/>
                <w:szCs w:val="24"/>
                <w:u w:val="single"/>
                <w:lang w:eastAsia="es-CR"/>
              </w:rPr>
              <w:t>terminados</w:t>
            </w:r>
            <w:r w:rsidRPr="00137FBD">
              <w:rPr>
                <w:rFonts w:ascii="Times New Roman" w:eastAsia="Times New Roman" w:hAnsi="Times New Roman" w:cs="Times New Roman"/>
                <w:b/>
                <w:bCs/>
                <w:color w:val="000000"/>
                <w:sz w:val="24"/>
                <w:szCs w:val="24"/>
                <w:lang w:eastAsia="es-CR"/>
              </w:rPr>
              <w:t xml:space="preserve"> en últimos dos años</w:t>
            </w:r>
          </w:p>
        </w:tc>
      </w:tr>
      <w:tr w:rsidR="00137FBD" w:rsidRPr="00137FBD" w:rsidTr="00137FBD">
        <w:trPr>
          <w:trHeight w:val="300"/>
          <w:jc w:val="center"/>
        </w:trPr>
        <w:tc>
          <w:tcPr>
            <w:tcW w:w="2900" w:type="dxa"/>
            <w:vMerge w:val="restart"/>
            <w:tcBorders>
              <w:top w:val="nil"/>
              <w:left w:val="nil"/>
              <w:bottom w:val="nil"/>
              <w:right w:val="nil"/>
            </w:tcBorders>
            <w:shd w:val="clear" w:color="auto" w:fill="auto"/>
            <w:vAlign w:val="center"/>
            <w:hideMark/>
          </w:tcPr>
          <w:p w:rsidR="00137FBD" w:rsidRPr="00137FBD" w:rsidRDefault="00137FBD" w:rsidP="00137FBD">
            <w:pPr>
              <w:spacing w:after="0" w:line="240" w:lineRule="auto"/>
              <w:jc w:val="center"/>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Materia</w:t>
            </w:r>
          </w:p>
        </w:tc>
        <w:tc>
          <w:tcPr>
            <w:tcW w:w="2080" w:type="dxa"/>
            <w:gridSpan w:val="2"/>
            <w:tcBorders>
              <w:top w:val="single" w:sz="8" w:space="0" w:color="auto"/>
              <w:left w:val="nil"/>
              <w:bottom w:val="nil"/>
              <w:right w:val="nil"/>
            </w:tcBorders>
            <w:shd w:val="clear" w:color="auto" w:fill="auto"/>
            <w:vAlign w:val="center"/>
            <w:hideMark/>
          </w:tcPr>
          <w:p w:rsidR="00137FBD" w:rsidRPr="00137FBD" w:rsidRDefault="00137FBD" w:rsidP="00137FBD">
            <w:pPr>
              <w:spacing w:after="0" w:line="240" w:lineRule="auto"/>
              <w:jc w:val="center"/>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Año</w:t>
            </w:r>
          </w:p>
        </w:tc>
        <w:tc>
          <w:tcPr>
            <w:tcW w:w="2080" w:type="dxa"/>
            <w:gridSpan w:val="2"/>
            <w:tcBorders>
              <w:top w:val="single" w:sz="8" w:space="0" w:color="auto"/>
              <w:left w:val="nil"/>
              <w:bottom w:val="nil"/>
              <w:right w:val="nil"/>
            </w:tcBorders>
            <w:shd w:val="clear" w:color="auto" w:fill="auto"/>
            <w:vAlign w:val="center"/>
            <w:hideMark/>
          </w:tcPr>
          <w:p w:rsidR="00137FBD" w:rsidRPr="00137FBD" w:rsidRDefault="00137FBD" w:rsidP="00137FBD">
            <w:pPr>
              <w:spacing w:after="0" w:line="240" w:lineRule="auto"/>
              <w:jc w:val="center"/>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Variación</w:t>
            </w:r>
          </w:p>
        </w:tc>
      </w:tr>
      <w:tr w:rsidR="00137FBD" w:rsidRPr="00137FBD" w:rsidTr="00137FBD">
        <w:trPr>
          <w:trHeight w:val="300"/>
          <w:jc w:val="center"/>
        </w:trPr>
        <w:tc>
          <w:tcPr>
            <w:tcW w:w="2900" w:type="dxa"/>
            <w:vMerge/>
            <w:tcBorders>
              <w:top w:val="nil"/>
              <w:left w:val="nil"/>
              <w:bottom w:val="nil"/>
              <w:right w:val="nil"/>
            </w:tcBorders>
            <w:vAlign w:val="center"/>
            <w:hideMark/>
          </w:tcPr>
          <w:p w:rsidR="00137FBD" w:rsidRPr="00137FBD" w:rsidRDefault="00137FBD" w:rsidP="00137FBD">
            <w:pPr>
              <w:spacing w:after="0" w:line="240" w:lineRule="auto"/>
              <w:rPr>
                <w:rFonts w:ascii="Times New Roman" w:eastAsia="Times New Roman" w:hAnsi="Times New Roman" w:cs="Times New Roman"/>
                <w:b/>
                <w:bCs/>
                <w:sz w:val="24"/>
                <w:szCs w:val="24"/>
                <w:u w:val="single"/>
                <w:lang w:eastAsia="es-CR"/>
              </w:rPr>
            </w:pP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center"/>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2015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center"/>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2016</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center"/>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Absoluta</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center"/>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Relativa</w:t>
            </w:r>
          </w:p>
        </w:tc>
      </w:tr>
      <w:tr w:rsidR="00137FBD" w:rsidRPr="00137FBD" w:rsidTr="00137FBD">
        <w:trPr>
          <w:trHeight w:val="60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TOTAL</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605.022</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612.363</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7.341</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b/>
                <w:bCs/>
                <w:sz w:val="24"/>
                <w:szCs w:val="24"/>
                <w:u w:val="single"/>
                <w:lang w:eastAsia="es-CR"/>
              </w:rPr>
            </w:pPr>
            <w:r w:rsidRPr="00137FBD">
              <w:rPr>
                <w:rFonts w:ascii="Times New Roman" w:eastAsia="Times New Roman" w:hAnsi="Times New Roman" w:cs="Times New Roman"/>
                <w:b/>
                <w:bCs/>
                <w:sz w:val="24"/>
                <w:szCs w:val="24"/>
                <w:u w:val="single"/>
                <w:lang w:eastAsia="es-CR"/>
              </w:rPr>
              <w:t>1%</w:t>
            </w:r>
          </w:p>
        </w:tc>
      </w:tr>
      <w:tr w:rsidR="00137FBD" w:rsidRPr="00137FBD" w:rsidTr="00137FBD">
        <w:trPr>
          <w:trHeight w:val="300"/>
          <w:jc w:val="center"/>
        </w:trPr>
        <w:tc>
          <w:tcPr>
            <w:tcW w:w="7060" w:type="dxa"/>
            <w:gridSpan w:val="5"/>
            <w:tcBorders>
              <w:top w:val="nil"/>
              <w:left w:val="nil"/>
              <w:bottom w:val="nil"/>
              <w:right w:val="nil"/>
            </w:tcBorders>
            <w:shd w:val="clear" w:color="000000" w:fill="CCFFCC"/>
            <w:vAlign w:val="center"/>
            <w:hideMark/>
          </w:tcPr>
          <w:p w:rsidR="00137FBD" w:rsidRPr="00137FBD" w:rsidRDefault="00137FBD" w:rsidP="00137FBD">
            <w:pPr>
              <w:spacing w:after="0" w:line="240" w:lineRule="auto"/>
              <w:jc w:val="center"/>
              <w:rPr>
                <w:rFonts w:ascii="Times New Roman" w:eastAsia="Times New Roman" w:hAnsi="Times New Roman" w:cs="Times New Roman"/>
                <w:b/>
                <w:bCs/>
                <w:color w:val="000000"/>
                <w:sz w:val="24"/>
                <w:szCs w:val="24"/>
                <w:lang w:eastAsia="es-CR"/>
              </w:rPr>
            </w:pPr>
            <w:r w:rsidRPr="00137FBD">
              <w:rPr>
                <w:rFonts w:ascii="Times New Roman" w:eastAsia="Times New Roman" w:hAnsi="Times New Roman" w:cs="Times New Roman"/>
                <w:b/>
                <w:bCs/>
                <w:color w:val="000000"/>
                <w:sz w:val="24"/>
                <w:szCs w:val="24"/>
                <w:lang w:eastAsia="es-CR"/>
              </w:rPr>
              <w:t>Aumentos</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Notarial</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962</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w:t>
            </w:r>
            <w:r w:rsidR="001F2E79">
              <w:rPr>
                <w:rFonts w:ascii="Times New Roman" w:eastAsia="Times New Roman" w:hAnsi="Times New Roman" w:cs="Times New Roman"/>
                <w:sz w:val="24"/>
                <w:szCs w:val="24"/>
                <w:lang w:eastAsia="es-CR"/>
              </w:rPr>
              <w:t>.</w:t>
            </w:r>
            <w:r w:rsidRPr="00137FBD">
              <w:rPr>
                <w:rFonts w:ascii="Times New Roman" w:eastAsia="Times New Roman" w:hAnsi="Times New Roman" w:cs="Times New Roman"/>
                <w:sz w:val="24"/>
                <w:szCs w:val="24"/>
                <w:lang w:eastAsia="es-CR"/>
              </w:rPr>
              <w:t>308</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346</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36%</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Contenciosa Administrativa</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15.113</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17.662</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2.549</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17%</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Pensiones Alimentarias</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29.025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33.752</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4.727</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16%</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Tránsito</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75.235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83.428</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8.193</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11%</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Familia</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28.547</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29.705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1.158</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Violencia Doméstica</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62.125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64.509</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2.384</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Trabajo</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40.935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41.676</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741</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w:t>
            </w:r>
          </w:p>
        </w:tc>
      </w:tr>
      <w:tr w:rsidR="00137FBD" w:rsidRPr="00137FBD" w:rsidTr="00137FBD">
        <w:trPr>
          <w:trHeight w:val="300"/>
          <w:jc w:val="center"/>
        </w:trPr>
        <w:tc>
          <w:tcPr>
            <w:tcW w:w="7060" w:type="dxa"/>
            <w:gridSpan w:val="5"/>
            <w:tcBorders>
              <w:top w:val="nil"/>
              <w:left w:val="nil"/>
              <w:bottom w:val="nil"/>
              <w:right w:val="nil"/>
            </w:tcBorders>
            <w:shd w:val="clear" w:color="000000" w:fill="CCFFCC"/>
            <w:vAlign w:val="center"/>
            <w:hideMark/>
          </w:tcPr>
          <w:p w:rsidR="00137FBD" w:rsidRPr="00137FBD" w:rsidRDefault="00137FBD" w:rsidP="00137FBD">
            <w:pPr>
              <w:spacing w:after="0" w:line="240" w:lineRule="auto"/>
              <w:jc w:val="center"/>
              <w:rPr>
                <w:rFonts w:ascii="Times New Roman" w:eastAsia="Times New Roman" w:hAnsi="Times New Roman" w:cs="Times New Roman"/>
                <w:b/>
                <w:bCs/>
                <w:color w:val="000000"/>
                <w:sz w:val="24"/>
                <w:szCs w:val="24"/>
                <w:lang w:eastAsia="es-CR"/>
              </w:rPr>
            </w:pPr>
            <w:r w:rsidRPr="00137FBD">
              <w:rPr>
                <w:rFonts w:ascii="Times New Roman" w:eastAsia="Times New Roman" w:hAnsi="Times New Roman" w:cs="Times New Roman"/>
                <w:b/>
                <w:bCs/>
                <w:color w:val="000000"/>
                <w:sz w:val="24"/>
                <w:szCs w:val="24"/>
                <w:lang w:eastAsia="es-CR"/>
              </w:rPr>
              <w:t>Disminuciones</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Agraria</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3.835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3.237</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-598</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-16%</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Penal</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180.453</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170.437</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-10.016</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-6%</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Constitucional</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18.541</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17.790</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-751</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Penal Juvenil</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12.160</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11.881</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-279</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Civil Ordinarios</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19.355</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18.998</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-357</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-2%</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Contravencional</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44.413</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44.001</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-412</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-1%</w:t>
            </w:r>
          </w:p>
        </w:tc>
      </w:tr>
      <w:tr w:rsidR="00137FBD" w:rsidRPr="00137FBD" w:rsidTr="00137FBD">
        <w:trPr>
          <w:trHeight w:val="310"/>
          <w:jc w:val="center"/>
        </w:trPr>
        <w:tc>
          <w:tcPr>
            <w:tcW w:w="290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Cobro Judicial</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74.323</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73.979</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-344</w:t>
            </w:r>
          </w:p>
        </w:tc>
        <w:tc>
          <w:tcPr>
            <w:tcW w:w="1040" w:type="dxa"/>
            <w:tcBorders>
              <w:top w:val="nil"/>
              <w:left w:val="nil"/>
              <w:bottom w:val="nil"/>
              <w:right w:val="nil"/>
            </w:tcBorders>
            <w:shd w:val="clear" w:color="auto" w:fill="auto"/>
            <w:vAlign w:val="center"/>
            <w:hideMark/>
          </w:tcPr>
          <w:p w:rsidR="00137FBD" w:rsidRPr="00137FBD" w:rsidRDefault="00137FBD" w:rsidP="00137FBD">
            <w:pPr>
              <w:spacing w:after="0" w:line="240" w:lineRule="auto"/>
              <w:jc w:val="right"/>
              <w:rPr>
                <w:rFonts w:ascii="Times New Roman" w:eastAsia="Times New Roman" w:hAnsi="Times New Roman" w:cs="Times New Roman"/>
                <w:sz w:val="24"/>
                <w:szCs w:val="24"/>
                <w:lang w:eastAsia="es-CR"/>
              </w:rPr>
            </w:pPr>
            <w:r w:rsidRPr="00137FBD">
              <w:rPr>
                <w:rFonts w:ascii="Times New Roman" w:eastAsia="Times New Roman" w:hAnsi="Times New Roman" w:cs="Times New Roman"/>
                <w:sz w:val="24"/>
                <w:szCs w:val="24"/>
                <w:lang w:eastAsia="es-CR"/>
              </w:rPr>
              <w:t>0%</w:t>
            </w:r>
          </w:p>
        </w:tc>
      </w:tr>
    </w:tbl>
    <w:p w:rsidR="00137FBD" w:rsidRDefault="00137FBD" w:rsidP="0049128C">
      <w:pPr>
        <w:jc w:val="both"/>
        <w:rPr>
          <w:rFonts w:ascii="Times New Roman" w:eastAsia="Times New Roman" w:hAnsi="Times New Roman" w:cs="Times New Roman"/>
          <w:b/>
          <w:bCs/>
          <w:color w:val="000000"/>
          <w:sz w:val="24"/>
          <w:szCs w:val="24"/>
          <w:lang w:eastAsia="es-CR"/>
        </w:rPr>
      </w:pPr>
    </w:p>
    <w:p w:rsidR="00BF3ADC" w:rsidRDefault="00BB418D" w:rsidP="00C21E46">
      <w:pPr>
        <w:ind w:firstLine="708"/>
        <w:jc w:val="both"/>
        <w:rPr>
          <w:rFonts w:ascii="Times New Roman" w:hAnsi="Times New Roman" w:cs="Times New Roman"/>
          <w:sz w:val="28"/>
          <w:szCs w:val="28"/>
        </w:rPr>
      </w:pPr>
      <w:r w:rsidRPr="004F3FB6">
        <w:rPr>
          <w:rFonts w:ascii="Times New Roman" w:hAnsi="Times New Roman" w:cs="Times New Roman"/>
          <w:sz w:val="28"/>
          <w:szCs w:val="28"/>
        </w:rPr>
        <w:t>No obstante</w:t>
      </w:r>
      <w:r w:rsidR="004B241E" w:rsidRPr="004F3FB6">
        <w:rPr>
          <w:rFonts w:ascii="Times New Roman" w:hAnsi="Times New Roman" w:cs="Times New Roman"/>
          <w:sz w:val="28"/>
          <w:szCs w:val="28"/>
        </w:rPr>
        <w:t xml:space="preserve">, las variaciones antes mencionadasprovocan </w:t>
      </w:r>
      <w:r w:rsidRPr="004F3FB6">
        <w:rPr>
          <w:rFonts w:ascii="Times New Roman" w:hAnsi="Times New Roman" w:cs="Times New Roman"/>
          <w:sz w:val="28"/>
          <w:szCs w:val="28"/>
        </w:rPr>
        <w:t>impacto</w:t>
      </w:r>
      <w:r w:rsidR="004B241E" w:rsidRPr="004F3FB6">
        <w:rPr>
          <w:rFonts w:ascii="Times New Roman" w:hAnsi="Times New Roman" w:cs="Times New Roman"/>
          <w:sz w:val="28"/>
          <w:szCs w:val="28"/>
        </w:rPr>
        <w:t>s</w:t>
      </w:r>
      <w:r w:rsidRPr="004F3FB6">
        <w:rPr>
          <w:rFonts w:ascii="Times New Roman" w:hAnsi="Times New Roman" w:cs="Times New Roman"/>
          <w:sz w:val="28"/>
          <w:szCs w:val="28"/>
        </w:rPr>
        <w:t xml:space="preserve"> pequeño</w:t>
      </w:r>
      <w:r w:rsidR="004B241E" w:rsidRPr="004F3FB6">
        <w:rPr>
          <w:rFonts w:ascii="Times New Roman" w:hAnsi="Times New Roman" w:cs="Times New Roman"/>
          <w:sz w:val="28"/>
          <w:szCs w:val="28"/>
        </w:rPr>
        <w:t>s</w:t>
      </w:r>
      <w:r w:rsidRPr="004F3FB6">
        <w:rPr>
          <w:rFonts w:ascii="Times New Roman" w:hAnsi="Times New Roman" w:cs="Times New Roman"/>
          <w:sz w:val="28"/>
          <w:szCs w:val="28"/>
        </w:rPr>
        <w:t xml:space="preserve"> en la distribución de </w:t>
      </w:r>
      <w:r w:rsidR="004B241E" w:rsidRPr="004F3FB6">
        <w:rPr>
          <w:rFonts w:ascii="Times New Roman" w:hAnsi="Times New Roman" w:cs="Times New Roman"/>
          <w:sz w:val="28"/>
          <w:szCs w:val="28"/>
        </w:rPr>
        <w:t>lo terminado por materia.L</w:t>
      </w:r>
      <w:r w:rsidR="00A97559" w:rsidRPr="004F3FB6">
        <w:rPr>
          <w:rFonts w:ascii="Times New Roman" w:hAnsi="Times New Roman" w:cs="Times New Roman"/>
          <w:sz w:val="28"/>
          <w:szCs w:val="28"/>
        </w:rPr>
        <w:t xml:space="preserve">a baja acaecida en materia Penal </w:t>
      </w:r>
      <w:r w:rsidR="004B241E" w:rsidRPr="004F3FB6">
        <w:rPr>
          <w:rFonts w:ascii="Times New Roman" w:hAnsi="Times New Roman" w:cs="Times New Roman"/>
          <w:sz w:val="28"/>
          <w:szCs w:val="28"/>
        </w:rPr>
        <w:t>y el aumento en materia de tránsito, (dos de las materia con mayor volumen de finiquito) provocaron que</w:t>
      </w:r>
      <w:r w:rsidR="00413339" w:rsidRPr="004F3FB6">
        <w:rPr>
          <w:rFonts w:ascii="Times New Roman" w:hAnsi="Times New Roman" w:cs="Times New Roman"/>
          <w:sz w:val="28"/>
          <w:szCs w:val="28"/>
        </w:rPr>
        <w:t xml:space="preserve"> la primera pasara </w:t>
      </w:r>
      <w:r w:rsidR="004F3FB6" w:rsidRPr="004F3FB6">
        <w:rPr>
          <w:rFonts w:ascii="Times New Roman" w:hAnsi="Times New Roman" w:cs="Times New Roman"/>
          <w:sz w:val="28"/>
          <w:szCs w:val="28"/>
        </w:rPr>
        <w:t>a un</w:t>
      </w:r>
      <w:r w:rsidR="00413339" w:rsidRPr="004F3FB6">
        <w:rPr>
          <w:rFonts w:ascii="Times New Roman" w:hAnsi="Times New Roman" w:cs="Times New Roman"/>
          <w:sz w:val="28"/>
          <w:szCs w:val="28"/>
        </w:rPr>
        <w:t xml:space="preserve"> peso re</w:t>
      </w:r>
      <w:r w:rsidR="004B241E" w:rsidRPr="004F3FB6">
        <w:rPr>
          <w:rFonts w:ascii="Times New Roman" w:hAnsi="Times New Roman" w:cs="Times New Roman"/>
          <w:sz w:val="28"/>
          <w:szCs w:val="28"/>
        </w:rPr>
        <w:t xml:space="preserve">lativo del </w:t>
      </w:r>
      <w:r w:rsidR="004B241E" w:rsidRPr="004F3FB6">
        <w:rPr>
          <w:rFonts w:ascii="Times New Roman" w:hAnsi="Times New Roman" w:cs="Times New Roman"/>
          <w:b/>
          <w:sz w:val="28"/>
          <w:szCs w:val="28"/>
        </w:rPr>
        <w:t>30%</w:t>
      </w:r>
      <w:r w:rsidR="004B241E" w:rsidRPr="004F3FB6">
        <w:rPr>
          <w:rFonts w:ascii="Times New Roman" w:hAnsi="Times New Roman" w:cs="Times New Roman"/>
          <w:sz w:val="28"/>
          <w:szCs w:val="28"/>
        </w:rPr>
        <w:t xml:space="preserve"> en el 2015 a un </w:t>
      </w:r>
      <w:r w:rsidR="004B241E" w:rsidRPr="004F3FB6">
        <w:rPr>
          <w:rFonts w:ascii="Times New Roman" w:hAnsi="Times New Roman" w:cs="Times New Roman"/>
          <w:b/>
          <w:sz w:val="28"/>
          <w:szCs w:val="28"/>
        </w:rPr>
        <w:t>28%</w:t>
      </w:r>
      <w:r w:rsidR="004B241E" w:rsidRPr="004F3FB6">
        <w:rPr>
          <w:rFonts w:ascii="Times New Roman" w:hAnsi="Times New Roman" w:cs="Times New Roman"/>
          <w:sz w:val="28"/>
          <w:szCs w:val="28"/>
        </w:rPr>
        <w:t xml:space="preserve"> doce meses después y la segunda del </w:t>
      </w:r>
      <w:r w:rsidR="004B241E" w:rsidRPr="004F3FB6">
        <w:rPr>
          <w:rFonts w:ascii="Times New Roman" w:hAnsi="Times New Roman" w:cs="Times New Roman"/>
          <w:b/>
          <w:sz w:val="28"/>
          <w:szCs w:val="28"/>
        </w:rPr>
        <w:t>12%</w:t>
      </w:r>
      <w:r w:rsidR="004B241E" w:rsidRPr="004F3FB6">
        <w:rPr>
          <w:rFonts w:ascii="Times New Roman" w:hAnsi="Times New Roman" w:cs="Times New Roman"/>
          <w:sz w:val="28"/>
          <w:szCs w:val="28"/>
        </w:rPr>
        <w:t xml:space="preserve"> al </w:t>
      </w:r>
      <w:r w:rsidR="004B241E" w:rsidRPr="004F3FB6">
        <w:rPr>
          <w:rFonts w:ascii="Times New Roman" w:hAnsi="Times New Roman" w:cs="Times New Roman"/>
          <w:b/>
          <w:sz w:val="28"/>
          <w:szCs w:val="28"/>
        </w:rPr>
        <w:t>14%</w:t>
      </w:r>
      <w:r w:rsidR="004B241E" w:rsidRPr="004F3FB6">
        <w:rPr>
          <w:rFonts w:ascii="Times New Roman" w:hAnsi="Times New Roman" w:cs="Times New Roman"/>
          <w:sz w:val="28"/>
          <w:szCs w:val="28"/>
        </w:rPr>
        <w:t xml:space="preserve"> del 2015 al 2016, principalmente. La distribución de los pesos relativos </w:t>
      </w:r>
      <w:r w:rsidR="00413339" w:rsidRPr="004F3FB6">
        <w:rPr>
          <w:rFonts w:ascii="Times New Roman" w:hAnsi="Times New Roman" w:cs="Times New Roman"/>
          <w:sz w:val="28"/>
          <w:szCs w:val="28"/>
        </w:rPr>
        <w:t xml:space="preserve">de los casos terminados  </w:t>
      </w:r>
      <w:r w:rsidR="004B241E" w:rsidRPr="004F3FB6">
        <w:rPr>
          <w:rFonts w:ascii="Times New Roman" w:hAnsi="Times New Roman" w:cs="Times New Roman"/>
          <w:sz w:val="28"/>
          <w:szCs w:val="28"/>
        </w:rPr>
        <w:t xml:space="preserve">de cada materia </w:t>
      </w:r>
      <w:r w:rsidR="00413339" w:rsidRPr="004F3FB6">
        <w:rPr>
          <w:rFonts w:ascii="Times New Roman" w:hAnsi="Times New Roman" w:cs="Times New Roman"/>
          <w:sz w:val="28"/>
          <w:szCs w:val="28"/>
        </w:rPr>
        <w:t>para el 2016</w:t>
      </w:r>
      <w:r w:rsidR="004F3FB6" w:rsidRPr="004F3FB6">
        <w:rPr>
          <w:rFonts w:ascii="Times New Roman" w:hAnsi="Times New Roman" w:cs="Times New Roman"/>
          <w:sz w:val="28"/>
          <w:szCs w:val="28"/>
        </w:rPr>
        <w:t>,</w:t>
      </w:r>
      <w:r w:rsidR="00413339" w:rsidRPr="004F3FB6">
        <w:rPr>
          <w:rFonts w:ascii="Times New Roman" w:hAnsi="Times New Roman" w:cs="Times New Roman"/>
          <w:sz w:val="28"/>
          <w:szCs w:val="28"/>
        </w:rPr>
        <w:t xml:space="preserve"> se muestra en </w:t>
      </w:r>
      <w:r w:rsidR="00413339" w:rsidRPr="004F3FB6">
        <w:rPr>
          <w:rFonts w:ascii="Times New Roman" w:hAnsi="Times New Roman" w:cs="Times New Roman"/>
          <w:sz w:val="28"/>
          <w:szCs w:val="28"/>
        </w:rPr>
        <w:lastRenderedPageBreak/>
        <w:t>la gráfica N°4 siguiente. Es necesario recordar que del 2014 al 2015 se produjo una rebaja del 10% en el volumen de asuntos terminados en Penal que ocasionó que el peso relativo de esta materia se redujeran, entre periodos anuales, en 3 puntos porcentuales; así el nivel de finiquito relativo (peso porcentual) de esta materia viene reduciéndose en los últimos años por efecto de una cantidad absoluta cada vez menor de casos terminados.</w:t>
      </w:r>
    </w:p>
    <w:p w:rsidR="006720CC" w:rsidRDefault="006720CC" w:rsidP="0049128C">
      <w:pPr>
        <w:jc w:val="both"/>
        <w:rPr>
          <w:rFonts w:ascii="Times New Roman" w:hAnsi="Times New Roman" w:cs="Times New Roman"/>
          <w:b/>
          <w:sz w:val="28"/>
          <w:szCs w:val="28"/>
        </w:rPr>
      </w:pPr>
    </w:p>
    <w:p w:rsidR="007F7AE7" w:rsidRDefault="00BF3ADC" w:rsidP="00A97559">
      <w:pPr>
        <w:jc w:val="center"/>
        <w:rPr>
          <w:rFonts w:ascii="Times New Roman" w:hAnsi="Times New Roman" w:cs="Times New Roman"/>
          <w:b/>
          <w:sz w:val="28"/>
          <w:szCs w:val="28"/>
        </w:rPr>
      </w:pPr>
      <w:r w:rsidRPr="00BF3ADC">
        <w:rPr>
          <w:rFonts w:ascii="Times New Roman" w:hAnsi="Times New Roman" w:cs="Times New Roman"/>
          <w:b/>
          <w:noProof/>
          <w:sz w:val="28"/>
          <w:szCs w:val="28"/>
          <w:lang w:eastAsia="es-CR"/>
        </w:rPr>
        <w:drawing>
          <wp:inline distT="0" distB="0" distL="0" distR="0">
            <wp:extent cx="5097428" cy="3585172"/>
            <wp:effectExtent l="19050" t="0" r="27022" b="0"/>
            <wp:docPr id="7" name="Objeto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4EE6" w:rsidRDefault="00454EE6" w:rsidP="00203EE5">
      <w:pPr>
        <w:rPr>
          <w:rFonts w:ascii="Times New Roman" w:hAnsi="Times New Roman" w:cs="Times New Roman"/>
          <w:b/>
          <w:sz w:val="28"/>
          <w:szCs w:val="28"/>
        </w:rPr>
      </w:pPr>
    </w:p>
    <w:p w:rsidR="00203EE5" w:rsidRPr="005923E1" w:rsidRDefault="00E639F0" w:rsidP="00203EE5">
      <w:pPr>
        <w:rPr>
          <w:rFonts w:ascii="Times New Roman" w:hAnsi="Times New Roman" w:cs="Times New Roman"/>
          <w:b/>
          <w:sz w:val="28"/>
          <w:szCs w:val="28"/>
        </w:rPr>
      </w:pPr>
      <w:r w:rsidRPr="005923E1">
        <w:rPr>
          <w:rFonts w:ascii="Times New Roman" w:hAnsi="Times New Roman" w:cs="Times New Roman"/>
          <w:b/>
          <w:sz w:val="28"/>
          <w:szCs w:val="28"/>
        </w:rPr>
        <w:t>2</w:t>
      </w:r>
      <w:r w:rsidR="00203EE5" w:rsidRPr="005923E1">
        <w:rPr>
          <w:rFonts w:ascii="Times New Roman" w:hAnsi="Times New Roman" w:cs="Times New Roman"/>
          <w:b/>
          <w:sz w:val="28"/>
          <w:szCs w:val="28"/>
        </w:rPr>
        <w:t>.3 Existencia al finalizar</w:t>
      </w:r>
    </w:p>
    <w:p w:rsidR="00C21E46" w:rsidRPr="005923E1" w:rsidRDefault="00C21E46" w:rsidP="00203EE5">
      <w:pPr>
        <w:rPr>
          <w:rFonts w:ascii="Times New Roman" w:hAnsi="Times New Roman" w:cs="Times New Roman"/>
          <w:b/>
          <w:sz w:val="28"/>
          <w:szCs w:val="28"/>
        </w:rPr>
      </w:pPr>
    </w:p>
    <w:p w:rsidR="00A97C99" w:rsidRDefault="00265E7F" w:rsidP="00A97C99">
      <w:pPr>
        <w:ind w:firstLine="708"/>
        <w:jc w:val="both"/>
        <w:rPr>
          <w:rFonts w:ascii="Times New Roman" w:hAnsi="Times New Roman" w:cs="Times New Roman"/>
          <w:sz w:val="28"/>
          <w:szCs w:val="28"/>
        </w:rPr>
      </w:pPr>
      <w:r w:rsidRPr="005923E1">
        <w:rPr>
          <w:rFonts w:ascii="Times New Roman" w:hAnsi="Times New Roman" w:cs="Times New Roman"/>
          <w:sz w:val="28"/>
          <w:szCs w:val="28"/>
        </w:rPr>
        <w:t>Este año</w:t>
      </w:r>
      <w:r w:rsidR="00E74665" w:rsidRPr="005923E1">
        <w:rPr>
          <w:rFonts w:ascii="Times New Roman" w:hAnsi="Times New Roman" w:cs="Times New Roman"/>
          <w:sz w:val="28"/>
          <w:szCs w:val="28"/>
        </w:rPr>
        <w:t>,</w:t>
      </w:r>
      <w:r w:rsidRPr="005923E1">
        <w:rPr>
          <w:rFonts w:ascii="Times New Roman" w:hAnsi="Times New Roman" w:cs="Times New Roman"/>
          <w:sz w:val="28"/>
          <w:szCs w:val="28"/>
        </w:rPr>
        <w:t xml:space="preserve"> se ensancha la brecha entre casos entrados y terminados en donde</w:t>
      </w:r>
      <w:r w:rsidR="005923E1" w:rsidRPr="005923E1">
        <w:rPr>
          <w:rFonts w:ascii="Times New Roman" w:hAnsi="Times New Roman" w:cs="Times New Roman"/>
          <w:sz w:val="28"/>
          <w:szCs w:val="28"/>
        </w:rPr>
        <w:t>, además,</w:t>
      </w:r>
      <w:r w:rsidRPr="005923E1">
        <w:rPr>
          <w:rFonts w:ascii="Times New Roman" w:hAnsi="Times New Roman" w:cs="Times New Roman"/>
          <w:sz w:val="28"/>
          <w:szCs w:val="28"/>
        </w:rPr>
        <w:t xml:space="preserve"> el volumen del nuevo ingreso anual sigue siendo mayor que el volumen de terminaciones en primera instancia; ello es una de las principales razones estadísticas del incremento de la cantidad de casos que conforma la </w:t>
      </w:r>
      <w:r w:rsidRPr="005923E1">
        <w:rPr>
          <w:rFonts w:ascii="Times New Roman" w:hAnsi="Times New Roman" w:cs="Times New Roman"/>
          <w:sz w:val="28"/>
          <w:szCs w:val="28"/>
        </w:rPr>
        <w:lastRenderedPageBreak/>
        <w:t>existencia al finalizar el año</w:t>
      </w:r>
      <w:r w:rsidRPr="005923E1">
        <w:rPr>
          <w:rFonts w:ascii="Times New Roman" w:hAnsi="Times New Roman" w:cs="Times New Roman"/>
          <w:sz w:val="28"/>
          <w:szCs w:val="28"/>
          <w:vertAlign w:val="superscript"/>
        </w:rPr>
        <w:t>(</w:t>
      </w:r>
      <w:r w:rsidRPr="005923E1">
        <w:rPr>
          <w:rStyle w:val="Refdenotaalpie"/>
          <w:rFonts w:ascii="Times New Roman" w:hAnsi="Times New Roman" w:cs="Times New Roman"/>
          <w:sz w:val="28"/>
          <w:szCs w:val="28"/>
        </w:rPr>
        <w:footnoteReference w:id="2"/>
      </w:r>
      <w:r w:rsidRPr="005923E1">
        <w:rPr>
          <w:rFonts w:ascii="Times New Roman" w:hAnsi="Times New Roman" w:cs="Times New Roman"/>
          <w:sz w:val="28"/>
          <w:szCs w:val="28"/>
          <w:vertAlign w:val="superscript"/>
        </w:rPr>
        <w:t>)</w:t>
      </w:r>
      <w:r w:rsidRPr="005923E1">
        <w:rPr>
          <w:rFonts w:ascii="Times New Roman" w:hAnsi="Times New Roman" w:cs="Times New Roman"/>
          <w:sz w:val="28"/>
          <w:szCs w:val="28"/>
        </w:rPr>
        <w:t>.</w:t>
      </w:r>
      <w:r w:rsidR="00D87E28" w:rsidRPr="005923E1">
        <w:rPr>
          <w:rFonts w:ascii="Times New Roman" w:hAnsi="Times New Roman" w:cs="Times New Roman"/>
          <w:sz w:val="28"/>
          <w:szCs w:val="28"/>
        </w:rPr>
        <w:t>En el siguiente gráfico</w:t>
      </w:r>
      <w:r w:rsidR="00A73693" w:rsidRPr="005923E1">
        <w:rPr>
          <w:rFonts w:ascii="Times New Roman" w:hAnsi="Times New Roman" w:cs="Times New Roman"/>
          <w:sz w:val="28"/>
          <w:szCs w:val="28"/>
        </w:rPr>
        <w:t>,</w:t>
      </w:r>
      <w:r w:rsidR="00D87E28" w:rsidRPr="005923E1">
        <w:rPr>
          <w:rFonts w:ascii="Times New Roman" w:hAnsi="Times New Roman" w:cs="Times New Roman"/>
          <w:sz w:val="28"/>
          <w:szCs w:val="28"/>
        </w:rPr>
        <w:t xml:space="preserve"> se muestra </w:t>
      </w:r>
      <w:r w:rsidR="0049174B" w:rsidRPr="005923E1">
        <w:rPr>
          <w:rFonts w:ascii="Times New Roman" w:hAnsi="Times New Roman" w:cs="Times New Roman"/>
          <w:sz w:val="28"/>
          <w:szCs w:val="28"/>
        </w:rPr>
        <w:t>la forma estadística como se relacionan los</w:t>
      </w:r>
      <w:r w:rsidR="00D87E28" w:rsidRPr="005923E1">
        <w:rPr>
          <w:rFonts w:ascii="Times New Roman" w:hAnsi="Times New Roman" w:cs="Times New Roman"/>
          <w:sz w:val="28"/>
          <w:szCs w:val="28"/>
        </w:rPr>
        <w:t xml:space="preserve"> casos entrados</w:t>
      </w:r>
      <w:r w:rsidR="0049174B" w:rsidRPr="005923E1">
        <w:rPr>
          <w:rFonts w:ascii="Times New Roman" w:hAnsi="Times New Roman" w:cs="Times New Roman"/>
          <w:sz w:val="28"/>
          <w:szCs w:val="28"/>
        </w:rPr>
        <w:t xml:space="preserve"> y los asuntos terminados desde el 2011 y se puede observar</w:t>
      </w:r>
      <w:r w:rsidR="005923E1" w:rsidRPr="005923E1">
        <w:rPr>
          <w:rFonts w:ascii="Times New Roman" w:hAnsi="Times New Roman" w:cs="Times New Roman"/>
          <w:sz w:val="28"/>
          <w:szCs w:val="28"/>
        </w:rPr>
        <w:t xml:space="preserve"> que,</w:t>
      </w:r>
      <w:r w:rsidR="0049174B" w:rsidRPr="005923E1">
        <w:rPr>
          <w:rFonts w:ascii="Times New Roman" w:hAnsi="Times New Roman" w:cs="Times New Roman"/>
          <w:sz w:val="28"/>
          <w:szCs w:val="28"/>
        </w:rPr>
        <w:t xml:space="preserve"> históricamente</w:t>
      </w:r>
      <w:r w:rsidR="005923E1" w:rsidRPr="005923E1">
        <w:rPr>
          <w:rFonts w:ascii="Times New Roman" w:hAnsi="Times New Roman" w:cs="Times New Roman"/>
          <w:sz w:val="28"/>
          <w:szCs w:val="28"/>
        </w:rPr>
        <w:t>,</w:t>
      </w:r>
      <w:r w:rsidR="0049174B" w:rsidRPr="005923E1">
        <w:rPr>
          <w:rFonts w:ascii="Times New Roman" w:hAnsi="Times New Roman" w:cs="Times New Roman"/>
          <w:sz w:val="28"/>
          <w:szCs w:val="28"/>
        </w:rPr>
        <w:t xml:space="preserve"> lo primero es superior a los segundo en cuanto a volumen. También, se puede apreciar que la distancia entre los casos entrados y terminados se venía reduciendo desde el 2013 desde un 2012 </w:t>
      </w:r>
      <w:r w:rsidR="005923E1" w:rsidRPr="005923E1">
        <w:rPr>
          <w:rFonts w:ascii="Times New Roman" w:hAnsi="Times New Roman" w:cs="Times New Roman"/>
          <w:sz w:val="28"/>
          <w:szCs w:val="28"/>
        </w:rPr>
        <w:t>cuando,</w:t>
      </w:r>
      <w:r w:rsidR="0049174B" w:rsidRPr="005923E1">
        <w:rPr>
          <w:rFonts w:ascii="Times New Roman" w:hAnsi="Times New Roman" w:cs="Times New Roman"/>
          <w:sz w:val="28"/>
          <w:szCs w:val="28"/>
        </w:rPr>
        <w:t xml:space="preserve"> se registró la mayor brecha entre estas variables</w:t>
      </w:r>
      <w:r w:rsidR="005309F9" w:rsidRPr="005923E1">
        <w:rPr>
          <w:rFonts w:ascii="Times New Roman" w:hAnsi="Times New Roman" w:cs="Times New Roman"/>
          <w:sz w:val="28"/>
          <w:szCs w:val="28"/>
        </w:rPr>
        <w:t xml:space="preserve"> (separación de </w:t>
      </w:r>
      <w:r w:rsidR="005309F9" w:rsidRPr="005923E1">
        <w:rPr>
          <w:rFonts w:ascii="Times New Roman" w:hAnsi="Times New Roman" w:cs="Times New Roman"/>
          <w:b/>
          <w:sz w:val="28"/>
          <w:szCs w:val="28"/>
        </w:rPr>
        <w:t>84.246</w:t>
      </w:r>
      <w:r w:rsidR="005309F9" w:rsidRPr="005923E1">
        <w:rPr>
          <w:rFonts w:ascii="Times New Roman" w:hAnsi="Times New Roman" w:cs="Times New Roman"/>
          <w:sz w:val="28"/>
          <w:szCs w:val="28"/>
        </w:rPr>
        <w:t xml:space="preserve"> casos entre variables)</w:t>
      </w:r>
      <w:r w:rsidR="0049174B" w:rsidRPr="005923E1">
        <w:rPr>
          <w:rFonts w:ascii="Times New Roman" w:hAnsi="Times New Roman" w:cs="Times New Roman"/>
          <w:sz w:val="28"/>
          <w:szCs w:val="28"/>
        </w:rPr>
        <w:t xml:space="preserve">. </w:t>
      </w:r>
      <w:r w:rsidR="005309F9" w:rsidRPr="005923E1">
        <w:rPr>
          <w:rFonts w:ascii="Times New Roman" w:hAnsi="Times New Roman" w:cs="Times New Roman"/>
          <w:sz w:val="28"/>
          <w:szCs w:val="28"/>
        </w:rPr>
        <w:t xml:space="preserve">El 2015es el año cuando tales cifras </w:t>
      </w:r>
      <w:r w:rsidR="00D87E28" w:rsidRPr="005923E1">
        <w:rPr>
          <w:rFonts w:ascii="Times New Roman" w:hAnsi="Times New Roman" w:cs="Times New Roman"/>
          <w:sz w:val="28"/>
          <w:szCs w:val="28"/>
        </w:rPr>
        <w:t>se</w:t>
      </w:r>
      <w:r w:rsidR="00A97C99" w:rsidRPr="005923E1">
        <w:rPr>
          <w:rFonts w:ascii="Times New Roman" w:hAnsi="Times New Roman" w:cs="Times New Roman"/>
          <w:sz w:val="28"/>
          <w:szCs w:val="28"/>
        </w:rPr>
        <w:t xml:space="preserve"> acercaron más (separación entre cifras de </w:t>
      </w:r>
      <w:r w:rsidR="00A97C99" w:rsidRPr="005923E1">
        <w:rPr>
          <w:rFonts w:ascii="Times New Roman" w:hAnsi="Times New Roman" w:cs="Times New Roman"/>
          <w:b/>
          <w:sz w:val="28"/>
          <w:szCs w:val="28"/>
        </w:rPr>
        <w:t>33.272</w:t>
      </w:r>
      <w:r w:rsidR="00A97C99" w:rsidRPr="005923E1">
        <w:rPr>
          <w:rFonts w:ascii="Times New Roman" w:hAnsi="Times New Roman" w:cs="Times New Roman"/>
          <w:sz w:val="28"/>
          <w:szCs w:val="28"/>
        </w:rPr>
        <w:t xml:space="preserve">), pero  en el 2016 los montos reportados a escala nacional se alejaron de nuevo (separación de cifras </w:t>
      </w:r>
      <w:r w:rsidR="00916965" w:rsidRPr="005923E1">
        <w:rPr>
          <w:rFonts w:ascii="Times New Roman" w:hAnsi="Times New Roman" w:cs="Times New Roman"/>
          <w:sz w:val="28"/>
          <w:szCs w:val="28"/>
        </w:rPr>
        <w:t>en</w:t>
      </w:r>
      <w:r w:rsidR="00A97C99" w:rsidRPr="005923E1">
        <w:rPr>
          <w:rFonts w:ascii="Times New Roman" w:hAnsi="Times New Roman" w:cs="Times New Roman"/>
          <w:b/>
          <w:sz w:val="28"/>
          <w:szCs w:val="28"/>
        </w:rPr>
        <w:t>53.567</w:t>
      </w:r>
      <w:r w:rsidR="00A97C99" w:rsidRPr="005923E1">
        <w:rPr>
          <w:rFonts w:ascii="Times New Roman" w:hAnsi="Times New Roman" w:cs="Times New Roman"/>
          <w:sz w:val="28"/>
          <w:szCs w:val="28"/>
        </w:rPr>
        <w:t xml:space="preserve"> casos).</w:t>
      </w:r>
    </w:p>
    <w:p w:rsidR="00A97C99" w:rsidRDefault="00A97C99" w:rsidP="00A97C99">
      <w:pPr>
        <w:ind w:firstLine="708"/>
        <w:jc w:val="both"/>
        <w:rPr>
          <w:rFonts w:ascii="Times New Roman" w:hAnsi="Times New Roman" w:cs="Times New Roman"/>
          <w:sz w:val="28"/>
          <w:szCs w:val="28"/>
        </w:rPr>
      </w:pPr>
    </w:p>
    <w:p w:rsidR="00203EE5" w:rsidRDefault="00203EE5" w:rsidP="00A97C99">
      <w:pPr>
        <w:ind w:firstLine="708"/>
        <w:jc w:val="both"/>
      </w:pPr>
      <w:r w:rsidRPr="00203EE5">
        <w:rPr>
          <w:noProof/>
          <w:lang w:eastAsia="es-CR"/>
        </w:rPr>
        <w:drawing>
          <wp:inline distT="0" distB="0" distL="0" distR="0">
            <wp:extent cx="5028656" cy="3309257"/>
            <wp:effectExtent l="19050" t="0" r="19594" b="5443"/>
            <wp:docPr id="4"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41C3" w:rsidRDefault="00D741C3" w:rsidP="00D741C3">
      <w:pPr>
        <w:jc w:val="both"/>
        <w:rPr>
          <w:rFonts w:ascii="Times New Roman" w:hAnsi="Times New Roman" w:cs="Times New Roman"/>
          <w:sz w:val="28"/>
          <w:szCs w:val="28"/>
        </w:rPr>
      </w:pPr>
    </w:p>
    <w:p w:rsidR="00462108" w:rsidRDefault="00462108" w:rsidP="00D741C3">
      <w:pPr>
        <w:jc w:val="both"/>
        <w:rPr>
          <w:rFonts w:ascii="Times New Roman" w:hAnsi="Times New Roman" w:cs="Times New Roman"/>
          <w:sz w:val="28"/>
          <w:szCs w:val="28"/>
        </w:rPr>
      </w:pPr>
    </w:p>
    <w:p w:rsidR="00462108" w:rsidRDefault="00462108" w:rsidP="00D741C3">
      <w:pPr>
        <w:jc w:val="both"/>
        <w:rPr>
          <w:rFonts w:ascii="Times New Roman" w:hAnsi="Times New Roman" w:cs="Times New Roman"/>
          <w:sz w:val="28"/>
          <w:szCs w:val="28"/>
        </w:rPr>
      </w:pPr>
    </w:p>
    <w:p w:rsidR="00E74665" w:rsidRDefault="00916965" w:rsidP="00D741C3">
      <w:pPr>
        <w:jc w:val="both"/>
        <w:rPr>
          <w:rFonts w:ascii="Times New Roman" w:hAnsi="Times New Roman" w:cs="Times New Roman"/>
          <w:sz w:val="28"/>
          <w:szCs w:val="28"/>
        </w:rPr>
      </w:pPr>
      <w:r w:rsidRPr="005923E1">
        <w:rPr>
          <w:rFonts w:ascii="Times New Roman" w:hAnsi="Times New Roman" w:cs="Times New Roman"/>
          <w:sz w:val="28"/>
          <w:szCs w:val="28"/>
        </w:rPr>
        <w:t>El contexto anterior hace que la cantidad de asuntos en espera de una reso</w:t>
      </w:r>
      <w:r w:rsidR="00707A30">
        <w:rPr>
          <w:rFonts w:ascii="Times New Roman" w:hAnsi="Times New Roman" w:cs="Times New Roman"/>
          <w:sz w:val="28"/>
          <w:szCs w:val="28"/>
        </w:rPr>
        <w:t>lución de primera instancia sig</w:t>
      </w:r>
      <w:r w:rsidRPr="005923E1">
        <w:rPr>
          <w:rFonts w:ascii="Times New Roman" w:hAnsi="Times New Roman" w:cs="Times New Roman"/>
          <w:sz w:val="28"/>
          <w:szCs w:val="28"/>
        </w:rPr>
        <w:t xml:space="preserve">a una tendencia </w:t>
      </w:r>
      <w:r w:rsidR="00AE72D1" w:rsidRPr="005923E1">
        <w:rPr>
          <w:rFonts w:ascii="Times New Roman" w:hAnsi="Times New Roman" w:cs="Times New Roman"/>
          <w:sz w:val="28"/>
          <w:szCs w:val="28"/>
        </w:rPr>
        <w:t>alcista</w:t>
      </w:r>
      <w:r w:rsidRPr="005923E1">
        <w:rPr>
          <w:rFonts w:ascii="Times New Roman" w:hAnsi="Times New Roman" w:cs="Times New Roman"/>
          <w:sz w:val="28"/>
          <w:szCs w:val="28"/>
        </w:rPr>
        <w:t xml:space="preserve"> aunque en los últimos tres años la velocidad en que crece esta variable compuesta sea menor que lo observado del 2011 al 2013</w:t>
      </w:r>
      <w:r w:rsidR="00FA49E5" w:rsidRPr="005923E1">
        <w:rPr>
          <w:rFonts w:ascii="Times New Roman" w:hAnsi="Times New Roman" w:cs="Times New Roman"/>
          <w:sz w:val="28"/>
          <w:szCs w:val="28"/>
        </w:rPr>
        <w:t>; la cifra del 2016 respecto al 2015 es solamente del 0.2% (valor menor al 1 %), por ejemplo</w:t>
      </w:r>
      <w:r w:rsidR="00FA49E5" w:rsidRPr="005923E1">
        <w:rPr>
          <w:rFonts w:ascii="Times New Roman" w:hAnsi="Times New Roman" w:cs="Times New Roman"/>
          <w:sz w:val="28"/>
          <w:szCs w:val="28"/>
          <w:vertAlign w:val="superscript"/>
        </w:rPr>
        <w:t>(</w:t>
      </w:r>
      <w:r w:rsidR="00FA49E5" w:rsidRPr="005923E1">
        <w:rPr>
          <w:rStyle w:val="Refdenotaalpie"/>
          <w:rFonts w:ascii="Times New Roman" w:hAnsi="Times New Roman" w:cs="Times New Roman"/>
          <w:sz w:val="28"/>
          <w:szCs w:val="28"/>
        </w:rPr>
        <w:footnoteReference w:id="3"/>
      </w:r>
      <w:r w:rsidR="00FA49E5" w:rsidRPr="005923E1">
        <w:rPr>
          <w:rFonts w:ascii="Times New Roman" w:hAnsi="Times New Roman" w:cs="Times New Roman"/>
          <w:sz w:val="28"/>
          <w:szCs w:val="28"/>
          <w:vertAlign w:val="superscript"/>
        </w:rPr>
        <w:t>)</w:t>
      </w:r>
      <w:r w:rsidR="00E40F8B" w:rsidRPr="005923E1">
        <w:rPr>
          <w:rFonts w:ascii="Times New Roman" w:hAnsi="Times New Roman" w:cs="Times New Roman"/>
          <w:sz w:val="28"/>
          <w:szCs w:val="28"/>
        </w:rPr>
        <w:t>, lo que indica un relativo estancamiento de la variable.</w:t>
      </w:r>
      <w:r w:rsidR="00AE72D1" w:rsidRPr="005923E1">
        <w:rPr>
          <w:rFonts w:ascii="Times New Roman" w:hAnsi="Times New Roman" w:cs="Times New Roman"/>
          <w:sz w:val="28"/>
          <w:szCs w:val="28"/>
        </w:rPr>
        <w:t>Así</w:t>
      </w:r>
      <w:r w:rsidR="00FA49E5" w:rsidRPr="005923E1">
        <w:rPr>
          <w:rFonts w:ascii="Times New Roman" w:hAnsi="Times New Roman" w:cs="Times New Roman"/>
          <w:sz w:val="28"/>
          <w:szCs w:val="28"/>
        </w:rPr>
        <w:t>,</w:t>
      </w:r>
      <w:r w:rsidR="00AE72D1" w:rsidRPr="005923E1">
        <w:rPr>
          <w:rFonts w:ascii="Times New Roman" w:hAnsi="Times New Roman" w:cs="Times New Roman"/>
          <w:sz w:val="28"/>
          <w:szCs w:val="28"/>
        </w:rPr>
        <w:t xml:space="preserve"> se pasa de </w:t>
      </w:r>
      <w:r w:rsidR="00AE72D1" w:rsidRPr="005923E1">
        <w:rPr>
          <w:rFonts w:ascii="Times New Roman" w:hAnsi="Times New Roman" w:cs="Times New Roman"/>
          <w:b/>
          <w:sz w:val="28"/>
          <w:szCs w:val="28"/>
        </w:rPr>
        <w:t>766.271</w:t>
      </w:r>
      <w:r w:rsidR="00AE72D1" w:rsidRPr="005923E1">
        <w:rPr>
          <w:rFonts w:ascii="Times New Roman" w:hAnsi="Times New Roman" w:cs="Times New Roman"/>
          <w:sz w:val="28"/>
          <w:szCs w:val="28"/>
        </w:rPr>
        <w:t xml:space="preserve"> asuntos pendientes al finalizar el 2011 a </w:t>
      </w:r>
      <w:r w:rsidR="00AE72D1" w:rsidRPr="005923E1">
        <w:rPr>
          <w:rFonts w:ascii="Times New Roman" w:hAnsi="Times New Roman" w:cs="Times New Roman"/>
          <w:b/>
          <w:sz w:val="28"/>
          <w:szCs w:val="28"/>
        </w:rPr>
        <w:t>984.871</w:t>
      </w:r>
      <w:r w:rsidR="00AE72D1" w:rsidRPr="005923E1">
        <w:rPr>
          <w:rFonts w:ascii="Times New Roman" w:hAnsi="Times New Roman" w:cs="Times New Roman"/>
          <w:sz w:val="28"/>
          <w:szCs w:val="28"/>
        </w:rPr>
        <w:t xml:space="preserve"> de la conclusión del 2016; esto es, </w:t>
      </w:r>
      <w:r w:rsidR="00AE72D1" w:rsidRPr="005923E1">
        <w:rPr>
          <w:rFonts w:ascii="Times New Roman" w:hAnsi="Times New Roman" w:cs="Times New Roman"/>
          <w:b/>
          <w:sz w:val="28"/>
          <w:szCs w:val="28"/>
        </w:rPr>
        <w:t>218.600</w:t>
      </w:r>
      <w:r w:rsidR="00AE72D1" w:rsidRPr="005923E1">
        <w:rPr>
          <w:rFonts w:ascii="Times New Roman" w:hAnsi="Times New Roman" w:cs="Times New Roman"/>
          <w:sz w:val="28"/>
          <w:szCs w:val="28"/>
        </w:rPr>
        <w:t xml:space="preserve"> asuntos más en seis años, sea, la existencia de este año es </w:t>
      </w:r>
      <w:r w:rsidR="00492D5C" w:rsidRPr="005923E1">
        <w:rPr>
          <w:rFonts w:ascii="Times New Roman" w:hAnsi="Times New Roman" w:cs="Times New Roman"/>
          <w:sz w:val="28"/>
          <w:szCs w:val="28"/>
        </w:rPr>
        <w:t>casi tres décimas</w:t>
      </w:r>
      <w:r w:rsidR="00AE72D1" w:rsidRPr="005923E1">
        <w:rPr>
          <w:rFonts w:ascii="Times New Roman" w:hAnsi="Times New Roman" w:cs="Times New Roman"/>
          <w:sz w:val="28"/>
          <w:szCs w:val="28"/>
        </w:rPr>
        <w:t>(</w:t>
      </w:r>
      <w:r w:rsidR="00AE72D1" w:rsidRPr="005923E1">
        <w:rPr>
          <w:rFonts w:ascii="Times New Roman" w:hAnsi="Times New Roman" w:cs="Times New Roman"/>
          <w:b/>
          <w:sz w:val="28"/>
          <w:szCs w:val="28"/>
        </w:rPr>
        <w:t>28.5%</w:t>
      </w:r>
      <w:r w:rsidR="00AE72D1" w:rsidRPr="005923E1">
        <w:rPr>
          <w:rFonts w:ascii="Times New Roman" w:hAnsi="Times New Roman" w:cs="Times New Roman"/>
          <w:sz w:val="28"/>
          <w:szCs w:val="28"/>
        </w:rPr>
        <w:t xml:space="preserve">) </w:t>
      </w:r>
      <w:r w:rsidR="00492D5C" w:rsidRPr="005923E1">
        <w:rPr>
          <w:rFonts w:ascii="Times New Roman" w:hAnsi="Times New Roman" w:cs="Times New Roman"/>
          <w:sz w:val="28"/>
          <w:szCs w:val="28"/>
        </w:rPr>
        <w:t xml:space="preserve">mayor </w:t>
      </w:r>
      <w:r w:rsidR="00AE72D1" w:rsidRPr="005923E1">
        <w:rPr>
          <w:rFonts w:ascii="Times New Roman" w:hAnsi="Times New Roman" w:cs="Times New Roman"/>
          <w:sz w:val="28"/>
          <w:szCs w:val="28"/>
        </w:rPr>
        <w:t>de la que se tenía en el 2011.</w:t>
      </w:r>
    </w:p>
    <w:p w:rsidR="005923E1" w:rsidRDefault="005923E1" w:rsidP="00D741C3">
      <w:pPr>
        <w:jc w:val="both"/>
        <w:rPr>
          <w:rFonts w:ascii="Times New Roman" w:hAnsi="Times New Roman" w:cs="Times New Roman"/>
          <w:sz w:val="28"/>
          <w:szCs w:val="28"/>
        </w:rPr>
      </w:pPr>
    </w:p>
    <w:p w:rsidR="00C832DD" w:rsidRPr="00A22890" w:rsidRDefault="00E74665" w:rsidP="00E74665">
      <w:pPr>
        <w:jc w:val="center"/>
        <w:rPr>
          <w:rFonts w:ascii="Times New Roman" w:hAnsi="Times New Roman" w:cs="Times New Roman"/>
          <w:sz w:val="28"/>
          <w:szCs w:val="28"/>
        </w:rPr>
      </w:pPr>
      <w:r w:rsidRPr="00A22890">
        <w:rPr>
          <w:rFonts w:ascii="Times New Roman" w:hAnsi="Times New Roman" w:cs="Times New Roman"/>
          <w:noProof/>
          <w:sz w:val="28"/>
          <w:szCs w:val="28"/>
          <w:lang w:eastAsia="es-CR"/>
        </w:rPr>
        <w:drawing>
          <wp:inline distT="0" distB="0" distL="0" distR="0">
            <wp:extent cx="5028656" cy="3309257"/>
            <wp:effectExtent l="19050" t="0" r="19594" b="5443"/>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41C3" w:rsidRDefault="00D741C3" w:rsidP="00DB27D6">
      <w:pPr>
        <w:jc w:val="both"/>
        <w:rPr>
          <w:rFonts w:ascii="Times New Roman" w:hAnsi="Times New Roman" w:cs="Times New Roman"/>
          <w:sz w:val="28"/>
          <w:szCs w:val="28"/>
        </w:rPr>
      </w:pPr>
    </w:p>
    <w:p w:rsidR="00462108" w:rsidRDefault="00462108" w:rsidP="00DB27D6">
      <w:pPr>
        <w:jc w:val="both"/>
        <w:rPr>
          <w:rFonts w:ascii="Times New Roman" w:hAnsi="Times New Roman" w:cs="Times New Roman"/>
          <w:sz w:val="28"/>
          <w:szCs w:val="28"/>
        </w:rPr>
      </w:pPr>
    </w:p>
    <w:p w:rsidR="004C5031" w:rsidRDefault="00E40F8B" w:rsidP="00DB27D6">
      <w:pPr>
        <w:jc w:val="both"/>
        <w:rPr>
          <w:rFonts w:ascii="Times New Roman" w:hAnsi="Times New Roman" w:cs="Times New Roman"/>
          <w:sz w:val="28"/>
          <w:szCs w:val="28"/>
        </w:rPr>
      </w:pPr>
      <w:r w:rsidRPr="00A22890">
        <w:rPr>
          <w:rFonts w:ascii="Times New Roman" w:hAnsi="Times New Roman" w:cs="Times New Roman"/>
          <w:sz w:val="28"/>
          <w:szCs w:val="28"/>
        </w:rPr>
        <w:lastRenderedPageBreak/>
        <w:t>La relativa estabilidad de la existencia reportada el finalizar el 2016 respecto a lo reportado doce meses antes</w:t>
      </w:r>
      <w:r w:rsidR="005923E1" w:rsidRPr="00A22890">
        <w:rPr>
          <w:rFonts w:ascii="Times New Roman" w:hAnsi="Times New Roman" w:cs="Times New Roman"/>
          <w:sz w:val="28"/>
          <w:szCs w:val="28"/>
        </w:rPr>
        <w:t>,</w:t>
      </w:r>
      <w:r w:rsidRPr="00A22890">
        <w:rPr>
          <w:rFonts w:ascii="Times New Roman" w:hAnsi="Times New Roman" w:cs="Times New Roman"/>
          <w:sz w:val="28"/>
          <w:szCs w:val="28"/>
        </w:rPr>
        <w:t xml:space="preserve"> es consecuencia de un proceso de compensación del grupo de materia</w:t>
      </w:r>
      <w:r w:rsidR="005923E1" w:rsidRPr="00A22890">
        <w:rPr>
          <w:rFonts w:ascii="Times New Roman" w:hAnsi="Times New Roman" w:cs="Times New Roman"/>
          <w:sz w:val="28"/>
          <w:szCs w:val="28"/>
        </w:rPr>
        <w:t>s</w:t>
      </w:r>
      <w:r w:rsidRPr="00A22890">
        <w:rPr>
          <w:rFonts w:ascii="Times New Roman" w:hAnsi="Times New Roman" w:cs="Times New Roman"/>
          <w:sz w:val="28"/>
          <w:szCs w:val="28"/>
        </w:rPr>
        <w:t xml:space="preserve"> donde aument</w:t>
      </w:r>
      <w:r w:rsidR="005923E1" w:rsidRPr="00A22890">
        <w:rPr>
          <w:rFonts w:ascii="Times New Roman" w:hAnsi="Times New Roman" w:cs="Times New Roman"/>
          <w:sz w:val="28"/>
          <w:szCs w:val="28"/>
        </w:rPr>
        <w:t>ó el nivel de</w:t>
      </w:r>
      <w:r w:rsidRPr="00A22890">
        <w:rPr>
          <w:rFonts w:ascii="Times New Roman" w:hAnsi="Times New Roman" w:cs="Times New Roman"/>
          <w:sz w:val="28"/>
          <w:szCs w:val="28"/>
        </w:rPr>
        <w:t xml:space="preserve"> la variable y del grupo donde disminuyó. En</w:t>
      </w:r>
      <w:r w:rsidR="004C5031" w:rsidRPr="00A22890">
        <w:rPr>
          <w:rFonts w:ascii="Times New Roman" w:hAnsi="Times New Roman" w:cs="Times New Roman"/>
          <w:sz w:val="28"/>
          <w:szCs w:val="28"/>
        </w:rPr>
        <w:t xml:space="preserve"> forma conjunta,</w:t>
      </w:r>
      <w:r w:rsidRPr="00A22890">
        <w:rPr>
          <w:rFonts w:ascii="Times New Roman" w:hAnsi="Times New Roman" w:cs="Times New Roman"/>
          <w:sz w:val="28"/>
          <w:szCs w:val="28"/>
        </w:rPr>
        <w:t xml:space="preserve"> las materias</w:t>
      </w:r>
      <w:r w:rsidR="004C5031" w:rsidRPr="00A22890">
        <w:rPr>
          <w:rFonts w:ascii="Times New Roman" w:hAnsi="Times New Roman" w:cs="Times New Roman"/>
          <w:sz w:val="28"/>
          <w:szCs w:val="28"/>
        </w:rPr>
        <w:t>:</w:t>
      </w:r>
      <w:r w:rsidRPr="00A22890">
        <w:rPr>
          <w:rFonts w:ascii="Times New Roman" w:hAnsi="Times New Roman" w:cs="Times New Roman"/>
          <w:sz w:val="28"/>
          <w:szCs w:val="28"/>
        </w:rPr>
        <w:t xml:space="preserve"> Constitucional, Notarial, </w:t>
      </w:r>
      <w:r w:rsidR="004C5031" w:rsidRPr="00A22890">
        <w:rPr>
          <w:rFonts w:ascii="Times New Roman" w:hAnsi="Times New Roman" w:cs="Times New Roman"/>
          <w:sz w:val="28"/>
          <w:szCs w:val="28"/>
        </w:rPr>
        <w:t>Transito, Contenciosa, Familia y especialmente Cobro Judicial</w:t>
      </w:r>
      <w:r w:rsidR="005923E1" w:rsidRPr="00A22890">
        <w:rPr>
          <w:rFonts w:ascii="Times New Roman" w:hAnsi="Times New Roman" w:cs="Times New Roman"/>
          <w:sz w:val="28"/>
          <w:szCs w:val="28"/>
        </w:rPr>
        <w:t>,</w:t>
      </w:r>
      <w:r w:rsidR="004C5031" w:rsidRPr="00A22890">
        <w:rPr>
          <w:rFonts w:ascii="Times New Roman" w:hAnsi="Times New Roman" w:cs="Times New Roman"/>
          <w:sz w:val="28"/>
          <w:szCs w:val="28"/>
        </w:rPr>
        <w:t xml:space="preserve"> se aumentó el circulante en </w:t>
      </w:r>
      <w:r w:rsidR="004C5031" w:rsidRPr="00A22890">
        <w:rPr>
          <w:rFonts w:ascii="Times New Roman" w:hAnsi="Times New Roman" w:cs="Times New Roman"/>
          <w:b/>
          <w:sz w:val="28"/>
          <w:szCs w:val="28"/>
        </w:rPr>
        <w:t>31.094</w:t>
      </w:r>
      <w:r w:rsidR="004C5031" w:rsidRPr="00A22890">
        <w:rPr>
          <w:rFonts w:ascii="Times New Roman" w:hAnsi="Times New Roman" w:cs="Times New Roman"/>
          <w:sz w:val="28"/>
          <w:szCs w:val="28"/>
        </w:rPr>
        <w:t xml:space="preserve"> casos contra los </w:t>
      </w:r>
      <w:r w:rsidR="004C5031" w:rsidRPr="00A22890">
        <w:rPr>
          <w:rFonts w:ascii="Times New Roman" w:hAnsi="Times New Roman" w:cs="Times New Roman"/>
          <w:b/>
          <w:sz w:val="28"/>
          <w:szCs w:val="28"/>
        </w:rPr>
        <w:t>29.141</w:t>
      </w:r>
      <w:r w:rsidR="004C5031" w:rsidRPr="00A22890">
        <w:rPr>
          <w:rFonts w:ascii="Times New Roman" w:hAnsi="Times New Roman" w:cs="Times New Roman"/>
          <w:sz w:val="28"/>
          <w:szCs w:val="28"/>
        </w:rPr>
        <w:t xml:space="preserve"> en que disminuyó el circulante de las materias: Civil Ordinario, Violencia, Penal Juvenil, Contravencional, Penal, Trabajo, Agraria y Pensiones Alimentaria como conglomerado.</w:t>
      </w:r>
    </w:p>
    <w:p w:rsidR="00920314" w:rsidRDefault="00920314">
      <w:pPr>
        <w:rPr>
          <w:rFonts w:ascii="Times New Roman" w:hAnsi="Times New Roman" w:cs="Times New Roman"/>
          <w:sz w:val="28"/>
          <w:szCs w:val="28"/>
        </w:rPr>
      </w:pPr>
    </w:p>
    <w:tbl>
      <w:tblPr>
        <w:tblW w:w="7860" w:type="dxa"/>
        <w:jc w:val="center"/>
        <w:tblCellMar>
          <w:left w:w="70" w:type="dxa"/>
          <w:right w:w="70" w:type="dxa"/>
        </w:tblCellMar>
        <w:tblLook w:val="04A0"/>
      </w:tblPr>
      <w:tblGrid>
        <w:gridCol w:w="3060"/>
        <w:gridCol w:w="1200"/>
        <w:gridCol w:w="1200"/>
        <w:gridCol w:w="1200"/>
        <w:gridCol w:w="1200"/>
      </w:tblGrid>
      <w:tr w:rsidR="00ED20EF" w:rsidRPr="00ED20EF" w:rsidTr="00ED20EF">
        <w:trPr>
          <w:trHeight w:val="300"/>
          <w:jc w:val="center"/>
        </w:trPr>
        <w:tc>
          <w:tcPr>
            <w:tcW w:w="3060" w:type="dxa"/>
            <w:vMerge w:val="restart"/>
            <w:tcBorders>
              <w:top w:val="single" w:sz="8" w:space="0" w:color="auto"/>
              <w:left w:val="nil"/>
              <w:bottom w:val="nil"/>
              <w:right w:val="nil"/>
            </w:tcBorders>
            <w:shd w:val="clear" w:color="auto" w:fill="auto"/>
            <w:vAlign w:val="center"/>
            <w:hideMark/>
          </w:tcPr>
          <w:p w:rsidR="00ED20EF" w:rsidRPr="00ED20EF" w:rsidRDefault="00ED20EF" w:rsidP="00ED20EF">
            <w:pPr>
              <w:spacing w:after="0" w:line="240" w:lineRule="auto"/>
              <w:jc w:val="center"/>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Materia</w:t>
            </w:r>
          </w:p>
        </w:tc>
        <w:tc>
          <w:tcPr>
            <w:tcW w:w="2400" w:type="dxa"/>
            <w:gridSpan w:val="2"/>
            <w:tcBorders>
              <w:top w:val="single" w:sz="8" w:space="0" w:color="auto"/>
              <w:left w:val="nil"/>
              <w:bottom w:val="nil"/>
              <w:right w:val="nil"/>
            </w:tcBorders>
            <w:shd w:val="clear" w:color="auto" w:fill="auto"/>
            <w:vAlign w:val="center"/>
            <w:hideMark/>
          </w:tcPr>
          <w:p w:rsidR="00ED20EF" w:rsidRPr="00ED20EF" w:rsidRDefault="00ED20EF" w:rsidP="00ED20EF">
            <w:pPr>
              <w:spacing w:after="0" w:line="240" w:lineRule="auto"/>
              <w:jc w:val="center"/>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Año</w:t>
            </w:r>
          </w:p>
        </w:tc>
        <w:tc>
          <w:tcPr>
            <w:tcW w:w="2400" w:type="dxa"/>
            <w:gridSpan w:val="2"/>
            <w:tcBorders>
              <w:top w:val="single" w:sz="8" w:space="0" w:color="auto"/>
              <w:left w:val="nil"/>
              <w:bottom w:val="nil"/>
              <w:right w:val="nil"/>
            </w:tcBorders>
            <w:shd w:val="clear" w:color="auto" w:fill="auto"/>
            <w:vAlign w:val="center"/>
            <w:hideMark/>
          </w:tcPr>
          <w:p w:rsidR="00ED20EF" w:rsidRPr="00ED20EF" w:rsidRDefault="00ED20EF" w:rsidP="00ED20EF">
            <w:pPr>
              <w:spacing w:after="0" w:line="240" w:lineRule="auto"/>
              <w:jc w:val="center"/>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Variación</w:t>
            </w:r>
          </w:p>
        </w:tc>
      </w:tr>
      <w:tr w:rsidR="00ED20EF" w:rsidRPr="00ED20EF" w:rsidTr="00ED20EF">
        <w:trPr>
          <w:trHeight w:val="300"/>
          <w:jc w:val="center"/>
        </w:trPr>
        <w:tc>
          <w:tcPr>
            <w:tcW w:w="3060" w:type="dxa"/>
            <w:vMerge/>
            <w:tcBorders>
              <w:top w:val="single" w:sz="8" w:space="0" w:color="auto"/>
              <w:left w:val="nil"/>
              <w:bottom w:val="nil"/>
              <w:right w:val="nil"/>
            </w:tcBorders>
            <w:vAlign w:val="center"/>
            <w:hideMark/>
          </w:tcPr>
          <w:p w:rsidR="00ED20EF" w:rsidRPr="00ED20EF" w:rsidRDefault="00ED20EF" w:rsidP="00ED20EF">
            <w:pPr>
              <w:spacing w:after="0" w:line="240" w:lineRule="auto"/>
              <w:rPr>
                <w:rFonts w:ascii="Times New Roman" w:eastAsia="Times New Roman" w:hAnsi="Times New Roman" w:cs="Times New Roman"/>
                <w:b/>
                <w:bCs/>
                <w:sz w:val="24"/>
                <w:szCs w:val="24"/>
                <w:u w:val="single"/>
                <w:lang w:eastAsia="es-CR"/>
              </w:rPr>
            </w:pP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jc w:val="center"/>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2015</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jc w:val="center"/>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2016</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Absoluta</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Relativa</w:t>
            </w:r>
          </w:p>
        </w:tc>
      </w:tr>
      <w:tr w:rsidR="00ED20EF" w:rsidRPr="00ED20EF" w:rsidTr="00ED20EF">
        <w:trPr>
          <w:trHeight w:val="300"/>
          <w:jc w:val="center"/>
        </w:trPr>
        <w:tc>
          <w:tcPr>
            <w:tcW w:w="3060" w:type="dxa"/>
            <w:tcBorders>
              <w:top w:val="nil"/>
              <w:left w:val="nil"/>
              <w:bottom w:val="nil"/>
              <w:right w:val="nil"/>
            </w:tcBorders>
            <w:shd w:val="clear" w:color="auto" w:fill="auto"/>
            <w:vAlign w:val="center"/>
            <w:hideMark/>
          </w:tcPr>
          <w:p w:rsidR="00AE7F86" w:rsidRDefault="00AE7F86" w:rsidP="00ED20EF">
            <w:pPr>
              <w:spacing w:after="0" w:line="240" w:lineRule="auto"/>
              <w:rPr>
                <w:rFonts w:ascii="Times New Roman" w:eastAsia="Times New Roman" w:hAnsi="Times New Roman" w:cs="Times New Roman"/>
                <w:b/>
                <w:bCs/>
                <w:sz w:val="24"/>
                <w:szCs w:val="24"/>
                <w:u w:val="single"/>
                <w:lang w:eastAsia="es-CR"/>
              </w:rPr>
            </w:pPr>
          </w:p>
          <w:p w:rsidR="00ED20EF" w:rsidRDefault="00ED20EF" w:rsidP="00AE7F86">
            <w:pPr>
              <w:spacing w:after="0" w:line="240" w:lineRule="auto"/>
              <w:jc w:val="center"/>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TOTAL</w:t>
            </w:r>
          </w:p>
          <w:p w:rsidR="00AE7F86" w:rsidRPr="00ED20EF" w:rsidRDefault="00AE7F86" w:rsidP="00ED20EF">
            <w:pPr>
              <w:spacing w:after="0" w:line="240" w:lineRule="auto"/>
              <w:rPr>
                <w:rFonts w:ascii="Times New Roman" w:eastAsia="Times New Roman" w:hAnsi="Times New Roman" w:cs="Times New Roman"/>
                <w:b/>
                <w:bCs/>
                <w:sz w:val="24"/>
                <w:szCs w:val="24"/>
                <w:u w:val="single"/>
                <w:lang w:eastAsia="es-CR"/>
              </w:rPr>
            </w:pPr>
          </w:p>
        </w:tc>
        <w:tc>
          <w:tcPr>
            <w:tcW w:w="1200" w:type="dxa"/>
            <w:tcBorders>
              <w:top w:val="nil"/>
              <w:left w:val="nil"/>
              <w:bottom w:val="nil"/>
              <w:right w:val="nil"/>
            </w:tcBorders>
            <w:shd w:val="clear" w:color="auto" w:fill="auto"/>
            <w:vAlign w:val="center"/>
            <w:hideMark/>
          </w:tcPr>
          <w:p w:rsidR="00AE7F86" w:rsidRDefault="00AE7F86" w:rsidP="00ED20EF">
            <w:pPr>
              <w:spacing w:after="0" w:line="240" w:lineRule="auto"/>
              <w:jc w:val="right"/>
              <w:rPr>
                <w:rFonts w:ascii="Times New Roman" w:eastAsia="Times New Roman" w:hAnsi="Times New Roman" w:cs="Times New Roman"/>
                <w:b/>
                <w:bCs/>
                <w:sz w:val="24"/>
                <w:szCs w:val="24"/>
                <w:u w:val="single"/>
                <w:lang w:eastAsia="es-CR"/>
              </w:rPr>
            </w:pPr>
          </w:p>
          <w:p w:rsidR="00ED20EF" w:rsidRDefault="00ED20EF" w:rsidP="00ED20EF">
            <w:pPr>
              <w:spacing w:after="0" w:line="240" w:lineRule="auto"/>
              <w:jc w:val="right"/>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982.918</w:t>
            </w:r>
          </w:p>
          <w:p w:rsidR="00AE7F86" w:rsidRPr="00ED20EF" w:rsidRDefault="00AE7F86" w:rsidP="00ED20EF">
            <w:pPr>
              <w:spacing w:after="0" w:line="240" w:lineRule="auto"/>
              <w:jc w:val="right"/>
              <w:rPr>
                <w:rFonts w:ascii="Times New Roman" w:eastAsia="Times New Roman" w:hAnsi="Times New Roman" w:cs="Times New Roman"/>
                <w:b/>
                <w:bCs/>
                <w:sz w:val="24"/>
                <w:szCs w:val="24"/>
                <w:u w:val="single"/>
                <w:lang w:eastAsia="es-CR"/>
              </w:rPr>
            </w:pPr>
          </w:p>
        </w:tc>
        <w:tc>
          <w:tcPr>
            <w:tcW w:w="1200" w:type="dxa"/>
            <w:tcBorders>
              <w:top w:val="nil"/>
              <w:left w:val="nil"/>
              <w:bottom w:val="nil"/>
              <w:right w:val="nil"/>
            </w:tcBorders>
            <w:shd w:val="clear" w:color="auto" w:fill="auto"/>
            <w:vAlign w:val="center"/>
            <w:hideMark/>
          </w:tcPr>
          <w:p w:rsidR="00AE7F86" w:rsidRDefault="00AE7F86" w:rsidP="00ED20EF">
            <w:pPr>
              <w:spacing w:after="0" w:line="240" w:lineRule="auto"/>
              <w:jc w:val="right"/>
              <w:rPr>
                <w:rFonts w:ascii="Times New Roman" w:eastAsia="Times New Roman" w:hAnsi="Times New Roman" w:cs="Times New Roman"/>
                <w:b/>
                <w:bCs/>
                <w:sz w:val="24"/>
                <w:szCs w:val="24"/>
                <w:u w:val="single"/>
                <w:lang w:eastAsia="es-CR"/>
              </w:rPr>
            </w:pPr>
          </w:p>
          <w:p w:rsidR="00ED20EF" w:rsidRDefault="00ED20EF" w:rsidP="00ED20EF">
            <w:pPr>
              <w:spacing w:after="0" w:line="240" w:lineRule="auto"/>
              <w:jc w:val="right"/>
              <w:rPr>
                <w:rFonts w:ascii="Times New Roman" w:eastAsia="Times New Roman" w:hAnsi="Times New Roman" w:cs="Times New Roman"/>
                <w:b/>
                <w:bCs/>
                <w:sz w:val="24"/>
                <w:szCs w:val="24"/>
                <w:u w:val="single"/>
                <w:lang w:eastAsia="es-CR"/>
              </w:rPr>
            </w:pPr>
            <w:r w:rsidRPr="00ED20EF">
              <w:rPr>
                <w:rFonts w:ascii="Times New Roman" w:eastAsia="Times New Roman" w:hAnsi="Times New Roman" w:cs="Times New Roman"/>
                <w:b/>
                <w:bCs/>
                <w:sz w:val="24"/>
                <w:szCs w:val="24"/>
                <w:u w:val="single"/>
                <w:lang w:eastAsia="es-CR"/>
              </w:rPr>
              <w:t>984.871</w:t>
            </w:r>
          </w:p>
          <w:p w:rsidR="00AE7F86" w:rsidRPr="00ED20EF" w:rsidRDefault="00AE7F86" w:rsidP="00ED20EF">
            <w:pPr>
              <w:spacing w:after="0" w:line="240" w:lineRule="auto"/>
              <w:jc w:val="right"/>
              <w:rPr>
                <w:rFonts w:ascii="Times New Roman" w:eastAsia="Times New Roman" w:hAnsi="Times New Roman" w:cs="Times New Roman"/>
                <w:b/>
                <w:bCs/>
                <w:sz w:val="24"/>
                <w:szCs w:val="24"/>
                <w:u w:val="single"/>
                <w:lang w:eastAsia="es-CR"/>
              </w:rPr>
            </w:pPr>
          </w:p>
        </w:tc>
        <w:tc>
          <w:tcPr>
            <w:tcW w:w="1200" w:type="dxa"/>
            <w:tcBorders>
              <w:top w:val="nil"/>
              <w:left w:val="nil"/>
              <w:bottom w:val="nil"/>
              <w:right w:val="nil"/>
            </w:tcBorders>
            <w:shd w:val="clear" w:color="auto" w:fill="auto"/>
            <w:vAlign w:val="center"/>
            <w:hideMark/>
          </w:tcPr>
          <w:p w:rsidR="00AE7F86" w:rsidRDefault="00AE7F86" w:rsidP="00D741C3">
            <w:pPr>
              <w:spacing w:after="0" w:line="240" w:lineRule="auto"/>
              <w:ind w:right="240"/>
              <w:jc w:val="right"/>
              <w:rPr>
                <w:rFonts w:ascii="Times New Roman" w:eastAsia="Times New Roman" w:hAnsi="Times New Roman" w:cs="Times New Roman"/>
                <w:b/>
                <w:bCs/>
                <w:sz w:val="24"/>
                <w:szCs w:val="24"/>
                <w:lang w:eastAsia="es-CR"/>
              </w:rPr>
            </w:pPr>
          </w:p>
          <w:p w:rsidR="00ED20EF" w:rsidRDefault="00ED20EF" w:rsidP="00D741C3">
            <w:pPr>
              <w:spacing w:after="0" w:line="240" w:lineRule="auto"/>
              <w:ind w:right="240"/>
              <w:jc w:val="right"/>
              <w:rPr>
                <w:rFonts w:ascii="Times New Roman" w:eastAsia="Times New Roman" w:hAnsi="Times New Roman" w:cs="Times New Roman"/>
                <w:b/>
                <w:bCs/>
                <w:sz w:val="24"/>
                <w:szCs w:val="24"/>
                <w:lang w:eastAsia="es-CR"/>
              </w:rPr>
            </w:pPr>
            <w:r w:rsidRPr="00ED20EF">
              <w:rPr>
                <w:rFonts w:ascii="Times New Roman" w:eastAsia="Times New Roman" w:hAnsi="Times New Roman" w:cs="Times New Roman"/>
                <w:b/>
                <w:bCs/>
                <w:sz w:val="24"/>
                <w:szCs w:val="24"/>
                <w:lang w:eastAsia="es-CR"/>
              </w:rPr>
              <w:t>1.953</w:t>
            </w:r>
          </w:p>
          <w:p w:rsidR="00AE7F86" w:rsidRPr="00ED20EF" w:rsidRDefault="00AE7F86" w:rsidP="00D741C3">
            <w:pPr>
              <w:spacing w:after="0" w:line="240" w:lineRule="auto"/>
              <w:ind w:right="240"/>
              <w:jc w:val="right"/>
              <w:rPr>
                <w:rFonts w:ascii="Times New Roman" w:eastAsia="Times New Roman" w:hAnsi="Times New Roman" w:cs="Times New Roman"/>
                <w:b/>
                <w:bCs/>
                <w:sz w:val="24"/>
                <w:szCs w:val="24"/>
                <w:lang w:eastAsia="es-CR"/>
              </w:rPr>
            </w:pPr>
          </w:p>
        </w:tc>
        <w:tc>
          <w:tcPr>
            <w:tcW w:w="1200" w:type="dxa"/>
            <w:tcBorders>
              <w:top w:val="nil"/>
              <w:left w:val="nil"/>
              <w:bottom w:val="nil"/>
              <w:right w:val="nil"/>
            </w:tcBorders>
            <w:shd w:val="clear" w:color="auto" w:fill="auto"/>
            <w:vAlign w:val="center"/>
            <w:hideMark/>
          </w:tcPr>
          <w:p w:rsidR="00AE7F86" w:rsidRDefault="00AE7F86" w:rsidP="00AE7F86">
            <w:pPr>
              <w:spacing w:after="0" w:line="240" w:lineRule="auto"/>
              <w:ind w:right="240"/>
              <w:jc w:val="right"/>
              <w:rPr>
                <w:rFonts w:ascii="Times New Roman" w:eastAsia="Times New Roman" w:hAnsi="Times New Roman" w:cs="Times New Roman"/>
                <w:b/>
                <w:bCs/>
                <w:sz w:val="24"/>
                <w:szCs w:val="24"/>
                <w:lang w:eastAsia="es-CR"/>
              </w:rPr>
            </w:pPr>
          </w:p>
          <w:p w:rsidR="00AE7F86" w:rsidRDefault="00ED20EF" w:rsidP="00AE7F86">
            <w:pPr>
              <w:spacing w:after="0" w:line="240" w:lineRule="auto"/>
              <w:ind w:right="240"/>
              <w:jc w:val="right"/>
              <w:rPr>
                <w:rFonts w:ascii="Times New Roman" w:eastAsia="Times New Roman" w:hAnsi="Times New Roman" w:cs="Times New Roman"/>
                <w:b/>
                <w:bCs/>
                <w:sz w:val="24"/>
                <w:szCs w:val="24"/>
                <w:lang w:eastAsia="es-CR"/>
              </w:rPr>
            </w:pPr>
            <w:r w:rsidRPr="00ED20EF">
              <w:rPr>
                <w:rFonts w:ascii="Times New Roman" w:eastAsia="Times New Roman" w:hAnsi="Times New Roman" w:cs="Times New Roman"/>
                <w:b/>
                <w:bCs/>
                <w:sz w:val="24"/>
                <w:szCs w:val="24"/>
                <w:lang w:eastAsia="es-CR"/>
              </w:rPr>
              <w:t>0,2%</w:t>
            </w:r>
          </w:p>
          <w:p w:rsidR="00AE7F86" w:rsidRPr="00ED20EF" w:rsidRDefault="00AE7F86" w:rsidP="00AE7F86">
            <w:pPr>
              <w:spacing w:after="0" w:line="240" w:lineRule="auto"/>
              <w:ind w:right="240"/>
              <w:jc w:val="right"/>
              <w:rPr>
                <w:rFonts w:ascii="Times New Roman" w:eastAsia="Times New Roman" w:hAnsi="Times New Roman" w:cs="Times New Roman"/>
                <w:b/>
                <w:bCs/>
                <w:sz w:val="24"/>
                <w:szCs w:val="24"/>
                <w:lang w:eastAsia="es-CR"/>
              </w:rPr>
            </w:pPr>
          </w:p>
        </w:tc>
      </w:tr>
      <w:tr w:rsidR="00ED20EF" w:rsidRPr="00ED20EF" w:rsidTr="00ED20EF">
        <w:trPr>
          <w:trHeight w:val="300"/>
          <w:jc w:val="center"/>
        </w:trPr>
        <w:tc>
          <w:tcPr>
            <w:tcW w:w="7860" w:type="dxa"/>
            <w:gridSpan w:val="5"/>
            <w:tcBorders>
              <w:top w:val="nil"/>
              <w:left w:val="nil"/>
              <w:bottom w:val="nil"/>
              <w:right w:val="nil"/>
            </w:tcBorders>
            <w:shd w:val="clear" w:color="000000" w:fill="CCFFCC"/>
            <w:vAlign w:val="center"/>
            <w:hideMark/>
          </w:tcPr>
          <w:p w:rsidR="00ED20EF" w:rsidRPr="00ED20EF" w:rsidRDefault="00ED20EF" w:rsidP="00ED20EF">
            <w:pPr>
              <w:spacing w:after="0" w:line="240" w:lineRule="auto"/>
              <w:jc w:val="center"/>
              <w:rPr>
                <w:rFonts w:ascii="Times New Roman" w:eastAsia="Times New Roman" w:hAnsi="Times New Roman" w:cs="Times New Roman"/>
                <w:b/>
                <w:bCs/>
                <w:color w:val="000000"/>
                <w:sz w:val="24"/>
                <w:szCs w:val="24"/>
                <w:lang w:eastAsia="es-CR"/>
              </w:rPr>
            </w:pPr>
            <w:r w:rsidRPr="00ED20EF">
              <w:rPr>
                <w:rFonts w:ascii="Times New Roman" w:eastAsia="Times New Roman" w:hAnsi="Times New Roman" w:cs="Times New Roman"/>
                <w:b/>
                <w:bCs/>
                <w:color w:val="000000"/>
                <w:sz w:val="24"/>
                <w:szCs w:val="24"/>
                <w:lang w:eastAsia="es-CR"/>
              </w:rPr>
              <w:t>Aumentos</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Constitucional</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1.114</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1.344</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230</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21%</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Notarial</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3.165</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3.497</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332</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10%</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Cobro Judicial</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424.203</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453.169</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28.966</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7%</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Tránsito</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29.475</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30.418</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943</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Contenciosa Administrativa</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17.740</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18.232</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492</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Familia</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19.483</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19.614</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131</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w:t>
            </w:r>
          </w:p>
        </w:tc>
      </w:tr>
      <w:tr w:rsidR="00ED20EF" w:rsidRPr="00ED20EF" w:rsidTr="00ED20EF">
        <w:trPr>
          <w:trHeight w:val="310"/>
          <w:jc w:val="center"/>
        </w:trPr>
        <w:tc>
          <w:tcPr>
            <w:tcW w:w="7860" w:type="dxa"/>
            <w:gridSpan w:val="5"/>
            <w:tcBorders>
              <w:top w:val="nil"/>
              <w:left w:val="nil"/>
              <w:bottom w:val="nil"/>
              <w:right w:val="nil"/>
            </w:tcBorders>
            <w:shd w:val="clear" w:color="000000" w:fill="CCFFCC"/>
            <w:vAlign w:val="center"/>
            <w:hideMark/>
          </w:tcPr>
          <w:p w:rsidR="00ED20EF" w:rsidRPr="00ED20EF" w:rsidRDefault="00ED20EF" w:rsidP="00ED20EF">
            <w:pPr>
              <w:spacing w:after="0" w:line="240" w:lineRule="auto"/>
              <w:jc w:val="center"/>
              <w:rPr>
                <w:rFonts w:ascii="Times New Roman" w:eastAsia="Times New Roman" w:hAnsi="Times New Roman" w:cs="Times New Roman"/>
                <w:b/>
                <w:bCs/>
                <w:color w:val="000000"/>
                <w:sz w:val="24"/>
                <w:szCs w:val="24"/>
                <w:lang w:eastAsia="es-CR"/>
              </w:rPr>
            </w:pPr>
            <w:r w:rsidRPr="00ED20EF">
              <w:rPr>
                <w:rFonts w:ascii="Times New Roman" w:eastAsia="Times New Roman" w:hAnsi="Times New Roman" w:cs="Times New Roman"/>
                <w:b/>
                <w:bCs/>
                <w:color w:val="000000"/>
                <w:sz w:val="24"/>
                <w:szCs w:val="24"/>
                <w:lang w:eastAsia="es-CR"/>
              </w:rPr>
              <w:t>Disminuciones</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Civil Ordinarios</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71.809</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57.431</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-14.378</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-20%</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Violencia Doméstica</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47.272</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42.548</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-4.724</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-10%</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Penal Juvenil</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10.730</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9.782</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-948</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-9%</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Contravencional</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23.156</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21.464</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-1.692</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-7%</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Penal</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109.968</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105.506</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-4.462</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Trabajo</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45.820</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44.356</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-1.464</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Agraria</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6.938</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6.746</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-192</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-3%</w:t>
            </w:r>
          </w:p>
        </w:tc>
      </w:tr>
      <w:tr w:rsidR="00ED20EF" w:rsidRPr="00ED20EF" w:rsidTr="00ED20EF">
        <w:trPr>
          <w:trHeight w:val="310"/>
          <w:jc w:val="center"/>
        </w:trPr>
        <w:tc>
          <w:tcPr>
            <w:tcW w:w="306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Pensiones Alimentarias</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172.045</w:t>
            </w:r>
          </w:p>
        </w:tc>
        <w:tc>
          <w:tcPr>
            <w:tcW w:w="1200" w:type="dxa"/>
            <w:tcBorders>
              <w:top w:val="nil"/>
              <w:left w:val="nil"/>
              <w:bottom w:val="nil"/>
              <w:right w:val="nil"/>
            </w:tcBorders>
            <w:shd w:val="clear" w:color="auto" w:fill="auto"/>
            <w:vAlign w:val="center"/>
            <w:hideMark/>
          </w:tcPr>
          <w:p w:rsidR="00ED20EF" w:rsidRPr="00ED20EF" w:rsidRDefault="00ED20EF" w:rsidP="00ED20EF">
            <w:pPr>
              <w:spacing w:after="0" w:line="240" w:lineRule="auto"/>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170.764</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-1.281</w:t>
            </w:r>
          </w:p>
        </w:tc>
        <w:tc>
          <w:tcPr>
            <w:tcW w:w="1200" w:type="dxa"/>
            <w:tcBorders>
              <w:top w:val="nil"/>
              <w:left w:val="nil"/>
              <w:bottom w:val="nil"/>
              <w:right w:val="nil"/>
            </w:tcBorders>
            <w:shd w:val="clear" w:color="auto" w:fill="auto"/>
            <w:vAlign w:val="center"/>
            <w:hideMark/>
          </w:tcPr>
          <w:p w:rsidR="00ED20EF" w:rsidRPr="00ED20EF" w:rsidRDefault="00ED20EF" w:rsidP="00D741C3">
            <w:pPr>
              <w:spacing w:after="0" w:line="240" w:lineRule="auto"/>
              <w:ind w:right="240"/>
              <w:jc w:val="right"/>
              <w:rPr>
                <w:rFonts w:ascii="Times New Roman" w:eastAsia="Times New Roman" w:hAnsi="Times New Roman" w:cs="Times New Roman"/>
                <w:sz w:val="24"/>
                <w:szCs w:val="24"/>
                <w:lang w:eastAsia="es-CR"/>
              </w:rPr>
            </w:pPr>
            <w:r w:rsidRPr="00ED20EF">
              <w:rPr>
                <w:rFonts w:ascii="Times New Roman" w:eastAsia="Times New Roman" w:hAnsi="Times New Roman" w:cs="Times New Roman"/>
                <w:sz w:val="24"/>
                <w:szCs w:val="24"/>
                <w:lang w:eastAsia="es-CR"/>
              </w:rPr>
              <w:t>-1%</w:t>
            </w:r>
          </w:p>
        </w:tc>
      </w:tr>
    </w:tbl>
    <w:p w:rsidR="00ED20EF" w:rsidRDefault="00ED20EF" w:rsidP="00445451">
      <w:pPr>
        <w:jc w:val="both"/>
        <w:rPr>
          <w:rFonts w:ascii="Times New Roman" w:eastAsia="Times New Roman" w:hAnsi="Times New Roman" w:cs="Times New Roman"/>
          <w:b/>
          <w:bCs/>
          <w:color w:val="000000"/>
          <w:sz w:val="24"/>
          <w:szCs w:val="24"/>
          <w:lang w:eastAsia="es-CR"/>
        </w:rPr>
      </w:pPr>
    </w:p>
    <w:p w:rsidR="00ED20EF" w:rsidRPr="00A22890" w:rsidRDefault="00205E77" w:rsidP="00445451">
      <w:pPr>
        <w:jc w:val="both"/>
        <w:rPr>
          <w:rFonts w:ascii="Times New Roman" w:eastAsia="Times New Roman" w:hAnsi="Times New Roman" w:cs="Times New Roman"/>
          <w:b/>
          <w:bCs/>
          <w:color w:val="000000"/>
          <w:sz w:val="24"/>
          <w:szCs w:val="24"/>
          <w:lang w:eastAsia="es-CR"/>
        </w:rPr>
      </w:pPr>
      <w:r w:rsidRPr="00A22890">
        <w:rPr>
          <w:rFonts w:ascii="Times New Roman" w:hAnsi="Times New Roman" w:cs="Times New Roman"/>
          <w:sz w:val="28"/>
          <w:szCs w:val="28"/>
        </w:rPr>
        <w:t>Como corolario de lo anterior</w:t>
      </w:r>
      <w:r w:rsidR="005923E1" w:rsidRPr="00A22890">
        <w:rPr>
          <w:rFonts w:ascii="Times New Roman" w:hAnsi="Times New Roman" w:cs="Times New Roman"/>
          <w:sz w:val="28"/>
          <w:szCs w:val="28"/>
        </w:rPr>
        <w:t xml:space="preserve">, </w:t>
      </w:r>
      <w:r w:rsidRPr="00A22890">
        <w:rPr>
          <w:rFonts w:ascii="Times New Roman" w:hAnsi="Times New Roman" w:cs="Times New Roman"/>
          <w:sz w:val="28"/>
          <w:szCs w:val="28"/>
        </w:rPr>
        <w:t xml:space="preserve">es </w:t>
      </w:r>
      <w:r w:rsidR="005923E1" w:rsidRPr="00A22890">
        <w:rPr>
          <w:rFonts w:ascii="Times New Roman" w:hAnsi="Times New Roman" w:cs="Times New Roman"/>
          <w:sz w:val="28"/>
          <w:szCs w:val="28"/>
        </w:rPr>
        <w:t xml:space="preserve">la </w:t>
      </w:r>
      <w:r w:rsidRPr="00A22890">
        <w:rPr>
          <w:rFonts w:ascii="Times New Roman" w:hAnsi="Times New Roman" w:cs="Times New Roman"/>
          <w:sz w:val="28"/>
          <w:szCs w:val="28"/>
        </w:rPr>
        <w:t xml:space="preserve">necesaria la mención de lo que aconteció en materia Civil. Mientras los asuntos pendientes de Cobro Judicial crecieron en </w:t>
      </w:r>
      <w:r w:rsidRPr="00A22890">
        <w:rPr>
          <w:rFonts w:ascii="Times New Roman" w:hAnsi="Times New Roman" w:cs="Times New Roman"/>
          <w:b/>
          <w:sz w:val="28"/>
          <w:szCs w:val="28"/>
        </w:rPr>
        <w:t>28.966</w:t>
      </w:r>
      <w:r w:rsidRPr="00A22890">
        <w:rPr>
          <w:rFonts w:ascii="Times New Roman" w:hAnsi="Times New Roman" w:cs="Times New Roman"/>
          <w:sz w:val="28"/>
          <w:szCs w:val="28"/>
        </w:rPr>
        <w:t xml:space="preserve"> (se pasó de </w:t>
      </w:r>
      <w:r w:rsidRPr="00A22890">
        <w:rPr>
          <w:rFonts w:ascii="Times New Roman" w:hAnsi="Times New Roman" w:cs="Times New Roman"/>
          <w:b/>
          <w:sz w:val="28"/>
          <w:szCs w:val="28"/>
        </w:rPr>
        <w:t>424.203</w:t>
      </w:r>
      <w:r w:rsidRPr="00A22890">
        <w:rPr>
          <w:rFonts w:ascii="Times New Roman" w:hAnsi="Times New Roman" w:cs="Times New Roman"/>
          <w:sz w:val="28"/>
          <w:szCs w:val="28"/>
        </w:rPr>
        <w:t xml:space="preserve"> a la conclusión del 2015 a </w:t>
      </w:r>
      <w:r w:rsidRPr="00A22890">
        <w:rPr>
          <w:rFonts w:ascii="Times New Roman" w:hAnsi="Times New Roman" w:cs="Times New Roman"/>
          <w:b/>
          <w:sz w:val="28"/>
          <w:szCs w:val="28"/>
        </w:rPr>
        <w:t>453.169</w:t>
      </w:r>
      <w:r w:rsidRPr="00A22890">
        <w:rPr>
          <w:rFonts w:ascii="Times New Roman" w:hAnsi="Times New Roman" w:cs="Times New Roman"/>
          <w:sz w:val="28"/>
          <w:szCs w:val="28"/>
        </w:rPr>
        <w:t xml:space="preserve"> al 31 de diciembre de este año) los asuntos civiles “no de cobro” se redujeron en </w:t>
      </w:r>
      <w:r w:rsidRPr="00A22890">
        <w:rPr>
          <w:rFonts w:ascii="Times New Roman" w:hAnsi="Times New Roman" w:cs="Times New Roman"/>
          <w:b/>
          <w:sz w:val="28"/>
          <w:szCs w:val="28"/>
        </w:rPr>
        <w:t>14.378</w:t>
      </w:r>
      <w:r w:rsidRPr="00A22890">
        <w:rPr>
          <w:rFonts w:ascii="Times New Roman" w:hAnsi="Times New Roman" w:cs="Times New Roman"/>
          <w:sz w:val="28"/>
          <w:szCs w:val="28"/>
        </w:rPr>
        <w:t xml:space="preserve"> (se pasó de </w:t>
      </w:r>
      <w:r w:rsidRPr="00A22890">
        <w:rPr>
          <w:rFonts w:ascii="Times New Roman" w:hAnsi="Times New Roman" w:cs="Times New Roman"/>
          <w:b/>
          <w:sz w:val="28"/>
          <w:szCs w:val="28"/>
        </w:rPr>
        <w:t>71.809</w:t>
      </w:r>
      <w:r w:rsidRPr="00A22890">
        <w:rPr>
          <w:rFonts w:ascii="Times New Roman" w:hAnsi="Times New Roman" w:cs="Times New Roman"/>
          <w:sz w:val="28"/>
          <w:szCs w:val="28"/>
        </w:rPr>
        <w:t xml:space="preserve"> al final del 2015 a </w:t>
      </w:r>
      <w:r w:rsidRPr="00A22890">
        <w:rPr>
          <w:rFonts w:ascii="Times New Roman" w:hAnsi="Times New Roman" w:cs="Times New Roman"/>
          <w:b/>
          <w:sz w:val="28"/>
          <w:szCs w:val="28"/>
        </w:rPr>
        <w:t>57.431</w:t>
      </w:r>
      <w:r w:rsidRPr="00A22890">
        <w:rPr>
          <w:rFonts w:ascii="Times New Roman" w:hAnsi="Times New Roman" w:cs="Times New Roman"/>
          <w:sz w:val="28"/>
          <w:szCs w:val="28"/>
        </w:rPr>
        <w:t xml:space="preserve"> al terminar el 2016)</w:t>
      </w:r>
      <w:r w:rsidR="00C34C20" w:rsidRPr="00A22890">
        <w:rPr>
          <w:rFonts w:ascii="Times New Roman" w:hAnsi="Times New Roman" w:cs="Times New Roman"/>
          <w:sz w:val="28"/>
          <w:szCs w:val="28"/>
        </w:rPr>
        <w:t>.</w:t>
      </w:r>
      <w:r w:rsidR="00B01C13" w:rsidRPr="00A22890">
        <w:rPr>
          <w:rFonts w:ascii="Times New Roman" w:hAnsi="Times New Roman" w:cs="Times New Roman"/>
          <w:sz w:val="28"/>
          <w:szCs w:val="28"/>
        </w:rPr>
        <w:t xml:space="preserve">Esto </w:t>
      </w:r>
      <w:r w:rsidR="00B01C13" w:rsidRPr="00A22890">
        <w:rPr>
          <w:rFonts w:ascii="Times New Roman" w:hAnsi="Times New Roman" w:cs="Times New Roman"/>
          <w:sz w:val="28"/>
          <w:szCs w:val="28"/>
        </w:rPr>
        <w:lastRenderedPageBreak/>
        <w:t xml:space="preserve">hizo que el peso relativo de lo </w:t>
      </w:r>
      <w:r w:rsidR="005923E1" w:rsidRPr="00A22890">
        <w:rPr>
          <w:rFonts w:ascii="Times New Roman" w:hAnsi="Times New Roman" w:cs="Times New Roman"/>
          <w:sz w:val="28"/>
          <w:szCs w:val="28"/>
        </w:rPr>
        <w:t xml:space="preserve">pendiente en </w:t>
      </w:r>
      <w:r w:rsidR="00A64D2F">
        <w:rPr>
          <w:rFonts w:ascii="Times New Roman" w:hAnsi="Times New Roman" w:cs="Times New Roman"/>
          <w:sz w:val="28"/>
          <w:szCs w:val="28"/>
        </w:rPr>
        <w:t>Civil de naturaleza C</w:t>
      </w:r>
      <w:r w:rsidR="00B01C13" w:rsidRPr="00A22890">
        <w:rPr>
          <w:rFonts w:ascii="Times New Roman" w:hAnsi="Times New Roman" w:cs="Times New Roman"/>
          <w:sz w:val="28"/>
          <w:szCs w:val="28"/>
        </w:rPr>
        <w:t>obratoria no solo sea el mayor en la distribución del circulante</w:t>
      </w:r>
      <w:r w:rsidR="005923E1" w:rsidRPr="00A22890">
        <w:rPr>
          <w:rFonts w:ascii="Times New Roman" w:hAnsi="Times New Roman" w:cs="Times New Roman"/>
          <w:sz w:val="28"/>
          <w:szCs w:val="28"/>
        </w:rPr>
        <w:t>sino que é</w:t>
      </w:r>
      <w:r w:rsidR="00B01C13" w:rsidRPr="00A22890">
        <w:rPr>
          <w:rFonts w:ascii="Times New Roman" w:hAnsi="Times New Roman" w:cs="Times New Roman"/>
          <w:sz w:val="28"/>
          <w:szCs w:val="28"/>
        </w:rPr>
        <w:t>ste aument</w:t>
      </w:r>
      <w:r w:rsidR="005923E1" w:rsidRPr="00A22890">
        <w:rPr>
          <w:rFonts w:ascii="Times New Roman" w:hAnsi="Times New Roman" w:cs="Times New Roman"/>
          <w:sz w:val="28"/>
          <w:szCs w:val="28"/>
        </w:rPr>
        <w:t>ó en forma importante</w:t>
      </w:r>
      <w:r w:rsidR="00B01C13" w:rsidRPr="00A22890">
        <w:rPr>
          <w:rFonts w:ascii="Times New Roman" w:hAnsi="Times New Roman" w:cs="Times New Roman"/>
          <w:sz w:val="28"/>
          <w:szCs w:val="28"/>
        </w:rPr>
        <w:t>.</w:t>
      </w:r>
    </w:p>
    <w:p w:rsidR="008A6D41" w:rsidRDefault="00B01C13" w:rsidP="00445451">
      <w:pPr>
        <w:jc w:val="both"/>
        <w:rPr>
          <w:rFonts w:ascii="Times New Roman" w:hAnsi="Times New Roman" w:cs="Times New Roman"/>
          <w:sz w:val="28"/>
          <w:szCs w:val="28"/>
        </w:rPr>
      </w:pPr>
      <w:r w:rsidRPr="00A22890">
        <w:rPr>
          <w:rFonts w:ascii="Times New Roman" w:hAnsi="Times New Roman" w:cs="Times New Roman"/>
          <w:sz w:val="28"/>
          <w:szCs w:val="28"/>
        </w:rPr>
        <w:t>L</w:t>
      </w:r>
      <w:r w:rsidR="00C67D98" w:rsidRPr="00A22890">
        <w:rPr>
          <w:rFonts w:ascii="Times New Roman" w:hAnsi="Times New Roman" w:cs="Times New Roman"/>
          <w:sz w:val="28"/>
          <w:szCs w:val="28"/>
        </w:rPr>
        <w:t>a distribución del circulante final por materia</w:t>
      </w:r>
      <w:r w:rsidRPr="00A22890">
        <w:rPr>
          <w:rFonts w:ascii="Times New Roman" w:hAnsi="Times New Roman" w:cs="Times New Roman"/>
          <w:sz w:val="28"/>
          <w:szCs w:val="28"/>
        </w:rPr>
        <w:t xml:space="preserve"> para el 2016 se presenta en el siguiente gráfico en donde</w:t>
      </w:r>
      <w:r w:rsidR="00C67D98" w:rsidRPr="00A22890">
        <w:rPr>
          <w:rFonts w:ascii="Times New Roman" w:hAnsi="Times New Roman" w:cs="Times New Roman"/>
          <w:sz w:val="28"/>
          <w:szCs w:val="28"/>
        </w:rPr>
        <w:t xml:space="preserve"> resalta </w:t>
      </w:r>
      <w:r w:rsidRPr="00A22890">
        <w:rPr>
          <w:rFonts w:ascii="Times New Roman" w:hAnsi="Times New Roman" w:cs="Times New Roman"/>
          <w:sz w:val="28"/>
          <w:szCs w:val="28"/>
        </w:rPr>
        <w:t xml:space="preserve">lo </w:t>
      </w:r>
      <w:r w:rsidR="00C67D98" w:rsidRPr="00A22890">
        <w:rPr>
          <w:rFonts w:ascii="Times New Roman" w:hAnsi="Times New Roman" w:cs="Times New Roman"/>
          <w:sz w:val="28"/>
          <w:szCs w:val="28"/>
        </w:rPr>
        <w:t>cobratori</w:t>
      </w:r>
      <w:r w:rsidRPr="00A22890">
        <w:rPr>
          <w:rFonts w:ascii="Times New Roman" w:hAnsi="Times New Roman" w:cs="Times New Roman"/>
          <w:sz w:val="28"/>
          <w:szCs w:val="28"/>
        </w:rPr>
        <w:t>o</w:t>
      </w:r>
      <w:r w:rsidR="00A22890" w:rsidRPr="00A22890">
        <w:rPr>
          <w:rFonts w:ascii="Times New Roman" w:hAnsi="Times New Roman" w:cs="Times New Roman"/>
          <w:sz w:val="28"/>
          <w:szCs w:val="28"/>
        </w:rPr>
        <w:t>; e</w:t>
      </w:r>
      <w:r w:rsidRPr="00A22890">
        <w:rPr>
          <w:rFonts w:ascii="Times New Roman" w:hAnsi="Times New Roman" w:cs="Times New Roman"/>
          <w:sz w:val="28"/>
          <w:szCs w:val="28"/>
        </w:rPr>
        <w:t>ste grupo de expedientes</w:t>
      </w:r>
      <w:r w:rsidR="00A22890" w:rsidRPr="00A22890">
        <w:rPr>
          <w:rFonts w:ascii="Times New Roman" w:hAnsi="Times New Roman" w:cs="Times New Roman"/>
          <w:sz w:val="28"/>
          <w:szCs w:val="28"/>
        </w:rPr>
        <w:t>,</w:t>
      </w:r>
      <w:r w:rsidRPr="00A22890">
        <w:rPr>
          <w:rFonts w:ascii="Times New Roman" w:hAnsi="Times New Roman" w:cs="Times New Roman"/>
          <w:sz w:val="28"/>
          <w:szCs w:val="28"/>
        </w:rPr>
        <w:t xml:space="preserve">  es el </w:t>
      </w:r>
      <w:r w:rsidRPr="00A22890">
        <w:rPr>
          <w:rFonts w:ascii="Times New Roman" w:hAnsi="Times New Roman" w:cs="Times New Roman"/>
          <w:b/>
          <w:sz w:val="28"/>
          <w:szCs w:val="28"/>
        </w:rPr>
        <w:t>46%</w:t>
      </w:r>
      <w:r w:rsidRPr="00A22890">
        <w:rPr>
          <w:rFonts w:ascii="Times New Roman" w:hAnsi="Times New Roman" w:cs="Times New Roman"/>
          <w:sz w:val="28"/>
          <w:szCs w:val="28"/>
        </w:rPr>
        <w:t xml:space="preserve"> de </w:t>
      </w:r>
      <w:r w:rsidR="00A22890" w:rsidRPr="00A22890">
        <w:rPr>
          <w:rFonts w:ascii="Times New Roman" w:hAnsi="Times New Roman" w:cs="Times New Roman"/>
          <w:sz w:val="28"/>
          <w:szCs w:val="28"/>
        </w:rPr>
        <w:t xml:space="preserve">todo </w:t>
      </w:r>
      <w:r w:rsidRPr="00A22890">
        <w:rPr>
          <w:rFonts w:ascii="Times New Roman" w:hAnsi="Times New Roman" w:cs="Times New Roman"/>
          <w:sz w:val="28"/>
          <w:szCs w:val="28"/>
        </w:rPr>
        <w:t xml:space="preserve">lo que estaba en espera de una resolución definitiva en primera instancia (todas las materias competencia del Poder Judicial Costarricense). Este peso relativo, viene creciendo año con año,  pues en el 2014 era el </w:t>
      </w:r>
      <w:r w:rsidRPr="00A22890">
        <w:rPr>
          <w:rFonts w:ascii="Times New Roman" w:hAnsi="Times New Roman" w:cs="Times New Roman"/>
          <w:b/>
          <w:sz w:val="28"/>
          <w:szCs w:val="28"/>
        </w:rPr>
        <w:t>40%</w:t>
      </w:r>
      <w:r w:rsidRPr="00A22890">
        <w:rPr>
          <w:rFonts w:ascii="Times New Roman" w:hAnsi="Times New Roman" w:cs="Times New Roman"/>
          <w:sz w:val="28"/>
          <w:szCs w:val="28"/>
        </w:rPr>
        <w:t xml:space="preserve"> y en el 2015 el </w:t>
      </w:r>
      <w:r w:rsidRPr="00A22890">
        <w:rPr>
          <w:rFonts w:ascii="Times New Roman" w:hAnsi="Times New Roman" w:cs="Times New Roman"/>
          <w:b/>
          <w:sz w:val="28"/>
          <w:szCs w:val="28"/>
        </w:rPr>
        <w:t>43%</w:t>
      </w:r>
      <w:r w:rsidRPr="00A22890">
        <w:rPr>
          <w:rFonts w:ascii="Times New Roman" w:hAnsi="Times New Roman" w:cs="Times New Roman"/>
          <w:sz w:val="28"/>
          <w:szCs w:val="28"/>
        </w:rPr>
        <w:t xml:space="preserve"> a escala general y nacional.</w:t>
      </w:r>
      <w:r w:rsidR="00993175" w:rsidRPr="00A22890">
        <w:rPr>
          <w:rFonts w:ascii="Times New Roman" w:hAnsi="Times New Roman" w:cs="Times New Roman"/>
          <w:sz w:val="28"/>
          <w:szCs w:val="28"/>
        </w:rPr>
        <w:t xml:space="preserve">Este comportamiento estadístico puede ser producto de una cada vez mayor proporción de asuntos que se declararían inactivos o sin objetivo procesal ante acuerdos entre las partes involucradas no comunicados a los despachos donde ingresaron tales causas. </w:t>
      </w:r>
      <w:r w:rsidRPr="00A22890">
        <w:rPr>
          <w:rFonts w:ascii="Times New Roman" w:hAnsi="Times New Roman" w:cs="Times New Roman"/>
          <w:sz w:val="28"/>
          <w:szCs w:val="28"/>
        </w:rPr>
        <w:t xml:space="preserve">El peso relativo </w:t>
      </w:r>
      <w:r w:rsidR="00462108">
        <w:rPr>
          <w:rFonts w:ascii="Times New Roman" w:hAnsi="Times New Roman" w:cs="Times New Roman"/>
          <w:sz w:val="28"/>
          <w:szCs w:val="28"/>
        </w:rPr>
        <w:t>de es</w:t>
      </w:r>
      <w:r w:rsidRPr="00A22890">
        <w:rPr>
          <w:rFonts w:ascii="Times New Roman" w:hAnsi="Times New Roman" w:cs="Times New Roman"/>
          <w:sz w:val="28"/>
          <w:szCs w:val="28"/>
        </w:rPr>
        <w:t>ta materia contrasta con las demás como se puede apreciar del gráfico indicado.</w:t>
      </w:r>
    </w:p>
    <w:p w:rsidR="008A6D41" w:rsidRDefault="008A6D41" w:rsidP="006B1E02">
      <w:pPr>
        <w:jc w:val="center"/>
        <w:rPr>
          <w:rFonts w:ascii="Times New Roman" w:hAnsi="Times New Roman" w:cs="Times New Roman"/>
          <w:sz w:val="28"/>
          <w:szCs w:val="28"/>
        </w:rPr>
      </w:pPr>
    </w:p>
    <w:p w:rsidR="00C81593" w:rsidRDefault="008A6D41" w:rsidP="006B1E02">
      <w:pPr>
        <w:jc w:val="center"/>
        <w:rPr>
          <w:rFonts w:ascii="Times New Roman" w:hAnsi="Times New Roman" w:cs="Times New Roman"/>
          <w:sz w:val="28"/>
          <w:szCs w:val="28"/>
        </w:rPr>
      </w:pPr>
      <w:r w:rsidRPr="008A6D41">
        <w:rPr>
          <w:rFonts w:ascii="Times New Roman" w:hAnsi="Times New Roman" w:cs="Times New Roman"/>
          <w:noProof/>
          <w:sz w:val="28"/>
          <w:szCs w:val="28"/>
          <w:lang w:eastAsia="es-CR"/>
        </w:rPr>
        <w:drawing>
          <wp:inline distT="0" distB="0" distL="0" distR="0">
            <wp:extent cx="5097428" cy="3585172"/>
            <wp:effectExtent l="19050" t="0" r="27022" b="0"/>
            <wp:docPr id="8" name="Objeto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7BF8" w:rsidRDefault="00507BF8" w:rsidP="00507BF8">
      <w:pPr>
        <w:jc w:val="both"/>
        <w:rPr>
          <w:rFonts w:ascii="Times New Roman" w:hAnsi="Times New Roman" w:cs="Times New Roman"/>
          <w:sz w:val="28"/>
          <w:szCs w:val="28"/>
        </w:rPr>
      </w:pPr>
      <w:bookmarkStart w:id="0" w:name="_GoBack"/>
      <w:bookmarkEnd w:id="0"/>
    </w:p>
    <w:sectPr w:rsidR="00507BF8" w:rsidSect="00EC27B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A29" w:rsidRDefault="00E06A29" w:rsidP="00AE2011">
      <w:pPr>
        <w:spacing w:after="0" w:line="240" w:lineRule="auto"/>
      </w:pPr>
      <w:r>
        <w:separator/>
      </w:r>
    </w:p>
  </w:endnote>
  <w:endnote w:type="continuationSeparator" w:id="0">
    <w:p w:rsidR="00E06A29" w:rsidRDefault="00E06A29" w:rsidP="00AE2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A29" w:rsidRDefault="00E06A29" w:rsidP="00AE2011">
      <w:pPr>
        <w:spacing w:after="0" w:line="240" w:lineRule="auto"/>
      </w:pPr>
      <w:r>
        <w:separator/>
      </w:r>
    </w:p>
  </w:footnote>
  <w:footnote w:type="continuationSeparator" w:id="0">
    <w:p w:rsidR="00E06A29" w:rsidRDefault="00E06A29" w:rsidP="00AE2011">
      <w:pPr>
        <w:spacing w:after="0" w:line="240" w:lineRule="auto"/>
      </w:pPr>
      <w:r>
        <w:continuationSeparator/>
      </w:r>
    </w:p>
  </w:footnote>
  <w:footnote w:id="1">
    <w:p w:rsidR="0026230F" w:rsidRPr="004C7283" w:rsidRDefault="0026230F" w:rsidP="0026230F">
      <w:pPr>
        <w:spacing w:after="0" w:line="240" w:lineRule="auto"/>
        <w:jc w:val="both"/>
        <w:rPr>
          <w:rFonts w:ascii="Times New Roman" w:eastAsia="Calibri" w:hAnsi="Times New Roman" w:cs="Times New Roman"/>
          <w:sz w:val="20"/>
          <w:szCs w:val="20"/>
        </w:rPr>
      </w:pPr>
      <w:r>
        <w:rPr>
          <w:rStyle w:val="Refdenotaalpie"/>
        </w:rPr>
        <w:footnoteRef/>
      </w:r>
      <w:r>
        <w:rPr>
          <w:rFonts w:ascii="Times New Roman" w:hAnsi="Times New Roman" w:cs="Times New Roman"/>
          <w:sz w:val="20"/>
          <w:szCs w:val="20"/>
        </w:rPr>
        <w:t>E</w:t>
      </w:r>
      <w:r w:rsidRPr="004C7283">
        <w:rPr>
          <w:rFonts w:ascii="Times New Roman" w:hAnsi="Times New Roman" w:cs="Times New Roman"/>
          <w:sz w:val="20"/>
          <w:szCs w:val="20"/>
        </w:rPr>
        <w:t xml:space="preserve">n </w:t>
      </w:r>
      <w:r>
        <w:rPr>
          <w:rFonts w:ascii="Times New Roman" w:hAnsi="Times New Roman" w:cs="Times New Roman"/>
          <w:sz w:val="20"/>
          <w:szCs w:val="20"/>
        </w:rPr>
        <w:t xml:space="preserve">ese año se crea una plaza de Estadístico </w:t>
      </w:r>
      <w:r w:rsidRPr="004C7283">
        <w:rPr>
          <w:rFonts w:ascii="Times New Roman" w:eastAsia="Calibri" w:hAnsi="Times New Roman" w:cs="Times New Roman"/>
          <w:sz w:val="20"/>
          <w:szCs w:val="20"/>
        </w:rPr>
        <w:t>adscrita al Archivo Judicial</w:t>
      </w:r>
      <w:r>
        <w:rPr>
          <w:rFonts w:ascii="Times New Roman" w:hAnsi="Times New Roman" w:cs="Times New Roman"/>
          <w:sz w:val="20"/>
          <w:szCs w:val="20"/>
        </w:rPr>
        <w:t xml:space="preserve"> por iniciativa del </w:t>
      </w:r>
      <w:r w:rsidRPr="004C7283">
        <w:rPr>
          <w:rFonts w:ascii="Times New Roman" w:eastAsia="Calibri" w:hAnsi="Times New Roman" w:cs="Times New Roman"/>
          <w:sz w:val="20"/>
          <w:szCs w:val="20"/>
        </w:rPr>
        <w:t xml:space="preserve">Magistrado Stanley Vallejos </w:t>
      </w:r>
      <w:r>
        <w:rPr>
          <w:rFonts w:ascii="Times New Roman" w:eastAsia="Calibri" w:hAnsi="Times New Roman" w:cs="Times New Roman"/>
          <w:sz w:val="20"/>
          <w:szCs w:val="20"/>
        </w:rPr>
        <w:t xml:space="preserve">quien </w:t>
      </w:r>
      <w:r w:rsidRPr="004C7283">
        <w:rPr>
          <w:rFonts w:ascii="Times New Roman" w:eastAsia="Calibri" w:hAnsi="Times New Roman" w:cs="Times New Roman"/>
          <w:sz w:val="20"/>
          <w:szCs w:val="20"/>
        </w:rPr>
        <w:t xml:space="preserve">visualizó la necesidad de contar con información numérica de naturaleza estadística para la policía judicial.Luego en 1975 se creó la Sección de Estadística en el recién creado Organismo de Investigación Judicial. La Sección de Estadística continuó siendo parte del Organismo de Investigación Judicial hasta la creación en 1978 de la Dirección Administrativa (actual Dirección Ejecutiva) donde fue relocalizada y en 1989  formó parte de recién creado Departamento de Planificación </w:t>
      </w:r>
      <w:r w:rsidRPr="004C7283">
        <w:rPr>
          <w:rFonts w:ascii="Times New Roman" w:hAnsi="Times New Roman" w:cs="Times New Roman"/>
          <w:sz w:val="20"/>
          <w:szCs w:val="20"/>
        </w:rPr>
        <w:t>(actual Dirección de Planificación)</w:t>
      </w:r>
      <w:r w:rsidRPr="004C7283">
        <w:rPr>
          <w:rFonts w:ascii="Times New Roman" w:eastAsia="Calibri" w:hAnsi="Times New Roman" w:cs="Times New Roman"/>
          <w:sz w:val="20"/>
          <w:szCs w:val="20"/>
        </w:rPr>
        <w:t>.</w:t>
      </w:r>
    </w:p>
    <w:p w:rsidR="0026230F" w:rsidRDefault="0026230F" w:rsidP="0026230F">
      <w:pPr>
        <w:spacing w:after="0" w:line="240" w:lineRule="auto"/>
        <w:jc w:val="both"/>
        <w:rPr>
          <w:rFonts w:ascii="Times New Roman" w:eastAsia="Calibri" w:hAnsi="Times New Roman" w:cs="Times New Roman"/>
          <w:sz w:val="28"/>
          <w:szCs w:val="28"/>
        </w:rPr>
      </w:pPr>
      <w:r w:rsidRPr="004C7283">
        <w:rPr>
          <w:rFonts w:ascii="Times New Roman" w:eastAsia="Calibri" w:hAnsi="Times New Roman" w:cs="Times New Roman"/>
          <w:sz w:val="20"/>
          <w:szCs w:val="20"/>
        </w:rPr>
        <w:t>Inicialmente la información estadística se concentró en el proceso de análisis de datos en materia penaly ya para el anuario de 1974 se incorporó otras como las materias Laboral y Civil. En el anuario de 1976 se trata por separado la materia de Pensiones Alimentarias que en épocas anteriores se manejó estadísticamente como un apéndice de la materia civil. En 1977, se separa de lo penal la materia Contravencional. Para el anuario de 1978 se inicia el análisis estadístico de las Salas y Tribunales de segunda instancia.</w:t>
      </w:r>
    </w:p>
    <w:p w:rsidR="0026230F" w:rsidRDefault="0026230F" w:rsidP="0026230F">
      <w:pPr>
        <w:pStyle w:val="Textonotapie"/>
      </w:pPr>
    </w:p>
  </w:footnote>
  <w:footnote w:id="2">
    <w:p w:rsidR="00FA49E5" w:rsidRDefault="00FA49E5" w:rsidP="00265E7F">
      <w:pPr>
        <w:pStyle w:val="Textonotapie"/>
        <w:jc w:val="both"/>
      </w:pPr>
      <w:r>
        <w:rPr>
          <w:rStyle w:val="Refdenotaalpie"/>
        </w:rPr>
        <w:footnoteRef/>
      </w:r>
      <w:r w:rsidRPr="00C832DD">
        <w:rPr>
          <w:rFonts w:ascii="Times New Roman" w:hAnsi="Times New Roman" w:cs="Times New Roman"/>
        </w:rPr>
        <w:t xml:space="preserve">En el “aporte nuevo” de casos a la carga de trabajo a afrontar en los despachos en un año, además de los casos entrados influyen, también, los volúmenes reportados de asuntos reentrados, el ingreso de testimonios de piezas y las reactivaciones </w:t>
      </w:r>
      <w:r>
        <w:rPr>
          <w:rFonts w:ascii="Times New Roman" w:hAnsi="Times New Roman" w:cs="Times New Roman"/>
        </w:rPr>
        <w:t xml:space="preserve">de asuntos </w:t>
      </w:r>
      <w:r w:rsidRPr="00C832DD">
        <w:rPr>
          <w:rFonts w:ascii="Times New Roman" w:hAnsi="Times New Roman" w:cs="Times New Roman"/>
        </w:rPr>
        <w:t>según sea la materia. De esta forma, la situación en la cual, la entrada de casos es mayor a los terminados, los otros rubros contribuyen aritméticamente al crecimiento de la existencia al finalizar el año.Sin embargo, los casos entrados son por mucho el rubro más importante en cuanto a presencia numérica.</w:t>
      </w:r>
    </w:p>
  </w:footnote>
  <w:footnote w:id="3">
    <w:p w:rsidR="00FA49E5" w:rsidRPr="008F673C" w:rsidRDefault="00FA49E5" w:rsidP="009931BE">
      <w:pPr>
        <w:pStyle w:val="Textonotapie"/>
        <w:jc w:val="both"/>
        <w:rPr>
          <w:rFonts w:ascii="Times New Roman" w:hAnsi="Times New Roman" w:cs="Times New Roman"/>
        </w:rPr>
      </w:pPr>
      <w:r>
        <w:rPr>
          <w:rStyle w:val="Refdenotaalpie"/>
        </w:rPr>
        <w:footnoteRef/>
      </w:r>
      <w:r w:rsidRPr="008F673C">
        <w:rPr>
          <w:rFonts w:ascii="Times New Roman" w:hAnsi="Times New Roman" w:cs="Times New Roman"/>
        </w:rPr>
        <w:t>Si la distancia entre casos entrados y terminados creció en forma importante en el 2016 respecto al 2015, la explicación estadística de la relativa estabilidad de las cifras asociadas con la Existencia al finalizar está en la reducción importante de los otros componentes de la Carga de Trabajo tenida para el 2016; esto es, en los casos reentrados, testimonios de piezas y la reactivación de asuntos declarados, en otros momentos, como inactivos por falta de impulso de parte en las materias acontece tal dinámica.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023"/>
    <w:multiLevelType w:val="hybridMultilevel"/>
    <w:tmpl w:val="3D8A5A66"/>
    <w:lvl w:ilvl="0" w:tplc="AC945FC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5DD2F85"/>
    <w:multiLevelType w:val="hybridMultilevel"/>
    <w:tmpl w:val="8828E5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2F14D71"/>
    <w:multiLevelType w:val="hybridMultilevel"/>
    <w:tmpl w:val="889E87A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64E37"/>
    <w:rsid w:val="00002170"/>
    <w:rsid w:val="00003BE2"/>
    <w:rsid w:val="0001355D"/>
    <w:rsid w:val="00014A2C"/>
    <w:rsid w:val="00020D61"/>
    <w:rsid w:val="00026096"/>
    <w:rsid w:val="00027637"/>
    <w:rsid w:val="000312AD"/>
    <w:rsid w:val="00064BC8"/>
    <w:rsid w:val="00074FE8"/>
    <w:rsid w:val="00080DB9"/>
    <w:rsid w:val="000937E1"/>
    <w:rsid w:val="000964C2"/>
    <w:rsid w:val="000B05E1"/>
    <w:rsid w:val="000C4889"/>
    <w:rsid w:val="000D5C8D"/>
    <w:rsid w:val="000D7BE7"/>
    <w:rsid w:val="0010549E"/>
    <w:rsid w:val="00111663"/>
    <w:rsid w:val="0013233F"/>
    <w:rsid w:val="00137907"/>
    <w:rsid w:val="00137FBD"/>
    <w:rsid w:val="00164E37"/>
    <w:rsid w:val="00176EB5"/>
    <w:rsid w:val="001940A4"/>
    <w:rsid w:val="001A3F5D"/>
    <w:rsid w:val="001D6963"/>
    <w:rsid w:val="001E56C2"/>
    <w:rsid w:val="001F2E79"/>
    <w:rsid w:val="00203EE5"/>
    <w:rsid w:val="00205E77"/>
    <w:rsid w:val="00223392"/>
    <w:rsid w:val="00224781"/>
    <w:rsid w:val="0023293A"/>
    <w:rsid w:val="00245EAE"/>
    <w:rsid w:val="00261F8F"/>
    <w:rsid w:val="0026230F"/>
    <w:rsid w:val="00265E7F"/>
    <w:rsid w:val="00297415"/>
    <w:rsid w:val="00297D8D"/>
    <w:rsid w:val="002A6CBD"/>
    <w:rsid w:val="002B6457"/>
    <w:rsid w:val="002E7075"/>
    <w:rsid w:val="002E73CE"/>
    <w:rsid w:val="002F487F"/>
    <w:rsid w:val="002F7DA5"/>
    <w:rsid w:val="0030041F"/>
    <w:rsid w:val="003046CB"/>
    <w:rsid w:val="003201CE"/>
    <w:rsid w:val="00345F45"/>
    <w:rsid w:val="00346188"/>
    <w:rsid w:val="00352BE1"/>
    <w:rsid w:val="00371A28"/>
    <w:rsid w:val="00376E84"/>
    <w:rsid w:val="00380BC3"/>
    <w:rsid w:val="00383451"/>
    <w:rsid w:val="00384AFB"/>
    <w:rsid w:val="003921E2"/>
    <w:rsid w:val="003934CF"/>
    <w:rsid w:val="0039390D"/>
    <w:rsid w:val="0039420F"/>
    <w:rsid w:val="00396DB0"/>
    <w:rsid w:val="003B30B8"/>
    <w:rsid w:val="003E3166"/>
    <w:rsid w:val="003E77CF"/>
    <w:rsid w:val="003E7925"/>
    <w:rsid w:val="003F3347"/>
    <w:rsid w:val="003F5A7D"/>
    <w:rsid w:val="00402CEE"/>
    <w:rsid w:val="00407E26"/>
    <w:rsid w:val="00413339"/>
    <w:rsid w:val="00433651"/>
    <w:rsid w:val="00445451"/>
    <w:rsid w:val="004478E9"/>
    <w:rsid w:val="00452126"/>
    <w:rsid w:val="00454EE6"/>
    <w:rsid w:val="004578DF"/>
    <w:rsid w:val="00462108"/>
    <w:rsid w:val="00485ECA"/>
    <w:rsid w:val="0049128C"/>
    <w:rsid w:val="0049174B"/>
    <w:rsid w:val="00492D5C"/>
    <w:rsid w:val="004A1B55"/>
    <w:rsid w:val="004A7A6D"/>
    <w:rsid w:val="004B189B"/>
    <w:rsid w:val="004B2059"/>
    <w:rsid w:val="004B241E"/>
    <w:rsid w:val="004C0C27"/>
    <w:rsid w:val="004C5031"/>
    <w:rsid w:val="004C7283"/>
    <w:rsid w:val="004E50E9"/>
    <w:rsid w:val="004F3FB6"/>
    <w:rsid w:val="00507BF8"/>
    <w:rsid w:val="00514CD0"/>
    <w:rsid w:val="005309F9"/>
    <w:rsid w:val="00530CD0"/>
    <w:rsid w:val="0053534A"/>
    <w:rsid w:val="005374CB"/>
    <w:rsid w:val="00577A0D"/>
    <w:rsid w:val="00581D34"/>
    <w:rsid w:val="005923E1"/>
    <w:rsid w:val="005968B0"/>
    <w:rsid w:val="005B13D2"/>
    <w:rsid w:val="005B7430"/>
    <w:rsid w:val="005C473F"/>
    <w:rsid w:val="005C4C45"/>
    <w:rsid w:val="005C6FA5"/>
    <w:rsid w:val="005E2A39"/>
    <w:rsid w:val="005F253D"/>
    <w:rsid w:val="00607247"/>
    <w:rsid w:val="00620AE5"/>
    <w:rsid w:val="0062292B"/>
    <w:rsid w:val="00647E5D"/>
    <w:rsid w:val="00651C3B"/>
    <w:rsid w:val="006609B8"/>
    <w:rsid w:val="006720CC"/>
    <w:rsid w:val="006856CC"/>
    <w:rsid w:val="006913F7"/>
    <w:rsid w:val="00691788"/>
    <w:rsid w:val="00691893"/>
    <w:rsid w:val="00692F45"/>
    <w:rsid w:val="00695C59"/>
    <w:rsid w:val="006A392F"/>
    <w:rsid w:val="006B1E02"/>
    <w:rsid w:val="006B6527"/>
    <w:rsid w:val="006C23D5"/>
    <w:rsid w:val="006E0924"/>
    <w:rsid w:val="006F35E0"/>
    <w:rsid w:val="006F661E"/>
    <w:rsid w:val="00707A30"/>
    <w:rsid w:val="00711413"/>
    <w:rsid w:val="00751030"/>
    <w:rsid w:val="00753D6F"/>
    <w:rsid w:val="00783451"/>
    <w:rsid w:val="007873ED"/>
    <w:rsid w:val="007903D5"/>
    <w:rsid w:val="00793C11"/>
    <w:rsid w:val="007A0C07"/>
    <w:rsid w:val="007C042B"/>
    <w:rsid w:val="007D15C3"/>
    <w:rsid w:val="007F7AE7"/>
    <w:rsid w:val="0081701F"/>
    <w:rsid w:val="00835720"/>
    <w:rsid w:val="00836278"/>
    <w:rsid w:val="00840127"/>
    <w:rsid w:val="00844BB7"/>
    <w:rsid w:val="00845D05"/>
    <w:rsid w:val="008564F8"/>
    <w:rsid w:val="00873001"/>
    <w:rsid w:val="00891096"/>
    <w:rsid w:val="00891A72"/>
    <w:rsid w:val="008978E3"/>
    <w:rsid w:val="008A04B1"/>
    <w:rsid w:val="008A6D41"/>
    <w:rsid w:val="008D4A42"/>
    <w:rsid w:val="008F0DD5"/>
    <w:rsid w:val="008F673C"/>
    <w:rsid w:val="00900B03"/>
    <w:rsid w:val="009025C1"/>
    <w:rsid w:val="00905635"/>
    <w:rsid w:val="00906FA7"/>
    <w:rsid w:val="00907C5F"/>
    <w:rsid w:val="00916965"/>
    <w:rsid w:val="009176E7"/>
    <w:rsid w:val="00920314"/>
    <w:rsid w:val="00937CCD"/>
    <w:rsid w:val="00964E1B"/>
    <w:rsid w:val="00965AFE"/>
    <w:rsid w:val="00972C3F"/>
    <w:rsid w:val="009734AD"/>
    <w:rsid w:val="00993175"/>
    <w:rsid w:val="009931BE"/>
    <w:rsid w:val="00993AE1"/>
    <w:rsid w:val="009B4EEB"/>
    <w:rsid w:val="009C30E2"/>
    <w:rsid w:val="009C7DA5"/>
    <w:rsid w:val="009E6CC8"/>
    <w:rsid w:val="00A22890"/>
    <w:rsid w:val="00A23917"/>
    <w:rsid w:val="00A25AEA"/>
    <w:rsid w:val="00A26296"/>
    <w:rsid w:val="00A41307"/>
    <w:rsid w:val="00A515F0"/>
    <w:rsid w:val="00A54E31"/>
    <w:rsid w:val="00A64D2F"/>
    <w:rsid w:val="00A73693"/>
    <w:rsid w:val="00A749AD"/>
    <w:rsid w:val="00A817CA"/>
    <w:rsid w:val="00A97559"/>
    <w:rsid w:val="00A97C99"/>
    <w:rsid w:val="00AA3D4B"/>
    <w:rsid w:val="00AB47EE"/>
    <w:rsid w:val="00AD0F70"/>
    <w:rsid w:val="00AE2011"/>
    <w:rsid w:val="00AE4E47"/>
    <w:rsid w:val="00AE72D1"/>
    <w:rsid w:val="00AE7F86"/>
    <w:rsid w:val="00B0092E"/>
    <w:rsid w:val="00B01C13"/>
    <w:rsid w:val="00B11414"/>
    <w:rsid w:val="00B32947"/>
    <w:rsid w:val="00B360E3"/>
    <w:rsid w:val="00B56FCA"/>
    <w:rsid w:val="00B66DD3"/>
    <w:rsid w:val="00B74E63"/>
    <w:rsid w:val="00BB418D"/>
    <w:rsid w:val="00BB5E07"/>
    <w:rsid w:val="00BD2D5B"/>
    <w:rsid w:val="00BF3ADC"/>
    <w:rsid w:val="00C03A22"/>
    <w:rsid w:val="00C21E46"/>
    <w:rsid w:val="00C34C20"/>
    <w:rsid w:val="00C5044F"/>
    <w:rsid w:val="00C5373C"/>
    <w:rsid w:val="00C57E05"/>
    <w:rsid w:val="00C67D98"/>
    <w:rsid w:val="00C7158A"/>
    <w:rsid w:val="00C81593"/>
    <w:rsid w:val="00C832DD"/>
    <w:rsid w:val="00C840ED"/>
    <w:rsid w:val="00C878CC"/>
    <w:rsid w:val="00C97A26"/>
    <w:rsid w:val="00CA09F8"/>
    <w:rsid w:val="00CA2EA6"/>
    <w:rsid w:val="00CA4DB6"/>
    <w:rsid w:val="00CB4D72"/>
    <w:rsid w:val="00CC08D6"/>
    <w:rsid w:val="00CC3074"/>
    <w:rsid w:val="00CE1E06"/>
    <w:rsid w:val="00CE5E74"/>
    <w:rsid w:val="00D04760"/>
    <w:rsid w:val="00D10FCE"/>
    <w:rsid w:val="00D13DFE"/>
    <w:rsid w:val="00D24986"/>
    <w:rsid w:val="00D3204E"/>
    <w:rsid w:val="00D36D17"/>
    <w:rsid w:val="00D6160E"/>
    <w:rsid w:val="00D741C3"/>
    <w:rsid w:val="00D81F22"/>
    <w:rsid w:val="00D84850"/>
    <w:rsid w:val="00D84987"/>
    <w:rsid w:val="00D87E28"/>
    <w:rsid w:val="00D91AF0"/>
    <w:rsid w:val="00DA7217"/>
    <w:rsid w:val="00DB21F6"/>
    <w:rsid w:val="00DB27D6"/>
    <w:rsid w:val="00DB311B"/>
    <w:rsid w:val="00DB5ECB"/>
    <w:rsid w:val="00DF1BBD"/>
    <w:rsid w:val="00DF2A84"/>
    <w:rsid w:val="00DF4BDB"/>
    <w:rsid w:val="00DF69A6"/>
    <w:rsid w:val="00E03D6B"/>
    <w:rsid w:val="00E04CAA"/>
    <w:rsid w:val="00E06A29"/>
    <w:rsid w:val="00E07E6B"/>
    <w:rsid w:val="00E3595B"/>
    <w:rsid w:val="00E361FD"/>
    <w:rsid w:val="00E40F8B"/>
    <w:rsid w:val="00E4427C"/>
    <w:rsid w:val="00E45B16"/>
    <w:rsid w:val="00E63119"/>
    <w:rsid w:val="00E639F0"/>
    <w:rsid w:val="00E701A2"/>
    <w:rsid w:val="00E74665"/>
    <w:rsid w:val="00E779BA"/>
    <w:rsid w:val="00E970EC"/>
    <w:rsid w:val="00EA4E22"/>
    <w:rsid w:val="00EC27B3"/>
    <w:rsid w:val="00ED20EF"/>
    <w:rsid w:val="00EE1673"/>
    <w:rsid w:val="00EF2EFA"/>
    <w:rsid w:val="00F05E33"/>
    <w:rsid w:val="00F24939"/>
    <w:rsid w:val="00F27C92"/>
    <w:rsid w:val="00F307C7"/>
    <w:rsid w:val="00F337BC"/>
    <w:rsid w:val="00F34173"/>
    <w:rsid w:val="00F80BC7"/>
    <w:rsid w:val="00F81CDD"/>
    <w:rsid w:val="00FA24BD"/>
    <w:rsid w:val="00FA4589"/>
    <w:rsid w:val="00FA49E5"/>
    <w:rsid w:val="00FC03CC"/>
    <w:rsid w:val="00FC5581"/>
    <w:rsid w:val="00FD0062"/>
    <w:rsid w:val="00FD0A7C"/>
    <w:rsid w:val="00FE3315"/>
    <w:rsid w:val="00FE3B2E"/>
    <w:rsid w:val="00FE6D1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
    <w:name w:val="j"/>
    <w:basedOn w:val="Normal"/>
    <w:rsid w:val="00A749A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acep">
    <w:name w:val="n_acep"/>
    <w:basedOn w:val="Fuentedeprrafopredeter"/>
    <w:rsid w:val="00A749AD"/>
  </w:style>
  <w:style w:type="character" w:customStyle="1" w:styleId="apple-converted-space">
    <w:name w:val="apple-converted-space"/>
    <w:basedOn w:val="Fuentedeprrafopredeter"/>
    <w:rsid w:val="00A749AD"/>
  </w:style>
  <w:style w:type="character" w:customStyle="1" w:styleId="h">
    <w:name w:val="h"/>
    <w:basedOn w:val="Fuentedeprrafopredeter"/>
    <w:rsid w:val="00A749AD"/>
  </w:style>
  <w:style w:type="character" w:styleId="Hipervnculo">
    <w:name w:val="Hyperlink"/>
    <w:basedOn w:val="Fuentedeprrafopredeter"/>
    <w:uiPriority w:val="99"/>
    <w:semiHidden/>
    <w:unhideWhenUsed/>
    <w:rsid w:val="00A749AD"/>
    <w:rPr>
      <w:color w:val="0000FF"/>
      <w:u w:val="single"/>
    </w:rPr>
  </w:style>
  <w:style w:type="paragraph" w:customStyle="1" w:styleId="k5">
    <w:name w:val="k5"/>
    <w:basedOn w:val="Normal"/>
    <w:rsid w:val="00A749A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m">
    <w:name w:val="m"/>
    <w:basedOn w:val="Normal"/>
    <w:rsid w:val="00A749A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u">
    <w:name w:val="u"/>
    <w:basedOn w:val="Fuentedeprrafopredeter"/>
    <w:rsid w:val="00A749AD"/>
  </w:style>
  <w:style w:type="paragraph" w:styleId="Textodeglobo">
    <w:name w:val="Balloon Text"/>
    <w:basedOn w:val="Normal"/>
    <w:link w:val="TextodegloboCar"/>
    <w:uiPriority w:val="99"/>
    <w:semiHidden/>
    <w:unhideWhenUsed/>
    <w:rsid w:val="00906F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FA7"/>
    <w:rPr>
      <w:rFonts w:ascii="Tahoma" w:hAnsi="Tahoma" w:cs="Tahoma"/>
      <w:sz w:val="16"/>
      <w:szCs w:val="16"/>
    </w:rPr>
  </w:style>
  <w:style w:type="paragraph" w:styleId="Textonotapie">
    <w:name w:val="footnote text"/>
    <w:basedOn w:val="Normal"/>
    <w:link w:val="TextonotapieCar"/>
    <w:semiHidden/>
    <w:unhideWhenUsed/>
    <w:rsid w:val="00AE2011"/>
    <w:pPr>
      <w:spacing w:after="0" w:line="240" w:lineRule="auto"/>
    </w:pPr>
    <w:rPr>
      <w:sz w:val="20"/>
      <w:szCs w:val="20"/>
    </w:rPr>
  </w:style>
  <w:style w:type="character" w:customStyle="1" w:styleId="TextonotapieCar">
    <w:name w:val="Texto nota pie Car"/>
    <w:basedOn w:val="Fuentedeprrafopredeter"/>
    <w:link w:val="Textonotapie"/>
    <w:semiHidden/>
    <w:rsid w:val="00AE2011"/>
    <w:rPr>
      <w:sz w:val="20"/>
      <w:szCs w:val="20"/>
    </w:rPr>
  </w:style>
  <w:style w:type="character" w:styleId="Refdenotaalpie">
    <w:name w:val="footnote reference"/>
    <w:basedOn w:val="Fuentedeprrafopredeter"/>
    <w:semiHidden/>
    <w:unhideWhenUsed/>
    <w:rsid w:val="00AE2011"/>
    <w:rPr>
      <w:vertAlign w:val="superscript"/>
    </w:rPr>
  </w:style>
  <w:style w:type="character" w:styleId="Textoennegrita">
    <w:name w:val="Strong"/>
    <w:basedOn w:val="Fuentedeprrafopredeter"/>
    <w:uiPriority w:val="22"/>
    <w:qFormat/>
    <w:rsid w:val="005C473F"/>
    <w:rPr>
      <w:b/>
      <w:bCs/>
    </w:rPr>
  </w:style>
  <w:style w:type="paragraph" w:styleId="Prrafodelista">
    <w:name w:val="List Paragraph"/>
    <w:basedOn w:val="Normal"/>
    <w:uiPriority w:val="34"/>
    <w:qFormat/>
    <w:rsid w:val="00FE6D15"/>
    <w:pPr>
      <w:ind w:left="720"/>
      <w:contextualSpacing/>
    </w:pPr>
  </w:style>
  <w:style w:type="paragraph" w:styleId="Textoindependiente2">
    <w:name w:val="Body Text 2"/>
    <w:basedOn w:val="Normal"/>
    <w:link w:val="Textoindependiente2Car"/>
    <w:rsid w:val="00873001"/>
    <w:pPr>
      <w:spacing w:after="0" w:line="240" w:lineRule="auto"/>
      <w:jc w:val="both"/>
    </w:pPr>
    <w:rPr>
      <w:rFonts w:ascii="Bookman Old Style" w:eastAsia="Times New Roman" w:hAnsi="Bookman Old Style" w:cs="Bookman Old Style"/>
      <w:sz w:val="24"/>
      <w:szCs w:val="24"/>
      <w:lang w:val="es-ES_tradnl" w:eastAsia="es-ES"/>
    </w:rPr>
  </w:style>
  <w:style w:type="character" w:customStyle="1" w:styleId="Textoindependiente2Car">
    <w:name w:val="Texto independiente 2 Car"/>
    <w:basedOn w:val="Fuentedeprrafopredeter"/>
    <w:link w:val="Textoindependiente2"/>
    <w:rsid w:val="00873001"/>
    <w:rPr>
      <w:rFonts w:ascii="Bookman Old Style" w:eastAsia="Times New Roman" w:hAnsi="Bookman Old Style" w:cs="Bookman Old Style"/>
      <w:sz w:val="24"/>
      <w:szCs w:val="24"/>
      <w:lang w:val="es-ES_tradnl" w:eastAsia="es-ES"/>
    </w:rPr>
  </w:style>
  <w:style w:type="paragraph" w:styleId="Encabezado">
    <w:name w:val="header"/>
    <w:aliases w:val="encabezado"/>
    <w:basedOn w:val="Normal"/>
    <w:link w:val="EncabezadoCar"/>
    <w:rsid w:val="00873001"/>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encabezado Car"/>
    <w:basedOn w:val="Fuentedeprrafopredeter"/>
    <w:link w:val="Encabezado"/>
    <w:rsid w:val="00873001"/>
    <w:rPr>
      <w:rFonts w:ascii="Times New Roman" w:eastAsia="Times New Roman" w:hAnsi="Times New Roman" w:cs="Times New Roman"/>
      <w:sz w:val="20"/>
      <w:szCs w:val="20"/>
      <w:lang w:eastAsia="es-ES"/>
    </w:rPr>
  </w:style>
  <w:style w:type="character" w:customStyle="1" w:styleId="tgc">
    <w:name w:val="_tgc"/>
    <w:basedOn w:val="Fuentedeprrafopredeter"/>
    <w:rsid w:val="00EA4E22"/>
  </w:style>
</w:styles>
</file>

<file path=word/webSettings.xml><?xml version="1.0" encoding="utf-8"?>
<w:webSettings xmlns:r="http://schemas.openxmlformats.org/officeDocument/2006/relationships" xmlns:w="http://schemas.openxmlformats.org/wordprocessingml/2006/main">
  <w:divs>
    <w:div w:id="310983943">
      <w:bodyDiv w:val="1"/>
      <w:marLeft w:val="0"/>
      <w:marRight w:val="0"/>
      <w:marTop w:val="0"/>
      <w:marBottom w:val="0"/>
      <w:divBdr>
        <w:top w:val="none" w:sz="0" w:space="0" w:color="auto"/>
        <w:left w:val="none" w:sz="0" w:space="0" w:color="auto"/>
        <w:bottom w:val="none" w:sz="0" w:space="0" w:color="auto"/>
        <w:right w:val="none" w:sz="0" w:space="0" w:color="auto"/>
      </w:divBdr>
    </w:div>
    <w:div w:id="694309023">
      <w:bodyDiv w:val="1"/>
      <w:marLeft w:val="0"/>
      <w:marRight w:val="0"/>
      <w:marTop w:val="0"/>
      <w:marBottom w:val="0"/>
      <w:divBdr>
        <w:top w:val="none" w:sz="0" w:space="0" w:color="auto"/>
        <w:left w:val="none" w:sz="0" w:space="0" w:color="auto"/>
        <w:bottom w:val="none" w:sz="0" w:space="0" w:color="auto"/>
        <w:right w:val="none" w:sz="0" w:space="0" w:color="auto"/>
      </w:divBdr>
    </w:div>
    <w:div w:id="747577394">
      <w:bodyDiv w:val="1"/>
      <w:marLeft w:val="0"/>
      <w:marRight w:val="0"/>
      <w:marTop w:val="0"/>
      <w:marBottom w:val="0"/>
      <w:divBdr>
        <w:top w:val="none" w:sz="0" w:space="0" w:color="auto"/>
        <w:left w:val="none" w:sz="0" w:space="0" w:color="auto"/>
        <w:bottom w:val="none" w:sz="0" w:space="0" w:color="auto"/>
        <w:right w:val="none" w:sz="0" w:space="0" w:color="auto"/>
      </w:divBdr>
    </w:div>
    <w:div w:id="861669810">
      <w:bodyDiv w:val="1"/>
      <w:marLeft w:val="0"/>
      <w:marRight w:val="0"/>
      <w:marTop w:val="0"/>
      <w:marBottom w:val="0"/>
      <w:divBdr>
        <w:top w:val="none" w:sz="0" w:space="0" w:color="auto"/>
        <w:left w:val="none" w:sz="0" w:space="0" w:color="auto"/>
        <w:bottom w:val="none" w:sz="0" w:space="0" w:color="auto"/>
        <w:right w:val="none" w:sz="0" w:space="0" w:color="auto"/>
      </w:divBdr>
    </w:div>
    <w:div w:id="863444781">
      <w:bodyDiv w:val="1"/>
      <w:marLeft w:val="0"/>
      <w:marRight w:val="0"/>
      <w:marTop w:val="0"/>
      <w:marBottom w:val="0"/>
      <w:divBdr>
        <w:top w:val="none" w:sz="0" w:space="0" w:color="auto"/>
        <w:left w:val="none" w:sz="0" w:space="0" w:color="auto"/>
        <w:bottom w:val="none" w:sz="0" w:space="0" w:color="auto"/>
        <w:right w:val="none" w:sz="0" w:space="0" w:color="auto"/>
      </w:divBdr>
    </w:div>
    <w:div w:id="955212419">
      <w:bodyDiv w:val="1"/>
      <w:marLeft w:val="0"/>
      <w:marRight w:val="0"/>
      <w:marTop w:val="0"/>
      <w:marBottom w:val="0"/>
      <w:divBdr>
        <w:top w:val="none" w:sz="0" w:space="0" w:color="auto"/>
        <w:left w:val="none" w:sz="0" w:space="0" w:color="auto"/>
        <w:bottom w:val="none" w:sz="0" w:space="0" w:color="auto"/>
        <w:right w:val="none" w:sz="0" w:space="0" w:color="auto"/>
      </w:divBdr>
    </w:div>
    <w:div w:id="980232531">
      <w:bodyDiv w:val="1"/>
      <w:marLeft w:val="0"/>
      <w:marRight w:val="0"/>
      <w:marTop w:val="0"/>
      <w:marBottom w:val="0"/>
      <w:divBdr>
        <w:top w:val="none" w:sz="0" w:space="0" w:color="auto"/>
        <w:left w:val="none" w:sz="0" w:space="0" w:color="auto"/>
        <w:bottom w:val="none" w:sz="0" w:space="0" w:color="auto"/>
        <w:right w:val="none" w:sz="0" w:space="0" w:color="auto"/>
      </w:divBdr>
    </w:div>
    <w:div w:id="1009869279">
      <w:bodyDiv w:val="1"/>
      <w:marLeft w:val="0"/>
      <w:marRight w:val="0"/>
      <w:marTop w:val="0"/>
      <w:marBottom w:val="0"/>
      <w:divBdr>
        <w:top w:val="none" w:sz="0" w:space="0" w:color="auto"/>
        <w:left w:val="none" w:sz="0" w:space="0" w:color="auto"/>
        <w:bottom w:val="none" w:sz="0" w:space="0" w:color="auto"/>
        <w:right w:val="none" w:sz="0" w:space="0" w:color="auto"/>
      </w:divBdr>
    </w:div>
    <w:div w:id="1331176256">
      <w:bodyDiv w:val="1"/>
      <w:marLeft w:val="0"/>
      <w:marRight w:val="0"/>
      <w:marTop w:val="0"/>
      <w:marBottom w:val="0"/>
      <w:divBdr>
        <w:top w:val="none" w:sz="0" w:space="0" w:color="auto"/>
        <w:left w:val="none" w:sz="0" w:space="0" w:color="auto"/>
        <w:bottom w:val="none" w:sz="0" w:space="0" w:color="auto"/>
        <w:right w:val="none" w:sz="0" w:space="0" w:color="auto"/>
      </w:divBdr>
    </w:div>
    <w:div w:id="1364819398">
      <w:bodyDiv w:val="1"/>
      <w:marLeft w:val="0"/>
      <w:marRight w:val="0"/>
      <w:marTop w:val="0"/>
      <w:marBottom w:val="0"/>
      <w:divBdr>
        <w:top w:val="none" w:sz="0" w:space="0" w:color="auto"/>
        <w:left w:val="none" w:sz="0" w:space="0" w:color="auto"/>
        <w:bottom w:val="none" w:sz="0" w:space="0" w:color="auto"/>
        <w:right w:val="none" w:sz="0" w:space="0" w:color="auto"/>
      </w:divBdr>
    </w:div>
    <w:div w:id="1520856139">
      <w:bodyDiv w:val="1"/>
      <w:marLeft w:val="0"/>
      <w:marRight w:val="0"/>
      <w:marTop w:val="0"/>
      <w:marBottom w:val="0"/>
      <w:divBdr>
        <w:top w:val="none" w:sz="0" w:space="0" w:color="auto"/>
        <w:left w:val="none" w:sz="0" w:space="0" w:color="auto"/>
        <w:bottom w:val="none" w:sz="0" w:space="0" w:color="auto"/>
        <w:right w:val="none" w:sz="0" w:space="0" w:color="auto"/>
      </w:divBdr>
    </w:div>
    <w:div w:id="1562473310">
      <w:bodyDiv w:val="1"/>
      <w:marLeft w:val="0"/>
      <w:marRight w:val="0"/>
      <w:marTop w:val="0"/>
      <w:marBottom w:val="0"/>
      <w:divBdr>
        <w:top w:val="none" w:sz="0" w:space="0" w:color="auto"/>
        <w:left w:val="none" w:sz="0" w:space="0" w:color="auto"/>
        <w:bottom w:val="none" w:sz="0" w:space="0" w:color="auto"/>
        <w:right w:val="none" w:sz="0" w:space="0" w:color="auto"/>
      </w:divBdr>
    </w:div>
    <w:div w:id="1724449514">
      <w:bodyDiv w:val="1"/>
      <w:marLeft w:val="0"/>
      <w:marRight w:val="0"/>
      <w:marTop w:val="0"/>
      <w:marBottom w:val="0"/>
      <w:divBdr>
        <w:top w:val="none" w:sz="0" w:space="0" w:color="auto"/>
        <w:left w:val="none" w:sz="0" w:space="0" w:color="auto"/>
        <w:bottom w:val="none" w:sz="0" w:space="0" w:color="auto"/>
        <w:right w:val="none" w:sz="0" w:space="0" w:color="auto"/>
      </w:divBdr>
    </w:div>
    <w:div w:id="1983348712">
      <w:bodyDiv w:val="1"/>
      <w:marLeft w:val="0"/>
      <w:marRight w:val="0"/>
      <w:marTop w:val="0"/>
      <w:marBottom w:val="0"/>
      <w:divBdr>
        <w:top w:val="none" w:sz="0" w:space="0" w:color="auto"/>
        <w:left w:val="none" w:sz="0" w:space="0" w:color="auto"/>
        <w:bottom w:val="none" w:sz="0" w:space="0" w:color="auto"/>
        <w:right w:val="none" w:sz="0" w:space="0" w:color="auto"/>
      </w:divBdr>
    </w:div>
    <w:div w:id="20291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Hoja_de_c_lculo_de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lgn="ctr">
              <a:defRPr lang="es-ES" sz="1400" b="1" i="0" u="none" strike="noStrike" baseline="0">
                <a:solidFill>
                  <a:srgbClr val="000000"/>
                </a:solidFill>
                <a:latin typeface="Times New Roman"/>
                <a:ea typeface="Times New Roman"/>
                <a:cs typeface="Times New Roman"/>
              </a:defRPr>
            </a:pPr>
            <a:r>
              <a:rPr lang="es-CR" sz="1400" b="0" i="0" baseline="0"/>
              <a:t>Gráfico N° 1 </a:t>
            </a:r>
            <a:r>
              <a:rPr lang="es-CR" sz="1400" b="1" i="0" baseline="0"/>
              <a:t/>
            </a:r>
            <a:br>
              <a:rPr lang="es-CR" sz="1400" b="1" i="0" baseline="0"/>
            </a:br>
            <a:r>
              <a:rPr lang="es-CR" sz="1400" b="1" i="0" baseline="0"/>
              <a:t>Volumen anual de casos entrados al Poder Judicial en primera instancia desde 2011 </a:t>
            </a:r>
            <a:endParaRPr lang="es-CR" sz="1400"/>
          </a:p>
        </c:rich>
      </c:tx>
      <c:layout>
        <c:manualLayout>
          <c:xMode val="edge"/>
          <c:yMode val="edge"/>
          <c:x val="0.12303665233812042"/>
          <c:y val="1.8382374049522424E-2"/>
        </c:manualLayout>
      </c:layout>
      <c:spPr>
        <a:noFill/>
        <a:ln w="25399">
          <a:noFill/>
        </a:ln>
      </c:spPr>
    </c:title>
    <c:plotArea>
      <c:layout>
        <c:manualLayout>
          <c:layoutTarget val="inner"/>
          <c:xMode val="edge"/>
          <c:yMode val="edge"/>
          <c:x val="0.18053511713666653"/>
          <c:y val="0.26185213176250738"/>
          <c:w val="0.69818058741739353"/>
          <c:h val="0.56508485137298192"/>
        </c:manualLayout>
      </c:layout>
      <c:lineChart>
        <c:grouping val="standard"/>
        <c:ser>
          <c:idx val="0"/>
          <c:order val="0"/>
          <c:tx>
            <c:strRef>
              <c:f>ent!$C$4</c:f>
              <c:strCache>
                <c:ptCount val="1"/>
                <c:pt idx="0">
                  <c:v>Entrados</c:v>
                </c:pt>
              </c:strCache>
            </c:strRef>
          </c:tx>
          <c:spPr>
            <a:ln w="12700">
              <a:solidFill>
                <a:srgbClr val="333333"/>
              </a:solidFill>
              <a:prstDash val="solid"/>
            </a:ln>
          </c:spPr>
          <c:dLbls>
            <c:dLbl>
              <c:idx val="0"/>
              <c:layout>
                <c:manualLayout>
                  <c:x val="-7.5767759814948724E-3"/>
                  <c:y val="-1.1513158391747772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133-493E-8580-B682F5FECADB}"/>
                </c:ext>
              </c:extLst>
            </c:dLbl>
            <c:numFmt formatCode="#,##0" sourceLinked="0"/>
            <c:spPr>
              <a:noFill/>
              <a:ln>
                <a:noFill/>
              </a:ln>
              <a:effectLst/>
            </c:spPr>
            <c:txPr>
              <a:bodyPr/>
              <a:lstStyle/>
              <a:p>
                <a:pPr>
                  <a:defRPr lang="es-ES" sz="1000"/>
                </a:pPr>
                <a:endParaRPr lang="es-CR"/>
              </a:p>
            </c:txPr>
            <c:dLblPos val="b"/>
            <c:showVal val="1"/>
            <c:extLst xmlns:c16r2="http://schemas.microsoft.com/office/drawing/2015/06/chart">
              <c:ext xmlns:c15="http://schemas.microsoft.com/office/drawing/2012/chart" uri="{CE6537A1-D6FC-4f65-9D91-7224C49458BB}">
                <c15:showLeaderLines val="0"/>
              </c:ext>
            </c:extLst>
          </c:dLbls>
          <c:cat>
            <c:numRef>
              <c:f>ent!$A$5:$A$10</c:f>
              <c:numCache>
                <c:formatCode>General</c:formatCode>
                <c:ptCount val="6"/>
                <c:pt idx="0">
                  <c:v>2011</c:v>
                </c:pt>
                <c:pt idx="1">
                  <c:v>2012</c:v>
                </c:pt>
                <c:pt idx="2">
                  <c:v>2013</c:v>
                </c:pt>
                <c:pt idx="3">
                  <c:v>2014</c:v>
                </c:pt>
                <c:pt idx="4">
                  <c:v>2015</c:v>
                </c:pt>
                <c:pt idx="5">
                  <c:v>2016</c:v>
                </c:pt>
              </c:numCache>
            </c:numRef>
          </c:cat>
          <c:val>
            <c:numRef>
              <c:f>ent!$C$5:$C$10</c:f>
              <c:numCache>
                <c:formatCode>General</c:formatCode>
                <c:ptCount val="6"/>
                <c:pt idx="0">
                  <c:v>690610</c:v>
                </c:pt>
                <c:pt idx="1">
                  <c:v>622152</c:v>
                </c:pt>
                <c:pt idx="2">
                  <c:v>629757</c:v>
                </c:pt>
                <c:pt idx="3">
                  <c:v>644873</c:v>
                </c:pt>
                <c:pt idx="4">
                  <c:v>638357</c:v>
                </c:pt>
                <c:pt idx="5">
                  <c:v>665930</c:v>
                </c:pt>
              </c:numCache>
            </c:numRef>
          </c:val>
          <c:extLst xmlns:c16r2="http://schemas.microsoft.com/office/drawing/2015/06/chart">
            <c:ext xmlns:c16="http://schemas.microsoft.com/office/drawing/2014/chart" uri="{C3380CC4-5D6E-409C-BE32-E72D297353CC}">
              <c16:uniqueId val="{00000003-07E2-4B1D-AAF0-6F6204259A02}"/>
            </c:ext>
          </c:extLst>
        </c:ser>
        <c:marker val="1"/>
        <c:axId val="121555968"/>
        <c:axId val="129897216"/>
      </c:lineChart>
      <c:catAx>
        <c:axId val="121555968"/>
        <c:scaling>
          <c:orientation val="minMax"/>
        </c:scaling>
        <c:axPos val="b"/>
        <c:numFmt formatCode="General" sourceLinked="1"/>
        <c:tickLblPos val="nextTo"/>
        <c:txPr>
          <a:bodyPr/>
          <a:lstStyle/>
          <a:p>
            <a:pPr>
              <a:defRPr lang="es-ES" sz="1000"/>
            </a:pPr>
            <a:endParaRPr lang="es-CR"/>
          </a:p>
        </c:txPr>
        <c:crossAx val="129897216"/>
        <c:crosses val="autoZero"/>
        <c:auto val="1"/>
        <c:lblAlgn val="ctr"/>
        <c:lblOffset val="100"/>
      </c:catAx>
      <c:valAx>
        <c:axId val="129897216"/>
        <c:scaling>
          <c:orientation val="minMax"/>
          <c:max val="900000"/>
          <c:min val="0"/>
        </c:scaling>
        <c:axPos val="l"/>
        <c:majorGridlines/>
        <c:numFmt formatCode="#,##0" sourceLinked="0"/>
        <c:tickLblPos val="nextTo"/>
        <c:txPr>
          <a:bodyPr/>
          <a:lstStyle/>
          <a:p>
            <a:pPr>
              <a:defRPr lang="es-ES" sz="1000"/>
            </a:pPr>
            <a:endParaRPr lang="es-CR"/>
          </a:p>
        </c:txPr>
        <c:crossAx val="121555968"/>
        <c:crosses val="autoZero"/>
        <c:crossBetween val="between"/>
        <c:majorUnit val="900000"/>
      </c:valAx>
      <c:spPr>
        <a:gradFill flip="none" rotWithShape="1">
          <a:gsLst>
            <a:gs pos="0">
              <a:srgbClr val="FFEFD1"/>
            </a:gs>
            <a:gs pos="64999">
              <a:srgbClr val="F0EBD5"/>
            </a:gs>
            <a:gs pos="100000">
              <a:srgbClr val="D1C39F"/>
            </a:gs>
          </a:gsLst>
          <a:path path="circle">
            <a:fillToRect l="100000" b="100000"/>
          </a:path>
          <a:tileRect t="-100000" r="-100000"/>
        </a:gradFill>
        <a:ln w="12700">
          <a:solidFill>
            <a:srgbClr val="808080"/>
          </a:solidFill>
          <a:prstDash val="solid"/>
        </a:ln>
      </c:spPr>
    </c:plotArea>
    <c:plotVisOnly val="1"/>
    <c:dispBlanksAs val="zero"/>
  </c:chart>
  <c:spPr>
    <a:no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lang="es-ES" sz="1198" b="1" i="0" u="none" strike="noStrike" baseline="0">
                <a:solidFill>
                  <a:srgbClr val="000000"/>
                </a:solidFill>
                <a:latin typeface="Times New Roman"/>
                <a:ea typeface="Times New Roman"/>
                <a:cs typeface="Times New Roman"/>
              </a:defRPr>
            </a:pPr>
            <a:r>
              <a:rPr lang="es-CR" sz="1050" b="0"/>
              <a:t>Gráfico N° 2 </a:t>
            </a:r>
            <a:r>
              <a:rPr lang="es-CR" sz="1050"/>
              <a:t>
Distibución porcentual del volumen</a:t>
            </a:r>
            <a:r>
              <a:rPr lang="es-CR" sz="1050" baseline="0"/>
              <a:t> de casos entrados por materia durante </a:t>
            </a:r>
            <a:r>
              <a:rPr lang="es-CR" sz="1050"/>
              <a:t>el 2016</a:t>
            </a:r>
          </a:p>
        </c:rich>
      </c:tx>
      <c:layout>
        <c:manualLayout>
          <c:xMode val="edge"/>
          <c:yMode val="edge"/>
          <c:x val="0.13699438226493851"/>
          <c:y val="1.9544111133301293E-2"/>
        </c:manualLayout>
      </c:layout>
      <c:spPr>
        <a:noFill/>
        <a:ln w="19020">
          <a:noFill/>
        </a:ln>
      </c:spPr>
    </c:title>
    <c:plotArea>
      <c:layout>
        <c:manualLayout>
          <c:layoutTarget val="inner"/>
          <c:xMode val="edge"/>
          <c:yMode val="edge"/>
          <c:x val="0.32957660216093337"/>
          <c:y val="0.20197496800711376"/>
          <c:w val="0.62654891839571036"/>
          <c:h val="0.68892508143322473"/>
        </c:manualLayout>
      </c:layout>
      <c:barChart>
        <c:barDir val="bar"/>
        <c:grouping val="clustered"/>
        <c:ser>
          <c:idx val="0"/>
          <c:order val="0"/>
          <c:spPr>
            <a:solidFill>
              <a:srgbClr val="9999FF"/>
            </a:solidFill>
            <a:ln w="9510">
              <a:solidFill>
                <a:srgbClr val="000000"/>
              </a:solidFill>
              <a:prstDash val="solid"/>
            </a:ln>
          </c:spPr>
          <c:dLbls>
            <c:dLbl>
              <c:idx val="0"/>
              <c:numFmt formatCode="0.0%" sourceLinked="0"/>
              <c:spPr/>
              <c:txPr>
                <a:bodyPr/>
                <a:lstStyle/>
                <a:p>
                  <a:pPr>
                    <a:defRPr lang="es-ES" sz="1000"/>
                  </a:pPr>
                  <a:endParaRPr lang="es-CR"/>
                </a:p>
              </c:txPr>
            </c:dLbl>
            <c:dLbl>
              <c:idx val="1"/>
              <c:numFmt formatCode="0.0%" sourceLinked="0"/>
              <c:spPr/>
              <c:txPr>
                <a:bodyPr/>
                <a:lstStyle/>
                <a:p>
                  <a:pPr>
                    <a:defRPr lang="es-ES" sz="1000"/>
                  </a:pPr>
                  <a:endParaRPr lang="es-CR"/>
                </a:p>
              </c:txPr>
            </c:dLbl>
            <c:dLbl>
              <c:idx val="12"/>
              <c:numFmt formatCode="0.0%" sourceLinked="0"/>
              <c:spPr>
                <a:noFill/>
                <a:ln>
                  <a:noFill/>
                </a:ln>
                <a:effectLst/>
              </c:spPr>
              <c:txPr>
                <a:bodyPr/>
                <a:lstStyle/>
                <a:p>
                  <a:pPr>
                    <a:defRPr lang="es-ES" sz="1000"/>
                  </a:pPr>
                  <a:endParaRPr lang="es-CR"/>
                </a:p>
              </c:txPr>
            </c:dLbl>
            <c:dLbl>
              <c:idx val="13"/>
              <c:layout>
                <c:manualLayout>
                  <c:x val="2.4914525521498288E-3"/>
                  <c:y val="0"/>
                </c:manualLayout>
              </c:layout>
              <c:numFmt formatCode="0.0%" sourceLinked="0"/>
              <c:spPr>
                <a:noFill/>
                <a:ln>
                  <a:noFill/>
                </a:ln>
                <a:effectLst/>
              </c:spPr>
              <c:txPr>
                <a:bodyPr/>
                <a:lstStyle/>
                <a:p>
                  <a:pPr>
                    <a:defRPr lang="es-ES" sz="1000"/>
                  </a:pPr>
                  <a:endParaRPr lang="es-CR"/>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117-43CE-8D86-82D49250E1F0}"/>
                </c:ext>
              </c:extLst>
            </c:dLbl>
            <c:spPr>
              <a:noFill/>
              <a:ln>
                <a:noFill/>
              </a:ln>
              <a:effectLst/>
            </c:spPr>
            <c:txPr>
              <a:bodyPr/>
              <a:lstStyle/>
              <a:p>
                <a:pPr>
                  <a:defRPr lang="es-ES" sz="1000"/>
                </a:pPr>
                <a:endParaRPr lang="es-CR"/>
              </a:p>
            </c:txPr>
            <c:showVal val="1"/>
            <c:extLst xmlns:c16r2="http://schemas.microsoft.com/office/drawing/2015/06/chart">
              <c:ext xmlns:c15="http://schemas.microsoft.com/office/drawing/2012/chart" uri="{CE6537A1-D6FC-4f65-9D91-7224C49458BB}">
                <c15:showLeaderLines val="0"/>
              </c:ext>
            </c:extLst>
          </c:dLbls>
          <c:cat>
            <c:strRef>
              <c:f>Hoja1!$A$3:$A$16</c:f>
              <c:strCache>
                <c:ptCount val="14"/>
                <c:pt idx="0">
                  <c:v>Notarial</c:v>
                </c:pt>
                <c:pt idx="1">
                  <c:v>Agraria</c:v>
                </c:pt>
                <c:pt idx="2">
                  <c:v>Penal Juvenil</c:v>
                </c:pt>
                <c:pt idx="3">
                  <c:v>Contenciosa Administrativa</c:v>
                </c:pt>
                <c:pt idx="4">
                  <c:v>Civil Ordinarios</c:v>
                </c:pt>
                <c:pt idx="5">
                  <c:v>Constitucional</c:v>
                </c:pt>
                <c:pt idx="6">
                  <c:v>Familia</c:v>
                </c:pt>
                <c:pt idx="7">
                  <c:v>Trabajo</c:v>
                </c:pt>
                <c:pt idx="8">
                  <c:v>Contravencional</c:v>
                </c:pt>
                <c:pt idx="9">
                  <c:v>Pensiones Alimentarias</c:v>
                </c:pt>
                <c:pt idx="10">
                  <c:v>Violencia Doméstica</c:v>
                </c:pt>
                <c:pt idx="11">
                  <c:v>Tránsito</c:v>
                </c:pt>
                <c:pt idx="12">
                  <c:v>Cobro Judicial</c:v>
                </c:pt>
                <c:pt idx="13">
                  <c:v>Penal</c:v>
                </c:pt>
              </c:strCache>
            </c:strRef>
          </c:cat>
          <c:val>
            <c:numRef>
              <c:f>Hoja1!$B$3:$B$16</c:f>
              <c:numCache>
                <c:formatCode>0.0%</c:formatCode>
                <c:ptCount val="14"/>
                <c:pt idx="0">
                  <c:v>1.7434264862673254E-3</c:v>
                </c:pt>
                <c:pt idx="1">
                  <c:v>4.5920742420374472E-3</c:v>
                </c:pt>
                <c:pt idx="2" formatCode="0%">
                  <c:v>1.3990960010811947E-2</c:v>
                </c:pt>
                <c:pt idx="3" formatCode="0%">
                  <c:v>2.2161488444731429E-2</c:v>
                </c:pt>
                <c:pt idx="4" formatCode="0%">
                  <c:v>2.4995119607165949E-2</c:v>
                </c:pt>
                <c:pt idx="5" formatCode="0%">
                  <c:v>2.6980313246136992E-2</c:v>
                </c:pt>
                <c:pt idx="6" formatCode="0%">
                  <c:v>4.4932650578889718E-2</c:v>
                </c:pt>
                <c:pt idx="7" formatCode="0%">
                  <c:v>4.7227186040574826E-2</c:v>
                </c:pt>
                <c:pt idx="8" formatCode="0%">
                  <c:v>5.9099304731728614E-2</c:v>
                </c:pt>
                <c:pt idx="9" formatCode="0%">
                  <c:v>6.0067875001877082E-2</c:v>
                </c:pt>
                <c:pt idx="10" formatCode="0%">
                  <c:v>7.2991155226525314E-2</c:v>
                </c:pt>
                <c:pt idx="11" formatCode="0%">
                  <c:v>0.12240776057543593</c:v>
                </c:pt>
                <c:pt idx="12" formatCode="0%">
                  <c:v>0.24705599687654875</c:v>
                </c:pt>
                <c:pt idx="13" formatCode="0%">
                  <c:v>0.25175468893126907</c:v>
                </c:pt>
              </c:numCache>
            </c:numRef>
          </c:val>
          <c:extLst xmlns:c16r2="http://schemas.microsoft.com/office/drawing/2015/06/chart">
            <c:ext xmlns:c16="http://schemas.microsoft.com/office/drawing/2014/chart" uri="{C3380CC4-5D6E-409C-BE32-E72D297353CC}">
              <c16:uniqueId val="{00000002-48F0-483F-A18A-87118ABD8E1C}"/>
            </c:ext>
          </c:extLst>
        </c:ser>
        <c:dLbls>
          <c:showVal val="1"/>
        </c:dLbls>
        <c:gapWidth val="50"/>
        <c:axId val="105518976"/>
        <c:axId val="121528320"/>
      </c:barChart>
      <c:catAx>
        <c:axId val="105518976"/>
        <c:scaling>
          <c:orientation val="minMax"/>
        </c:scaling>
        <c:axPos val="l"/>
        <c:title>
          <c:tx>
            <c:rich>
              <a:bodyPr/>
              <a:lstStyle/>
              <a:p>
                <a:pPr>
                  <a:defRPr lang="es-ES" sz="1200" b="1" i="0" u="none" strike="noStrike" baseline="0">
                    <a:solidFill>
                      <a:srgbClr val="000000"/>
                    </a:solidFill>
                    <a:latin typeface="Times New Roman"/>
                    <a:ea typeface="Times New Roman"/>
                    <a:cs typeface="Times New Roman"/>
                  </a:defRPr>
                </a:pPr>
                <a:r>
                  <a:rPr lang="es-CR" sz="1200"/>
                  <a:t>Materias</a:t>
                </a:r>
              </a:p>
            </c:rich>
          </c:tx>
          <c:layout>
            <c:manualLayout>
              <c:xMode val="edge"/>
              <c:yMode val="edge"/>
              <c:x val="1.3936440102734159E-2"/>
              <c:y val="0.22933488267787441"/>
            </c:manualLayout>
          </c:layout>
          <c:spPr>
            <a:noFill/>
            <a:ln w="19020">
              <a:noFill/>
            </a:ln>
          </c:spPr>
        </c:title>
        <c:numFmt formatCode="General" sourceLinked="1"/>
        <c:tickLblPos val="nextTo"/>
        <c:spPr>
          <a:ln w="2378">
            <a:solidFill>
              <a:srgbClr val="000000"/>
            </a:solidFill>
            <a:prstDash val="solid"/>
          </a:ln>
        </c:spPr>
        <c:txPr>
          <a:bodyPr rot="0" vert="horz"/>
          <a:lstStyle/>
          <a:p>
            <a:pPr>
              <a:defRPr lang="es-ES" sz="1000" b="0" i="0" u="none" strike="noStrike" baseline="0">
                <a:solidFill>
                  <a:srgbClr val="000000"/>
                </a:solidFill>
                <a:latin typeface="Times New Roman"/>
                <a:ea typeface="Times New Roman"/>
                <a:cs typeface="Times New Roman"/>
              </a:defRPr>
            </a:pPr>
            <a:endParaRPr lang="es-CR"/>
          </a:p>
        </c:txPr>
        <c:crossAx val="121528320"/>
        <c:crosses val="autoZero"/>
        <c:auto val="1"/>
        <c:lblAlgn val="ctr"/>
        <c:lblOffset val="100"/>
        <c:tickLblSkip val="1"/>
        <c:tickMarkSkip val="1"/>
      </c:catAx>
      <c:valAx>
        <c:axId val="121528320"/>
        <c:scaling>
          <c:orientation val="minMax"/>
          <c:max val="0.30000000000000032"/>
        </c:scaling>
        <c:axPos val="b"/>
        <c:title>
          <c:tx>
            <c:rich>
              <a:bodyPr/>
              <a:lstStyle/>
              <a:p>
                <a:pPr>
                  <a:defRPr lang="es-ES" sz="899" b="1" i="0" u="none" strike="noStrike" baseline="0">
                    <a:solidFill>
                      <a:srgbClr val="000000"/>
                    </a:solidFill>
                    <a:latin typeface="Times New Roman"/>
                    <a:ea typeface="Times New Roman"/>
                    <a:cs typeface="Times New Roman"/>
                  </a:defRPr>
                </a:pPr>
                <a:r>
                  <a:rPr lang="es-CR"/>
                  <a:t>Porcentajes</a:t>
                </a:r>
              </a:p>
            </c:rich>
          </c:tx>
          <c:layout>
            <c:manualLayout>
              <c:xMode val="edge"/>
              <c:yMode val="edge"/>
              <c:x val="0.62380635881468061"/>
              <c:y val="0.92699513440359682"/>
            </c:manualLayout>
          </c:layout>
          <c:spPr>
            <a:noFill/>
            <a:ln w="19020">
              <a:noFill/>
            </a:ln>
          </c:spPr>
        </c:title>
        <c:numFmt formatCode="0.0%" sourceLinked="1"/>
        <c:tickLblPos val="nextTo"/>
        <c:spPr>
          <a:ln w="2378">
            <a:solidFill>
              <a:srgbClr val="000000"/>
            </a:solidFill>
            <a:prstDash val="solid"/>
          </a:ln>
        </c:spPr>
        <c:txPr>
          <a:bodyPr rot="0" vert="horz"/>
          <a:lstStyle/>
          <a:p>
            <a:pPr>
              <a:defRPr lang="es-ES" sz="899" b="0" i="0" u="none" strike="noStrike" baseline="0">
                <a:solidFill>
                  <a:srgbClr val="000000"/>
                </a:solidFill>
                <a:latin typeface="Times New Roman"/>
                <a:ea typeface="Times New Roman"/>
                <a:cs typeface="Times New Roman"/>
              </a:defRPr>
            </a:pPr>
            <a:endParaRPr lang="es-CR"/>
          </a:p>
        </c:txPr>
        <c:crossAx val="105518976"/>
        <c:crosses val="autoZero"/>
        <c:crossBetween val="between"/>
        <c:majorUnit val="0.30000000000000032"/>
      </c:valAx>
      <c:spPr>
        <a:noFill/>
        <a:ln w="9510">
          <a:noFill/>
          <a:prstDash val="solid"/>
        </a:ln>
      </c:spPr>
    </c:plotArea>
    <c:plotVisOnly val="1"/>
    <c:dispBlanksAs val="gap"/>
  </c:chart>
  <c:spPr>
    <a:noFill/>
    <a:ln w="2378">
      <a:solidFill>
        <a:srgbClr val="000000"/>
      </a:solidFill>
      <a:prstDash val="solid"/>
    </a:ln>
  </c:spPr>
  <c:txPr>
    <a:bodyPr/>
    <a:lstStyle/>
    <a:p>
      <a:pPr>
        <a:defRPr sz="899"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lgn="ctr">
              <a:defRPr lang="es-ES" sz="1400" b="1" i="0" u="none" strike="noStrike" baseline="0">
                <a:solidFill>
                  <a:srgbClr val="000000"/>
                </a:solidFill>
                <a:latin typeface="Times New Roman"/>
                <a:ea typeface="Times New Roman"/>
                <a:cs typeface="Times New Roman"/>
              </a:defRPr>
            </a:pPr>
            <a:r>
              <a:rPr lang="es-CR" sz="1400" b="0" i="0" baseline="0"/>
              <a:t>Gráfico N° 3 </a:t>
            </a:r>
            <a:r>
              <a:rPr lang="es-CR" sz="1400" b="1" i="0" baseline="0"/>
              <a:t/>
            </a:r>
            <a:br>
              <a:rPr lang="es-CR" sz="1400" b="1" i="0" baseline="0"/>
            </a:br>
            <a:r>
              <a:rPr lang="es-CR" sz="1400" b="1" i="0" baseline="0"/>
              <a:t>Volumen anual de casos terminados en el Poder Judicial en primera instancia desde 2011 </a:t>
            </a:r>
            <a:endParaRPr lang="es-CR" sz="1400"/>
          </a:p>
        </c:rich>
      </c:tx>
      <c:layout>
        <c:manualLayout>
          <c:xMode val="edge"/>
          <c:yMode val="edge"/>
          <c:x val="0.12051112663105212"/>
          <c:y val="1.8382374049522449E-2"/>
        </c:manualLayout>
      </c:layout>
      <c:spPr>
        <a:noFill/>
        <a:ln w="25399">
          <a:noFill/>
        </a:ln>
      </c:spPr>
    </c:title>
    <c:plotArea>
      <c:layout>
        <c:manualLayout>
          <c:layoutTarget val="inner"/>
          <c:xMode val="edge"/>
          <c:yMode val="edge"/>
          <c:x val="0.16790748860132926"/>
          <c:y val="0.26185213176250738"/>
          <c:w val="0.69818058741739342"/>
          <c:h val="0.54589625405340514"/>
        </c:manualLayout>
      </c:layout>
      <c:lineChart>
        <c:grouping val="standard"/>
        <c:ser>
          <c:idx val="1"/>
          <c:order val="0"/>
          <c:tx>
            <c:strRef>
              <c:f>ent!$E$4</c:f>
              <c:strCache>
                <c:ptCount val="1"/>
                <c:pt idx="0">
                  <c:v>Terminados</c:v>
                </c:pt>
              </c:strCache>
            </c:strRef>
          </c:tx>
          <c:spPr>
            <a:ln w="12700"/>
          </c:spPr>
          <c:marker>
            <c:symbol val="square"/>
            <c:size val="3"/>
          </c:marker>
          <c:dLbls>
            <c:numFmt formatCode="#,##0" sourceLinked="0"/>
            <c:spPr>
              <a:noFill/>
              <a:ln>
                <a:noFill/>
              </a:ln>
              <a:effectLst/>
            </c:spPr>
            <c:txPr>
              <a:bodyPr/>
              <a:lstStyle/>
              <a:p>
                <a:pPr>
                  <a:defRPr lang="es-ES" sz="1000"/>
                </a:pPr>
                <a:endParaRPr lang="es-CR"/>
              </a:p>
            </c:txPr>
            <c:dLblPos val="b"/>
            <c:showVal val="1"/>
            <c:extLst xmlns:c16r2="http://schemas.microsoft.com/office/drawing/2015/06/chart">
              <c:ext xmlns:c15="http://schemas.microsoft.com/office/drawing/2012/chart" uri="{CE6537A1-D6FC-4f65-9D91-7224C49458BB}">
                <c15:showLeaderLines val="0"/>
              </c:ext>
            </c:extLst>
          </c:dLbls>
          <c:cat>
            <c:numRef>
              <c:f>ent!$A$5:$A$10</c:f>
              <c:numCache>
                <c:formatCode>General</c:formatCode>
                <c:ptCount val="6"/>
                <c:pt idx="0">
                  <c:v>2011</c:v>
                </c:pt>
                <c:pt idx="1">
                  <c:v>2012</c:v>
                </c:pt>
                <c:pt idx="2">
                  <c:v>2013</c:v>
                </c:pt>
                <c:pt idx="3">
                  <c:v>2014</c:v>
                </c:pt>
                <c:pt idx="4">
                  <c:v>2015</c:v>
                </c:pt>
                <c:pt idx="5">
                  <c:v>2016</c:v>
                </c:pt>
              </c:numCache>
            </c:numRef>
          </c:cat>
          <c:val>
            <c:numRef>
              <c:f>ent!$E$5:$E$10</c:f>
              <c:numCache>
                <c:formatCode>General</c:formatCode>
                <c:ptCount val="6"/>
                <c:pt idx="0">
                  <c:v>653232</c:v>
                </c:pt>
                <c:pt idx="1">
                  <c:v>537906</c:v>
                </c:pt>
                <c:pt idx="2">
                  <c:v>559471</c:v>
                </c:pt>
                <c:pt idx="3">
                  <c:v>610367</c:v>
                </c:pt>
                <c:pt idx="4">
                  <c:v>605022</c:v>
                </c:pt>
                <c:pt idx="5">
                  <c:v>612363</c:v>
                </c:pt>
              </c:numCache>
            </c:numRef>
          </c:val>
          <c:extLst xmlns:c16r2="http://schemas.microsoft.com/office/drawing/2015/06/chart">
            <c:ext xmlns:c16="http://schemas.microsoft.com/office/drawing/2014/chart" uri="{C3380CC4-5D6E-409C-BE32-E72D297353CC}">
              <c16:uniqueId val="{00000000-5867-4209-AA1F-9BE14722120F}"/>
            </c:ext>
          </c:extLst>
        </c:ser>
        <c:marker val="1"/>
        <c:axId val="130428928"/>
        <c:axId val="130430464"/>
      </c:lineChart>
      <c:catAx>
        <c:axId val="130428928"/>
        <c:scaling>
          <c:orientation val="minMax"/>
        </c:scaling>
        <c:axPos val="b"/>
        <c:numFmt formatCode="General" sourceLinked="1"/>
        <c:tickLblPos val="nextTo"/>
        <c:txPr>
          <a:bodyPr/>
          <a:lstStyle/>
          <a:p>
            <a:pPr>
              <a:defRPr lang="es-ES" sz="1000"/>
            </a:pPr>
            <a:endParaRPr lang="es-CR"/>
          </a:p>
        </c:txPr>
        <c:crossAx val="130430464"/>
        <c:crosses val="autoZero"/>
        <c:auto val="1"/>
        <c:lblAlgn val="ctr"/>
        <c:lblOffset val="100"/>
      </c:catAx>
      <c:valAx>
        <c:axId val="130430464"/>
        <c:scaling>
          <c:orientation val="minMax"/>
          <c:max val="800000"/>
          <c:min val="0"/>
        </c:scaling>
        <c:axPos val="l"/>
        <c:majorGridlines/>
        <c:numFmt formatCode="#,##0" sourceLinked="0"/>
        <c:tickLblPos val="nextTo"/>
        <c:txPr>
          <a:bodyPr/>
          <a:lstStyle/>
          <a:p>
            <a:pPr>
              <a:defRPr lang="es-ES" sz="1000"/>
            </a:pPr>
            <a:endParaRPr lang="es-CR"/>
          </a:p>
        </c:txPr>
        <c:crossAx val="130428928"/>
        <c:crosses val="autoZero"/>
        <c:crossBetween val="between"/>
        <c:majorUnit val="800000"/>
      </c:valAx>
      <c:spPr>
        <a:gradFill flip="none" rotWithShape="1">
          <a:gsLst>
            <a:gs pos="0">
              <a:srgbClr val="FFEFD1"/>
            </a:gs>
            <a:gs pos="64999">
              <a:srgbClr val="F0EBD5"/>
            </a:gs>
            <a:gs pos="100000">
              <a:srgbClr val="D1C39F"/>
            </a:gs>
          </a:gsLst>
          <a:path path="circle">
            <a:fillToRect l="100000" b="100000"/>
          </a:path>
          <a:tileRect t="-100000" r="-100000"/>
        </a:gradFill>
        <a:ln w="12700">
          <a:solidFill>
            <a:srgbClr val="808080"/>
          </a:solidFill>
          <a:prstDash val="solid"/>
        </a:ln>
      </c:spPr>
    </c:plotArea>
    <c:plotVisOnly val="1"/>
    <c:dispBlanksAs val="zero"/>
  </c:chart>
  <c:spPr>
    <a:no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lang="es-ES" sz="1198" b="1" i="0" u="none" strike="noStrike" baseline="0">
                <a:solidFill>
                  <a:srgbClr val="000000"/>
                </a:solidFill>
                <a:latin typeface="Times New Roman"/>
                <a:ea typeface="Times New Roman"/>
                <a:cs typeface="Times New Roman"/>
              </a:defRPr>
            </a:pPr>
            <a:r>
              <a:rPr lang="es-CR" sz="1050" b="0"/>
              <a:t>Gráfico N° 4 </a:t>
            </a:r>
            <a:r>
              <a:rPr lang="es-CR" sz="1050"/>
              <a:t>
Distibución porcentual del volumen</a:t>
            </a:r>
            <a:r>
              <a:rPr lang="es-CR" sz="1050" baseline="0"/>
              <a:t> de casos terminados por materia durante </a:t>
            </a:r>
            <a:r>
              <a:rPr lang="es-CR" sz="1050"/>
              <a:t>el 2016</a:t>
            </a:r>
          </a:p>
        </c:rich>
      </c:tx>
      <c:layout>
        <c:manualLayout>
          <c:xMode val="edge"/>
          <c:yMode val="edge"/>
          <c:x val="0.13699438226493851"/>
          <c:y val="1.9544111133301293E-2"/>
        </c:manualLayout>
      </c:layout>
      <c:spPr>
        <a:noFill/>
        <a:ln w="19020">
          <a:noFill/>
        </a:ln>
      </c:spPr>
    </c:title>
    <c:plotArea>
      <c:layout>
        <c:manualLayout>
          <c:layoutTarget val="inner"/>
          <c:xMode val="edge"/>
          <c:yMode val="edge"/>
          <c:x val="0.2981095564272806"/>
          <c:y val="0.20197496800711376"/>
          <c:w val="0.61556462732242678"/>
          <c:h val="0.68892508143322473"/>
        </c:manualLayout>
      </c:layout>
      <c:barChart>
        <c:barDir val="bar"/>
        <c:grouping val="clustered"/>
        <c:ser>
          <c:idx val="0"/>
          <c:order val="0"/>
          <c:spPr>
            <a:solidFill>
              <a:srgbClr val="9999FF"/>
            </a:solidFill>
            <a:ln w="9510">
              <a:solidFill>
                <a:srgbClr val="000000"/>
              </a:solidFill>
              <a:prstDash val="solid"/>
            </a:ln>
          </c:spPr>
          <c:dLbls>
            <c:dLbl>
              <c:idx val="0"/>
              <c:numFmt formatCode="0.0%" sourceLinked="0"/>
              <c:spPr/>
              <c:txPr>
                <a:bodyPr/>
                <a:lstStyle/>
                <a:p>
                  <a:pPr>
                    <a:defRPr lang="es-ES" sz="1000"/>
                  </a:pPr>
                  <a:endParaRPr lang="es-CR"/>
                </a:p>
              </c:txPr>
            </c:dLbl>
            <c:dLbl>
              <c:idx val="1"/>
              <c:numFmt formatCode="0%" sourceLinked="0"/>
              <c:spPr/>
              <c:txPr>
                <a:bodyPr/>
                <a:lstStyle/>
                <a:p>
                  <a:pPr>
                    <a:defRPr lang="es-ES" sz="1000"/>
                  </a:pPr>
                  <a:endParaRPr lang="es-CR"/>
                </a:p>
              </c:txPr>
            </c:dLbl>
            <c:numFmt formatCode="0%" sourceLinked="0"/>
            <c:spPr>
              <a:noFill/>
              <a:ln>
                <a:noFill/>
              </a:ln>
              <a:effectLst/>
            </c:spPr>
            <c:txPr>
              <a:bodyPr/>
              <a:lstStyle/>
              <a:p>
                <a:pPr>
                  <a:defRPr lang="es-ES" sz="1000"/>
                </a:pPr>
                <a:endParaRPr lang="es-CR"/>
              </a:p>
            </c:txPr>
            <c:showVal val="1"/>
            <c:extLst xmlns:c16r2="http://schemas.microsoft.com/office/drawing/2015/06/chart">
              <c:ext xmlns:c15="http://schemas.microsoft.com/office/drawing/2012/chart" uri="{CE6537A1-D6FC-4f65-9D91-7224C49458BB}">
                <c15:showLeaderLines val="0"/>
              </c:ext>
            </c:extLst>
          </c:dLbls>
          <c:cat>
            <c:strRef>
              <c:f>Hoja1!$A$3:$A$16</c:f>
              <c:strCache>
                <c:ptCount val="14"/>
                <c:pt idx="0">
                  <c:v>Notarial</c:v>
                </c:pt>
                <c:pt idx="1">
                  <c:v>Agraria</c:v>
                </c:pt>
                <c:pt idx="2">
                  <c:v>Penal Juvenil</c:v>
                </c:pt>
                <c:pt idx="3">
                  <c:v>Contenciosa Administrativa</c:v>
                </c:pt>
                <c:pt idx="4">
                  <c:v>Constitucional</c:v>
                </c:pt>
                <c:pt idx="5">
                  <c:v>Civil Ordinarios</c:v>
                </c:pt>
                <c:pt idx="6">
                  <c:v>Familia</c:v>
                </c:pt>
                <c:pt idx="7">
                  <c:v>Pensiones Alimentarias</c:v>
                </c:pt>
                <c:pt idx="8">
                  <c:v>Trabajo</c:v>
                </c:pt>
                <c:pt idx="9">
                  <c:v>Contravencional</c:v>
                </c:pt>
                <c:pt idx="10">
                  <c:v>Violencia Doméstica</c:v>
                </c:pt>
                <c:pt idx="11">
                  <c:v>Cobro Judicial</c:v>
                </c:pt>
                <c:pt idx="12">
                  <c:v>Tránsito</c:v>
                </c:pt>
                <c:pt idx="13">
                  <c:v>Penal</c:v>
                </c:pt>
              </c:strCache>
            </c:strRef>
          </c:cat>
          <c:val>
            <c:numRef>
              <c:f>Hoja1!$B$3:$B$16</c:f>
              <c:numCache>
                <c:formatCode>General</c:formatCode>
                <c:ptCount val="14"/>
                <c:pt idx="0">
                  <c:v>2.1359879679209923E-3</c:v>
                </c:pt>
                <c:pt idx="1">
                  <c:v>5.2860803151072184E-3</c:v>
                </c:pt>
                <c:pt idx="2">
                  <c:v>1.9401890708615671E-2</c:v>
                </c:pt>
                <c:pt idx="3">
                  <c:v>2.8842369640229768E-2</c:v>
                </c:pt>
                <c:pt idx="4">
                  <c:v>2.905139598571441E-2</c:v>
                </c:pt>
                <c:pt idx="5">
                  <c:v>3.1024082121225482E-2</c:v>
                </c:pt>
                <c:pt idx="6">
                  <c:v>4.8508809317349348E-2</c:v>
                </c:pt>
                <c:pt idx="7">
                  <c:v>5.5117634474976529E-2</c:v>
                </c:pt>
                <c:pt idx="8">
                  <c:v>6.8057671675133921E-2</c:v>
                </c:pt>
                <c:pt idx="9">
                  <c:v>7.185443927866314E-2</c:v>
                </c:pt>
                <c:pt idx="10">
                  <c:v>0.10534437906927753</c:v>
                </c:pt>
                <c:pt idx="11">
                  <c:v>0.12080906259849138</c:v>
                </c:pt>
                <c:pt idx="12">
                  <c:v>0.1362394527428995</c:v>
                </c:pt>
                <c:pt idx="13">
                  <c:v>0.27832674410439595</c:v>
                </c:pt>
              </c:numCache>
            </c:numRef>
          </c:val>
          <c:extLst xmlns:c16r2="http://schemas.microsoft.com/office/drawing/2015/06/chart">
            <c:ext xmlns:c16="http://schemas.microsoft.com/office/drawing/2014/chart" uri="{C3380CC4-5D6E-409C-BE32-E72D297353CC}">
              <c16:uniqueId val="{00000002-D99E-469F-AE64-8EF27303CF9E}"/>
            </c:ext>
          </c:extLst>
        </c:ser>
        <c:dLbls>
          <c:showVal val="1"/>
        </c:dLbls>
        <c:gapWidth val="50"/>
        <c:axId val="129538304"/>
        <c:axId val="121516032"/>
      </c:barChart>
      <c:catAx>
        <c:axId val="129538304"/>
        <c:scaling>
          <c:orientation val="minMax"/>
        </c:scaling>
        <c:axPos val="l"/>
        <c:title>
          <c:tx>
            <c:rich>
              <a:bodyPr/>
              <a:lstStyle/>
              <a:p>
                <a:pPr>
                  <a:defRPr lang="es-ES" sz="1200" b="1" i="0" u="none" strike="noStrike" baseline="0">
                    <a:solidFill>
                      <a:srgbClr val="000000"/>
                    </a:solidFill>
                    <a:latin typeface="Times New Roman"/>
                    <a:ea typeface="Times New Roman"/>
                    <a:cs typeface="Times New Roman"/>
                  </a:defRPr>
                </a:pPr>
                <a:r>
                  <a:rPr lang="es-CR" sz="1200"/>
                  <a:t>Materias</a:t>
                </a:r>
              </a:p>
            </c:rich>
          </c:tx>
          <c:layout>
            <c:manualLayout>
              <c:xMode val="edge"/>
              <c:yMode val="edge"/>
              <c:x val="2.1410797759183652E-2"/>
              <c:y val="0.18328409348282348"/>
            </c:manualLayout>
          </c:layout>
          <c:spPr>
            <a:noFill/>
            <a:ln w="19020">
              <a:noFill/>
            </a:ln>
          </c:spPr>
        </c:title>
        <c:numFmt formatCode="General" sourceLinked="1"/>
        <c:tickLblPos val="nextTo"/>
        <c:spPr>
          <a:ln w="2378">
            <a:solidFill>
              <a:srgbClr val="000000"/>
            </a:solidFill>
            <a:prstDash val="solid"/>
          </a:ln>
        </c:spPr>
        <c:txPr>
          <a:bodyPr rot="0" vert="horz"/>
          <a:lstStyle/>
          <a:p>
            <a:pPr>
              <a:defRPr lang="es-ES" sz="1000" b="0" i="0" u="none" strike="noStrike" baseline="0">
                <a:solidFill>
                  <a:srgbClr val="000000"/>
                </a:solidFill>
                <a:latin typeface="Times New Roman"/>
                <a:ea typeface="Times New Roman"/>
                <a:cs typeface="Times New Roman"/>
              </a:defRPr>
            </a:pPr>
            <a:endParaRPr lang="es-CR"/>
          </a:p>
        </c:txPr>
        <c:crossAx val="121516032"/>
        <c:crosses val="autoZero"/>
        <c:auto val="1"/>
        <c:lblAlgn val="ctr"/>
        <c:lblOffset val="100"/>
        <c:tickLblSkip val="1"/>
        <c:tickMarkSkip val="1"/>
      </c:catAx>
      <c:valAx>
        <c:axId val="121516032"/>
        <c:scaling>
          <c:orientation val="minMax"/>
          <c:max val="0.30000000000000032"/>
        </c:scaling>
        <c:axPos val="b"/>
        <c:title>
          <c:tx>
            <c:rich>
              <a:bodyPr/>
              <a:lstStyle/>
              <a:p>
                <a:pPr>
                  <a:defRPr lang="es-ES" sz="899" b="1" i="0" u="none" strike="noStrike" baseline="0">
                    <a:solidFill>
                      <a:srgbClr val="000000"/>
                    </a:solidFill>
                    <a:latin typeface="Times New Roman"/>
                    <a:ea typeface="Times New Roman"/>
                    <a:cs typeface="Times New Roman"/>
                  </a:defRPr>
                </a:pPr>
                <a:r>
                  <a:rPr lang="es-CR"/>
                  <a:t>Porcentajes</a:t>
                </a:r>
              </a:p>
            </c:rich>
          </c:tx>
          <c:layout>
            <c:manualLayout>
              <c:xMode val="edge"/>
              <c:yMode val="edge"/>
              <c:x val="0.50670812296165257"/>
              <c:y val="0.92345265997675685"/>
            </c:manualLayout>
          </c:layout>
          <c:spPr>
            <a:noFill/>
            <a:ln w="19020">
              <a:noFill/>
            </a:ln>
          </c:spPr>
        </c:title>
        <c:numFmt formatCode="General" sourceLinked="1"/>
        <c:tickLblPos val="nextTo"/>
        <c:spPr>
          <a:ln w="2378">
            <a:solidFill>
              <a:srgbClr val="000000"/>
            </a:solidFill>
            <a:prstDash val="solid"/>
          </a:ln>
        </c:spPr>
        <c:txPr>
          <a:bodyPr rot="0" vert="horz"/>
          <a:lstStyle/>
          <a:p>
            <a:pPr>
              <a:defRPr lang="es-ES" sz="899" b="0" i="0" u="none" strike="noStrike" baseline="0">
                <a:solidFill>
                  <a:srgbClr val="000000"/>
                </a:solidFill>
                <a:latin typeface="Times New Roman"/>
                <a:ea typeface="Times New Roman"/>
                <a:cs typeface="Times New Roman"/>
              </a:defRPr>
            </a:pPr>
            <a:endParaRPr lang="es-CR"/>
          </a:p>
        </c:txPr>
        <c:crossAx val="129538304"/>
        <c:crosses val="autoZero"/>
        <c:crossBetween val="between"/>
        <c:majorUnit val="0.30000000000000032"/>
      </c:valAx>
      <c:spPr>
        <a:noFill/>
        <a:ln w="9510">
          <a:noFill/>
          <a:prstDash val="solid"/>
        </a:ln>
      </c:spPr>
    </c:plotArea>
    <c:plotVisOnly val="1"/>
    <c:dispBlanksAs val="gap"/>
  </c:chart>
  <c:spPr>
    <a:noFill/>
    <a:ln w="2378">
      <a:solidFill>
        <a:srgbClr val="000000"/>
      </a:solidFill>
      <a:prstDash val="solid"/>
    </a:ln>
  </c:spPr>
  <c:txPr>
    <a:bodyPr/>
    <a:lstStyle/>
    <a:p>
      <a:pPr>
        <a:defRPr sz="899"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lgn="ctr">
              <a:defRPr lang="es-ES" sz="1400" b="1" i="0" u="none" strike="noStrike" baseline="0">
                <a:solidFill>
                  <a:srgbClr val="000000"/>
                </a:solidFill>
                <a:latin typeface="Times New Roman"/>
                <a:ea typeface="Times New Roman"/>
                <a:cs typeface="Times New Roman"/>
              </a:defRPr>
            </a:pPr>
            <a:r>
              <a:rPr lang="es-CR" sz="1400" b="0" i="0" baseline="0"/>
              <a:t>Gráfico N° 5 </a:t>
            </a:r>
            <a:r>
              <a:rPr lang="es-CR" sz="1400" b="1" i="0" baseline="0"/>
              <a:t/>
            </a:r>
            <a:br>
              <a:rPr lang="es-CR" sz="1400" b="1" i="0" baseline="0"/>
            </a:br>
            <a:r>
              <a:rPr lang="es-CR" sz="1200" b="1" i="0" baseline="0"/>
              <a:t>Relación de los volumenes anuales de casos entrados y terminados en primera instanncia en el Poder Judicial costarricense desde 2011 </a:t>
            </a:r>
            <a:endParaRPr lang="es-CR" sz="1200"/>
          </a:p>
        </c:rich>
      </c:tx>
      <c:layout>
        <c:manualLayout>
          <c:xMode val="edge"/>
          <c:yMode val="edge"/>
          <c:x val="0.12051112663105212"/>
          <c:y val="1.8382374049522462E-2"/>
        </c:manualLayout>
      </c:layout>
      <c:spPr>
        <a:noFill/>
        <a:ln w="25399">
          <a:noFill/>
        </a:ln>
      </c:spPr>
    </c:title>
    <c:plotArea>
      <c:layout>
        <c:manualLayout>
          <c:layoutTarget val="inner"/>
          <c:xMode val="edge"/>
          <c:yMode val="edge"/>
          <c:x val="0.17295854001546354"/>
          <c:y val="0.26185213176250738"/>
          <c:w val="0.69818058741739342"/>
          <c:h val="0.54589625405340536"/>
        </c:manualLayout>
      </c:layout>
      <c:lineChart>
        <c:grouping val="standard"/>
        <c:ser>
          <c:idx val="1"/>
          <c:order val="0"/>
          <c:tx>
            <c:strRef>
              <c:f>ent!$E$4</c:f>
              <c:strCache>
                <c:ptCount val="1"/>
                <c:pt idx="0">
                  <c:v>Terminados</c:v>
                </c:pt>
              </c:strCache>
            </c:strRef>
          </c:tx>
          <c:spPr>
            <a:ln w="12700">
              <a:solidFill>
                <a:schemeClr val="tx2">
                  <a:lumMod val="40000"/>
                  <a:lumOff val="60000"/>
                </a:schemeClr>
              </a:solidFill>
            </a:ln>
          </c:spPr>
          <c:marker>
            <c:symbol val="square"/>
            <c:size val="3"/>
          </c:marker>
          <c:cat>
            <c:numRef>
              <c:f>ent!$A$5:$A$10</c:f>
              <c:numCache>
                <c:formatCode>General</c:formatCode>
                <c:ptCount val="6"/>
                <c:pt idx="0">
                  <c:v>2011</c:v>
                </c:pt>
                <c:pt idx="1">
                  <c:v>2012</c:v>
                </c:pt>
                <c:pt idx="2">
                  <c:v>2013</c:v>
                </c:pt>
                <c:pt idx="3">
                  <c:v>2014</c:v>
                </c:pt>
                <c:pt idx="4">
                  <c:v>2015</c:v>
                </c:pt>
                <c:pt idx="5">
                  <c:v>2016</c:v>
                </c:pt>
              </c:numCache>
            </c:numRef>
          </c:cat>
          <c:val>
            <c:numRef>
              <c:f>ent!$E$5:$E$10</c:f>
              <c:numCache>
                <c:formatCode>General</c:formatCode>
                <c:ptCount val="6"/>
                <c:pt idx="0">
                  <c:v>653232</c:v>
                </c:pt>
                <c:pt idx="1">
                  <c:v>537906</c:v>
                </c:pt>
                <c:pt idx="2">
                  <c:v>559471</c:v>
                </c:pt>
                <c:pt idx="3">
                  <c:v>610367</c:v>
                </c:pt>
                <c:pt idx="4">
                  <c:v>605085</c:v>
                </c:pt>
                <c:pt idx="5">
                  <c:v>612363</c:v>
                </c:pt>
              </c:numCache>
            </c:numRef>
          </c:val>
          <c:smooth val="1"/>
          <c:extLst xmlns:c16r2="http://schemas.microsoft.com/office/drawing/2015/06/chart">
            <c:ext xmlns:c16="http://schemas.microsoft.com/office/drawing/2014/chart" uri="{C3380CC4-5D6E-409C-BE32-E72D297353CC}">
              <c16:uniqueId val="{00000000-1B2A-4195-94C8-05F74CBF91F1}"/>
            </c:ext>
          </c:extLst>
        </c:ser>
        <c:ser>
          <c:idx val="0"/>
          <c:order val="1"/>
          <c:tx>
            <c:strRef>
              <c:f>ent!$C$4</c:f>
              <c:strCache>
                <c:ptCount val="1"/>
                <c:pt idx="0">
                  <c:v>Entrados</c:v>
                </c:pt>
              </c:strCache>
            </c:strRef>
          </c:tx>
          <c:spPr>
            <a:ln w="12700">
              <a:solidFill>
                <a:schemeClr val="tx2">
                  <a:lumMod val="40000"/>
                  <a:lumOff val="60000"/>
                </a:schemeClr>
              </a:solidFill>
            </a:ln>
          </c:spPr>
          <c:marker>
            <c:symbol val="diamond"/>
            <c:size val="3"/>
          </c:marker>
          <c:cat>
            <c:numRef>
              <c:f>ent!$A$5:$A$10</c:f>
              <c:numCache>
                <c:formatCode>General</c:formatCode>
                <c:ptCount val="6"/>
                <c:pt idx="0">
                  <c:v>2011</c:v>
                </c:pt>
                <c:pt idx="1">
                  <c:v>2012</c:v>
                </c:pt>
                <c:pt idx="2">
                  <c:v>2013</c:v>
                </c:pt>
                <c:pt idx="3">
                  <c:v>2014</c:v>
                </c:pt>
                <c:pt idx="4">
                  <c:v>2015</c:v>
                </c:pt>
                <c:pt idx="5">
                  <c:v>2016</c:v>
                </c:pt>
              </c:numCache>
            </c:numRef>
          </c:cat>
          <c:val>
            <c:numRef>
              <c:f>ent!$C$5:$C$10</c:f>
              <c:numCache>
                <c:formatCode>General</c:formatCode>
                <c:ptCount val="6"/>
                <c:pt idx="0">
                  <c:v>690610</c:v>
                </c:pt>
                <c:pt idx="1">
                  <c:v>622152</c:v>
                </c:pt>
                <c:pt idx="2">
                  <c:v>629757</c:v>
                </c:pt>
                <c:pt idx="3">
                  <c:v>644873</c:v>
                </c:pt>
                <c:pt idx="4">
                  <c:v>638357</c:v>
                </c:pt>
                <c:pt idx="5">
                  <c:v>665930</c:v>
                </c:pt>
              </c:numCache>
            </c:numRef>
          </c:val>
          <c:smooth val="1"/>
          <c:extLst xmlns:c16r2="http://schemas.microsoft.com/office/drawing/2015/06/chart">
            <c:ext xmlns:c16="http://schemas.microsoft.com/office/drawing/2014/chart" uri="{C3380CC4-5D6E-409C-BE32-E72D297353CC}">
              <c16:uniqueId val="{00000001-1B2A-4195-94C8-05F74CBF91F1}"/>
            </c:ext>
          </c:extLst>
        </c:ser>
        <c:marker val="1"/>
        <c:axId val="130057344"/>
        <c:axId val="130058880"/>
      </c:lineChart>
      <c:catAx>
        <c:axId val="130057344"/>
        <c:scaling>
          <c:orientation val="minMax"/>
        </c:scaling>
        <c:axPos val="b"/>
        <c:numFmt formatCode="General" sourceLinked="1"/>
        <c:tickLblPos val="nextTo"/>
        <c:txPr>
          <a:bodyPr/>
          <a:lstStyle/>
          <a:p>
            <a:pPr>
              <a:defRPr lang="es-ES" sz="1000"/>
            </a:pPr>
            <a:endParaRPr lang="es-CR"/>
          </a:p>
        </c:txPr>
        <c:crossAx val="130058880"/>
        <c:crosses val="autoZero"/>
        <c:auto val="1"/>
        <c:lblAlgn val="ctr"/>
        <c:lblOffset val="100"/>
      </c:catAx>
      <c:valAx>
        <c:axId val="130058880"/>
        <c:scaling>
          <c:orientation val="minMax"/>
          <c:max val="700000"/>
          <c:min val="500000"/>
        </c:scaling>
        <c:axPos val="l"/>
        <c:majorGridlines/>
        <c:numFmt formatCode="#,##0" sourceLinked="0"/>
        <c:tickLblPos val="nextTo"/>
        <c:txPr>
          <a:bodyPr/>
          <a:lstStyle/>
          <a:p>
            <a:pPr>
              <a:defRPr lang="es-ES" sz="1000"/>
            </a:pPr>
            <a:endParaRPr lang="es-CR"/>
          </a:p>
        </c:txPr>
        <c:crossAx val="130057344"/>
        <c:crosses val="autoZero"/>
        <c:crossBetween val="between"/>
        <c:majorUnit val="200000"/>
      </c:valAx>
      <c:spPr>
        <a:noFill/>
        <a:ln w="25400">
          <a:noFill/>
        </a:ln>
      </c:spPr>
    </c:plotArea>
    <c:plotVisOnly val="1"/>
    <c:dispBlanksAs val="zero"/>
  </c:chart>
  <c:spPr>
    <a:no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lgn="ctr">
              <a:defRPr lang="es-ES" sz="1400" b="1" i="0" u="none" strike="noStrike" baseline="0">
                <a:solidFill>
                  <a:srgbClr val="000000"/>
                </a:solidFill>
                <a:latin typeface="Times New Roman"/>
                <a:ea typeface="Times New Roman"/>
                <a:cs typeface="Times New Roman"/>
              </a:defRPr>
            </a:pPr>
            <a:r>
              <a:rPr lang="es-CR" sz="1400" b="0" i="0" baseline="0"/>
              <a:t>Gráfico N° 6 </a:t>
            </a:r>
            <a:r>
              <a:rPr lang="es-CR" sz="1400" b="1" i="0" baseline="0"/>
              <a:t/>
            </a:r>
            <a:br>
              <a:rPr lang="es-CR" sz="1400" b="1" i="0" baseline="0"/>
            </a:br>
            <a:r>
              <a:rPr lang="es-CR" sz="1200" b="1" i="0" baseline="0"/>
              <a:t>Volumen de expedientes en la existencia al finalizar cada año en el Poder Judicial en primera instancia desde 2011 </a:t>
            </a:r>
            <a:endParaRPr lang="es-CR" sz="1200"/>
          </a:p>
        </c:rich>
      </c:tx>
      <c:layout>
        <c:manualLayout>
          <c:xMode val="edge"/>
          <c:yMode val="edge"/>
          <c:x val="0.12051112663105212"/>
          <c:y val="1.8382374049522473E-2"/>
        </c:manualLayout>
      </c:layout>
      <c:spPr>
        <a:noFill/>
        <a:ln w="25399">
          <a:noFill/>
        </a:ln>
      </c:spPr>
    </c:title>
    <c:plotArea>
      <c:layout>
        <c:manualLayout>
          <c:layoutTarget val="inner"/>
          <c:xMode val="edge"/>
          <c:yMode val="edge"/>
          <c:x val="0.17295854001546362"/>
          <c:y val="0.26185213176250738"/>
          <c:w val="0.69818058741739342"/>
          <c:h val="0.5458962540534058"/>
        </c:manualLayout>
      </c:layout>
      <c:lineChart>
        <c:grouping val="standard"/>
        <c:ser>
          <c:idx val="2"/>
          <c:order val="0"/>
          <c:tx>
            <c:strRef>
              <c:f>ent!$F$4</c:f>
              <c:strCache>
                <c:ptCount val="1"/>
                <c:pt idx="0">
                  <c:v>Existencia final</c:v>
                </c:pt>
              </c:strCache>
            </c:strRef>
          </c:tx>
          <c:spPr>
            <a:ln w="12700">
              <a:solidFill>
                <a:schemeClr val="tx1"/>
              </a:solidFill>
            </a:ln>
          </c:spPr>
          <c:marker>
            <c:symbol val="star"/>
            <c:size val="4"/>
          </c:marker>
          <c:dLbls>
            <c:dLbl>
              <c:idx val="0"/>
              <c:layout>
                <c:manualLayout>
                  <c:x val="-1.010210282827064E-2"/>
                  <c:y val="-1.5350877855663683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B2A-4195-94C8-05F74CBF91F1}"/>
                </c:ext>
              </c:extLst>
            </c:dLbl>
            <c:dLbl>
              <c:idx val="1"/>
              <c:layout>
                <c:manualLayout>
                  <c:x val="5.0510514141353319E-3"/>
                  <c:y val="-1.9188597319579666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B2A-4195-94C8-05F74CBF91F1}"/>
                </c:ext>
              </c:extLst>
            </c:dLbl>
            <c:dLbl>
              <c:idx val="2"/>
              <c:layout>
                <c:manualLayout>
                  <c:x val="0"/>
                  <c:y val="-2.3026316783495596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B2A-4195-94C8-05F74CBF91F1}"/>
                </c:ext>
              </c:extLst>
            </c:dLbl>
            <c:dLbl>
              <c:idx val="3"/>
              <c:layout>
                <c:manualLayout>
                  <c:x val="0"/>
                  <c:y val="-2.3026316783495596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B2A-4195-94C8-05F74CBF91F1}"/>
                </c:ext>
              </c:extLst>
            </c:dLbl>
            <c:dLbl>
              <c:idx val="4"/>
              <c:layout>
                <c:manualLayout>
                  <c:x val="0"/>
                  <c:y val="-1.5350877855663731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B2A-4195-94C8-05F74CBF91F1}"/>
                </c:ext>
              </c:extLst>
            </c:dLbl>
            <c:dLbl>
              <c:idx val="5"/>
              <c:layout>
                <c:manualLayout>
                  <c:x val="2.5255257070676573E-3"/>
                  <c:y val="-1.1513158391747765E-2"/>
                </c:manualLayout>
              </c:layout>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26-4031-BB75-F5C94D177B49}"/>
                </c:ext>
              </c:extLst>
            </c:dLbl>
            <c:numFmt formatCode="#,##0" sourceLinked="0"/>
            <c:spPr>
              <a:noFill/>
              <a:ln>
                <a:noFill/>
              </a:ln>
              <a:effectLst/>
            </c:spPr>
            <c:txPr>
              <a:bodyPr/>
              <a:lstStyle/>
              <a:p>
                <a:pPr>
                  <a:defRPr lang="es-ES"/>
                </a:pPr>
                <a:endParaRPr lang="es-CR"/>
              </a:p>
            </c:txPr>
            <c:dLblPos val="b"/>
            <c:showVal val="1"/>
            <c:extLst xmlns:c16r2="http://schemas.microsoft.com/office/drawing/2015/06/chart">
              <c:ext xmlns:c15="http://schemas.microsoft.com/office/drawing/2012/chart" uri="{CE6537A1-D6FC-4f65-9D91-7224C49458BB}">
                <c15:showLeaderLines val="0"/>
              </c:ext>
            </c:extLst>
          </c:dLbls>
          <c:cat>
            <c:numRef>
              <c:f>ent!$A$5:$A$10</c:f>
              <c:numCache>
                <c:formatCode>General</c:formatCode>
                <c:ptCount val="6"/>
                <c:pt idx="0">
                  <c:v>2011</c:v>
                </c:pt>
                <c:pt idx="1">
                  <c:v>2012</c:v>
                </c:pt>
                <c:pt idx="2">
                  <c:v>2013</c:v>
                </c:pt>
                <c:pt idx="3">
                  <c:v>2014</c:v>
                </c:pt>
                <c:pt idx="4">
                  <c:v>2015</c:v>
                </c:pt>
                <c:pt idx="5">
                  <c:v>2016</c:v>
                </c:pt>
              </c:numCache>
            </c:numRef>
          </c:cat>
          <c:val>
            <c:numRef>
              <c:f>ent!$F$5:$F$10</c:f>
              <c:numCache>
                <c:formatCode>General</c:formatCode>
                <c:ptCount val="6"/>
                <c:pt idx="0">
                  <c:v>766271</c:v>
                </c:pt>
                <c:pt idx="1">
                  <c:v>835492</c:v>
                </c:pt>
                <c:pt idx="2">
                  <c:v>905211</c:v>
                </c:pt>
                <c:pt idx="3">
                  <c:v>931010</c:v>
                </c:pt>
                <c:pt idx="4">
                  <c:v>982918</c:v>
                </c:pt>
                <c:pt idx="5">
                  <c:v>984871</c:v>
                </c:pt>
              </c:numCache>
            </c:numRef>
          </c:val>
          <c:extLst xmlns:c16r2="http://schemas.microsoft.com/office/drawing/2015/06/chart">
            <c:ext xmlns:c16="http://schemas.microsoft.com/office/drawing/2014/chart" uri="{C3380CC4-5D6E-409C-BE32-E72D297353CC}">
              <c16:uniqueId val="{00000007-1B2A-4195-94C8-05F74CBF91F1}"/>
            </c:ext>
          </c:extLst>
        </c:ser>
        <c:marker val="1"/>
        <c:axId val="130625920"/>
        <c:axId val="130627456"/>
      </c:lineChart>
      <c:catAx>
        <c:axId val="130625920"/>
        <c:scaling>
          <c:orientation val="minMax"/>
        </c:scaling>
        <c:axPos val="b"/>
        <c:numFmt formatCode="General" sourceLinked="1"/>
        <c:tickLblPos val="nextTo"/>
        <c:txPr>
          <a:bodyPr/>
          <a:lstStyle/>
          <a:p>
            <a:pPr>
              <a:defRPr lang="es-ES" sz="1000"/>
            </a:pPr>
            <a:endParaRPr lang="es-CR"/>
          </a:p>
        </c:txPr>
        <c:crossAx val="130627456"/>
        <c:crosses val="autoZero"/>
        <c:auto val="1"/>
        <c:lblAlgn val="ctr"/>
        <c:lblOffset val="100"/>
      </c:catAx>
      <c:valAx>
        <c:axId val="130627456"/>
        <c:scaling>
          <c:orientation val="minMax"/>
          <c:max val="1200000"/>
          <c:min val="0"/>
        </c:scaling>
        <c:axPos val="l"/>
        <c:majorGridlines/>
        <c:numFmt formatCode="#,##0" sourceLinked="0"/>
        <c:tickLblPos val="nextTo"/>
        <c:txPr>
          <a:bodyPr/>
          <a:lstStyle/>
          <a:p>
            <a:pPr>
              <a:defRPr lang="es-ES" sz="1000"/>
            </a:pPr>
            <a:endParaRPr lang="es-CR"/>
          </a:p>
        </c:txPr>
        <c:crossAx val="130625920"/>
        <c:crosses val="autoZero"/>
        <c:crossBetween val="between"/>
        <c:majorUnit val="1200000"/>
      </c:valAx>
      <c:spPr>
        <a:gradFill flip="none" rotWithShape="1">
          <a:gsLst>
            <a:gs pos="0">
              <a:srgbClr val="FFEFD1"/>
            </a:gs>
            <a:gs pos="64999">
              <a:srgbClr val="F0EBD5"/>
            </a:gs>
            <a:gs pos="100000">
              <a:srgbClr val="D1C39F"/>
            </a:gs>
          </a:gsLst>
          <a:path path="circle">
            <a:fillToRect l="100000" b="100000"/>
          </a:path>
          <a:tileRect t="-100000" r="-100000"/>
        </a:gradFill>
        <a:ln w="12700">
          <a:solidFill>
            <a:srgbClr val="808080"/>
          </a:solidFill>
          <a:prstDash val="solid"/>
        </a:ln>
      </c:spPr>
    </c:plotArea>
    <c:plotVisOnly val="1"/>
    <c:dispBlanksAs val="zero"/>
  </c:chart>
  <c:spPr>
    <a:no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R"/>
  <c:chart>
    <c:title>
      <c:tx>
        <c:rich>
          <a:bodyPr/>
          <a:lstStyle/>
          <a:p>
            <a:pPr>
              <a:defRPr lang="es-ES" sz="1198" b="1" i="0" u="none" strike="noStrike" baseline="0">
                <a:solidFill>
                  <a:srgbClr val="000000"/>
                </a:solidFill>
                <a:latin typeface="Times New Roman"/>
                <a:ea typeface="Times New Roman"/>
                <a:cs typeface="Times New Roman"/>
              </a:defRPr>
            </a:pPr>
            <a:r>
              <a:rPr lang="es-CR" sz="1200" b="0"/>
              <a:t>Gráfico N° 7 </a:t>
            </a:r>
            <a:r>
              <a:rPr lang="es-CR" sz="1200"/>
              <a:t>
Distibución porcentual del circulante al finalizar el 2016 </a:t>
            </a:r>
            <a:r>
              <a:rPr lang="es-CR" sz="1200" baseline="0"/>
              <a:t>por materia</a:t>
            </a:r>
            <a:endParaRPr lang="es-CR" sz="1200"/>
          </a:p>
        </c:rich>
      </c:tx>
      <c:layout>
        <c:manualLayout>
          <c:xMode val="edge"/>
          <c:yMode val="edge"/>
          <c:x val="0.13948583481708832"/>
          <c:y val="1.9544111133301293E-2"/>
        </c:manualLayout>
      </c:layout>
      <c:spPr>
        <a:noFill/>
        <a:ln w="19020">
          <a:noFill/>
        </a:ln>
      </c:spPr>
    </c:title>
    <c:plotArea>
      <c:layout>
        <c:manualLayout>
          <c:layoutTarget val="inner"/>
          <c:xMode val="edge"/>
          <c:yMode val="edge"/>
          <c:x val="0.30060100897943048"/>
          <c:y val="0.20197496800711376"/>
          <c:w val="0.61556462732242678"/>
          <c:h val="0.68892508143322473"/>
        </c:manualLayout>
      </c:layout>
      <c:barChart>
        <c:barDir val="bar"/>
        <c:grouping val="clustered"/>
        <c:ser>
          <c:idx val="0"/>
          <c:order val="0"/>
          <c:spPr>
            <a:solidFill>
              <a:srgbClr val="9999FF"/>
            </a:solidFill>
            <a:ln w="9510">
              <a:solidFill>
                <a:srgbClr val="000000"/>
              </a:solidFill>
              <a:prstDash val="solid"/>
            </a:ln>
          </c:spPr>
          <c:dLbls>
            <c:dLbl>
              <c:idx val="0"/>
              <c:numFmt formatCode="0.0%" sourceLinked="0"/>
              <c:spPr/>
              <c:txPr>
                <a:bodyPr/>
                <a:lstStyle/>
                <a:p>
                  <a:pPr>
                    <a:defRPr lang="es-ES" sz="1000"/>
                  </a:pPr>
                  <a:endParaRPr lang="es-CR"/>
                </a:p>
              </c:txPr>
            </c:dLbl>
            <c:dLbl>
              <c:idx val="1"/>
              <c:numFmt formatCode="0.0%" sourceLinked="0"/>
              <c:spPr/>
              <c:txPr>
                <a:bodyPr/>
                <a:lstStyle/>
                <a:p>
                  <a:pPr>
                    <a:defRPr lang="es-ES" sz="1000"/>
                  </a:pPr>
                  <a:endParaRPr lang="es-CR"/>
                </a:p>
              </c:txPr>
            </c:dLbl>
            <c:numFmt formatCode="0%" sourceLinked="0"/>
            <c:spPr>
              <a:noFill/>
              <a:ln>
                <a:noFill/>
              </a:ln>
              <a:effectLst/>
            </c:spPr>
            <c:txPr>
              <a:bodyPr/>
              <a:lstStyle/>
              <a:p>
                <a:pPr>
                  <a:defRPr lang="es-ES" sz="1000"/>
                </a:pPr>
                <a:endParaRPr lang="es-CR"/>
              </a:p>
            </c:txPr>
            <c:showVal val="1"/>
            <c:extLst xmlns:c16r2="http://schemas.microsoft.com/office/drawing/2015/06/chart">
              <c:ext xmlns:c15="http://schemas.microsoft.com/office/drawing/2012/chart" uri="{CE6537A1-D6FC-4f65-9D91-7224C49458BB}">
                <c15:showLeaderLines val="0"/>
              </c:ext>
            </c:extLst>
          </c:dLbls>
          <c:cat>
            <c:strRef>
              <c:f>Hoja1!$A$3:$A$16</c:f>
              <c:strCache>
                <c:ptCount val="14"/>
                <c:pt idx="0">
                  <c:v>Constitucional</c:v>
                </c:pt>
                <c:pt idx="1">
                  <c:v>Notarial</c:v>
                </c:pt>
                <c:pt idx="2">
                  <c:v>Agraria</c:v>
                </c:pt>
                <c:pt idx="3">
                  <c:v>Penal Juvenil</c:v>
                </c:pt>
                <c:pt idx="4">
                  <c:v>Contenciosa Administrativa</c:v>
                </c:pt>
                <c:pt idx="5">
                  <c:v>Familia</c:v>
                </c:pt>
                <c:pt idx="6">
                  <c:v>Contravencional</c:v>
                </c:pt>
                <c:pt idx="7">
                  <c:v>Tránsito</c:v>
                </c:pt>
                <c:pt idx="8">
                  <c:v>Violencia Doméstica</c:v>
                </c:pt>
                <c:pt idx="9">
                  <c:v>Trabajo</c:v>
                </c:pt>
                <c:pt idx="10">
                  <c:v>Civil Ordinarios</c:v>
                </c:pt>
                <c:pt idx="11">
                  <c:v>Penal</c:v>
                </c:pt>
                <c:pt idx="12">
                  <c:v>Pensiones Alimentarias</c:v>
                </c:pt>
                <c:pt idx="13">
                  <c:v>Cobro Judicial</c:v>
                </c:pt>
              </c:strCache>
            </c:strRef>
          </c:cat>
          <c:val>
            <c:numRef>
              <c:f>Hoja1!$B$3:$B$16</c:f>
              <c:numCache>
                <c:formatCode>General</c:formatCode>
                <c:ptCount val="14"/>
                <c:pt idx="0">
                  <c:v>1.3646457251761928E-3</c:v>
                </c:pt>
                <c:pt idx="1">
                  <c:v>3.5507188251050177E-3</c:v>
                </c:pt>
                <c:pt idx="2">
                  <c:v>6.8496280223501495E-3</c:v>
                </c:pt>
                <c:pt idx="3">
                  <c:v>9.9322652408285004E-3</c:v>
                </c:pt>
                <c:pt idx="4">
                  <c:v>1.8512069093312752E-2</c:v>
                </c:pt>
                <c:pt idx="5">
                  <c:v>1.9915298551790032E-2</c:v>
                </c:pt>
                <c:pt idx="6">
                  <c:v>2.1793717146712636E-2</c:v>
                </c:pt>
                <c:pt idx="7">
                  <c:v>3.0885263146137945E-2</c:v>
                </c:pt>
                <c:pt idx="8">
                  <c:v>4.3201596960414076E-2</c:v>
                </c:pt>
                <c:pt idx="9">
                  <c:v>4.5037370376424926E-2</c:v>
                </c:pt>
                <c:pt idx="10">
                  <c:v>5.8313220716215725E-2</c:v>
                </c:pt>
                <c:pt idx="11">
                  <c:v>0.10712672014913645</c:v>
                </c:pt>
                <c:pt idx="12">
                  <c:v>0.17338717456397842</c:v>
                </c:pt>
                <c:pt idx="13">
                  <c:v>0.46013031148241751</c:v>
                </c:pt>
              </c:numCache>
            </c:numRef>
          </c:val>
          <c:extLst xmlns:c16r2="http://schemas.microsoft.com/office/drawing/2015/06/chart">
            <c:ext xmlns:c16="http://schemas.microsoft.com/office/drawing/2014/chart" uri="{C3380CC4-5D6E-409C-BE32-E72D297353CC}">
              <c16:uniqueId val="{00000002-B3E6-476E-987B-816F30A11C91}"/>
            </c:ext>
          </c:extLst>
        </c:ser>
        <c:dLbls>
          <c:showVal val="1"/>
        </c:dLbls>
        <c:gapWidth val="50"/>
        <c:axId val="130775296"/>
        <c:axId val="132503808"/>
      </c:barChart>
      <c:catAx>
        <c:axId val="130775296"/>
        <c:scaling>
          <c:orientation val="minMax"/>
        </c:scaling>
        <c:axPos val="l"/>
        <c:title>
          <c:tx>
            <c:rich>
              <a:bodyPr/>
              <a:lstStyle/>
              <a:p>
                <a:pPr>
                  <a:defRPr lang="es-ES" sz="1200" b="1" i="0" u="none" strike="noStrike" baseline="0">
                    <a:solidFill>
                      <a:srgbClr val="000000"/>
                    </a:solidFill>
                    <a:latin typeface="Times New Roman"/>
                    <a:ea typeface="Times New Roman"/>
                    <a:cs typeface="Times New Roman"/>
                  </a:defRPr>
                </a:pPr>
                <a:r>
                  <a:rPr lang="es-CR" sz="1200"/>
                  <a:t>Materias</a:t>
                </a:r>
              </a:p>
            </c:rich>
          </c:tx>
          <c:layout>
            <c:manualLayout>
              <c:xMode val="edge"/>
              <c:yMode val="edge"/>
              <c:x val="2.1410797759183652E-2"/>
              <c:y val="0.55169040704323324"/>
            </c:manualLayout>
          </c:layout>
          <c:spPr>
            <a:noFill/>
            <a:ln w="19020">
              <a:noFill/>
            </a:ln>
          </c:spPr>
        </c:title>
        <c:numFmt formatCode="General" sourceLinked="1"/>
        <c:tickLblPos val="nextTo"/>
        <c:spPr>
          <a:ln w="2378">
            <a:solidFill>
              <a:srgbClr val="000000"/>
            </a:solidFill>
            <a:prstDash val="solid"/>
          </a:ln>
        </c:spPr>
        <c:txPr>
          <a:bodyPr rot="0" vert="horz"/>
          <a:lstStyle/>
          <a:p>
            <a:pPr>
              <a:defRPr lang="es-ES" sz="1000" b="0" i="0" u="none" strike="noStrike" baseline="0">
                <a:solidFill>
                  <a:srgbClr val="000000"/>
                </a:solidFill>
                <a:latin typeface="Times New Roman"/>
                <a:ea typeface="Times New Roman"/>
                <a:cs typeface="Times New Roman"/>
              </a:defRPr>
            </a:pPr>
            <a:endParaRPr lang="es-CR"/>
          </a:p>
        </c:txPr>
        <c:crossAx val="132503808"/>
        <c:crosses val="autoZero"/>
        <c:auto val="1"/>
        <c:lblAlgn val="ctr"/>
        <c:lblOffset val="100"/>
        <c:tickLblSkip val="1"/>
        <c:tickMarkSkip val="1"/>
      </c:catAx>
      <c:valAx>
        <c:axId val="132503808"/>
        <c:scaling>
          <c:orientation val="minMax"/>
          <c:max val="0.5"/>
        </c:scaling>
        <c:axPos val="b"/>
        <c:title>
          <c:tx>
            <c:rich>
              <a:bodyPr/>
              <a:lstStyle/>
              <a:p>
                <a:pPr>
                  <a:defRPr lang="es-ES" sz="899" b="1" i="0" u="none" strike="noStrike" baseline="0">
                    <a:solidFill>
                      <a:srgbClr val="000000"/>
                    </a:solidFill>
                    <a:latin typeface="Times New Roman"/>
                    <a:ea typeface="Times New Roman"/>
                    <a:cs typeface="Times New Roman"/>
                  </a:defRPr>
                </a:pPr>
                <a:r>
                  <a:rPr lang="es-CR"/>
                  <a:t>Porcentajes</a:t>
                </a:r>
              </a:p>
            </c:rich>
          </c:tx>
          <c:layout>
            <c:manualLayout>
              <c:xMode val="edge"/>
              <c:yMode val="edge"/>
              <c:x val="0.50670808886363849"/>
              <c:y val="0.92699513440359826"/>
            </c:manualLayout>
          </c:layout>
          <c:spPr>
            <a:noFill/>
            <a:ln w="19020">
              <a:noFill/>
            </a:ln>
          </c:spPr>
        </c:title>
        <c:numFmt formatCode="General" sourceLinked="1"/>
        <c:tickLblPos val="nextTo"/>
        <c:spPr>
          <a:ln w="2378">
            <a:solidFill>
              <a:srgbClr val="000000"/>
            </a:solidFill>
            <a:prstDash val="solid"/>
          </a:ln>
        </c:spPr>
        <c:txPr>
          <a:bodyPr rot="0" vert="horz"/>
          <a:lstStyle/>
          <a:p>
            <a:pPr>
              <a:defRPr lang="es-ES" sz="899" b="0" i="0" u="none" strike="noStrike" baseline="0">
                <a:solidFill>
                  <a:srgbClr val="000000"/>
                </a:solidFill>
                <a:latin typeface="Times New Roman"/>
                <a:ea typeface="Times New Roman"/>
                <a:cs typeface="Times New Roman"/>
              </a:defRPr>
            </a:pPr>
            <a:endParaRPr lang="es-CR"/>
          </a:p>
        </c:txPr>
        <c:crossAx val="130775296"/>
        <c:crosses val="autoZero"/>
        <c:crossBetween val="between"/>
        <c:majorUnit val="0.5"/>
      </c:valAx>
      <c:spPr>
        <a:noFill/>
        <a:ln w="9510">
          <a:noFill/>
          <a:prstDash val="solid"/>
        </a:ln>
      </c:spPr>
    </c:plotArea>
    <c:plotVisOnly val="1"/>
    <c:dispBlanksAs val="gap"/>
  </c:chart>
  <c:spPr>
    <a:noFill/>
    <a:ln w="2378">
      <a:solidFill>
        <a:srgbClr val="000000"/>
      </a:solidFill>
      <a:prstDash val="solid"/>
    </a:ln>
  </c:spPr>
  <c:txPr>
    <a:bodyPr/>
    <a:lstStyle/>
    <a:p>
      <a:pPr>
        <a:defRPr sz="899" b="0" i="0" u="none" strike="noStrike" baseline="0">
          <a:solidFill>
            <a:srgbClr val="000000"/>
          </a:solidFill>
          <a:latin typeface="Times New Roman"/>
          <a:ea typeface="Times New Roman"/>
          <a:cs typeface="Times New Roman"/>
        </a:defRPr>
      </a:pPr>
      <a:endParaRPr lang="es-C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0.96579</cdr:y>
    </cdr:from>
    <cdr:to>
      <cdr:x>0.35816</cdr:x>
      <cdr:y>0.99978</cdr:y>
    </cdr:to>
    <cdr:sp macro="" textlink="">
      <cdr:nvSpPr>
        <cdr:cNvPr id="4097" name="Text Box 1"/>
        <cdr:cNvSpPr txBox="1">
          <a:spLocks xmlns:a="http://schemas.openxmlformats.org/drawingml/2006/main" noChangeArrowheads="1"/>
        </cdr:cNvSpPr>
      </cdr:nvSpPr>
      <cdr:spPr bwMode="auto">
        <a:xfrm xmlns:a="http://schemas.openxmlformats.org/drawingml/2006/main">
          <a:off x="0" y="3196046"/>
          <a:ext cx="1801041" cy="1124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CR" sz="500" b="0" i="0"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0.01039</cdr:x>
      <cdr:y>0.33421</cdr:y>
    </cdr:from>
    <cdr:to>
      <cdr:x>0.05801</cdr:x>
      <cdr:y>0.75132</cdr:y>
    </cdr:to>
    <cdr:sp macro="" textlink="">
      <cdr:nvSpPr>
        <cdr:cNvPr id="3" name="2 CuadroTexto"/>
        <cdr:cNvSpPr txBox="1"/>
      </cdr:nvSpPr>
      <cdr:spPr>
        <a:xfrm xmlns:a="http://schemas.openxmlformats.org/drawingml/2006/main" rot="16200000">
          <a:off x="-518160" y="1676401"/>
          <a:ext cx="1380309" cy="23948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Número de expedientes</a:t>
          </a:r>
        </a:p>
      </cdr:txBody>
    </cdr:sp>
  </cdr:relSizeAnchor>
  <cdr:relSizeAnchor xmlns:cdr="http://schemas.openxmlformats.org/drawingml/2006/chartDrawing">
    <cdr:from>
      <cdr:x>0.47159</cdr:x>
      <cdr:y>0.89474</cdr:y>
    </cdr:from>
    <cdr:to>
      <cdr:x>0.55991</cdr:x>
      <cdr:y>0.96053</cdr:y>
    </cdr:to>
    <cdr:sp macro="" textlink="">
      <cdr:nvSpPr>
        <cdr:cNvPr id="4" name="3 CuadroTexto"/>
        <cdr:cNvSpPr txBox="1"/>
      </cdr:nvSpPr>
      <cdr:spPr>
        <a:xfrm xmlns:a="http://schemas.openxmlformats.org/drawingml/2006/main">
          <a:off x="2371453" y="2960914"/>
          <a:ext cx="444137" cy="21771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Años</a:t>
          </a:r>
        </a:p>
      </cdr:txBody>
    </cdr:sp>
  </cdr:relSizeAnchor>
  <cdr:relSizeAnchor xmlns:cdr="http://schemas.openxmlformats.org/drawingml/2006/chartDrawing">
    <cdr:from>
      <cdr:x>0.25753</cdr:x>
      <cdr:y>0.35828</cdr:y>
    </cdr:from>
    <cdr:to>
      <cdr:x>0.34757</cdr:x>
      <cdr:y>0.41112</cdr:y>
    </cdr:to>
    <cdr:sp macro="" textlink="">
      <cdr:nvSpPr>
        <cdr:cNvPr id="5" name="1 Pentágono"/>
        <cdr:cNvSpPr/>
      </cdr:nvSpPr>
      <cdr:spPr>
        <a:xfrm xmlns:a="http://schemas.openxmlformats.org/drawingml/2006/main" rot="775038">
          <a:off x="1295036" y="1185657"/>
          <a:ext cx="452780" cy="174861"/>
        </a:xfrm>
        <a:prstGeom xmlns:a="http://schemas.openxmlformats.org/drawingml/2006/main" prst="homePlate">
          <a:avLst/>
        </a:prstGeom>
        <a:solidFill xmlns:a="http://schemas.openxmlformats.org/drawingml/2006/main">
          <a:srgbClr val="4BACC6">
            <a:lumMod val="20000"/>
            <a:lumOff val="80000"/>
          </a:srgb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-10%</a:t>
          </a:r>
        </a:p>
      </cdr:txBody>
    </cdr:sp>
  </cdr:relSizeAnchor>
  <cdr:relSizeAnchor xmlns:cdr="http://schemas.openxmlformats.org/drawingml/2006/chartDrawing">
    <cdr:from>
      <cdr:x>0.37397</cdr:x>
      <cdr:y>0.37129</cdr:y>
    </cdr:from>
    <cdr:to>
      <cdr:x>0.46401</cdr:x>
      <cdr:y>0.42413</cdr:y>
    </cdr:to>
    <cdr:sp macro="" textlink="">
      <cdr:nvSpPr>
        <cdr:cNvPr id="6" name="1 Pentágono"/>
        <cdr:cNvSpPr/>
      </cdr:nvSpPr>
      <cdr:spPr>
        <a:xfrm xmlns:a="http://schemas.openxmlformats.org/drawingml/2006/main" rot="21444975">
          <a:off x="1880573" y="1228678"/>
          <a:ext cx="452780" cy="174861"/>
        </a:xfrm>
        <a:prstGeom xmlns:a="http://schemas.openxmlformats.org/drawingml/2006/main" prst="homePlate">
          <a:avLst/>
        </a:prstGeom>
        <a:solidFill xmlns:a="http://schemas.openxmlformats.org/drawingml/2006/main">
          <a:srgbClr val="4BACC6">
            <a:lumMod val="20000"/>
            <a:lumOff val="80000"/>
          </a:srgb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1%</a:t>
          </a:r>
        </a:p>
      </cdr:txBody>
    </cdr:sp>
  </cdr:relSizeAnchor>
  <cdr:relSizeAnchor xmlns:cdr="http://schemas.openxmlformats.org/drawingml/2006/chartDrawing">
    <cdr:from>
      <cdr:x>0.48258</cdr:x>
      <cdr:y>0.36578</cdr:y>
    </cdr:from>
    <cdr:to>
      <cdr:x>0.57262</cdr:x>
      <cdr:y>0.41862</cdr:y>
    </cdr:to>
    <cdr:sp macro="" textlink="">
      <cdr:nvSpPr>
        <cdr:cNvPr id="7" name="1 Pentágono"/>
        <cdr:cNvSpPr/>
      </cdr:nvSpPr>
      <cdr:spPr>
        <a:xfrm xmlns:a="http://schemas.openxmlformats.org/drawingml/2006/main" rot="21447302">
          <a:off x="2426734" y="1210449"/>
          <a:ext cx="452780" cy="174861"/>
        </a:xfrm>
        <a:prstGeom xmlns:a="http://schemas.openxmlformats.org/drawingml/2006/main" prst="homePlate">
          <a:avLst/>
        </a:prstGeom>
        <a:solidFill xmlns:a="http://schemas.openxmlformats.org/drawingml/2006/main">
          <a:srgbClr val="4BACC6">
            <a:lumMod val="20000"/>
            <a:lumOff val="80000"/>
          </a:srgb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2%</a:t>
          </a:r>
        </a:p>
      </cdr:txBody>
    </cdr:sp>
  </cdr:relSizeAnchor>
  <cdr:relSizeAnchor xmlns:cdr="http://schemas.openxmlformats.org/drawingml/2006/chartDrawing">
    <cdr:from>
      <cdr:x>0.60163</cdr:x>
      <cdr:y>0.36556</cdr:y>
    </cdr:from>
    <cdr:to>
      <cdr:x>0.69167</cdr:x>
      <cdr:y>0.4184</cdr:y>
    </cdr:to>
    <cdr:sp macro="" textlink="">
      <cdr:nvSpPr>
        <cdr:cNvPr id="8" name="1 Pentágono"/>
        <cdr:cNvSpPr/>
      </cdr:nvSpPr>
      <cdr:spPr>
        <a:xfrm xmlns:a="http://schemas.openxmlformats.org/drawingml/2006/main" rot="160409">
          <a:off x="3025396" y="1209718"/>
          <a:ext cx="452780" cy="174861"/>
        </a:xfrm>
        <a:prstGeom xmlns:a="http://schemas.openxmlformats.org/drawingml/2006/main" prst="homePlate">
          <a:avLst/>
        </a:prstGeom>
        <a:solidFill xmlns:a="http://schemas.openxmlformats.org/drawingml/2006/main">
          <a:srgbClr val="4BACC6">
            <a:lumMod val="20000"/>
            <a:lumOff val="80000"/>
          </a:srgb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-1%</a:t>
          </a:r>
        </a:p>
      </cdr:txBody>
    </cdr:sp>
  </cdr:relSizeAnchor>
  <cdr:relSizeAnchor xmlns:cdr="http://schemas.openxmlformats.org/drawingml/2006/chartDrawing">
    <cdr:from>
      <cdr:x>0.71981</cdr:x>
      <cdr:y>0.3574</cdr:y>
    </cdr:from>
    <cdr:to>
      <cdr:x>0.80985</cdr:x>
      <cdr:y>0.41024</cdr:y>
    </cdr:to>
    <cdr:sp macro="" textlink="">
      <cdr:nvSpPr>
        <cdr:cNvPr id="9" name="1 Pentágono"/>
        <cdr:cNvSpPr/>
      </cdr:nvSpPr>
      <cdr:spPr>
        <a:xfrm xmlns:a="http://schemas.openxmlformats.org/drawingml/2006/main" rot="21203757">
          <a:off x="3619682" y="1182736"/>
          <a:ext cx="452780" cy="174861"/>
        </a:xfrm>
        <a:prstGeom xmlns:a="http://schemas.openxmlformats.org/drawingml/2006/main" prst="homePlate">
          <a:avLst/>
        </a:prstGeom>
        <a:solidFill xmlns:a="http://schemas.openxmlformats.org/drawingml/2006/main">
          <a:srgbClr val="4BACC6">
            <a:lumMod val="20000"/>
            <a:lumOff val="80000"/>
          </a:srgb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4%</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0.96529</cdr:y>
    </cdr:from>
    <cdr:to>
      <cdr:x>0.41683</cdr:x>
      <cdr:y>0.99228</cdr:y>
    </cdr:to>
    <cdr:sp macro="" textlink="">
      <cdr:nvSpPr>
        <cdr:cNvPr id="4" name="Text Box 13"/>
        <cdr:cNvSpPr txBox="1">
          <a:spLocks xmlns:a="http://schemas.openxmlformats.org/drawingml/2006/main" noChangeArrowheads="1"/>
        </cdr:cNvSpPr>
      </cdr:nvSpPr>
      <cdr:spPr bwMode="auto">
        <a:xfrm xmlns:a="http://schemas.openxmlformats.org/drawingml/2006/main">
          <a:off x="0" y="3460720"/>
          <a:ext cx="2124758"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0.96579</cdr:y>
    </cdr:from>
    <cdr:to>
      <cdr:x>0.43384</cdr:x>
      <cdr:y>0.99978</cdr:y>
    </cdr:to>
    <cdr:sp macro="" textlink="">
      <cdr:nvSpPr>
        <cdr:cNvPr id="4097" name="Text Box 1"/>
        <cdr:cNvSpPr txBox="1">
          <a:spLocks xmlns:a="http://schemas.openxmlformats.org/drawingml/2006/main" noChangeArrowheads="1"/>
        </cdr:cNvSpPr>
      </cdr:nvSpPr>
      <cdr:spPr bwMode="auto">
        <a:xfrm xmlns:a="http://schemas.openxmlformats.org/drawingml/2006/main">
          <a:off x="0" y="3196047"/>
          <a:ext cx="2181635" cy="11248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CR" sz="500" b="0" i="0" strike="noStrike">
              <a:solidFill>
                <a:srgbClr val="000000"/>
              </a:solidFill>
              <a:latin typeface="Times New Roman"/>
              <a:cs typeface="Times New Roman"/>
            </a:rPr>
            <a:t>Elaborado por: Subproceso de Estadística, Dirección de Planificación. </a:t>
          </a:r>
        </a:p>
      </cdr:txBody>
    </cdr:sp>
  </cdr:relSizeAnchor>
  <cdr:relSizeAnchor xmlns:cdr="http://schemas.openxmlformats.org/drawingml/2006/chartDrawing">
    <cdr:from>
      <cdr:x>0.25107</cdr:x>
      <cdr:y>0.34036</cdr:y>
    </cdr:from>
    <cdr:to>
      <cdr:x>0.34111</cdr:x>
      <cdr:y>0.3932</cdr:y>
    </cdr:to>
    <cdr:sp macro="" textlink="">
      <cdr:nvSpPr>
        <cdr:cNvPr id="3" name="2 Pentágono"/>
        <cdr:cNvSpPr/>
      </cdr:nvSpPr>
      <cdr:spPr>
        <a:xfrm xmlns:a="http://schemas.openxmlformats.org/drawingml/2006/main" rot="1350751">
          <a:off x="1262539" y="1126337"/>
          <a:ext cx="452780"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s-CR" sz="800">
              <a:solidFill>
                <a:schemeClr val="tx1"/>
              </a:solidFill>
              <a:latin typeface="Times New Roman" pitchFamily="18" charset="0"/>
              <a:cs typeface="Times New Roman" pitchFamily="18" charset="0"/>
            </a:rPr>
            <a:t>-18%</a:t>
          </a:r>
        </a:p>
      </cdr:txBody>
    </cdr:sp>
  </cdr:relSizeAnchor>
  <cdr:relSizeAnchor xmlns:cdr="http://schemas.openxmlformats.org/drawingml/2006/chartDrawing">
    <cdr:from>
      <cdr:x>0.36524</cdr:x>
      <cdr:y>0.36971</cdr:y>
    </cdr:from>
    <cdr:to>
      <cdr:x>0.45527</cdr:x>
      <cdr:y>0.42255</cdr:y>
    </cdr:to>
    <cdr:sp macro="" textlink="">
      <cdr:nvSpPr>
        <cdr:cNvPr id="4" name="1 Pentágono"/>
        <cdr:cNvSpPr/>
      </cdr:nvSpPr>
      <cdr:spPr>
        <a:xfrm xmlns:a="http://schemas.openxmlformats.org/drawingml/2006/main" rot="21353376">
          <a:off x="1836658" y="1223471"/>
          <a:ext cx="452730" cy="174862"/>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4%</a:t>
          </a:r>
        </a:p>
      </cdr:txBody>
    </cdr:sp>
  </cdr:relSizeAnchor>
  <cdr:relSizeAnchor xmlns:cdr="http://schemas.openxmlformats.org/drawingml/2006/chartDrawing">
    <cdr:from>
      <cdr:x>0.47424</cdr:x>
      <cdr:y>0.3447</cdr:y>
    </cdr:from>
    <cdr:to>
      <cdr:x>0.56428</cdr:x>
      <cdr:y>0.39754</cdr:y>
    </cdr:to>
    <cdr:sp macro="" textlink="">
      <cdr:nvSpPr>
        <cdr:cNvPr id="5" name="1 Pentágono"/>
        <cdr:cNvSpPr/>
      </cdr:nvSpPr>
      <cdr:spPr>
        <a:xfrm xmlns:a="http://schemas.openxmlformats.org/drawingml/2006/main" rot="20947446">
          <a:off x="2384778" y="1140692"/>
          <a:ext cx="452781"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9%</a:t>
          </a:r>
        </a:p>
      </cdr:txBody>
    </cdr:sp>
  </cdr:relSizeAnchor>
  <cdr:relSizeAnchor xmlns:cdr="http://schemas.openxmlformats.org/drawingml/2006/chartDrawing">
    <cdr:from>
      <cdr:x>0.59101</cdr:x>
      <cdr:y>0.33335</cdr:y>
    </cdr:from>
    <cdr:to>
      <cdr:x>0.69113</cdr:x>
      <cdr:y>0.38619</cdr:y>
    </cdr:to>
    <cdr:sp macro="" textlink="">
      <cdr:nvSpPr>
        <cdr:cNvPr id="6" name="1 Pentágono"/>
        <cdr:cNvSpPr/>
      </cdr:nvSpPr>
      <cdr:spPr>
        <a:xfrm xmlns:a="http://schemas.openxmlformats.org/drawingml/2006/main" rot="169242">
          <a:off x="2971968" y="1103134"/>
          <a:ext cx="503469"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-0,9%</a:t>
          </a:r>
        </a:p>
      </cdr:txBody>
    </cdr:sp>
  </cdr:relSizeAnchor>
  <cdr:relSizeAnchor xmlns:cdr="http://schemas.openxmlformats.org/drawingml/2006/chartDrawing">
    <cdr:from>
      <cdr:x>0.03128</cdr:x>
      <cdr:y>0.34145</cdr:y>
    </cdr:from>
    <cdr:to>
      <cdr:x>0.07631</cdr:x>
      <cdr:y>0.76645</cdr:y>
    </cdr:to>
    <cdr:sp macro="" textlink="">
      <cdr:nvSpPr>
        <cdr:cNvPr id="7" name="6 CuadroTexto"/>
        <cdr:cNvSpPr txBox="1"/>
      </cdr:nvSpPr>
      <cdr:spPr>
        <a:xfrm xmlns:a="http://schemas.openxmlformats.org/drawingml/2006/main" rot="16200000">
          <a:off x="-432707" y="1719944"/>
          <a:ext cx="1406434" cy="22642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Número</a:t>
          </a:r>
          <a:r>
            <a:rPr lang="es-CR" sz="1000" baseline="0">
              <a:latin typeface="Times New Roman" pitchFamily="18" charset="0"/>
              <a:cs typeface="Times New Roman" pitchFamily="18" charset="0"/>
            </a:rPr>
            <a:t> de expedientes</a:t>
          </a:r>
          <a:endParaRPr lang="es-CR" sz="1000">
            <a:latin typeface="Times New Roman" pitchFamily="18" charset="0"/>
            <a:cs typeface="Times New Roman" pitchFamily="18" charset="0"/>
          </a:endParaRPr>
        </a:p>
      </cdr:txBody>
    </cdr:sp>
  </cdr:relSizeAnchor>
  <cdr:relSizeAnchor xmlns:cdr="http://schemas.openxmlformats.org/drawingml/2006/chartDrawing">
    <cdr:from>
      <cdr:x>0.47245</cdr:x>
      <cdr:y>0.88684</cdr:y>
    </cdr:from>
    <cdr:to>
      <cdr:x>0.55818</cdr:x>
      <cdr:y>0.94342</cdr:y>
    </cdr:to>
    <cdr:sp macro="" textlink="">
      <cdr:nvSpPr>
        <cdr:cNvPr id="8" name="7 CuadroTexto"/>
        <cdr:cNvSpPr txBox="1"/>
      </cdr:nvSpPr>
      <cdr:spPr>
        <a:xfrm xmlns:a="http://schemas.openxmlformats.org/drawingml/2006/main">
          <a:off x="2375808" y="2934787"/>
          <a:ext cx="431074" cy="18723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Años</a:t>
          </a:r>
        </a:p>
      </cdr:txBody>
    </cdr:sp>
  </cdr:relSizeAnchor>
  <cdr:relSizeAnchor xmlns:cdr="http://schemas.openxmlformats.org/drawingml/2006/chartDrawing">
    <cdr:from>
      <cdr:x>0.70813</cdr:x>
      <cdr:y>0.33258</cdr:y>
    </cdr:from>
    <cdr:to>
      <cdr:x>0.79817</cdr:x>
      <cdr:y>0.38542</cdr:y>
    </cdr:to>
    <cdr:sp macro="" textlink="">
      <cdr:nvSpPr>
        <cdr:cNvPr id="9" name="1 Pentágono"/>
        <cdr:cNvSpPr/>
      </cdr:nvSpPr>
      <cdr:spPr>
        <a:xfrm xmlns:a="http://schemas.openxmlformats.org/drawingml/2006/main" rot="21425620">
          <a:off x="3560956" y="1100586"/>
          <a:ext cx="452781"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1%</a:t>
          </a:r>
        </a:p>
      </cdr:txBody>
    </cdr:sp>
  </cdr:relSizeAnchor>
  <cdr:relSizeAnchor xmlns:cdr="http://schemas.openxmlformats.org/drawingml/2006/chartDrawing">
    <cdr:from>
      <cdr:x>0.55565</cdr:x>
      <cdr:y>0.48124</cdr:y>
    </cdr:from>
    <cdr:to>
      <cdr:x>0.82362</cdr:x>
      <cdr:y>0.5447</cdr:y>
    </cdr:to>
    <cdr:sp macro="" textlink="">
      <cdr:nvSpPr>
        <cdr:cNvPr id="10" name="9 Cerrar llave"/>
        <cdr:cNvSpPr/>
      </cdr:nvSpPr>
      <cdr:spPr>
        <a:xfrm xmlns:a="http://schemas.openxmlformats.org/drawingml/2006/main" rot="5400000">
          <a:off x="3362918" y="1023780"/>
          <a:ext cx="210003" cy="1347537"/>
        </a:xfrm>
        <a:prstGeom xmlns:a="http://schemas.openxmlformats.org/drawingml/2006/main" prst="rightBrac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0.58958</cdr:x>
      <cdr:y>0.5447</cdr:y>
    </cdr:from>
    <cdr:to>
      <cdr:x>0.79665</cdr:x>
      <cdr:y>0.66898</cdr:y>
    </cdr:to>
    <cdr:sp macro="" textlink="">
      <cdr:nvSpPr>
        <cdr:cNvPr id="11" name="10 CuadroTexto"/>
        <cdr:cNvSpPr txBox="1"/>
      </cdr:nvSpPr>
      <cdr:spPr>
        <a:xfrm xmlns:a="http://schemas.openxmlformats.org/drawingml/2006/main">
          <a:off x="2964782" y="1802550"/>
          <a:ext cx="1041279" cy="41126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CR" sz="1000">
              <a:latin typeface="Times New Roman" pitchFamily="18" charset="0"/>
              <a:cs typeface="Times New Roman" pitchFamily="18" charset="0"/>
            </a:rPr>
            <a:t>Promedio anual:</a:t>
          </a:r>
        </a:p>
        <a:p xmlns:a="http://schemas.openxmlformats.org/drawingml/2006/main">
          <a:pPr algn="ctr"/>
          <a:r>
            <a:rPr lang="es-CR" sz="1000">
              <a:latin typeface="Times New Roman" pitchFamily="18" charset="0"/>
              <a:cs typeface="Times New Roman" pitchFamily="18" charset="0"/>
            </a:rPr>
            <a:t>609.271</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0.965</cdr:y>
    </cdr:from>
    <cdr:to>
      <cdr:x>0.32064</cdr:x>
      <cdr:y>0.98465</cdr:y>
    </cdr:to>
    <cdr:sp macro="" textlink="">
      <cdr:nvSpPr>
        <cdr:cNvPr id="4" name="Text Box 13"/>
        <cdr:cNvSpPr txBox="1">
          <a:spLocks xmlns:a="http://schemas.openxmlformats.org/drawingml/2006/main" noChangeArrowheads="1"/>
        </cdr:cNvSpPr>
      </cdr:nvSpPr>
      <cdr:spPr bwMode="auto">
        <a:xfrm xmlns:a="http://schemas.openxmlformats.org/drawingml/2006/main">
          <a:off x="0" y="4752070"/>
          <a:ext cx="1754904"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Sección de Estadística, Dirección de Planificación </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0.96579</cdr:y>
    </cdr:from>
    <cdr:to>
      <cdr:x>0.38164</cdr:x>
      <cdr:y>0.99978</cdr:y>
    </cdr:to>
    <cdr:sp macro="" textlink="">
      <cdr:nvSpPr>
        <cdr:cNvPr id="4097" name="Text Box 1"/>
        <cdr:cNvSpPr txBox="1">
          <a:spLocks xmlns:a="http://schemas.openxmlformats.org/drawingml/2006/main" noChangeArrowheads="1"/>
        </cdr:cNvSpPr>
      </cdr:nvSpPr>
      <cdr:spPr bwMode="auto">
        <a:xfrm xmlns:a="http://schemas.openxmlformats.org/drawingml/2006/main">
          <a:off x="0" y="3196047"/>
          <a:ext cx="1919128" cy="11248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CR" sz="500" b="0" i="0" strike="noStrike">
              <a:solidFill>
                <a:srgbClr val="000000"/>
              </a:solidFill>
              <a:latin typeface="Times New Roman"/>
              <a:cs typeface="Times New Roman"/>
            </a:rPr>
            <a:t>Elaborado por: Subproceso de Estadística, Dirección de Planificación. </a:t>
          </a:r>
        </a:p>
      </cdr:txBody>
    </cdr:sp>
  </cdr:relSizeAnchor>
  <cdr:relSizeAnchor xmlns:cdr="http://schemas.openxmlformats.org/drawingml/2006/chartDrawing">
    <cdr:from>
      <cdr:x>0.03128</cdr:x>
      <cdr:y>0.34145</cdr:y>
    </cdr:from>
    <cdr:to>
      <cdr:x>0.07631</cdr:x>
      <cdr:y>0.76645</cdr:y>
    </cdr:to>
    <cdr:sp macro="" textlink="">
      <cdr:nvSpPr>
        <cdr:cNvPr id="7" name="6 CuadroTexto"/>
        <cdr:cNvSpPr txBox="1"/>
      </cdr:nvSpPr>
      <cdr:spPr>
        <a:xfrm xmlns:a="http://schemas.openxmlformats.org/drawingml/2006/main" rot="16200000">
          <a:off x="-432707" y="1719944"/>
          <a:ext cx="1406434" cy="22642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Número</a:t>
          </a:r>
          <a:r>
            <a:rPr lang="es-CR" sz="1000" baseline="0">
              <a:latin typeface="Times New Roman" pitchFamily="18" charset="0"/>
              <a:cs typeface="Times New Roman" pitchFamily="18" charset="0"/>
            </a:rPr>
            <a:t> de expedientes</a:t>
          </a:r>
          <a:endParaRPr lang="es-CR" sz="1000">
            <a:latin typeface="Times New Roman" pitchFamily="18" charset="0"/>
            <a:cs typeface="Times New Roman" pitchFamily="18" charset="0"/>
          </a:endParaRPr>
        </a:p>
      </cdr:txBody>
    </cdr:sp>
  </cdr:relSizeAnchor>
  <cdr:relSizeAnchor xmlns:cdr="http://schemas.openxmlformats.org/drawingml/2006/chartDrawing">
    <cdr:from>
      <cdr:x>0.47245</cdr:x>
      <cdr:y>0.88684</cdr:y>
    </cdr:from>
    <cdr:to>
      <cdr:x>0.55818</cdr:x>
      <cdr:y>0.94342</cdr:y>
    </cdr:to>
    <cdr:sp macro="" textlink="">
      <cdr:nvSpPr>
        <cdr:cNvPr id="8" name="7 CuadroTexto"/>
        <cdr:cNvSpPr txBox="1"/>
      </cdr:nvSpPr>
      <cdr:spPr>
        <a:xfrm xmlns:a="http://schemas.openxmlformats.org/drawingml/2006/main">
          <a:off x="2375808" y="2934787"/>
          <a:ext cx="431074" cy="18723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Años</a:t>
          </a:r>
        </a:p>
      </cdr:txBody>
    </cdr:sp>
  </cdr:relSizeAnchor>
  <cdr:relSizeAnchor xmlns:cdr="http://schemas.openxmlformats.org/drawingml/2006/chartDrawing">
    <cdr:from>
      <cdr:x>0.68113</cdr:x>
      <cdr:y>0.27556</cdr:y>
    </cdr:from>
    <cdr:to>
      <cdr:x>0.85778</cdr:x>
      <cdr:y>0.34266</cdr:y>
    </cdr:to>
    <cdr:sp macro="" textlink="">
      <cdr:nvSpPr>
        <cdr:cNvPr id="9" name="8 CuadroTexto"/>
        <cdr:cNvSpPr txBox="1"/>
      </cdr:nvSpPr>
      <cdr:spPr>
        <a:xfrm xmlns:a="http://schemas.openxmlformats.org/drawingml/2006/main">
          <a:off x="3425167" y="911894"/>
          <a:ext cx="888312" cy="22205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800">
              <a:latin typeface="Times New Roman" pitchFamily="18" charset="0"/>
              <a:cs typeface="Times New Roman" pitchFamily="18" charset="0"/>
            </a:rPr>
            <a:t>Curva de la entrada</a:t>
          </a:r>
        </a:p>
      </cdr:txBody>
    </cdr:sp>
  </cdr:relSizeAnchor>
  <cdr:relSizeAnchor xmlns:cdr="http://schemas.openxmlformats.org/drawingml/2006/chartDrawing">
    <cdr:from>
      <cdr:x>0.64991</cdr:x>
      <cdr:y>0.66095</cdr:y>
    </cdr:from>
    <cdr:to>
      <cdr:x>0.76821</cdr:x>
      <cdr:y>0.75701</cdr:y>
    </cdr:to>
    <cdr:sp macro="" textlink="">
      <cdr:nvSpPr>
        <cdr:cNvPr id="10" name="1 CuadroTexto"/>
        <cdr:cNvSpPr txBox="1"/>
      </cdr:nvSpPr>
      <cdr:spPr>
        <a:xfrm xmlns:a="http://schemas.openxmlformats.org/drawingml/2006/main">
          <a:off x="3268157" y="2187248"/>
          <a:ext cx="594890" cy="31788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s-CR" sz="800">
              <a:latin typeface="Times New Roman" pitchFamily="18" charset="0"/>
              <a:cs typeface="Times New Roman" pitchFamily="18" charset="0"/>
            </a:rPr>
            <a:t>Curva de</a:t>
          </a:r>
        </a:p>
        <a:p xmlns:a="http://schemas.openxmlformats.org/drawingml/2006/main">
          <a:pPr algn="ctr"/>
          <a:r>
            <a:rPr lang="es-CR" sz="800">
              <a:latin typeface="Times New Roman" pitchFamily="18" charset="0"/>
              <a:cs typeface="Times New Roman" pitchFamily="18" charset="0"/>
            </a:rPr>
            <a:t>terminados</a:t>
          </a:r>
        </a:p>
      </cdr:txBody>
    </cdr:sp>
  </cdr:relSizeAnchor>
  <cdr:relSizeAnchor xmlns:cdr="http://schemas.openxmlformats.org/drawingml/2006/chartDrawing">
    <cdr:from>
      <cdr:x>0.53476</cdr:x>
      <cdr:y>0.56585</cdr:y>
    </cdr:from>
    <cdr:to>
      <cdr:x>0.66179</cdr:x>
      <cdr:y>0.6941</cdr:y>
    </cdr:to>
    <cdr:sp macro="" textlink="">
      <cdr:nvSpPr>
        <cdr:cNvPr id="14" name="13 Conector recto de flecha"/>
        <cdr:cNvSpPr/>
      </cdr:nvSpPr>
      <cdr:spPr>
        <a:xfrm xmlns:a="http://schemas.openxmlformats.org/drawingml/2006/main" rot="16200000" flipV="1">
          <a:off x="2796339" y="1765361"/>
          <a:ext cx="424390" cy="63877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0.6122</cdr:x>
      <cdr:y>0.32259</cdr:y>
    </cdr:from>
    <cdr:to>
      <cdr:x>0.69224</cdr:x>
      <cdr:y>0.4191</cdr:y>
    </cdr:to>
    <cdr:sp macro="" textlink="">
      <cdr:nvSpPr>
        <cdr:cNvPr id="16" name="15 Conector recto de flecha"/>
        <cdr:cNvSpPr/>
      </cdr:nvSpPr>
      <cdr:spPr>
        <a:xfrm xmlns:a="http://schemas.openxmlformats.org/drawingml/2006/main" rot="10800000" flipV="1">
          <a:off x="3078534" y="1067529"/>
          <a:ext cx="402512" cy="31938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0.34888</cdr:x>
      <cdr:y>0.47513</cdr:y>
    </cdr:from>
    <cdr:to>
      <cdr:x>0.37847</cdr:x>
      <cdr:y>0.70253</cdr:y>
    </cdr:to>
    <cdr:sp macro="" textlink="">
      <cdr:nvSpPr>
        <cdr:cNvPr id="18" name="17 Cerrar llave"/>
        <cdr:cNvSpPr/>
      </cdr:nvSpPr>
      <cdr:spPr>
        <a:xfrm xmlns:a="http://schemas.openxmlformats.org/drawingml/2006/main">
          <a:off x="1754422" y="1572335"/>
          <a:ext cx="148754" cy="752520"/>
        </a:xfrm>
        <a:prstGeom xmlns:a="http://schemas.openxmlformats.org/drawingml/2006/main" prst="rightBrace">
          <a:avLst>
            <a:gd name="adj1" fmla="val 8333"/>
            <a:gd name="adj2" fmla="val 15698"/>
          </a:avLst>
        </a:prstGeom>
        <a:ln xmlns:a="http://schemas.openxmlformats.org/drawingml/2006/main">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0.36685</cdr:x>
      <cdr:y>0.47595</cdr:y>
    </cdr:from>
    <cdr:to>
      <cdr:x>0.46951</cdr:x>
      <cdr:y>0.5209</cdr:y>
    </cdr:to>
    <cdr:sp macro="" textlink="">
      <cdr:nvSpPr>
        <cdr:cNvPr id="20" name="19 CuadroTexto"/>
        <cdr:cNvSpPr txBox="1"/>
      </cdr:nvSpPr>
      <cdr:spPr>
        <a:xfrm xmlns:a="http://schemas.openxmlformats.org/drawingml/2006/main">
          <a:off x="1844750" y="1575043"/>
          <a:ext cx="516264" cy="14875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CR" sz="800">
              <a:latin typeface="Times New Roman" pitchFamily="18" charset="0"/>
              <a:cs typeface="Times New Roman" pitchFamily="18" charset="0"/>
            </a:rPr>
            <a:t>84.246</a:t>
          </a:r>
        </a:p>
      </cdr:txBody>
    </cdr:sp>
  </cdr:relSizeAnchor>
  <cdr:relSizeAnchor xmlns:cdr="http://schemas.openxmlformats.org/drawingml/2006/chartDrawing">
    <cdr:from>
      <cdr:x>0.70268</cdr:x>
      <cdr:y>0.43311</cdr:y>
    </cdr:from>
    <cdr:to>
      <cdr:x>0.72751</cdr:x>
      <cdr:y>0.51744</cdr:y>
    </cdr:to>
    <cdr:sp macro="" textlink="">
      <cdr:nvSpPr>
        <cdr:cNvPr id="21" name="20 Cerrar llave"/>
        <cdr:cNvSpPr/>
      </cdr:nvSpPr>
      <cdr:spPr>
        <a:xfrm xmlns:a="http://schemas.openxmlformats.org/drawingml/2006/main">
          <a:off x="3533546" y="1433268"/>
          <a:ext cx="124874" cy="279070"/>
        </a:xfrm>
        <a:prstGeom xmlns:a="http://schemas.openxmlformats.org/drawingml/2006/main" prst="rightBrace">
          <a:avLst>
            <a:gd name="adj1" fmla="val 8333"/>
            <a:gd name="adj2" fmla="val 50188"/>
          </a:avLst>
        </a:prstGeom>
        <a:ln xmlns:a="http://schemas.openxmlformats.org/drawingml/2006/main">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CR"/>
        </a:p>
      </cdr:txBody>
    </cdr:sp>
  </cdr:relSizeAnchor>
  <cdr:relSizeAnchor xmlns:cdr="http://schemas.openxmlformats.org/drawingml/2006/chartDrawing">
    <cdr:from>
      <cdr:x>0.71559</cdr:x>
      <cdr:y>0.44136</cdr:y>
    </cdr:from>
    <cdr:to>
      <cdr:x>0.81825</cdr:x>
      <cdr:y>0.48631</cdr:y>
    </cdr:to>
    <cdr:sp macro="" textlink="">
      <cdr:nvSpPr>
        <cdr:cNvPr id="22" name="21 CuadroTexto"/>
        <cdr:cNvSpPr txBox="1"/>
      </cdr:nvSpPr>
      <cdr:spPr>
        <a:xfrm xmlns:a="http://schemas.openxmlformats.org/drawingml/2006/main">
          <a:off x="3598444" y="1460561"/>
          <a:ext cx="516264" cy="14875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CR" sz="800">
              <a:latin typeface="Times New Roman" pitchFamily="18" charset="0"/>
              <a:cs typeface="Times New Roman" pitchFamily="18" charset="0"/>
            </a:rPr>
            <a:t>33.272</a:t>
          </a:r>
        </a:p>
      </cdr:txBody>
    </cdr:sp>
  </cdr:relSizeAnchor>
  <cdr:relSizeAnchor xmlns:cdr="http://schemas.openxmlformats.org/drawingml/2006/chartDrawing">
    <cdr:from>
      <cdr:x>0.8286</cdr:x>
      <cdr:y>0.35482</cdr:y>
    </cdr:from>
    <cdr:to>
      <cdr:x>0.85818</cdr:x>
      <cdr:y>0.50025</cdr:y>
    </cdr:to>
    <cdr:sp macro="" textlink="">
      <cdr:nvSpPr>
        <cdr:cNvPr id="23" name="1 Cerrar llave"/>
        <cdr:cNvSpPr/>
      </cdr:nvSpPr>
      <cdr:spPr>
        <a:xfrm xmlns:a="http://schemas.openxmlformats.org/drawingml/2006/main">
          <a:off x="4166757" y="1174198"/>
          <a:ext cx="148754" cy="481263"/>
        </a:xfrm>
        <a:prstGeom xmlns:a="http://schemas.openxmlformats.org/drawingml/2006/main" prst="rightBrace">
          <a:avLst>
            <a:gd name="adj1" fmla="val 8333"/>
            <a:gd name="adj2" fmla="val 27516"/>
          </a:avLst>
        </a:prstGeom>
        <a:noFill xmlns:a="http://schemas.openxmlformats.org/drawingml/2006/main"/>
        <a:ln xmlns:a="http://schemas.openxmlformats.org/drawingml/2006/main" w="9525" cap="flat" cmpd="sng" algn="ctr">
          <a:solidFill>
            <a:srgbClr val="C0504D"/>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s-CR"/>
        </a:p>
      </cdr:txBody>
    </cdr:sp>
  </cdr:relSizeAnchor>
  <cdr:relSizeAnchor xmlns:cdr="http://schemas.openxmlformats.org/drawingml/2006/chartDrawing">
    <cdr:from>
      <cdr:x>0.84568</cdr:x>
      <cdr:y>0.35961</cdr:y>
    </cdr:from>
    <cdr:to>
      <cdr:x>0.94834</cdr:x>
      <cdr:y>0.40456</cdr:y>
    </cdr:to>
    <cdr:sp macro="" textlink="">
      <cdr:nvSpPr>
        <cdr:cNvPr id="24" name="1 CuadroTexto"/>
        <cdr:cNvSpPr txBox="1"/>
      </cdr:nvSpPr>
      <cdr:spPr>
        <a:xfrm xmlns:a="http://schemas.openxmlformats.org/drawingml/2006/main">
          <a:off x="4252618" y="1190032"/>
          <a:ext cx="516264" cy="1487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CR" sz="800">
              <a:latin typeface="Times New Roman" pitchFamily="18" charset="0"/>
              <a:cs typeface="Times New Roman" pitchFamily="18" charset="0"/>
            </a:rPr>
            <a:t>53.567</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0.96579</cdr:y>
    </cdr:from>
    <cdr:to>
      <cdr:x>0.38164</cdr:x>
      <cdr:y>0.99978</cdr:y>
    </cdr:to>
    <cdr:sp macro="" textlink="">
      <cdr:nvSpPr>
        <cdr:cNvPr id="4097" name="Text Box 1"/>
        <cdr:cNvSpPr txBox="1">
          <a:spLocks xmlns:a="http://schemas.openxmlformats.org/drawingml/2006/main" noChangeArrowheads="1"/>
        </cdr:cNvSpPr>
      </cdr:nvSpPr>
      <cdr:spPr bwMode="auto">
        <a:xfrm xmlns:a="http://schemas.openxmlformats.org/drawingml/2006/main">
          <a:off x="0" y="3196047"/>
          <a:ext cx="1919128" cy="11248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CR" sz="500" b="0" i="0" strike="noStrike">
              <a:solidFill>
                <a:srgbClr val="000000"/>
              </a:solidFill>
              <a:latin typeface="Times New Roman"/>
              <a:cs typeface="Times New Roman"/>
            </a:rPr>
            <a:t>Elaborado por: Subproceso de Estadística, Dirección de Planificación. </a:t>
          </a:r>
        </a:p>
      </cdr:txBody>
    </cdr:sp>
  </cdr:relSizeAnchor>
  <cdr:relSizeAnchor xmlns:cdr="http://schemas.openxmlformats.org/drawingml/2006/chartDrawing">
    <cdr:from>
      <cdr:x>0.23906</cdr:x>
      <cdr:y>0.38592</cdr:y>
    </cdr:from>
    <cdr:to>
      <cdr:x>0.31131</cdr:x>
      <cdr:y>0.43876</cdr:y>
    </cdr:to>
    <cdr:sp macro="" textlink="">
      <cdr:nvSpPr>
        <cdr:cNvPr id="3" name="2 Pentágono"/>
        <cdr:cNvSpPr/>
      </cdr:nvSpPr>
      <cdr:spPr>
        <a:xfrm xmlns:a="http://schemas.openxmlformats.org/drawingml/2006/main" rot="21061909">
          <a:off x="1202147" y="1277115"/>
          <a:ext cx="363320"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es-CR" sz="800">
              <a:solidFill>
                <a:schemeClr val="tx1"/>
              </a:solidFill>
              <a:latin typeface="Times New Roman" pitchFamily="18" charset="0"/>
              <a:cs typeface="Times New Roman" pitchFamily="18" charset="0"/>
            </a:rPr>
            <a:t>9%</a:t>
          </a:r>
        </a:p>
      </cdr:txBody>
    </cdr:sp>
  </cdr:relSizeAnchor>
  <cdr:relSizeAnchor xmlns:cdr="http://schemas.openxmlformats.org/drawingml/2006/chartDrawing">
    <cdr:from>
      <cdr:x>0.35672</cdr:x>
      <cdr:y>0.3551</cdr:y>
    </cdr:from>
    <cdr:to>
      <cdr:x>0.43289</cdr:x>
      <cdr:y>0.40794</cdr:y>
    </cdr:to>
    <cdr:sp macro="" textlink="">
      <cdr:nvSpPr>
        <cdr:cNvPr id="4" name="1 Pentágono"/>
        <cdr:cNvSpPr/>
      </cdr:nvSpPr>
      <cdr:spPr>
        <a:xfrm xmlns:a="http://schemas.openxmlformats.org/drawingml/2006/main" rot="21086408">
          <a:off x="1793813" y="1175131"/>
          <a:ext cx="383032"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8%</a:t>
          </a:r>
        </a:p>
      </cdr:txBody>
    </cdr:sp>
  </cdr:relSizeAnchor>
  <cdr:relSizeAnchor xmlns:cdr="http://schemas.openxmlformats.org/drawingml/2006/chartDrawing">
    <cdr:from>
      <cdr:x>0.4777</cdr:x>
      <cdr:y>0.33103</cdr:y>
    </cdr:from>
    <cdr:to>
      <cdr:x>0.55265</cdr:x>
      <cdr:y>0.38387</cdr:y>
    </cdr:to>
    <cdr:sp macro="" textlink="">
      <cdr:nvSpPr>
        <cdr:cNvPr id="5" name="1 Pentágono"/>
        <cdr:cNvSpPr/>
      </cdr:nvSpPr>
      <cdr:spPr>
        <a:xfrm xmlns:a="http://schemas.openxmlformats.org/drawingml/2006/main" rot="21377040">
          <a:off x="2402177" y="1095451"/>
          <a:ext cx="376898"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3%</a:t>
          </a:r>
        </a:p>
      </cdr:txBody>
    </cdr:sp>
  </cdr:relSizeAnchor>
  <cdr:relSizeAnchor xmlns:cdr="http://schemas.openxmlformats.org/drawingml/2006/chartDrawing">
    <cdr:from>
      <cdr:x>0.58677</cdr:x>
      <cdr:y>0.31225</cdr:y>
    </cdr:from>
    <cdr:to>
      <cdr:x>0.66138</cdr:x>
      <cdr:y>0.36509</cdr:y>
    </cdr:to>
    <cdr:sp macro="" textlink="">
      <cdr:nvSpPr>
        <cdr:cNvPr id="6" name="1 Pentágono"/>
        <cdr:cNvSpPr/>
      </cdr:nvSpPr>
      <cdr:spPr>
        <a:xfrm xmlns:a="http://schemas.openxmlformats.org/drawingml/2006/main" rot="21223257">
          <a:off x="2950645" y="1033309"/>
          <a:ext cx="375189" cy="174861"/>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6%</a:t>
          </a:r>
        </a:p>
      </cdr:txBody>
    </cdr:sp>
  </cdr:relSizeAnchor>
  <cdr:relSizeAnchor xmlns:cdr="http://schemas.openxmlformats.org/drawingml/2006/chartDrawing">
    <cdr:from>
      <cdr:x>0.03128</cdr:x>
      <cdr:y>0.34145</cdr:y>
    </cdr:from>
    <cdr:to>
      <cdr:x>0.07631</cdr:x>
      <cdr:y>0.76645</cdr:y>
    </cdr:to>
    <cdr:sp macro="" textlink="">
      <cdr:nvSpPr>
        <cdr:cNvPr id="7" name="6 CuadroTexto"/>
        <cdr:cNvSpPr txBox="1"/>
      </cdr:nvSpPr>
      <cdr:spPr>
        <a:xfrm xmlns:a="http://schemas.openxmlformats.org/drawingml/2006/main" rot="16200000">
          <a:off x="-432707" y="1719944"/>
          <a:ext cx="1406434" cy="22642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Número</a:t>
          </a:r>
          <a:r>
            <a:rPr lang="es-CR" sz="1000" baseline="0">
              <a:latin typeface="Times New Roman" pitchFamily="18" charset="0"/>
              <a:cs typeface="Times New Roman" pitchFamily="18" charset="0"/>
            </a:rPr>
            <a:t> de expedientes</a:t>
          </a:r>
          <a:endParaRPr lang="es-CR" sz="1000">
            <a:latin typeface="Times New Roman" pitchFamily="18" charset="0"/>
            <a:cs typeface="Times New Roman" pitchFamily="18" charset="0"/>
          </a:endParaRPr>
        </a:p>
      </cdr:txBody>
    </cdr:sp>
  </cdr:relSizeAnchor>
  <cdr:relSizeAnchor xmlns:cdr="http://schemas.openxmlformats.org/drawingml/2006/chartDrawing">
    <cdr:from>
      <cdr:x>0.47245</cdr:x>
      <cdr:y>0.88684</cdr:y>
    </cdr:from>
    <cdr:to>
      <cdr:x>0.55818</cdr:x>
      <cdr:y>0.94342</cdr:y>
    </cdr:to>
    <cdr:sp macro="" textlink="">
      <cdr:nvSpPr>
        <cdr:cNvPr id="8" name="7 CuadroTexto"/>
        <cdr:cNvSpPr txBox="1"/>
      </cdr:nvSpPr>
      <cdr:spPr>
        <a:xfrm xmlns:a="http://schemas.openxmlformats.org/drawingml/2006/main">
          <a:off x="2375808" y="2934787"/>
          <a:ext cx="431074" cy="18723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CR" sz="1000">
              <a:latin typeface="Times New Roman" pitchFamily="18" charset="0"/>
              <a:cs typeface="Times New Roman" pitchFamily="18" charset="0"/>
            </a:rPr>
            <a:t>Años</a:t>
          </a:r>
        </a:p>
      </cdr:txBody>
    </cdr:sp>
  </cdr:relSizeAnchor>
  <cdr:relSizeAnchor xmlns:cdr="http://schemas.openxmlformats.org/drawingml/2006/chartDrawing">
    <cdr:from>
      <cdr:x>0.69973</cdr:x>
      <cdr:y>0.2922</cdr:y>
    </cdr:from>
    <cdr:to>
      <cdr:x>0.79404</cdr:x>
      <cdr:y>0.34504</cdr:y>
    </cdr:to>
    <cdr:sp macro="" textlink="">
      <cdr:nvSpPr>
        <cdr:cNvPr id="15" name="1 Pentágono"/>
        <cdr:cNvSpPr/>
      </cdr:nvSpPr>
      <cdr:spPr>
        <a:xfrm xmlns:a="http://schemas.openxmlformats.org/drawingml/2006/main">
          <a:off x="3518702" y="966973"/>
          <a:ext cx="474233" cy="174862"/>
        </a:xfrm>
        <a:prstGeom xmlns:a="http://schemas.openxmlformats.org/drawingml/2006/main" prst="homePlate">
          <a:avLst/>
        </a:prstGeom>
        <a:solidFill xmlns:a="http://schemas.openxmlformats.org/drawingml/2006/main">
          <a:schemeClr val="accent5">
            <a:lumMod val="20000"/>
            <a:lumOff val="80000"/>
          </a:scheme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s-CR" sz="800">
              <a:solidFill>
                <a:sysClr val="windowText" lastClr="000000"/>
              </a:solidFill>
              <a:latin typeface="Times New Roman" pitchFamily="18" charset="0"/>
              <a:cs typeface="Times New Roman" pitchFamily="18" charset="0"/>
            </a:rPr>
            <a:t>0.2%</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0.96589</cdr:y>
    </cdr:from>
    <cdr:to>
      <cdr:x>0.41254</cdr:x>
      <cdr:y>0.99287</cdr:y>
    </cdr:to>
    <cdr:sp macro="" textlink="">
      <cdr:nvSpPr>
        <cdr:cNvPr id="4" name="Text Box 13"/>
        <cdr:cNvSpPr txBox="1">
          <a:spLocks xmlns:a="http://schemas.openxmlformats.org/drawingml/2006/main" noChangeArrowheads="1"/>
        </cdr:cNvSpPr>
      </cdr:nvSpPr>
      <cdr:spPr bwMode="auto">
        <a:xfrm xmlns:a="http://schemas.openxmlformats.org/drawingml/2006/main">
          <a:off x="0" y="3462867"/>
          <a:ext cx="2102883" cy="9675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es-CR" sz="500" b="0" i="1" strike="noStrike">
              <a:solidFill>
                <a:srgbClr val="000000"/>
              </a:solidFill>
              <a:latin typeface="Times New Roman"/>
              <a:cs typeface="Times New Roman"/>
            </a:rPr>
            <a:t>Elaborado por: Subproceso 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F3FE-3512-4E9B-9EAC-0CF2A308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2517</Words>
  <Characters>13847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gchenque</dc:creator>
  <cp:lastModifiedBy>amenac</cp:lastModifiedBy>
  <cp:revision>2</cp:revision>
  <dcterms:created xsi:type="dcterms:W3CDTF">2017-11-30T15:19:00Z</dcterms:created>
  <dcterms:modified xsi:type="dcterms:W3CDTF">2017-11-30T15:19:00Z</dcterms:modified>
</cp:coreProperties>
</file>