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F6" w:rsidRPr="00056425" w:rsidRDefault="00F26B3C" w:rsidP="00977E1A">
      <w:pPr>
        <w:jc w:val="right"/>
        <w:rPr>
          <w:rFonts w:ascii="Book Antiqua" w:hAnsi="Book Antiqua" w:cs="Book Antiqua"/>
          <w:lang w:val="pt-BR"/>
        </w:rPr>
      </w:pPr>
      <w:bookmarkStart w:id="0" w:name="_GoBack"/>
      <w:bookmarkEnd w:id="0"/>
      <w:r>
        <w:rPr>
          <w:rFonts w:ascii="Book Antiqua" w:hAnsi="Book Antiqua" w:cs="Book Antiqua"/>
          <w:lang w:val="pt-BR"/>
        </w:rPr>
        <w:t>946-</w:t>
      </w:r>
      <w:r w:rsidR="00A361F6" w:rsidRPr="00056425">
        <w:rPr>
          <w:rFonts w:ascii="Book Antiqua" w:hAnsi="Book Antiqua" w:cs="Book Antiqua"/>
          <w:lang w:val="pt-BR"/>
        </w:rPr>
        <w:t>PLA-20</w:t>
      </w:r>
      <w:r w:rsidR="000047A6" w:rsidRPr="00056425">
        <w:rPr>
          <w:rFonts w:ascii="Book Antiqua" w:hAnsi="Book Antiqua" w:cs="Book Antiqua"/>
          <w:lang w:val="pt-BR"/>
        </w:rPr>
        <w:t>1</w:t>
      </w:r>
      <w:r w:rsidR="002F4D39">
        <w:rPr>
          <w:rFonts w:ascii="Book Antiqua" w:hAnsi="Book Antiqua" w:cs="Book Antiqua"/>
          <w:lang w:val="pt-BR"/>
        </w:rPr>
        <w:t>8</w:t>
      </w:r>
    </w:p>
    <w:p w:rsidR="00932230" w:rsidRDefault="00D537AD" w:rsidP="00977E1A">
      <w:pPr>
        <w:jc w:val="right"/>
        <w:rPr>
          <w:rFonts w:ascii="Book Antiqua" w:hAnsi="Book Antiqua" w:cs="Book Antiqua"/>
          <w:snapToGrid w:val="0"/>
          <w:szCs w:val="20"/>
        </w:rPr>
      </w:pPr>
      <w:r w:rsidRPr="00056425">
        <w:rPr>
          <w:rFonts w:ascii="Book Antiqua" w:hAnsi="Book Antiqua" w:cs="Book Antiqua"/>
          <w:lang w:val="es-CR"/>
        </w:rPr>
        <w:t xml:space="preserve">Ref. SICE: </w:t>
      </w:r>
      <w:r w:rsidR="002C0ED4" w:rsidRPr="002C0ED4">
        <w:rPr>
          <w:rFonts w:ascii="Book Antiqua" w:hAnsi="Book Antiqua" w:cs="Book Antiqua"/>
          <w:snapToGrid w:val="0"/>
          <w:szCs w:val="20"/>
        </w:rPr>
        <w:t>897-18</w:t>
      </w:r>
    </w:p>
    <w:p w:rsidR="00F26B3C" w:rsidRPr="00056425" w:rsidRDefault="00F26B3C" w:rsidP="00977E1A">
      <w:pPr>
        <w:jc w:val="right"/>
        <w:rPr>
          <w:rFonts w:ascii="Book Antiqua" w:hAnsi="Book Antiqua" w:cs="Book Antiqua"/>
          <w:lang w:val="pt-BR"/>
        </w:rPr>
      </w:pPr>
    </w:p>
    <w:p w:rsidR="00A361F6" w:rsidRPr="00056425" w:rsidRDefault="009858FE">
      <w:pPr>
        <w:rPr>
          <w:rFonts w:ascii="Book Antiqua" w:hAnsi="Book Antiqua" w:cs="Book Antiqua"/>
          <w:lang w:val="pt-BR"/>
        </w:rPr>
      </w:pPr>
      <w:r>
        <w:rPr>
          <w:rFonts w:ascii="Book Antiqua" w:hAnsi="Book Antiqua" w:cs="Book Antiqua"/>
          <w:lang w:val="pt-BR"/>
        </w:rPr>
        <w:t>21 de</w:t>
      </w:r>
      <w:r w:rsidR="001C213E">
        <w:rPr>
          <w:rFonts w:ascii="Book Antiqua" w:hAnsi="Book Antiqua" w:cs="Book Antiqua"/>
          <w:lang w:val="pt-BR"/>
        </w:rPr>
        <w:t xml:space="preserve"> agosto</w:t>
      </w:r>
      <w:r w:rsidR="00570534" w:rsidRPr="00056425">
        <w:rPr>
          <w:rFonts w:ascii="Book Antiqua" w:hAnsi="Book Antiqua" w:cs="Book Antiqua"/>
          <w:lang w:val="pt-BR"/>
        </w:rPr>
        <w:t xml:space="preserve"> </w:t>
      </w:r>
      <w:r w:rsidR="0025544A" w:rsidRPr="00056425">
        <w:rPr>
          <w:rFonts w:ascii="Book Antiqua" w:hAnsi="Book Antiqua" w:cs="Book Antiqua"/>
          <w:lang w:val="pt-BR"/>
        </w:rPr>
        <w:t>de</w:t>
      </w:r>
      <w:r w:rsidR="000047A6" w:rsidRPr="00056425">
        <w:rPr>
          <w:rFonts w:ascii="Book Antiqua" w:hAnsi="Book Antiqua" w:cs="Book Antiqua"/>
          <w:lang w:val="pt-BR"/>
        </w:rPr>
        <w:t xml:space="preserve"> 201</w:t>
      </w:r>
      <w:r w:rsidR="002F4D39">
        <w:rPr>
          <w:rFonts w:ascii="Book Antiqua" w:hAnsi="Book Antiqua" w:cs="Book Antiqua"/>
          <w:lang w:val="pt-BR"/>
        </w:rPr>
        <w:t>8</w:t>
      </w:r>
    </w:p>
    <w:p w:rsidR="002C0ED4" w:rsidRDefault="002C0ED4">
      <w:pPr>
        <w:rPr>
          <w:rFonts w:ascii="Book Antiqua" w:hAnsi="Book Antiqua" w:cs="Book Antiqua"/>
          <w:lang w:val="pt-BR"/>
        </w:rPr>
      </w:pPr>
    </w:p>
    <w:p w:rsidR="002C0ED4" w:rsidRDefault="002C0ED4">
      <w:pPr>
        <w:rPr>
          <w:rFonts w:ascii="Book Antiqua" w:hAnsi="Book Antiqua" w:cs="Book Antiqua"/>
          <w:lang w:val="pt-BR"/>
        </w:rPr>
      </w:pPr>
    </w:p>
    <w:p w:rsidR="002C0ED4" w:rsidRPr="00056425" w:rsidRDefault="002C0ED4">
      <w:pPr>
        <w:rPr>
          <w:rFonts w:ascii="Book Antiqua" w:hAnsi="Book Antiqua" w:cs="Book Antiqua"/>
          <w:lang w:val="pt-BR"/>
        </w:rPr>
      </w:pPr>
    </w:p>
    <w:p w:rsidR="00A361F6" w:rsidRPr="00056425" w:rsidRDefault="00A361F6">
      <w:pPr>
        <w:rPr>
          <w:rFonts w:ascii="Book Antiqua" w:hAnsi="Book Antiqua" w:cs="Book Antiqua"/>
          <w:lang w:val="pt-BR"/>
        </w:rPr>
      </w:pPr>
      <w:r w:rsidRPr="00056425">
        <w:rPr>
          <w:rFonts w:ascii="Book Antiqua" w:hAnsi="Book Antiqua" w:cs="Book Antiqua"/>
          <w:lang w:val="pt-BR"/>
        </w:rPr>
        <w:t>Licenciada</w:t>
      </w:r>
    </w:p>
    <w:p w:rsidR="00A17B50" w:rsidRPr="00056425" w:rsidRDefault="00A361F6">
      <w:pPr>
        <w:rPr>
          <w:rFonts w:ascii="Book Antiqua" w:hAnsi="Book Antiqua" w:cs="Book Antiqua"/>
          <w:lang w:val="pt-BR"/>
        </w:rPr>
      </w:pPr>
      <w:smartTag w:uri="urn:schemas-microsoft-com:office:smarttags" w:element="PersonName">
        <w:r w:rsidRPr="00056425">
          <w:rPr>
            <w:rFonts w:ascii="Book Antiqua" w:hAnsi="Book Antiqua" w:cs="Book Antiqua"/>
            <w:lang w:val="pt-BR"/>
          </w:rPr>
          <w:t>Silvia Navarro Romanini</w:t>
        </w:r>
      </w:smartTag>
      <w:r w:rsidR="00A17B50" w:rsidRPr="00056425">
        <w:rPr>
          <w:rFonts w:ascii="Book Antiqua" w:hAnsi="Book Antiqua" w:cs="Book Antiqua"/>
          <w:lang w:val="pt-BR"/>
        </w:rPr>
        <w:t xml:space="preserve"> </w:t>
      </w:r>
    </w:p>
    <w:p w:rsidR="00A361F6" w:rsidRPr="00056425" w:rsidRDefault="00A361F6">
      <w:pPr>
        <w:rPr>
          <w:rFonts w:ascii="Book Antiqua" w:hAnsi="Book Antiqua" w:cs="Book Antiqua"/>
          <w:lang w:val="es-CR"/>
        </w:rPr>
      </w:pPr>
      <w:r w:rsidRPr="00056425">
        <w:rPr>
          <w:rFonts w:ascii="Book Antiqua" w:hAnsi="Book Antiqua" w:cs="Book Antiqua"/>
          <w:lang w:val="es-CR"/>
        </w:rPr>
        <w:t>Secretar</w:t>
      </w:r>
      <w:r w:rsidR="008E5522" w:rsidRPr="00056425">
        <w:rPr>
          <w:rFonts w:ascii="Book Antiqua" w:hAnsi="Book Antiqua" w:cs="Book Antiqua"/>
          <w:lang w:val="es-CR"/>
        </w:rPr>
        <w:t>í</w:t>
      </w:r>
      <w:r w:rsidRPr="00056425">
        <w:rPr>
          <w:rFonts w:ascii="Book Antiqua" w:hAnsi="Book Antiqua" w:cs="Book Antiqua"/>
          <w:lang w:val="es-CR"/>
        </w:rPr>
        <w:t xml:space="preserve">a General de </w:t>
      </w:r>
      <w:smartTag w:uri="urn:schemas-microsoft-com:office:smarttags" w:element="PersonName">
        <w:smartTagPr>
          <w:attr w:name="ProductID" w:val="la Corte"/>
        </w:smartTagPr>
        <w:r w:rsidRPr="00056425">
          <w:rPr>
            <w:rFonts w:ascii="Book Antiqua" w:hAnsi="Book Antiqua" w:cs="Book Antiqua"/>
            <w:lang w:val="es-CR"/>
          </w:rPr>
          <w:t>la Corte</w:t>
        </w:r>
      </w:smartTag>
    </w:p>
    <w:p w:rsidR="00A361F6" w:rsidRPr="00056425" w:rsidRDefault="00A361F6">
      <w:pPr>
        <w:rPr>
          <w:rFonts w:ascii="Book Antiqua" w:hAnsi="Book Antiqua" w:cs="Book Antiqua"/>
          <w:lang w:val="es-CR"/>
        </w:rPr>
      </w:pPr>
    </w:p>
    <w:p w:rsidR="00932230" w:rsidRPr="00056425" w:rsidRDefault="00932230" w:rsidP="00A17B50">
      <w:pPr>
        <w:rPr>
          <w:rFonts w:ascii="Book Antiqua" w:hAnsi="Book Antiqua" w:cs="Book Antiqua"/>
          <w:lang w:val="es-CR"/>
        </w:rPr>
      </w:pPr>
    </w:p>
    <w:p w:rsidR="00A361F6" w:rsidRPr="00056425" w:rsidRDefault="00A361F6" w:rsidP="00A17B50">
      <w:pPr>
        <w:rPr>
          <w:rFonts w:ascii="Book Antiqua" w:hAnsi="Book Antiqua" w:cs="Book Antiqua"/>
          <w:lang w:val="es-CR"/>
        </w:rPr>
      </w:pPr>
      <w:r w:rsidRPr="00056425">
        <w:rPr>
          <w:rFonts w:ascii="Book Antiqua" w:hAnsi="Book Antiqua" w:cs="Book Antiqua"/>
          <w:lang w:val="es-CR"/>
        </w:rPr>
        <w:t>Estimada señora:</w:t>
      </w:r>
    </w:p>
    <w:p w:rsidR="002178E9" w:rsidRPr="00056425" w:rsidRDefault="002178E9" w:rsidP="002178E9">
      <w:pPr>
        <w:jc w:val="both"/>
        <w:rPr>
          <w:rFonts w:ascii="Book Antiqua" w:hAnsi="Book Antiqua" w:cs="Book Antiqua"/>
        </w:rPr>
      </w:pPr>
    </w:p>
    <w:p w:rsidR="001F62B1" w:rsidRPr="001F62B1" w:rsidRDefault="001F62B1" w:rsidP="001F62B1">
      <w:pPr>
        <w:ind w:firstLine="708"/>
        <w:jc w:val="both"/>
        <w:rPr>
          <w:rStyle w:val="Hipervnculo"/>
          <w:rFonts w:ascii="Book Antiqua" w:hAnsi="Book Antiqua" w:cs="Book Antiqua"/>
          <w:u w:val="none"/>
        </w:rPr>
      </w:pPr>
      <w:r>
        <w:rPr>
          <w:rFonts w:ascii="Book Antiqua" w:hAnsi="Book Antiqua" w:cs="Book Antiqua"/>
        </w:rPr>
        <w:t>Le remito el informe 104-ES-2018-B</w:t>
      </w:r>
      <w:r>
        <w:rPr>
          <w:rFonts w:ascii="Book Antiqua" w:hAnsi="Book Antiqua" w:cs="Book Antiqua"/>
          <w:b/>
          <w:bCs/>
        </w:rPr>
        <w:t xml:space="preserve"> </w:t>
      </w:r>
      <w:r>
        <w:rPr>
          <w:rFonts w:ascii="Book Antiqua" w:hAnsi="Book Antiqua" w:cs="Book Antiqua"/>
        </w:rPr>
        <w:t xml:space="preserve">de hoy, suscrito por la Licda. Ana Ericka </w:t>
      </w:r>
      <w:r w:rsidRPr="001F62B1">
        <w:rPr>
          <w:rFonts w:ascii="Book Antiqua" w:hAnsi="Book Antiqua" w:cs="Book Antiqua"/>
        </w:rPr>
        <w:t xml:space="preserve">Rodríguez Araya, Jefa a.i. del Subproceso de Estadística, relacionado con </w:t>
      </w:r>
      <w:r w:rsidRPr="001F62B1">
        <w:rPr>
          <w:rStyle w:val="Hipervnculo"/>
          <w:rFonts w:ascii="Book Antiqua" w:hAnsi="Book Antiqua" w:cs="Book Antiqua"/>
          <w:color w:val="auto"/>
          <w:u w:val="none"/>
        </w:rPr>
        <w:t>los movimientos de trabajo ocurridos en el Programa de Justicia Restaurativa del Poder Judicial durante el 2017 y el último quinquenio.</w:t>
      </w:r>
    </w:p>
    <w:p w:rsidR="00A17B50" w:rsidRPr="00056425" w:rsidRDefault="00A17B50" w:rsidP="00A17B50">
      <w:pPr>
        <w:rPr>
          <w:rFonts w:ascii="Book Antiqua" w:hAnsi="Book Antiqua" w:cs="Book Antiqua"/>
        </w:rPr>
      </w:pPr>
    </w:p>
    <w:p w:rsidR="002D04B7" w:rsidRPr="002D04B7" w:rsidRDefault="00503A71" w:rsidP="00EC42EC">
      <w:pPr>
        <w:jc w:val="both"/>
        <w:rPr>
          <w:color w:val="FF0000"/>
          <w:lang w:val="es-CR"/>
        </w:rPr>
      </w:pPr>
      <w:r>
        <w:rPr>
          <w:rFonts w:ascii="Book Antiqua" w:hAnsi="Book Antiqua" w:cs="Book Antiqua"/>
        </w:rPr>
        <w:tab/>
      </w:r>
      <w:r w:rsidR="00A361F6" w:rsidRPr="00503A71">
        <w:rPr>
          <w:rFonts w:ascii="Book Antiqua" w:hAnsi="Book Antiqua" w:cs="Book Antiqua"/>
        </w:rPr>
        <w:t>Con el fin de que se manifestara</w:t>
      </w:r>
      <w:r w:rsidR="004328DB" w:rsidRPr="00503A71">
        <w:rPr>
          <w:rFonts w:ascii="Book Antiqua" w:hAnsi="Book Antiqua" w:cs="Book Antiqua"/>
        </w:rPr>
        <w:t xml:space="preserve"> al respecto, mediante </w:t>
      </w:r>
      <w:r w:rsidR="004328DB" w:rsidRPr="001F62B1">
        <w:rPr>
          <w:rFonts w:ascii="Book Antiqua" w:hAnsi="Book Antiqua" w:cs="Book Antiqua"/>
        </w:rPr>
        <w:t>oficio</w:t>
      </w:r>
      <w:r w:rsidR="004328DB" w:rsidRPr="001F62B1">
        <w:rPr>
          <w:rFonts w:ascii="Book Antiqua" w:hAnsi="Book Antiqua"/>
          <w:lang w:val="es-CR"/>
        </w:rPr>
        <w:t xml:space="preserve"> </w:t>
      </w:r>
      <w:r w:rsidR="00D81B08" w:rsidRPr="001F62B1">
        <w:rPr>
          <w:rFonts w:ascii="Book Antiqua" w:hAnsi="Book Antiqua"/>
          <w:lang w:val="es-CR"/>
        </w:rPr>
        <w:t>665</w:t>
      </w:r>
      <w:r w:rsidR="0025544A" w:rsidRPr="001F62B1">
        <w:rPr>
          <w:rFonts w:ascii="Book Antiqua" w:hAnsi="Book Antiqua"/>
          <w:lang w:val="es-CR"/>
        </w:rPr>
        <w:t>-PLA-20</w:t>
      </w:r>
      <w:r w:rsidR="00994811" w:rsidRPr="001F62B1">
        <w:rPr>
          <w:rFonts w:ascii="Book Antiqua" w:hAnsi="Book Antiqua"/>
          <w:lang w:val="es-CR"/>
        </w:rPr>
        <w:t>1</w:t>
      </w:r>
      <w:r w:rsidR="00D81B08" w:rsidRPr="001F62B1">
        <w:rPr>
          <w:rFonts w:ascii="Book Antiqua" w:hAnsi="Book Antiqua"/>
          <w:lang w:val="es-CR"/>
        </w:rPr>
        <w:t>8</w:t>
      </w:r>
      <w:r w:rsidR="00BF1764" w:rsidRPr="001F62B1">
        <w:rPr>
          <w:rFonts w:ascii="Book Antiqua" w:hAnsi="Book Antiqua"/>
          <w:lang w:val="es-CR"/>
        </w:rPr>
        <w:t xml:space="preserve"> </w:t>
      </w:r>
      <w:r w:rsidR="00A361F6" w:rsidRPr="001F62B1">
        <w:rPr>
          <w:rFonts w:ascii="Book Antiqua" w:hAnsi="Book Antiqua"/>
          <w:lang w:val="es-CR"/>
        </w:rPr>
        <w:t>del</w:t>
      </w:r>
      <w:r w:rsidR="004E1018" w:rsidRPr="001F62B1">
        <w:rPr>
          <w:rFonts w:ascii="Book Antiqua" w:hAnsi="Book Antiqua"/>
          <w:lang w:val="es-CR"/>
        </w:rPr>
        <w:t xml:space="preserve"> </w:t>
      </w:r>
      <w:r w:rsidR="00D81B08" w:rsidRPr="001F62B1">
        <w:rPr>
          <w:rFonts w:ascii="Book Antiqua" w:hAnsi="Book Antiqua"/>
          <w:lang w:val="es-CR"/>
        </w:rPr>
        <w:t>22</w:t>
      </w:r>
      <w:r w:rsidR="00E9691D" w:rsidRPr="001F62B1">
        <w:rPr>
          <w:rFonts w:ascii="Book Antiqua" w:hAnsi="Book Antiqua"/>
          <w:lang w:val="es-CR"/>
        </w:rPr>
        <w:t xml:space="preserve"> </w:t>
      </w:r>
      <w:r w:rsidR="004E1018" w:rsidRPr="001F62B1">
        <w:rPr>
          <w:rFonts w:ascii="Book Antiqua" w:hAnsi="Book Antiqua"/>
          <w:lang w:val="es-CR"/>
        </w:rPr>
        <w:t xml:space="preserve">de </w:t>
      </w:r>
      <w:r w:rsidR="00D81B08" w:rsidRPr="001F62B1">
        <w:rPr>
          <w:rFonts w:ascii="Book Antiqua" w:hAnsi="Book Antiqua"/>
          <w:lang w:val="es-CR"/>
        </w:rPr>
        <w:t xml:space="preserve">junio </w:t>
      </w:r>
      <w:r w:rsidR="004E1018" w:rsidRPr="001F62B1">
        <w:rPr>
          <w:rFonts w:ascii="Book Antiqua" w:hAnsi="Book Antiqua"/>
          <w:lang w:val="es-CR"/>
        </w:rPr>
        <w:t xml:space="preserve">del </w:t>
      </w:r>
      <w:r w:rsidR="00D81B08" w:rsidRPr="001F62B1">
        <w:rPr>
          <w:rFonts w:ascii="Book Antiqua" w:hAnsi="Book Antiqua"/>
          <w:lang w:val="es-CR"/>
        </w:rPr>
        <w:t>2018,</w:t>
      </w:r>
      <w:r w:rsidR="004E1018" w:rsidRPr="001F62B1">
        <w:rPr>
          <w:rFonts w:ascii="Book Antiqua" w:hAnsi="Book Antiqua"/>
          <w:lang w:val="es-CR"/>
        </w:rPr>
        <w:t xml:space="preserve"> </w:t>
      </w:r>
      <w:r w:rsidR="00A361F6" w:rsidRPr="001F62B1">
        <w:rPr>
          <w:rFonts w:ascii="Book Antiqua" w:hAnsi="Book Antiqua"/>
          <w:lang w:val="es-CR"/>
        </w:rPr>
        <w:t>el preliminar de este documento fue puesto en conocimiento de</w:t>
      </w:r>
      <w:r w:rsidR="001F62B1" w:rsidRPr="001F62B1">
        <w:rPr>
          <w:rFonts w:ascii="Book Antiqua" w:hAnsi="Book Antiqua"/>
          <w:lang w:val="es-CR"/>
        </w:rPr>
        <w:t xml:space="preserve"> la Magistrada</w:t>
      </w:r>
      <w:r w:rsidRPr="001F62B1">
        <w:rPr>
          <w:rFonts w:ascii="Book Antiqua" w:hAnsi="Book Antiqua"/>
          <w:lang w:val="es-CR"/>
        </w:rPr>
        <w:t xml:space="preserve"> Doris Arias Madrigal</w:t>
      </w:r>
      <w:r w:rsidR="001F62B1" w:rsidRPr="001F62B1">
        <w:rPr>
          <w:rFonts w:ascii="Book Antiqua" w:hAnsi="Book Antiqua"/>
          <w:lang w:val="es-CR"/>
        </w:rPr>
        <w:t xml:space="preserve">, </w:t>
      </w:r>
      <w:r w:rsidRPr="001F62B1">
        <w:rPr>
          <w:rFonts w:ascii="Book Antiqua" w:hAnsi="Book Antiqua"/>
          <w:lang w:val="es-CR"/>
        </w:rPr>
        <w:t xml:space="preserve">Coordinadora de la </w:t>
      </w:r>
      <w:r w:rsidRPr="00EC42EC">
        <w:rPr>
          <w:rFonts w:ascii="Book Antiqua" w:hAnsi="Book Antiqua"/>
          <w:lang w:val="es-CR"/>
        </w:rPr>
        <w:t>Comisión de la Jurisdicción Penal y Directora del Programa de Justicia Restaurativa</w:t>
      </w:r>
      <w:r w:rsidR="00E9691D" w:rsidRPr="001F62B1">
        <w:rPr>
          <w:rFonts w:ascii="Book Antiqua" w:hAnsi="Book Antiqua"/>
          <w:lang w:val="es-CR"/>
        </w:rPr>
        <w:t>.</w:t>
      </w:r>
      <w:r w:rsidR="002D04B7" w:rsidRPr="001F62B1">
        <w:rPr>
          <w:rFonts w:ascii="Book Antiqua" w:hAnsi="Book Antiqua"/>
          <w:lang w:val="es-CR"/>
        </w:rPr>
        <w:t xml:space="preserve"> </w:t>
      </w:r>
      <w:r w:rsidR="00E9691D" w:rsidRPr="001F62B1">
        <w:rPr>
          <w:rFonts w:ascii="Book Antiqua" w:hAnsi="Book Antiqua"/>
          <w:lang w:val="es-CR"/>
        </w:rPr>
        <w:t>Como respuesta</w:t>
      </w:r>
      <w:r w:rsidR="002D04B7" w:rsidRPr="001F62B1">
        <w:rPr>
          <w:rFonts w:ascii="Book Antiqua" w:hAnsi="Book Antiqua"/>
          <w:lang w:val="es-CR"/>
        </w:rPr>
        <w:t xml:space="preserve"> </w:t>
      </w:r>
      <w:r w:rsidR="00E9691D" w:rsidRPr="001F62B1">
        <w:rPr>
          <w:rFonts w:ascii="Book Antiqua" w:hAnsi="Book Antiqua"/>
          <w:lang w:val="es-CR"/>
        </w:rPr>
        <w:t xml:space="preserve">se </w:t>
      </w:r>
      <w:r w:rsidR="00EC42EC">
        <w:rPr>
          <w:rFonts w:ascii="Book Antiqua" w:hAnsi="Book Antiqua"/>
          <w:lang w:val="es-CR"/>
        </w:rPr>
        <w:t xml:space="preserve">recibió </w:t>
      </w:r>
      <w:r w:rsidR="00B33B51" w:rsidRPr="00306BC7">
        <w:rPr>
          <w:rFonts w:ascii="Book Antiqua" w:hAnsi="Book Antiqua"/>
          <w:lang w:val="es-CR"/>
        </w:rPr>
        <w:t>oficio</w:t>
      </w:r>
      <w:r w:rsidR="00B33B51">
        <w:rPr>
          <w:rFonts w:ascii="Book Antiqua" w:hAnsi="Book Antiqua"/>
          <w:color w:val="FF0000"/>
          <w:lang w:val="es-CR"/>
        </w:rPr>
        <w:t xml:space="preserve"> </w:t>
      </w:r>
      <w:r w:rsidR="00EC42EC" w:rsidRPr="00EC42EC">
        <w:rPr>
          <w:rFonts w:ascii="Book Antiqua" w:hAnsi="Book Antiqua"/>
          <w:lang w:val="es-CR"/>
        </w:rPr>
        <w:t>081-PJR-2018</w:t>
      </w:r>
      <w:r w:rsidR="002D04B7" w:rsidRPr="00EC42EC">
        <w:rPr>
          <w:rFonts w:ascii="Book Antiqua" w:hAnsi="Book Antiqua"/>
          <w:lang w:val="es-CR"/>
        </w:rPr>
        <w:t>.</w:t>
      </w:r>
      <w:r w:rsidR="00953723" w:rsidRPr="00503A71">
        <w:rPr>
          <w:rFonts w:ascii="Book Antiqua" w:hAnsi="Book Antiqua"/>
          <w:b/>
          <w:color w:val="FF0000"/>
          <w:lang w:val="es-CR"/>
        </w:rPr>
        <w:t xml:space="preserve"> </w:t>
      </w:r>
      <w:r w:rsidR="00953723" w:rsidRPr="00503A71">
        <w:rPr>
          <w:rFonts w:ascii="Book Antiqua" w:hAnsi="Book Antiqua"/>
          <w:color w:val="000000"/>
          <w:lang w:val="es-CR"/>
        </w:rPr>
        <w:t>Las observaciones</w:t>
      </w:r>
      <w:r w:rsidR="00953723" w:rsidRPr="00503A71">
        <w:rPr>
          <w:rFonts w:ascii="Book Antiqua" w:hAnsi="Book Antiqua"/>
          <w:b/>
          <w:lang w:val="es-CR"/>
        </w:rPr>
        <w:t xml:space="preserve"> </w:t>
      </w:r>
      <w:r w:rsidR="00953723" w:rsidRPr="00503A71">
        <w:rPr>
          <w:rFonts w:ascii="Book Antiqua" w:hAnsi="Book Antiqua"/>
          <w:lang w:val="es-CR"/>
        </w:rPr>
        <w:t>se consideraron en lo pertinente, en el informe que  se presenta.</w:t>
      </w:r>
    </w:p>
    <w:p w:rsidR="002D04B7" w:rsidRDefault="002D04B7" w:rsidP="00D537AD">
      <w:pPr>
        <w:pStyle w:val="Textoindependiente2"/>
        <w:ind w:firstLine="720"/>
        <w:rPr>
          <w:lang w:val="es-CR"/>
        </w:rPr>
      </w:pPr>
    </w:p>
    <w:p w:rsidR="00EC42EC" w:rsidRDefault="00EC42EC" w:rsidP="00D537AD">
      <w:pPr>
        <w:pStyle w:val="Textoindependiente2"/>
        <w:ind w:firstLine="720"/>
        <w:rPr>
          <w:lang w:val="es-CR"/>
        </w:rPr>
      </w:pPr>
    </w:p>
    <w:p w:rsidR="00B961C5" w:rsidRPr="00056425" w:rsidRDefault="00A361F6" w:rsidP="00B961C5">
      <w:pPr>
        <w:jc w:val="both"/>
        <w:rPr>
          <w:rFonts w:ascii="Book Antiqua" w:hAnsi="Book Antiqua" w:cs="Book Antiqua"/>
          <w:lang w:val="es-CR"/>
        </w:rPr>
      </w:pPr>
      <w:r w:rsidRPr="00056425">
        <w:rPr>
          <w:rFonts w:ascii="Book Antiqua" w:hAnsi="Book Antiqua" w:cs="Book Antiqua"/>
          <w:lang w:val="es-CR"/>
        </w:rPr>
        <w:t>Atentamente,</w:t>
      </w:r>
    </w:p>
    <w:p w:rsidR="00B961C5" w:rsidRPr="00056425" w:rsidRDefault="00B961C5" w:rsidP="00B961C5">
      <w:pPr>
        <w:jc w:val="both"/>
        <w:rPr>
          <w:rFonts w:ascii="Book Antiqua" w:hAnsi="Book Antiqua" w:cs="Book Antiqua"/>
          <w:lang w:val="es-CR"/>
        </w:rPr>
      </w:pPr>
    </w:p>
    <w:p w:rsidR="00932230" w:rsidRPr="00056425" w:rsidRDefault="00932230" w:rsidP="00B961C5">
      <w:pPr>
        <w:jc w:val="both"/>
        <w:rPr>
          <w:rFonts w:ascii="Book Antiqua" w:hAnsi="Book Antiqua" w:cs="Book Antiqua"/>
          <w:lang w:val="es-CR"/>
        </w:rPr>
      </w:pPr>
    </w:p>
    <w:p w:rsidR="00E97CE2" w:rsidRDefault="00E97CE2" w:rsidP="00E97CE2">
      <w:pPr>
        <w:rPr>
          <w:rFonts w:ascii="Book Antiqua" w:hAnsi="Book Antiqua" w:cs="Book Antiqua"/>
          <w:snapToGrid w:val="0"/>
          <w:lang w:val="pt-BR"/>
        </w:rPr>
      </w:pPr>
    </w:p>
    <w:p w:rsidR="00E97CE2" w:rsidRDefault="00E97CE2" w:rsidP="00E97CE2">
      <w:pPr>
        <w:rPr>
          <w:rFonts w:ascii="Book Antiqua" w:hAnsi="Book Antiqua" w:cs="Book Antiqua"/>
          <w:snapToGrid w:val="0"/>
          <w:lang w:val="pt-BR"/>
        </w:rPr>
      </w:pPr>
      <w:r>
        <w:rPr>
          <w:rFonts w:ascii="Book Antiqua" w:hAnsi="Book Antiqua" w:cs="Book Antiqua"/>
          <w:snapToGrid w:val="0"/>
          <w:lang w:val="pt-BR"/>
        </w:rPr>
        <w:t xml:space="preserve">Erick Antonio Mora Leiva, </w:t>
      </w:r>
      <w:r w:rsidR="00D72546">
        <w:rPr>
          <w:rFonts w:ascii="Book Antiqua" w:hAnsi="Book Antiqua" w:cs="Book Antiqua"/>
          <w:snapToGrid w:val="0"/>
          <w:lang w:val="pt-BR"/>
        </w:rPr>
        <w:t>Jefe</w:t>
      </w:r>
      <w:r>
        <w:rPr>
          <w:rFonts w:ascii="Book Antiqua" w:hAnsi="Book Antiqua" w:cs="Book Antiqua"/>
          <w:snapToGrid w:val="0"/>
          <w:lang w:val="pt-BR"/>
        </w:rPr>
        <w:t xml:space="preserve"> </w:t>
      </w:r>
    </w:p>
    <w:p w:rsidR="00E97CE2" w:rsidRDefault="00E97CE2" w:rsidP="00E97CE2">
      <w:pPr>
        <w:rPr>
          <w:rFonts w:ascii="Book Antiqua" w:hAnsi="Book Antiqua" w:cs="Book Antiqua"/>
          <w:snapToGrid w:val="0"/>
          <w:lang w:val="pt-BR"/>
        </w:rPr>
      </w:pPr>
      <w:r>
        <w:rPr>
          <w:rFonts w:ascii="Book Antiqua" w:hAnsi="Book Antiqua" w:cs="Book Antiqua"/>
          <w:snapToGrid w:val="0"/>
          <w:lang w:val="pt-BR"/>
        </w:rPr>
        <w:t>Proceso Planeación y Evaluación</w:t>
      </w:r>
    </w:p>
    <w:p w:rsidR="00F41C8C" w:rsidRPr="00056425" w:rsidRDefault="00F41C8C" w:rsidP="00CF47A4">
      <w:pPr>
        <w:rPr>
          <w:rFonts w:ascii="Book Antiqua" w:hAnsi="Book Antiqua" w:cs="Book Antiqua"/>
          <w:lang w:val="es-CR"/>
        </w:rPr>
      </w:pPr>
    </w:p>
    <w:p w:rsidR="00CE7909" w:rsidRPr="00056425" w:rsidRDefault="00CE7909" w:rsidP="00CF47A4">
      <w:pPr>
        <w:rPr>
          <w:rFonts w:ascii="Book Antiqua" w:hAnsi="Book Antiqua" w:cs="Book Antiqua"/>
          <w:lang w:val="es-CR"/>
        </w:rPr>
      </w:pPr>
    </w:p>
    <w:p w:rsidR="00CE7909" w:rsidRPr="00056425" w:rsidRDefault="00CE7909" w:rsidP="00CF47A4">
      <w:pPr>
        <w:rPr>
          <w:rFonts w:ascii="Book Antiqua" w:hAnsi="Book Antiqua" w:cs="Book Antiqua"/>
          <w:b/>
          <w:bCs/>
          <w:i/>
          <w:iCs/>
          <w:lang w:val="es-CR"/>
        </w:rPr>
      </w:pPr>
      <w:r w:rsidRPr="00056425">
        <w:rPr>
          <w:rFonts w:ascii="Book Antiqua" w:hAnsi="Book Antiqua" w:cs="Book Antiqua"/>
          <w:b/>
          <w:bCs/>
          <w:i/>
          <w:iCs/>
          <w:lang w:val="es-CR"/>
        </w:rPr>
        <w:t>Se adjunta respuesta recibida</w:t>
      </w:r>
    </w:p>
    <w:p w:rsidR="00A361F6" w:rsidRDefault="00A361F6">
      <w:pPr>
        <w:pStyle w:val="Encabezado"/>
        <w:tabs>
          <w:tab w:val="clear" w:pos="4252"/>
          <w:tab w:val="clear" w:pos="8504"/>
        </w:tabs>
        <w:rPr>
          <w:rFonts w:ascii="Book Antiqua" w:hAnsi="Book Antiqua" w:cs="Book Antiqua"/>
          <w:i/>
          <w:iCs/>
          <w:sz w:val="18"/>
          <w:szCs w:val="18"/>
          <w:lang w:val="es-CR"/>
        </w:rPr>
      </w:pPr>
    </w:p>
    <w:p w:rsidR="00EC42EC" w:rsidRDefault="00EC42EC">
      <w:pPr>
        <w:pStyle w:val="Encabezado"/>
        <w:tabs>
          <w:tab w:val="clear" w:pos="4252"/>
          <w:tab w:val="clear" w:pos="8504"/>
        </w:tabs>
        <w:rPr>
          <w:rFonts w:ascii="Book Antiqua" w:hAnsi="Book Antiqua" w:cs="Book Antiqua"/>
          <w:i/>
          <w:iCs/>
          <w:sz w:val="18"/>
          <w:szCs w:val="18"/>
          <w:lang w:val="es-CR"/>
        </w:rPr>
      </w:pPr>
    </w:p>
    <w:p w:rsidR="00EC42EC" w:rsidRPr="00570534" w:rsidRDefault="00EC42EC">
      <w:pPr>
        <w:pStyle w:val="Encabezado"/>
        <w:tabs>
          <w:tab w:val="clear" w:pos="4252"/>
          <w:tab w:val="clear" w:pos="8504"/>
        </w:tabs>
        <w:rPr>
          <w:rFonts w:ascii="Book Antiqua" w:hAnsi="Book Antiqua" w:cs="Book Antiqua"/>
          <w:i/>
          <w:iCs/>
          <w:sz w:val="18"/>
          <w:szCs w:val="18"/>
          <w:lang w:val="es-CR"/>
        </w:rPr>
      </w:pPr>
    </w:p>
    <w:p w:rsidR="007C0BF9" w:rsidRPr="002C0ED4" w:rsidRDefault="00A361F6" w:rsidP="00570534">
      <w:pPr>
        <w:pStyle w:val="Encabezado"/>
        <w:tabs>
          <w:tab w:val="clear" w:pos="4252"/>
          <w:tab w:val="clear" w:pos="8504"/>
        </w:tabs>
        <w:rPr>
          <w:rFonts w:ascii="Book Antiqua" w:hAnsi="Book Antiqua" w:cs="Book Antiqua"/>
          <w:sz w:val="24"/>
          <w:lang w:val="es-CR"/>
        </w:rPr>
      </w:pPr>
      <w:r w:rsidRPr="002C0ED4">
        <w:rPr>
          <w:rFonts w:ascii="Book Antiqua" w:hAnsi="Book Antiqua" w:cs="Book Antiqua"/>
          <w:sz w:val="24"/>
          <w:lang w:val="es-CR"/>
        </w:rPr>
        <w:t>Copias:</w:t>
      </w:r>
    </w:p>
    <w:p w:rsidR="007C0BF9" w:rsidRPr="002C0ED4" w:rsidRDefault="007C0BF9" w:rsidP="007C0BF9">
      <w:pPr>
        <w:ind w:left="360" w:firstLine="360"/>
        <w:rPr>
          <w:rFonts w:ascii="Book Antiqua" w:hAnsi="Book Antiqua" w:cs="Book Antiqua"/>
          <w:szCs w:val="20"/>
        </w:rPr>
      </w:pPr>
    </w:p>
    <w:p w:rsidR="002F6F5C" w:rsidRPr="002C0ED4" w:rsidRDefault="00EC42EC" w:rsidP="002F6F5C">
      <w:pPr>
        <w:pStyle w:val="Prrafodelista"/>
        <w:numPr>
          <w:ilvl w:val="0"/>
          <w:numId w:val="22"/>
        </w:numPr>
        <w:rPr>
          <w:rFonts w:ascii="Book Antiqua" w:hAnsi="Book Antiqua" w:cs="Book Antiqua"/>
          <w:snapToGrid w:val="0"/>
          <w:szCs w:val="20"/>
        </w:rPr>
      </w:pPr>
      <w:r w:rsidRPr="002C0ED4">
        <w:rPr>
          <w:rFonts w:ascii="Book Antiqua" w:hAnsi="Book Antiqua" w:cs="Book Antiqua"/>
          <w:snapToGrid w:val="0"/>
          <w:szCs w:val="20"/>
        </w:rPr>
        <w:t>Comisión de la Jurisdicción Penal</w:t>
      </w:r>
    </w:p>
    <w:p w:rsidR="002F6F5C" w:rsidRPr="002C0ED4" w:rsidRDefault="00503A71" w:rsidP="002F6F5C">
      <w:pPr>
        <w:pStyle w:val="Prrafodelista"/>
        <w:numPr>
          <w:ilvl w:val="0"/>
          <w:numId w:val="22"/>
        </w:numPr>
        <w:rPr>
          <w:rFonts w:ascii="Book Antiqua" w:hAnsi="Book Antiqua" w:cs="Book Antiqua"/>
          <w:snapToGrid w:val="0"/>
          <w:szCs w:val="20"/>
        </w:rPr>
      </w:pPr>
      <w:r w:rsidRPr="002C0ED4">
        <w:rPr>
          <w:rFonts w:ascii="Book Antiqua" w:hAnsi="Book Antiqua" w:cs="Book Antiqua"/>
          <w:snapToGrid w:val="0"/>
          <w:szCs w:val="20"/>
        </w:rPr>
        <w:t xml:space="preserve">Inspección Judicial </w:t>
      </w:r>
    </w:p>
    <w:p w:rsidR="002F6F5C" w:rsidRPr="002C0ED4" w:rsidRDefault="00503A71" w:rsidP="002F6F5C">
      <w:pPr>
        <w:pStyle w:val="Prrafodelista"/>
        <w:numPr>
          <w:ilvl w:val="0"/>
          <w:numId w:val="22"/>
        </w:numPr>
        <w:rPr>
          <w:rFonts w:ascii="Book Antiqua" w:hAnsi="Book Antiqua" w:cs="Book Antiqua"/>
          <w:snapToGrid w:val="0"/>
          <w:szCs w:val="20"/>
        </w:rPr>
      </w:pPr>
      <w:r w:rsidRPr="002C0ED4">
        <w:rPr>
          <w:rFonts w:ascii="Book Antiqua" w:hAnsi="Book Antiqua" w:cs="Book Antiqua"/>
          <w:snapToGrid w:val="0"/>
          <w:szCs w:val="20"/>
        </w:rPr>
        <w:t>Departamento de  Prensa y Comunicación</w:t>
      </w:r>
    </w:p>
    <w:p w:rsidR="002F6F5C" w:rsidRPr="002C0ED4" w:rsidRDefault="002F6F5C" w:rsidP="002F6F5C">
      <w:pPr>
        <w:pStyle w:val="Prrafodelista"/>
        <w:numPr>
          <w:ilvl w:val="0"/>
          <w:numId w:val="22"/>
        </w:numPr>
        <w:rPr>
          <w:rFonts w:ascii="Book Antiqua" w:hAnsi="Book Antiqua" w:cs="Book Antiqua"/>
          <w:snapToGrid w:val="0"/>
          <w:szCs w:val="20"/>
        </w:rPr>
      </w:pPr>
      <w:r w:rsidRPr="002C0ED4">
        <w:rPr>
          <w:rFonts w:ascii="Book Antiqua" w:hAnsi="Book Antiqua" w:cs="Book Antiqua"/>
          <w:snapToGrid w:val="0"/>
          <w:szCs w:val="20"/>
        </w:rPr>
        <w:t>Archivo</w:t>
      </w:r>
    </w:p>
    <w:p w:rsidR="002F6F5C" w:rsidRPr="002C0ED4" w:rsidRDefault="002F6F5C" w:rsidP="00503A71">
      <w:pPr>
        <w:pStyle w:val="Prrafodelista1"/>
        <w:rPr>
          <w:rFonts w:ascii="Book Antiqua" w:hAnsi="Book Antiqua"/>
          <w:sz w:val="32"/>
          <w:szCs w:val="24"/>
        </w:rPr>
      </w:pPr>
    </w:p>
    <w:p w:rsidR="00CE7909" w:rsidRPr="002C0ED4" w:rsidRDefault="001F62B1" w:rsidP="004E1018">
      <w:pPr>
        <w:rPr>
          <w:rFonts w:ascii="Book Antiqua" w:hAnsi="Book Antiqua" w:cs="Book Antiqua"/>
          <w:snapToGrid w:val="0"/>
          <w:szCs w:val="20"/>
        </w:rPr>
      </w:pPr>
      <w:r w:rsidRPr="002C0ED4">
        <w:rPr>
          <w:rFonts w:ascii="Book Antiqua" w:hAnsi="Book Antiqua" w:cs="Book Antiqua"/>
          <w:snapToGrid w:val="0"/>
          <w:szCs w:val="20"/>
        </w:rPr>
        <w:t>pjr</w:t>
      </w:r>
    </w:p>
    <w:p w:rsidR="002C0ED4" w:rsidRPr="002C0ED4" w:rsidRDefault="00EF6C5A" w:rsidP="00932230">
      <w:pPr>
        <w:rPr>
          <w:rFonts w:ascii="Book Antiqua" w:hAnsi="Book Antiqua" w:cs="Book Antiqua"/>
          <w:snapToGrid w:val="0"/>
          <w:szCs w:val="20"/>
        </w:rPr>
      </w:pPr>
      <w:r w:rsidRPr="002C0ED4">
        <w:rPr>
          <w:rFonts w:ascii="Book Antiqua" w:hAnsi="Book Antiqua" w:cs="Book Antiqua"/>
          <w:snapToGrid w:val="0"/>
          <w:szCs w:val="20"/>
        </w:rPr>
        <w:t xml:space="preserve">REF. </w:t>
      </w:r>
      <w:r w:rsidR="001F62B1" w:rsidRPr="002C0ED4">
        <w:rPr>
          <w:rFonts w:ascii="Book Antiqua" w:hAnsi="Book Antiqua" w:cs="Book Antiqua"/>
          <w:snapToGrid w:val="0"/>
          <w:szCs w:val="20"/>
        </w:rPr>
        <w:t>897-18</w:t>
      </w:r>
    </w:p>
    <w:p w:rsidR="002C0ED4" w:rsidRDefault="002C0ED4">
      <w:pPr>
        <w:widowControl/>
        <w:autoSpaceDE/>
        <w:autoSpaceDN/>
        <w:adjustRightInd/>
        <w:rPr>
          <w:rFonts w:ascii="Book Antiqua" w:hAnsi="Book Antiqua" w:cs="Book Antiqua"/>
          <w:snapToGrid w:val="0"/>
          <w:sz w:val="20"/>
          <w:szCs w:val="20"/>
        </w:rPr>
      </w:pPr>
      <w:r>
        <w:rPr>
          <w:rFonts w:ascii="Book Antiqua" w:hAnsi="Book Antiqua" w:cs="Book Antiqua"/>
          <w:snapToGrid w:val="0"/>
          <w:sz w:val="20"/>
          <w:szCs w:val="20"/>
        </w:rPr>
        <w:br w:type="page"/>
      </w:r>
    </w:p>
    <w:p w:rsidR="002C0ED4" w:rsidRPr="000B366C" w:rsidRDefault="002C0ED4" w:rsidP="002C0ED4">
      <w:pPr>
        <w:spacing w:line="360" w:lineRule="auto"/>
        <w:jc w:val="right"/>
        <w:rPr>
          <w:rFonts w:ascii="Book Antiqua" w:hAnsi="Book Antiqua"/>
        </w:rPr>
      </w:pPr>
      <w:r w:rsidRPr="000B366C">
        <w:rPr>
          <w:rFonts w:ascii="Book Antiqua" w:hAnsi="Book Antiqua"/>
        </w:rPr>
        <w:lastRenderedPageBreak/>
        <w:t>104-ES-2018-B</w:t>
      </w:r>
    </w:p>
    <w:p w:rsidR="002C0ED4" w:rsidRPr="000B366C" w:rsidRDefault="002C0ED4" w:rsidP="002C0ED4">
      <w:pPr>
        <w:spacing w:line="360" w:lineRule="auto"/>
        <w:jc w:val="right"/>
        <w:rPr>
          <w:rFonts w:ascii="Book Antiqua" w:hAnsi="Book Antiqua"/>
          <w:highlight w:val="lightGray"/>
        </w:rPr>
      </w:pPr>
      <w:r w:rsidRPr="000B366C">
        <w:rPr>
          <w:rFonts w:ascii="Book Antiqua" w:hAnsi="Book Antiqua"/>
        </w:rPr>
        <w:t>Ref. SICE: 897-18</w:t>
      </w:r>
    </w:p>
    <w:p w:rsidR="002C0ED4" w:rsidRPr="000B366C" w:rsidRDefault="002C0ED4" w:rsidP="002C0ED4">
      <w:pPr>
        <w:spacing w:line="360" w:lineRule="auto"/>
        <w:jc w:val="both"/>
        <w:rPr>
          <w:rFonts w:ascii="Book Antiqua" w:hAnsi="Book Antiqua"/>
          <w:highlight w:val="lightGray"/>
        </w:rPr>
      </w:pPr>
    </w:p>
    <w:p w:rsidR="002C0ED4" w:rsidRPr="000B366C" w:rsidRDefault="002C0ED4" w:rsidP="002C0ED4">
      <w:pPr>
        <w:spacing w:line="360" w:lineRule="auto"/>
        <w:jc w:val="both"/>
        <w:rPr>
          <w:rFonts w:ascii="Book Antiqua" w:hAnsi="Book Antiqua"/>
        </w:rPr>
      </w:pPr>
      <w:bookmarkStart w:id="1" w:name="_Hlk521591781"/>
      <w:r>
        <w:rPr>
          <w:rFonts w:ascii="Book Antiqua" w:hAnsi="Book Antiqua"/>
        </w:rPr>
        <w:t>21</w:t>
      </w:r>
      <w:r w:rsidRPr="000B366C">
        <w:rPr>
          <w:rFonts w:ascii="Book Antiqua" w:hAnsi="Book Antiqua"/>
        </w:rPr>
        <w:t xml:space="preserve"> de agosto del 2018</w:t>
      </w:r>
    </w:p>
    <w:bookmarkEnd w:id="1"/>
    <w:p w:rsidR="002C0ED4" w:rsidRDefault="002C0ED4" w:rsidP="002C0ED4">
      <w:pPr>
        <w:spacing w:line="360" w:lineRule="auto"/>
        <w:jc w:val="both"/>
        <w:rPr>
          <w:rFonts w:ascii="Book Antiqua" w:hAnsi="Book Antiqua"/>
        </w:rPr>
      </w:pPr>
    </w:p>
    <w:p w:rsidR="002C0ED4"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rPr>
          <w:rFonts w:ascii="Book Antiqua" w:hAnsi="Book Antiqua"/>
          <w:snapToGrid w:val="0"/>
        </w:rPr>
      </w:pPr>
      <w:bookmarkStart w:id="2" w:name="_Hlk521591681"/>
      <w:r w:rsidRPr="000B366C">
        <w:rPr>
          <w:rFonts w:ascii="Book Antiqua" w:hAnsi="Book Antiqua"/>
          <w:snapToGrid w:val="0"/>
        </w:rPr>
        <w:t>Máster</w:t>
      </w:r>
    </w:p>
    <w:p w:rsidR="002C0ED4" w:rsidRPr="000B366C" w:rsidRDefault="002C0ED4" w:rsidP="002C0ED4">
      <w:pPr>
        <w:spacing w:line="360" w:lineRule="auto"/>
        <w:rPr>
          <w:rFonts w:ascii="Book Antiqua" w:hAnsi="Book Antiqua"/>
          <w:snapToGrid w:val="0"/>
        </w:rPr>
      </w:pPr>
      <w:r w:rsidRPr="000B366C">
        <w:rPr>
          <w:rFonts w:ascii="Book Antiqua" w:hAnsi="Book Antiqua"/>
          <w:snapToGrid w:val="0"/>
        </w:rPr>
        <w:t>Erick Antonio Mora Leiva, Jefe</w:t>
      </w:r>
    </w:p>
    <w:p w:rsidR="002C0ED4" w:rsidRPr="000B366C" w:rsidRDefault="002C0ED4" w:rsidP="002C0ED4">
      <w:pPr>
        <w:spacing w:line="360" w:lineRule="auto"/>
        <w:rPr>
          <w:rFonts w:ascii="Book Antiqua" w:hAnsi="Book Antiqua"/>
          <w:snapToGrid w:val="0"/>
        </w:rPr>
      </w:pPr>
      <w:r w:rsidRPr="000B366C">
        <w:rPr>
          <w:rFonts w:ascii="Book Antiqua" w:hAnsi="Book Antiqua"/>
          <w:snapToGrid w:val="0"/>
        </w:rPr>
        <w:t>Proceso Planeación y Evaluación</w:t>
      </w:r>
    </w:p>
    <w:p w:rsidR="002C0ED4" w:rsidRPr="000B366C" w:rsidRDefault="002C0ED4" w:rsidP="002C0ED4">
      <w:pPr>
        <w:jc w:val="both"/>
        <w:rPr>
          <w:rFonts w:ascii="Book Antiqua" w:hAnsi="Book Antiqua"/>
        </w:rPr>
      </w:pPr>
    </w:p>
    <w:p w:rsidR="002C0ED4" w:rsidRPr="000B366C" w:rsidRDefault="002C0ED4" w:rsidP="002C0ED4">
      <w:pPr>
        <w:jc w:val="both"/>
        <w:rPr>
          <w:rFonts w:ascii="Book Antiqua" w:hAnsi="Book Antiqua"/>
        </w:rPr>
      </w:pPr>
    </w:p>
    <w:p w:rsidR="002C0ED4" w:rsidRPr="000B366C" w:rsidRDefault="002C0ED4" w:rsidP="002C0ED4">
      <w:pPr>
        <w:jc w:val="both"/>
        <w:rPr>
          <w:rFonts w:ascii="Book Antiqua" w:hAnsi="Book Antiqua"/>
        </w:rPr>
      </w:pPr>
      <w:r w:rsidRPr="000B366C">
        <w:rPr>
          <w:rFonts w:ascii="Book Antiqua" w:hAnsi="Book Antiqua"/>
        </w:rPr>
        <w:t>Estimado señor:</w:t>
      </w:r>
    </w:p>
    <w:bookmarkEnd w:id="2"/>
    <w:p w:rsidR="002C0ED4" w:rsidRDefault="002C0ED4" w:rsidP="002C0ED4">
      <w:pPr>
        <w:outlineLvl w:val="0"/>
        <w:rPr>
          <w:rFonts w:ascii="Book Antiqua" w:hAnsi="Book Antiqua"/>
          <w:b/>
        </w:rPr>
      </w:pPr>
    </w:p>
    <w:p w:rsidR="00B33B51" w:rsidRPr="000B366C" w:rsidRDefault="00B33B51" w:rsidP="002C0ED4">
      <w:pPr>
        <w:outlineLvl w:val="0"/>
        <w:rPr>
          <w:rFonts w:ascii="Book Antiqua" w:hAnsi="Book Antiqua"/>
          <w:b/>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Por este medio remito cuatro cuadros estadísticos y análisis, relacionados con los movimientos de trabajo ocurridos en el Programa de Justicia Restaurativa del Poder Judicial durante el 2017 y el último quinquenio, para su inclusión en el Anuario Estadístico correspondiente a ese año. </w:t>
      </w:r>
    </w:p>
    <w:p w:rsidR="002C0ED4" w:rsidRPr="000B366C" w:rsidRDefault="002C0ED4" w:rsidP="002C0ED4">
      <w:pPr>
        <w:spacing w:line="360" w:lineRule="auto"/>
        <w:outlineLvl w:val="0"/>
        <w:rPr>
          <w:rFonts w:ascii="Book Antiqua" w:hAnsi="Book Antiqua"/>
          <w:b/>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Este programa inicio en el 2012, de conformidad con lo acordado por el Consejo Superior, en sesión 85-11, celebrada el 6 de octubre de 2011, artículo XXIX.  Asimismo, mediante acuerdo de Corte Plena, en sesión 38-12, realizada el 5 noviembre de 2012, artículo XV, se incluyó este seguimiento en el Plan Estratégico del Poder Judicial, correspondiente al período 2013-2017. </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El principal objetivo es convertirse en un instrumento que contribuya a la paz social, siendo  una herramienta generadora de cambios en la forma de resolver los conflictos </w:t>
      </w:r>
      <w:r w:rsidRPr="000B366C">
        <w:rPr>
          <w:rFonts w:ascii="Book Antiqua" w:hAnsi="Book Antiqua"/>
        </w:rPr>
        <w:lastRenderedPageBreak/>
        <w:t xml:space="preserve">penales, con soluciones integrales y realistas; promoviendo la armonía y la paz social, a través de la recuperación de las personas ofensoras, de las víctimas y de las comunidades, ofreciendo una segunda oportunidad a las personas que cometen un delito menor por primera vez, así como lograr la reparación de los daños causados a las víctimas. </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Los principales resultados son:</w:t>
      </w:r>
    </w:p>
    <w:p w:rsidR="002C0ED4" w:rsidRPr="000B366C" w:rsidRDefault="002C0ED4" w:rsidP="002C0ED4">
      <w:pPr>
        <w:spacing w:line="360" w:lineRule="auto"/>
        <w:rPr>
          <w:rFonts w:ascii="Book Antiqua" w:hAnsi="Book Antiqua"/>
        </w:rPr>
      </w:pPr>
    </w:p>
    <w:p w:rsidR="002C0ED4" w:rsidRPr="000B366C" w:rsidRDefault="002C0ED4" w:rsidP="002C0ED4">
      <w:pPr>
        <w:widowControl/>
        <w:numPr>
          <w:ilvl w:val="0"/>
          <w:numId w:val="34"/>
        </w:numPr>
        <w:autoSpaceDE/>
        <w:autoSpaceDN/>
        <w:adjustRightInd/>
        <w:spacing w:line="360" w:lineRule="auto"/>
        <w:jc w:val="both"/>
        <w:rPr>
          <w:rFonts w:ascii="Book Antiqua" w:hAnsi="Book Antiqua"/>
        </w:rPr>
      </w:pPr>
      <w:r w:rsidRPr="000B366C">
        <w:rPr>
          <w:rFonts w:ascii="Book Antiqua" w:hAnsi="Book Antiqua"/>
        </w:rPr>
        <w:t>La carga de trabajo aumento en 224 asuntos respecto al año 2016, lo que se puede ver afectado porque a partir del 2017 se ingresaron al programa dos nuevas oficinas: II Circuito Judicial de San José y II Circuito Judicial de San José (Flagrancia).</w:t>
      </w:r>
    </w:p>
    <w:p w:rsidR="002C0ED4" w:rsidRPr="000B366C" w:rsidRDefault="002C0ED4" w:rsidP="002C0ED4">
      <w:pPr>
        <w:widowControl/>
        <w:numPr>
          <w:ilvl w:val="0"/>
          <w:numId w:val="34"/>
        </w:numPr>
        <w:autoSpaceDE/>
        <w:autoSpaceDN/>
        <w:adjustRightInd/>
        <w:spacing w:line="360" w:lineRule="auto"/>
        <w:jc w:val="both"/>
        <w:rPr>
          <w:rFonts w:ascii="Book Antiqua" w:hAnsi="Book Antiqua"/>
        </w:rPr>
      </w:pPr>
      <w:r w:rsidRPr="000B366C">
        <w:rPr>
          <w:rFonts w:ascii="Book Antiqua" w:hAnsi="Book Antiqua"/>
        </w:rPr>
        <w:t>El Programa registró un ingreso de 2148 casos para el 2017, presentando un incremento de casos con respecto al 2016 es del 11%, lo que equivale a 211 nuevos casos en el programa y conservando su tendencia al alza, desde el 2013.</w:t>
      </w:r>
    </w:p>
    <w:p w:rsidR="002C0ED4" w:rsidRPr="000B366C" w:rsidRDefault="002C0ED4" w:rsidP="002C0ED4">
      <w:pPr>
        <w:widowControl/>
        <w:numPr>
          <w:ilvl w:val="0"/>
          <w:numId w:val="34"/>
        </w:numPr>
        <w:autoSpaceDE/>
        <w:autoSpaceDN/>
        <w:adjustRightInd/>
        <w:spacing w:line="360" w:lineRule="auto"/>
        <w:jc w:val="both"/>
        <w:rPr>
          <w:rFonts w:ascii="Book Antiqua" w:hAnsi="Book Antiqua"/>
        </w:rPr>
      </w:pPr>
      <w:r w:rsidRPr="000B366C">
        <w:rPr>
          <w:rFonts w:ascii="Book Antiqua" w:hAnsi="Book Antiqua"/>
        </w:rPr>
        <w:t>Este año se terminaron 2066 asuntos, un 4% más que en el 2016, esto implica en términos absolutos 88 asuntos más, manteniendo su tendencia al alza, en el último quinquenio.</w:t>
      </w:r>
    </w:p>
    <w:p w:rsidR="002C0ED4" w:rsidRPr="000B366C" w:rsidRDefault="002C0ED4" w:rsidP="002C0ED4">
      <w:pPr>
        <w:widowControl/>
        <w:numPr>
          <w:ilvl w:val="0"/>
          <w:numId w:val="34"/>
        </w:numPr>
        <w:autoSpaceDE/>
        <w:autoSpaceDN/>
        <w:adjustRightInd/>
        <w:spacing w:line="360" w:lineRule="auto"/>
        <w:jc w:val="both"/>
        <w:rPr>
          <w:rFonts w:ascii="Book Antiqua" w:hAnsi="Book Antiqua"/>
        </w:rPr>
      </w:pPr>
      <w:r w:rsidRPr="000B366C">
        <w:rPr>
          <w:rFonts w:ascii="Book Antiqua" w:hAnsi="Book Antiqua"/>
        </w:rPr>
        <w:t>Acumuló un circulante de 357 expedientes al finalizar el 2017 se produce un aumento de 136 asuntos, es decir, aumentó un 62% respecto al año anterior y a partir del 2014 se presenta una tendencia al alza.</w:t>
      </w:r>
    </w:p>
    <w:p w:rsidR="002C0ED4" w:rsidRPr="000B366C" w:rsidRDefault="002C0ED4" w:rsidP="002C0ED4">
      <w:pPr>
        <w:widowControl/>
        <w:numPr>
          <w:ilvl w:val="0"/>
          <w:numId w:val="34"/>
        </w:numPr>
        <w:autoSpaceDE/>
        <w:autoSpaceDN/>
        <w:adjustRightInd/>
        <w:spacing w:line="360" w:lineRule="auto"/>
        <w:jc w:val="both"/>
        <w:rPr>
          <w:rFonts w:ascii="Book Antiqua" w:hAnsi="Book Antiqua"/>
        </w:rPr>
      </w:pPr>
      <w:r w:rsidRPr="000B366C">
        <w:rPr>
          <w:rFonts w:ascii="Book Antiqua" w:hAnsi="Book Antiqua"/>
        </w:rPr>
        <w:t>El Programa de Justicia Restaurativa atendió un total de 4854 personas, 351 más que en el 2017.</w:t>
      </w:r>
    </w:p>
    <w:p w:rsidR="002C0ED4" w:rsidRPr="000B366C" w:rsidRDefault="002C0ED4" w:rsidP="002C0ED4">
      <w:pPr>
        <w:widowControl/>
        <w:numPr>
          <w:ilvl w:val="0"/>
          <w:numId w:val="34"/>
        </w:numPr>
        <w:autoSpaceDE/>
        <w:autoSpaceDN/>
        <w:adjustRightInd/>
        <w:spacing w:line="360" w:lineRule="auto"/>
        <w:jc w:val="both"/>
        <w:rPr>
          <w:rFonts w:ascii="Book Antiqua" w:hAnsi="Book Antiqua"/>
        </w:rPr>
      </w:pPr>
      <w:r w:rsidRPr="000B366C">
        <w:rPr>
          <w:rFonts w:ascii="Book Antiqua" w:hAnsi="Book Antiqua"/>
        </w:rPr>
        <w:t>Para el 2017, se programaron un total de 1203 reuniones, de las cuales 1050 se realizaron y las restantes 153 no se realizaron. Adicionalmente se realizaron un total de 363 audiencias.</w:t>
      </w:r>
    </w:p>
    <w:p w:rsidR="002C0ED4" w:rsidRPr="000B366C" w:rsidRDefault="002C0ED4" w:rsidP="002C0ED4">
      <w:pPr>
        <w:widowControl/>
        <w:numPr>
          <w:ilvl w:val="0"/>
          <w:numId w:val="34"/>
        </w:numPr>
        <w:autoSpaceDE/>
        <w:autoSpaceDN/>
        <w:adjustRightInd/>
        <w:spacing w:line="360" w:lineRule="auto"/>
        <w:jc w:val="both"/>
        <w:rPr>
          <w:rFonts w:ascii="Book Antiqua" w:hAnsi="Book Antiqua"/>
        </w:rPr>
      </w:pPr>
      <w:r w:rsidRPr="000B366C">
        <w:rPr>
          <w:rFonts w:ascii="Book Antiqua" w:hAnsi="Book Antiqua"/>
        </w:rPr>
        <w:lastRenderedPageBreak/>
        <w:t>El seguimiento de medidas alternas cerró con 862 para el 2017, de las cuales en 590 casos se dio cumplimiento, mientras que en 272 se dio un incumpliendo.</w:t>
      </w:r>
    </w:p>
    <w:p w:rsidR="002C0ED4" w:rsidRPr="000B366C" w:rsidRDefault="002C0ED4" w:rsidP="002C0ED4">
      <w:pPr>
        <w:pStyle w:val="Prrafodelista"/>
        <w:rPr>
          <w:rFonts w:ascii="Book Antiqua" w:hAnsi="Book Antiqua"/>
        </w:rPr>
      </w:pPr>
    </w:p>
    <w:p w:rsidR="002C0ED4" w:rsidRPr="000B366C" w:rsidRDefault="002C0ED4" w:rsidP="002C0ED4">
      <w:pPr>
        <w:pStyle w:val="Prrafodelista"/>
        <w:shd w:val="clear" w:color="auto" w:fill="FFFFFF"/>
        <w:ind w:left="0"/>
        <w:contextualSpacing/>
        <w:jc w:val="both"/>
        <w:rPr>
          <w:rFonts w:ascii="Book Antiqua" w:hAnsi="Book Antiqua" w:cs="Times New Roman"/>
          <w:lang w:val="es-CR"/>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Por otro lado, se debe destacar mediante </w:t>
      </w:r>
      <w:r>
        <w:rPr>
          <w:rFonts w:ascii="Book Antiqua" w:hAnsi="Book Antiqua"/>
        </w:rPr>
        <w:t xml:space="preserve">oficios  665-PLA-2018 y </w:t>
      </w:r>
      <w:r w:rsidRPr="000B366C">
        <w:rPr>
          <w:rFonts w:ascii="Book Antiqua" w:hAnsi="Book Antiqua"/>
        </w:rPr>
        <w:t>104-ES-2018, la versión preliminar del presente informe se sometió a conocimiento del Magistrada Doris Arias Madrigal, directora del Programa Justicia Restaurativa, con el fin de que se externan las observaciones pertinentes, las cuales se incluyen en esta versión definitiva.</w:t>
      </w:r>
    </w:p>
    <w:p w:rsidR="002C0ED4" w:rsidRPr="000B366C" w:rsidRDefault="002C0ED4" w:rsidP="002C0ED4">
      <w:pPr>
        <w:pStyle w:val="Prrafodelista"/>
        <w:shd w:val="clear" w:color="auto" w:fill="FFFFFF"/>
        <w:ind w:left="0"/>
        <w:contextualSpacing/>
        <w:jc w:val="both"/>
        <w:rPr>
          <w:rFonts w:ascii="Book Antiqua" w:hAnsi="Book Antiqua" w:cs="Times New Roman"/>
          <w:lang w:val="es-CR"/>
        </w:rPr>
      </w:pPr>
    </w:p>
    <w:p w:rsidR="002C0ED4" w:rsidRPr="000B366C" w:rsidRDefault="002C0ED4" w:rsidP="002C0ED4">
      <w:pPr>
        <w:spacing w:line="360" w:lineRule="auto"/>
        <w:jc w:val="both"/>
        <w:rPr>
          <w:rFonts w:ascii="Book Antiqua" w:hAnsi="Book Antiqua"/>
          <w:bCs/>
        </w:rPr>
      </w:pPr>
      <w:bookmarkStart w:id="3" w:name="_Hlk521591833"/>
      <w:r w:rsidRPr="000B366C">
        <w:rPr>
          <w:rFonts w:ascii="Book Antiqua" w:hAnsi="Book Antiqua"/>
          <w:bCs/>
        </w:rPr>
        <w:t xml:space="preserve">Este análisis estadístico fue desarrollado por el licenciado Esteban Paniagua Murillo, Profesional 2 a.i. del Subproceso de Estadística. </w:t>
      </w:r>
    </w:p>
    <w:p w:rsidR="002C0ED4" w:rsidRPr="000B366C" w:rsidRDefault="002C0ED4" w:rsidP="002C0ED4">
      <w:pPr>
        <w:spacing w:line="360" w:lineRule="auto"/>
        <w:outlineLvl w:val="0"/>
        <w:rPr>
          <w:rFonts w:ascii="Book Antiqua" w:hAnsi="Book Antiqua"/>
          <w:b/>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Atentamente, </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outlineLvl w:val="0"/>
        <w:rPr>
          <w:rFonts w:ascii="Book Antiqua" w:hAnsi="Book Antiqua"/>
          <w:bCs/>
        </w:rPr>
      </w:pPr>
      <w:r w:rsidRPr="000B366C">
        <w:rPr>
          <w:rFonts w:ascii="Book Antiqua" w:hAnsi="Book Antiqua"/>
          <w:bCs/>
        </w:rPr>
        <w:t>Licda. Ana Ericka Rodríguez Araya, Jefa</w:t>
      </w:r>
    </w:p>
    <w:p w:rsidR="002C0ED4" w:rsidRPr="000B366C" w:rsidRDefault="002C0ED4" w:rsidP="002C0ED4">
      <w:pPr>
        <w:spacing w:line="360" w:lineRule="auto"/>
        <w:jc w:val="both"/>
        <w:outlineLvl w:val="0"/>
        <w:rPr>
          <w:rFonts w:ascii="Book Antiqua" w:hAnsi="Book Antiqua"/>
          <w:bCs/>
        </w:rPr>
      </w:pPr>
      <w:r w:rsidRPr="000B366C">
        <w:rPr>
          <w:rFonts w:ascii="Book Antiqua" w:hAnsi="Book Antiqua"/>
          <w:bCs/>
        </w:rPr>
        <w:t>Subproceso de Estadística</w:t>
      </w:r>
      <w:bookmarkEnd w:id="3"/>
      <w:r w:rsidRPr="000B366C">
        <w:rPr>
          <w:rFonts w:ascii="Book Antiqua" w:hAnsi="Book Antiqua"/>
        </w:rPr>
        <w:tab/>
      </w:r>
    </w:p>
    <w:p w:rsidR="002C0ED4" w:rsidRPr="000B366C" w:rsidRDefault="002C0ED4" w:rsidP="002C0ED4">
      <w:pPr>
        <w:spacing w:line="360" w:lineRule="auto"/>
        <w:jc w:val="both"/>
        <w:outlineLvl w:val="0"/>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c. Archivo</w:t>
      </w:r>
    </w:p>
    <w:p w:rsidR="002C0ED4" w:rsidRPr="000B366C" w:rsidRDefault="002C0ED4" w:rsidP="002C0ED4">
      <w:pPr>
        <w:spacing w:line="360" w:lineRule="auto"/>
        <w:outlineLvl w:val="0"/>
        <w:rPr>
          <w:rFonts w:ascii="Book Antiqua" w:hAnsi="Book Antiqua"/>
        </w:rPr>
      </w:pPr>
    </w:p>
    <w:p w:rsidR="002C0ED4" w:rsidRPr="000B366C" w:rsidRDefault="005D304D" w:rsidP="002C0ED4">
      <w:pPr>
        <w:tabs>
          <w:tab w:val="left" w:pos="5268"/>
        </w:tabs>
        <w:spacing w:line="360" w:lineRule="auto"/>
        <w:outlineLvl w:val="0"/>
        <w:rPr>
          <w:rFonts w:ascii="Book Antiqua" w:hAnsi="Book Antiqua"/>
        </w:rPr>
      </w:pPr>
      <w:proofErr w:type="spellStart"/>
      <w:r>
        <w:rPr>
          <w:rFonts w:ascii="Book Antiqua" w:hAnsi="Book Antiqua"/>
        </w:rPr>
        <w:t>pjr</w:t>
      </w:r>
      <w:proofErr w:type="spellEnd"/>
      <w:r w:rsidR="002C0ED4" w:rsidRPr="000B366C">
        <w:rPr>
          <w:rFonts w:ascii="Book Antiqua" w:hAnsi="Book Antiqua"/>
        </w:rPr>
        <w:tab/>
      </w:r>
    </w:p>
    <w:p w:rsidR="002C0ED4" w:rsidRPr="000B366C" w:rsidRDefault="002C0ED4" w:rsidP="002C0ED4">
      <w:pPr>
        <w:spacing w:line="360" w:lineRule="auto"/>
        <w:outlineLvl w:val="0"/>
        <w:rPr>
          <w:rFonts w:ascii="Book Antiqua" w:hAnsi="Book Antiqua"/>
        </w:rPr>
      </w:pPr>
      <w:r w:rsidRPr="000B366C">
        <w:rPr>
          <w:rFonts w:ascii="Book Antiqua" w:hAnsi="Book Antiqua"/>
        </w:rPr>
        <w:t xml:space="preserve">Ref. </w:t>
      </w:r>
      <w:bookmarkStart w:id="4" w:name="_Hlk521592184"/>
      <w:r w:rsidRPr="000B366C">
        <w:rPr>
          <w:rFonts w:ascii="Book Antiqua" w:hAnsi="Book Antiqua"/>
        </w:rPr>
        <w:t>897-18</w:t>
      </w:r>
      <w:bookmarkEnd w:id="4"/>
    </w:p>
    <w:p w:rsidR="002C0ED4" w:rsidRPr="000B366C" w:rsidRDefault="002C0ED4" w:rsidP="002C0ED4">
      <w:pPr>
        <w:spacing w:line="360" w:lineRule="auto"/>
        <w:outlineLvl w:val="0"/>
        <w:rPr>
          <w:rFonts w:ascii="Book Antiqua" w:hAnsi="Book Antiqua"/>
          <w:b/>
        </w:rPr>
      </w:pPr>
    </w:p>
    <w:p w:rsidR="002C0ED4" w:rsidRDefault="002C0ED4" w:rsidP="002C0ED4">
      <w:pPr>
        <w:spacing w:line="360" w:lineRule="auto"/>
        <w:jc w:val="center"/>
        <w:outlineLvl w:val="0"/>
        <w:rPr>
          <w:rFonts w:ascii="Book Antiqua" w:hAnsi="Book Antiqua"/>
          <w:b/>
        </w:rPr>
      </w:pPr>
    </w:p>
    <w:p w:rsidR="002C0ED4" w:rsidRDefault="002C0ED4" w:rsidP="002C0ED4">
      <w:pPr>
        <w:spacing w:line="360" w:lineRule="auto"/>
        <w:jc w:val="center"/>
        <w:outlineLvl w:val="0"/>
        <w:rPr>
          <w:rFonts w:ascii="Book Antiqua" w:hAnsi="Book Antiqua"/>
          <w:b/>
        </w:rPr>
      </w:pPr>
    </w:p>
    <w:p w:rsidR="002C0ED4" w:rsidRDefault="002C0ED4" w:rsidP="002C0ED4">
      <w:pPr>
        <w:spacing w:line="360" w:lineRule="auto"/>
        <w:jc w:val="center"/>
        <w:outlineLvl w:val="0"/>
        <w:rPr>
          <w:rFonts w:ascii="Book Antiqua" w:hAnsi="Book Antiqua"/>
          <w:b/>
        </w:rPr>
      </w:pPr>
    </w:p>
    <w:p w:rsidR="002C0ED4" w:rsidRDefault="002C0ED4" w:rsidP="002C0ED4">
      <w:pPr>
        <w:spacing w:line="360" w:lineRule="auto"/>
        <w:jc w:val="center"/>
        <w:outlineLvl w:val="0"/>
        <w:rPr>
          <w:rFonts w:ascii="Book Antiqua" w:hAnsi="Book Antiqua"/>
          <w:b/>
        </w:rPr>
      </w:pPr>
    </w:p>
    <w:p w:rsidR="002C0ED4" w:rsidRDefault="002C0ED4" w:rsidP="002C0ED4">
      <w:pPr>
        <w:spacing w:line="360" w:lineRule="auto"/>
        <w:jc w:val="center"/>
        <w:outlineLvl w:val="0"/>
        <w:rPr>
          <w:rFonts w:ascii="Book Antiqua" w:hAnsi="Book Antiqua"/>
          <w:b/>
        </w:rPr>
      </w:pPr>
    </w:p>
    <w:p w:rsidR="002C0ED4" w:rsidRDefault="002C0ED4" w:rsidP="002C0ED4">
      <w:pPr>
        <w:spacing w:line="360" w:lineRule="auto"/>
        <w:jc w:val="center"/>
        <w:outlineLvl w:val="0"/>
        <w:rPr>
          <w:rFonts w:ascii="Book Antiqua" w:hAnsi="Book Antiqua"/>
          <w:b/>
        </w:rPr>
      </w:pPr>
    </w:p>
    <w:p w:rsidR="00E15E85" w:rsidRDefault="00E15E85" w:rsidP="002C0ED4">
      <w:pPr>
        <w:spacing w:line="360" w:lineRule="auto"/>
        <w:jc w:val="center"/>
        <w:outlineLvl w:val="0"/>
        <w:rPr>
          <w:rFonts w:ascii="Book Antiqua" w:hAnsi="Book Antiqua"/>
          <w:b/>
        </w:rPr>
      </w:pPr>
    </w:p>
    <w:p w:rsidR="00E15E85" w:rsidRDefault="00E15E85" w:rsidP="002C0ED4">
      <w:pPr>
        <w:spacing w:line="360" w:lineRule="auto"/>
        <w:jc w:val="center"/>
        <w:outlineLvl w:val="0"/>
        <w:rPr>
          <w:rFonts w:ascii="Book Antiqua" w:hAnsi="Book Antiqua"/>
          <w:b/>
        </w:rPr>
      </w:pPr>
    </w:p>
    <w:p w:rsidR="00E15E85" w:rsidRDefault="00E15E85" w:rsidP="002C0ED4">
      <w:pPr>
        <w:spacing w:line="360" w:lineRule="auto"/>
        <w:jc w:val="center"/>
        <w:outlineLvl w:val="0"/>
        <w:rPr>
          <w:rFonts w:ascii="Book Antiqua" w:hAnsi="Book Antiqua"/>
          <w:b/>
        </w:rPr>
      </w:pPr>
    </w:p>
    <w:p w:rsidR="002C0ED4" w:rsidRPr="000B366C" w:rsidRDefault="002C0ED4" w:rsidP="002C0ED4">
      <w:pPr>
        <w:spacing w:line="360" w:lineRule="auto"/>
        <w:jc w:val="center"/>
        <w:outlineLvl w:val="0"/>
        <w:rPr>
          <w:rFonts w:ascii="Book Antiqua" w:hAnsi="Book Antiqua"/>
          <w:b/>
        </w:rPr>
      </w:pPr>
      <w:r w:rsidRPr="000B366C">
        <w:rPr>
          <w:rFonts w:ascii="Book Antiqua" w:hAnsi="Book Antiqua"/>
          <w:b/>
        </w:rPr>
        <w:t>PROGRAMA DE JUSTICIA RESTAURATIVA</w:t>
      </w:r>
    </w:p>
    <w:p w:rsidR="002C0ED4" w:rsidRPr="000B366C" w:rsidRDefault="002C0ED4" w:rsidP="002C0ED4">
      <w:pPr>
        <w:tabs>
          <w:tab w:val="left" w:pos="2796"/>
        </w:tabs>
        <w:spacing w:line="360" w:lineRule="auto"/>
        <w:jc w:val="both"/>
        <w:rPr>
          <w:rFonts w:ascii="Book Antiqua" w:hAnsi="Book Antiqua"/>
        </w:rPr>
      </w:pPr>
      <w:r w:rsidRPr="000B366C">
        <w:rPr>
          <w:rFonts w:ascii="Book Antiqua" w:hAnsi="Book Antiqua"/>
        </w:rPr>
        <w:tab/>
      </w:r>
    </w:p>
    <w:p w:rsidR="002C0ED4" w:rsidRPr="000B366C" w:rsidRDefault="002C0ED4" w:rsidP="002C0ED4">
      <w:pPr>
        <w:pStyle w:val="Prrafodelista"/>
        <w:numPr>
          <w:ilvl w:val="0"/>
          <w:numId w:val="33"/>
        </w:numPr>
        <w:spacing w:line="360" w:lineRule="auto"/>
        <w:ind w:left="426" w:hanging="426"/>
        <w:contextualSpacing/>
        <w:jc w:val="both"/>
        <w:rPr>
          <w:rFonts w:ascii="Book Antiqua" w:hAnsi="Book Antiqua" w:cs="Times New Roman"/>
          <w:b/>
          <w:lang w:val="es-CR"/>
        </w:rPr>
      </w:pPr>
      <w:r w:rsidRPr="000B366C">
        <w:rPr>
          <w:rFonts w:ascii="Book Antiqua" w:hAnsi="Book Antiqua" w:cs="Times New Roman"/>
          <w:b/>
          <w:lang w:val="es-CR"/>
        </w:rPr>
        <w:t xml:space="preserve">INDICADORES DE LA GESTIÓN </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La siguiente tabla contiene la tendencia histórica del último quinquenio sobre el movimiento general de trabajo del programa de Justicia Restaurativa. </w:t>
      </w:r>
    </w:p>
    <w:p w:rsidR="002C0ED4" w:rsidRPr="000B366C" w:rsidRDefault="002C0ED4" w:rsidP="002C0ED4">
      <w:pPr>
        <w:spacing w:line="360" w:lineRule="auto"/>
        <w:jc w:val="both"/>
        <w:rPr>
          <w:rFonts w:ascii="Book Antiqua" w:hAnsi="Book Antiqua"/>
        </w:rPr>
      </w:pPr>
    </w:p>
    <w:tbl>
      <w:tblPr>
        <w:tblW w:w="6287" w:type="dxa"/>
        <w:jc w:val="center"/>
        <w:tblLook w:val="04A0" w:firstRow="1" w:lastRow="0" w:firstColumn="1" w:lastColumn="0" w:noHBand="0" w:noVBand="1"/>
      </w:tblPr>
      <w:tblGrid>
        <w:gridCol w:w="1990"/>
        <w:gridCol w:w="816"/>
        <w:gridCol w:w="789"/>
        <w:gridCol w:w="803"/>
        <w:gridCol w:w="719"/>
        <w:gridCol w:w="1170"/>
      </w:tblGrid>
      <w:tr w:rsidR="002C0ED4" w:rsidRPr="000B366C" w:rsidTr="002C0ED4">
        <w:trPr>
          <w:trHeight w:val="233"/>
          <w:jc w:val="center"/>
        </w:trPr>
        <w:tc>
          <w:tcPr>
            <w:tcW w:w="6287" w:type="dxa"/>
            <w:gridSpan w:val="6"/>
            <w:tcBorders>
              <w:top w:val="nil"/>
              <w:left w:val="nil"/>
              <w:bottom w:val="single" w:sz="4" w:space="0" w:color="auto"/>
              <w:right w:val="nil"/>
            </w:tcBorders>
            <w:shd w:val="clear" w:color="auto" w:fill="auto"/>
            <w:noWrap/>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1</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Balance General, Programa de Justicia Restaurativa, desde el 2013.</w:t>
            </w:r>
          </w:p>
        </w:tc>
      </w:tr>
      <w:tr w:rsidR="002C0ED4" w:rsidRPr="000B366C" w:rsidTr="002C0ED4">
        <w:trPr>
          <w:trHeight w:val="233"/>
          <w:jc w:val="center"/>
        </w:trPr>
        <w:tc>
          <w:tcPr>
            <w:tcW w:w="1990" w:type="dxa"/>
            <w:vMerge w:val="restart"/>
            <w:tcBorders>
              <w:top w:val="nil"/>
              <w:left w:val="nil"/>
              <w:bottom w:val="single" w:sz="4" w:space="0" w:color="000000"/>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Variable</w:t>
            </w:r>
          </w:p>
        </w:tc>
        <w:tc>
          <w:tcPr>
            <w:tcW w:w="4297" w:type="dxa"/>
            <w:gridSpan w:val="5"/>
            <w:tcBorders>
              <w:top w:val="single" w:sz="4" w:space="0" w:color="auto"/>
              <w:left w:val="nil"/>
              <w:bottom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Año</w:t>
            </w:r>
          </w:p>
        </w:tc>
      </w:tr>
      <w:tr w:rsidR="002C0ED4" w:rsidRPr="000B366C" w:rsidTr="002C0ED4">
        <w:trPr>
          <w:trHeight w:val="233"/>
          <w:jc w:val="center"/>
        </w:trPr>
        <w:tc>
          <w:tcPr>
            <w:tcW w:w="1990" w:type="dxa"/>
            <w:vMerge/>
            <w:tcBorders>
              <w:top w:val="nil"/>
              <w:left w:val="nil"/>
              <w:bottom w:val="single" w:sz="4" w:space="0" w:color="000000"/>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816" w:type="dxa"/>
            <w:tcBorders>
              <w:top w:val="nil"/>
              <w:left w:val="nil"/>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2013</w:t>
            </w:r>
          </w:p>
        </w:tc>
        <w:tc>
          <w:tcPr>
            <w:tcW w:w="789" w:type="dxa"/>
            <w:tcBorders>
              <w:top w:val="nil"/>
              <w:left w:val="nil"/>
              <w:bottom w:val="single" w:sz="4" w:space="0" w:color="auto"/>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2014</w:t>
            </w:r>
          </w:p>
        </w:tc>
        <w:tc>
          <w:tcPr>
            <w:tcW w:w="766" w:type="dxa"/>
            <w:tcBorders>
              <w:top w:val="nil"/>
              <w:left w:val="nil"/>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2015*</w:t>
            </w:r>
          </w:p>
        </w:tc>
        <w:tc>
          <w:tcPr>
            <w:tcW w:w="719" w:type="dxa"/>
            <w:tcBorders>
              <w:top w:val="nil"/>
              <w:left w:val="nil"/>
              <w:bottom w:val="single" w:sz="4" w:space="0" w:color="auto"/>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2016</w:t>
            </w:r>
          </w:p>
        </w:tc>
        <w:tc>
          <w:tcPr>
            <w:tcW w:w="1207" w:type="dxa"/>
            <w:tcBorders>
              <w:top w:val="nil"/>
              <w:left w:val="nil"/>
              <w:bottom w:val="single" w:sz="4" w:space="0" w:color="auto"/>
              <w:right w:val="nil"/>
            </w:tcBorders>
            <w:shd w:val="clear" w:color="000000" w:fill="DDEBF7"/>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2017</w:t>
            </w:r>
          </w:p>
        </w:tc>
      </w:tr>
      <w:tr w:rsidR="002C0ED4" w:rsidRPr="000B366C" w:rsidTr="002C0ED4">
        <w:trPr>
          <w:trHeight w:val="233"/>
          <w:jc w:val="center"/>
        </w:trPr>
        <w:tc>
          <w:tcPr>
            <w:tcW w:w="199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81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789" w:type="dxa"/>
            <w:tcBorders>
              <w:top w:val="nil"/>
              <w:left w:val="nil"/>
              <w:bottom w:val="nil"/>
              <w:right w:val="single" w:sz="4" w:space="0" w:color="auto"/>
            </w:tcBorders>
            <w:shd w:val="clear" w:color="000000" w:fill="FFF2CC"/>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766" w:type="dxa"/>
            <w:tcBorders>
              <w:top w:val="nil"/>
              <w:left w:val="nil"/>
              <w:bottom w:val="nil"/>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719" w:type="dxa"/>
            <w:tcBorders>
              <w:top w:val="nil"/>
              <w:left w:val="nil"/>
              <w:bottom w:val="nil"/>
              <w:right w:val="single" w:sz="4" w:space="0" w:color="auto"/>
            </w:tcBorders>
            <w:shd w:val="clear" w:color="000000" w:fill="FFF2CC"/>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1207" w:type="dxa"/>
            <w:tcBorders>
              <w:top w:val="nil"/>
              <w:left w:val="nil"/>
              <w:bottom w:val="nil"/>
              <w:right w:val="nil"/>
            </w:tcBorders>
            <w:shd w:val="clear" w:color="000000" w:fill="DDEBF7"/>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r>
      <w:tr w:rsidR="002C0ED4" w:rsidRPr="000B366C" w:rsidTr="002C0ED4">
        <w:trPr>
          <w:trHeight w:val="233"/>
          <w:jc w:val="center"/>
        </w:trPr>
        <w:tc>
          <w:tcPr>
            <w:tcW w:w="199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Circulante Inicial</w:t>
            </w:r>
          </w:p>
        </w:tc>
        <w:tc>
          <w:tcPr>
            <w:tcW w:w="81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46</w:t>
            </w:r>
          </w:p>
        </w:tc>
        <w:tc>
          <w:tcPr>
            <w:tcW w:w="789"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70</w:t>
            </w:r>
          </w:p>
        </w:tc>
        <w:tc>
          <w:tcPr>
            <w:tcW w:w="766" w:type="dxa"/>
            <w:tcBorders>
              <w:top w:val="nil"/>
              <w:left w:val="nil"/>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82</w:t>
            </w:r>
          </w:p>
        </w:tc>
        <w:tc>
          <w:tcPr>
            <w:tcW w:w="719"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187</w:t>
            </w:r>
          </w:p>
        </w:tc>
        <w:tc>
          <w:tcPr>
            <w:tcW w:w="1207"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221</w:t>
            </w:r>
          </w:p>
        </w:tc>
      </w:tr>
      <w:tr w:rsidR="002C0ED4" w:rsidRPr="000B366C" w:rsidTr="002C0ED4">
        <w:trPr>
          <w:trHeight w:val="245"/>
          <w:jc w:val="center"/>
        </w:trPr>
        <w:tc>
          <w:tcPr>
            <w:tcW w:w="199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Casos Entrados</w:t>
            </w:r>
          </w:p>
        </w:tc>
        <w:tc>
          <w:tcPr>
            <w:tcW w:w="81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341</w:t>
            </w:r>
          </w:p>
        </w:tc>
        <w:tc>
          <w:tcPr>
            <w:tcW w:w="789"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490</w:t>
            </w:r>
          </w:p>
        </w:tc>
        <w:tc>
          <w:tcPr>
            <w:tcW w:w="766" w:type="dxa"/>
            <w:tcBorders>
              <w:top w:val="nil"/>
              <w:left w:val="nil"/>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1.491</w:t>
            </w:r>
          </w:p>
        </w:tc>
        <w:tc>
          <w:tcPr>
            <w:tcW w:w="719"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1937</w:t>
            </w:r>
          </w:p>
        </w:tc>
        <w:tc>
          <w:tcPr>
            <w:tcW w:w="1207"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2148</w:t>
            </w:r>
          </w:p>
        </w:tc>
      </w:tr>
      <w:tr w:rsidR="002C0ED4" w:rsidRPr="000B366C" w:rsidTr="002C0ED4">
        <w:trPr>
          <w:trHeight w:val="233"/>
          <w:jc w:val="center"/>
        </w:trPr>
        <w:tc>
          <w:tcPr>
            <w:tcW w:w="199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Casos Reentrados</w:t>
            </w:r>
          </w:p>
        </w:tc>
        <w:tc>
          <w:tcPr>
            <w:tcW w:w="81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4</w:t>
            </w:r>
          </w:p>
        </w:tc>
        <w:tc>
          <w:tcPr>
            <w:tcW w:w="789"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8</w:t>
            </w:r>
          </w:p>
        </w:tc>
        <w:tc>
          <w:tcPr>
            <w:tcW w:w="766" w:type="dxa"/>
            <w:tcBorders>
              <w:top w:val="nil"/>
              <w:left w:val="nil"/>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51</w:t>
            </w:r>
          </w:p>
        </w:tc>
        <w:tc>
          <w:tcPr>
            <w:tcW w:w="719"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75</w:t>
            </w:r>
          </w:p>
        </w:tc>
        <w:tc>
          <w:tcPr>
            <w:tcW w:w="1207"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54</w:t>
            </w:r>
          </w:p>
        </w:tc>
      </w:tr>
      <w:tr w:rsidR="002C0ED4" w:rsidRPr="000B366C" w:rsidTr="002C0ED4">
        <w:trPr>
          <w:trHeight w:val="233"/>
          <w:jc w:val="center"/>
        </w:trPr>
        <w:tc>
          <w:tcPr>
            <w:tcW w:w="199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Casos Terminados</w:t>
            </w:r>
          </w:p>
        </w:tc>
        <w:tc>
          <w:tcPr>
            <w:tcW w:w="81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315</w:t>
            </w:r>
          </w:p>
        </w:tc>
        <w:tc>
          <w:tcPr>
            <w:tcW w:w="789"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526</w:t>
            </w:r>
          </w:p>
        </w:tc>
        <w:tc>
          <w:tcPr>
            <w:tcW w:w="766" w:type="dxa"/>
            <w:tcBorders>
              <w:top w:val="nil"/>
              <w:left w:val="nil"/>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1.437</w:t>
            </w:r>
          </w:p>
        </w:tc>
        <w:tc>
          <w:tcPr>
            <w:tcW w:w="719"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1978</w:t>
            </w:r>
          </w:p>
        </w:tc>
        <w:tc>
          <w:tcPr>
            <w:tcW w:w="1207"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2066</w:t>
            </w:r>
          </w:p>
        </w:tc>
      </w:tr>
      <w:tr w:rsidR="002C0ED4" w:rsidRPr="000B366C" w:rsidTr="002C0ED4">
        <w:trPr>
          <w:trHeight w:val="233"/>
          <w:jc w:val="center"/>
        </w:trPr>
        <w:tc>
          <w:tcPr>
            <w:tcW w:w="199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Circulante Final</w:t>
            </w:r>
          </w:p>
        </w:tc>
        <w:tc>
          <w:tcPr>
            <w:tcW w:w="81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72</w:t>
            </w:r>
          </w:p>
        </w:tc>
        <w:tc>
          <w:tcPr>
            <w:tcW w:w="789"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42</w:t>
            </w:r>
          </w:p>
        </w:tc>
        <w:tc>
          <w:tcPr>
            <w:tcW w:w="766" w:type="dxa"/>
            <w:tcBorders>
              <w:top w:val="nil"/>
              <w:left w:val="nil"/>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187</w:t>
            </w:r>
          </w:p>
        </w:tc>
        <w:tc>
          <w:tcPr>
            <w:tcW w:w="719"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221</w:t>
            </w:r>
          </w:p>
        </w:tc>
        <w:tc>
          <w:tcPr>
            <w:tcW w:w="1207"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357</w:t>
            </w:r>
          </w:p>
        </w:tc>
      </w:tr>
      <w:tr w:rsidR="002C0ED4" w:rsidRPr="000B366C" w:rsidTr="002C0ED4">
        <w:trPr>
          <w:trHeight w:val="233"/>
          <w:jc w:val="center"/>
        </w:trPr>
        <w:tc>
          <w:tcPr>
            <w:tcW w:w="1990" w:type="dxa"/>
            <w:tcBorders>
              <w:top w:val="nil"/>
              <w:left w:val="nil"/>
              <w:bottom w:val="single" w:sz="4" w:space="0" w:color="auto"/>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816" w:type="dxa"/>
            <w:tcBorders>
              <w:top w:val="nil"/>
              <w:left w:val="single" w:sz="4" w:space="0" w:color="auto"/>
              <w:bottom w:val="single" w:sz="4" w:space="0" w:color="auto"/>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789" w:type="dxa"/>
            <w:tcBorders>
              <w:top w:val="nil"/>
              <w:left w:val="nil"/>
              <w:bottom w:val="single" w:sz="4" w:space="0" w:color="auto"/>
              <w:right w:val="single" w:sz="4" w:space="0" w:color="auto"/>
            </w:tcBorders>
            <w:shd w:val="clear" w:color="000000" w:fill="FFF2CC"/>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766" w:type="dxa"/>
            <w:tcBorders>
              <w:top w:val="nil"/>
              <w:left w:val="nil"/>
              <w:bottom w:val="single" w:sz="4" w:space="0" w:color="auto"/>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719" w:type="dxa"/>
            <w:tcBorders>
              <w:top w:val="nil"/>
              <w:left w:val="nil"/>
              <w:bottom w:val="single" w:sz="4" w:space="0" w:color="auto"/>
              <w:right w:val="single" w:sz="4" w:space="0" w:color="auto"/>
            </w:tcBorders>
            <w:shd w:val="clear" w:color="000000" w:fill="FFF2CC"/>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1207" w:type="dxa"/>
            <w:tcBorders>
              <w:top w:val="nil"/>
              <w:left w:val="nil"/>
              <w:bottom w:val="single" w:sz="4" w:space="0" w:color="auto"/>
              <w:right w:val="nil"/>
            </w:tcBorders>
            <w:shd w:val="clear" w:color="000000" w:fill="DDEBF7"/>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r>
      <w:tr w:rsidR="002C0ED4" w:rsidRPr="000B366C" w:rsidTr="002C0ED4">
        <w:trPr>
          <w:trHeight w:val="385"/>
          <w:jc w:val="center"/>
        </w:trPr>
        <w:tc>
          <w:tcPr>
            <w:tcW w:w="6287" w:type="dxa"/>
            <w:gridSpan w:val="6"/>
            <w:tcBorders>
              <w:top w:val="nil"/>
              <w:left w:val="nil"/>
              <w:bottom w:val="nil"/>
              <w:right w:val="nil"/>
            </w:tcBorders>
            <w:shd w:val="clear" w:color="auto" w:fill="auto"/>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 En el 2015 se incorpora el seguimiento estadístico de las sedes de los circuitos judiciales Heredia, Primero de la Zona Sur (Pérez Zeledón) y Segundo de la Zona Atlántica (Pococí).</w:t>
            </w:r>
          </w:p>
        </w:tc>
      </w:tr>
      <w:tr w:rsidR="002C0ED4" w:rsidRPr="000B366C" w:rsidTr="002C0ED4">
        <w:trPr>
          <w:trHeight w:val="245"/>
          <w:jc w:val="center"/>
        </w:trPr>
        <w:tc>
          <w:tcPr>
            <w:tcW w:w="6287" w:type="dxa"/>
            <w:gridSpan w:val="6"/>
            <w:tcBorders>
              <w:top w:val="nil"/>
              <w:left w:val="nil"/>
              <w:bottom w:val="nil"/>
              <w:right w:val="nil"/>
            </w:tcBorders>
            <w:shd w:val="clear" w:color="auto" w:fill="auto"/>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tc>
      </w:tr>
    </w:tbl>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A nivel general, la carga de trabajo aumento en 224 asuntos respecto al año 2016, esto </w:t>
      </w:r>
      <w:r w:rsidRPr="000B366C">
        <w:rPr>
          <w:rFonts w:ascii="Book Antiqua" w:hAnsi="Book Antiqua"/>
        </w:rPr>
        <w:lastRenderedPageBreak/>
        <w:t>aunado al leve aumento de 88 asuntos que se presenta en los casos terminados, repercute directamente en el aumento del Circulante final en 136 asuntos.</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En los siguientes apartados se profundizará sobre el comportamiento de cada una de las variables del movimiento general. </w:t>
      </w:r>
    </w:p>
    <w:p w:rsidR="002C0ED4" w:rsidRPr="000B366C" w:rsidRDefault="002C0ED4" w:rsidP="002C0ED4">
      <w:pPr>
        <w:spacing w:line="360" w:lineRule="auto"/>
        <w:jc w:val="both"/>
        <w:rPr>
          <w:rFonts w:ascii="Book Antiqua" w:hAnsi="Book Antiqua"/>
        </w:rPr>
      </w:pPr>
    </w:p>
    <w:p w:rsidR="002C0ED4" w:rsidRPr="000B366C" w:rsidRDefault="002C0ED4" w:rsidP="002C0ED4">
      <w:pPr>
        <w:pStyle w:val="Prrafodelista"/>
        <w:numPr>
          <w:ilvl w:val="0"/>
          <w:numId w:val="33"/>
        </w:numPr>
        <w:spacing w:line="360" w:lineRule="auto"/>
        <w:ind w:left="567" w:hanging="567"/>
        <w:contextualSpacing/>
        <w:jc w:val="both"/>
        <w:rPr>
          <w:rFonts w:ascii="Book Antiqua" w:hAnsi="Book Antiqua" w:cs="Times New Roman"/>
          <w:b/>
        </w:rPr>
      </w:pPr>
      <w:r w:rsidRPr="000B366C">
        <w:rPr>
          <w:rFonts w:ascii="Book Antiqua" w:hAnsi="Book Antiqua" w:cs="Times New Roman"/>
          <w:b/>
          <w:lang w:val="es-CR"/>
        </w:rPr>
        <w:t>CASOS ENTRADOS</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El Programa de Justicia Restaurativa registró un ingreso de 2.148 casos para el 2017, siendo el III Circuito Judicial San José (Pavas) el que presenta mayor cantidad, con 591 asuntos, en segundo lugar, lo ocupa Heredia con 412 asuntos; entre ambos abarcan casi el 50% de los casos entrados en el programa. </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En el siguiente cuadro se detalla la cantidad de entrados por circuito judicial, desde el 2015:</w:t>
      </w:r>
    </w:p>
    <w:tbl>
      <w:tblPr>
        <w:tblW w:w="7086" w:type="dxa"/>
        <w:jc w:val="center"/>
        <w:tblLook w:val="04A0" w:firstRow="1" w:lastRow="0" w:firstColumn="1" w:lastColumn="0" w:noHBand="0" w:noVBand="1"/>
      </w:tblPr>
      <w:tblGrid>
        <w:gridCol w:w="4192"/>
        <w:gridCol w:w="964"/>
        <w:gridCol w:w="964"/>
        <w:gridCol w:w="966"/>
      </w:tblGrid>
      <w:tr w:rsidR="002C0ED4" w:rsidRPr="000B366C" w:rsidTr="002C0ED4">
        <w:trPr>
          <w:trHeight w:val="474"/>
          <w:jc w:val="center"/>
        </w:trPr>
        <w:tc>
          <w:tcPr>
            <w:tcW w:w="7086" w:type="dxa"/>
            <w:gridSpan w:val="4"/>
            <w:tcBorders>
              <w:top w:val="nil"/>
              <w:left w:val="nil"/>
              <w:bottom w:val="single" w:sz="4" w:space="0" w:color="auto"/>
              <w:right w:val="nil"/>
            </w:tcBorders>
            <w:shd w:val="clear" w:color="auto" w:fill="auto"/>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2</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Casos entrados por Circuito Judicial, en el Programa de Justicia Restaurativa, desde el 2015.</w:t>
            </w:r>
          </w:p>
        </w:tc>
      </w:tr>
      <w:tr w:rsidR="002C0ED4" w:rsidRPr="000B366C" w:rsidTr="002C0ED4">
        <w:trPr>
          <w:trHeight w:val="248"/>
          <w:jc w:val="center"/>
        </w:trPr>
        <w:tc>
          <w:tcPr>
            <w:tcW w:w="4192" w:type="dxa"/>
            <w:vMerge w:val="restart"/>
            <w:tcBorders>
              <w:top w:val="nil"/>
              <w:left w:val="nil"/>
              <w:bottom w:val="single" w:sz="4" w:space="0" w:color="000000"/>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Oficina</w:t>
            </w:r>
          </w:p>
        </w:tc>
        <w:tc>
          <w:tcPr>
            <w:tcW w:w="2894" w:type="dxa"/>
            <w:gridSpan w:val="3"/>
            <w:tcBorders>
              <w:top w:val="single" w:sz="4" w:space="0" w:color="auto"/>
              <w:left w:val="nil"/>
              <w:bottom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Casos Entrados</w:t>
            </w:r>
          </w:p>
        </w:tc>
      </w:tr>
      <w:tr w:rsidR="002C0ED4" w:rsidRPr="000B366C" w:rsidTr="002C0ED4">
        <w:trPr>
          <w:trHeight w:val="248"/>
          <w:jc w:val="center"/>
        </w:trPr>
        <w:tc>
          <w:tcPr>
            <w:tcW w:w="4192" w:type="dxa"/>
            <w:vMerge/>
            <w:tcBorders>
              <w:top w:val="nil"/>
              <w:left w:val="nil"/>
              <w:bottom w:val="single" w:sz="4" w:space="0" w:color="000000"/>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964" w:type="dxa"/>
            <w:tcBorders>
              <w:top w:val="nil"/>
              <w:left w:val="nil"/>
              <w:bottom w:val="single" w:sz="4" w:space="0" w:color="auto"/>
              <w:right w:val="single" w:sz="4" w:space="0" w:color="auto"/>
            </w:tcBorders>
            <w:shd w:val="clear" w:color="000000" w:fill="DDEBF7"/>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2015</w:t>
            </w:r>
          </w:p>
        </w:tc>
        <w:tc>
          <w:tcPr>
            <w:tcW w:w="964" w:type="dxa"/>
            <w:tcBorders>
              <w:top w:val="nil"/>
              <w:left w:val="nil"/>
              <w:bottom w:val="single" w:sz="4" w:space="0" w:color="auto"/>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2016</w:t>
            </w:r>
          </w:p>
        </w:tc>
        <w:tc>
          <w:tcPr>
            <w:tcW w:w="966" w:type="dxa"/>
            <w:tcBorders>
              <w:top w:val="nil"/>
              <w:left w:val="nil"/>
              <w:bottom w:val="single" w:sz="4" w:space="0" w:color="auto"/>
              <w:right w:val="nil"/>
            </w:tcBorders>
            <w:shd w:val="clear" w:color="000000" w:fill="DDEBF7"/>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2017</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Total</w:t>
            </w: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1.491</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1937</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2148</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San José</w:t>
            </w: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265</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San José (Flagrancia)</w:t>
            </w: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153</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pt-BR" w:eastAsia="en-US"/>
              </w:rPr>
            </w:pPr>
            <w:r w:rsidRPr="000B366C">
              <w:rPr>
                <w:rFonts w:ascii="Book Antiqua" w:hAnsi="Book Antiqua"/>
                <w:color w:val="000000"/>
                <w:lang w:val="pt-BR" w:eastAsia="en-US"/>
              </w:rPr>
              <w:t>III Circuito Judicial San José (Pavas)</w:t>
            </w: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765</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943</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591</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Heredia</w:t>
            </w: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398</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387</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412</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 Circuito Judicial Zona Sur (Pérez Zeledón)</w:t>
            </w: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122</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289</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317</w:t>
            </w:r>
          </w:p>
        </w:tc>
      </w:tr>
      <w:tr w:rsidR="002C0ED4" w:rsidRPr="000B366C" w:rsidTr="002C0ED4">
        <w:trPr>
          <w:trHeight w:val="248"/>
          <w:jc w:val="center"/>
        </w:trPr>
        <w:tc>
          <w:tcPr>
            <w:tcW w:w="4192"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Zona Atlántica (Pococí)</w:t>
            </w:r>
          </w:p>
        </w:tc>
        <w:tc>
          <w:tcPr>
            <w:tcW w:w="96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206</w:t>
            </w:r>
          </w:p>
        </w:tc>
        <w:tc>
          <w:tcPr>
            <w:tcW w:w="96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318</w:t>
            </w:r>
          </w:p>
        </w:tc>
        <w:tc>
          <w:tcPr>
            <w:tcW w:w="96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410</w:t>
            </w:r>
          </w:p>
        </w:tc>
      </w:tr>
      <w:tr w:rsidR="002C0ED4" w:rsidRPr="000B366C" w:rsidTr="002C0ED4">
        <w:trPr>
          <w:trHeight w:val="248"/>
          <w:jc w:val="center"/>
        </w:trPr>
        <w:tc>
          <w:tcPr>
            <w:tcW w:w="4192" w:type="dxa"/>
            <w:tcBorders>
              <w:top w:val="nil"/>
              <w:left w:val="nil"/>
              <w:bottom w:val="single" w:sz="4" w:space="0" w:color="auto"/>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lastRenderedPageBreak/>
              <w:t> </w:t>
            </w:r>
          </w:p>
        </w:tc>
        <w:tc>
          <w:tcPr>
            <w:tcW w:w="964" w:type="dxa"/>
            <w:tcBorders>
              <w:top w:val="nil"/>
              <w:left w:val="single" w:sz="4" w:space="0" w:color="auto"/>
              <w:bottom w:val="single" w:sz="4" w:space="0" w:color="auto"/>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964" w:type="dxa"/>
            <w:tcBorders>
              <w:top w:val="nil"/>
              <w:left w:val="nil"/>
              <w:bottom w:val="single" w:sz="4" w:space="0" w:color="auto"/>
              <w:right w:val="single" w:sz="4" w:space="0" w:color="auto"/>
            </w:tcBorders>
            <w:shd w:val="clear" w:color="000000" w:fill="FFF2CC"/>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966" w:type="dxa"/>
            <w:tcBorders>
              <w:top w:val="nil"/>
              <w:left w:val="nil"/>
              <w:bottom w:val="single" w:sz="4" w:space="0" w:color="auto"/>
              <w:right w:val="nil"/>
            </w:tcBorders>
            <w:shd w:val="clear" w:color="000000" w:fill="DDEBF7"/>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48"/>
          <w:jc w:val="center"/>
        </w:trPr>
        <w:tc>
          <w:tcPr>
            <w:tcW w:w="7086" w:type="dxa"/>
            <w:gridSpan w:val="4"/>
            <w:tcBorders>
              <w:top w:val="single" w:sz="4" w:space="0" w:color="auto"/>
              <w:left w:val="nil"/>
              <w:bottom w:val="nil"/>
              <w:right w:val="nil"/>
            </w:tcBorders>
            <w:shd w:val="clear" w:color="auto" w:fill="auto"/>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tc>
      </w:tr>
    </w:tbl>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El incremento de casos con respecto al 2016 es del 11%, lo que equivale a 211 nuevos casos en el programa. En este punto es importante acotar, que a partir del 2017 se incluyen al programa las oficinas II Circuito Judicial de San José y II Circuito Judicial de San José (Flagrancia), lo anterior pudiendo impactar en el aumento mencionado anteriormente. En el siguiente gráfico, se observa la tendencia al alza presentada durante el último quinquenio, donde la mayor relevancia se presentó del 2014 al 2015, donde el aumento fue de 1.001 asuntos (204%).</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center"/>
        <w:rPr>
          <w:rFonts w:ascii="Book Antiqua" w:hAnsi="Book Antiqua"/>
        </w:rPr>
      </w:pPr>
      <w:r w:rsidRPr="000B366C">
        <w:rPr>
          <w:rFonts w:ascii="Book Antiqua" w:hAnsi="Book Antiqua"/>
          <w:noProof/>
        </w:rPr>
        <w:drawing>
          <wp:inline distT="0" distB="0" distL="0" distR="0">
            <wp:extent cx="4370070" cy="2774950"/>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De los 2.148 asuntos entrados, la mayoría procede de San José con el 32% de los casos, seguido por Pococí con el 16%, Heredia con el 14% y Pérez Zeledón con el 12%, las demás zonas, ocupan porcentajes menores al 10%, sin embargo, se adjuntan a detalle en el siguiente gráfico:</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center"/>
        <w:rPr>
          <w:rFonts w:ascii="Book Antiqua" w:hAnsi="Book Antiqua"/>
        </w:rPr>
      </w:pPr>
      <w:r w:rsidRPr="000B366C">
        <w:rPr>
          <w:rFonts w:ascii="Book Antiqua" w:hAnsi="Book Antiqua"/>
          <w:noProof/>
        </w:rPr>
        <w:drawing>
          <wp:inline distT="0" distB="0" distL="0" distR="0">
            <wp:extent cx="4838065" cy="3189605"/>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En el siguiente cuadro se presenta el resumen de los delitos según el título del delito en el Código Penal, donde se puede apreciar que los delitos relacionados con la “Ley de tránsito”, “Contra la propiedad” y “Contra la vida” son los más representativos en los últimos tres años, para el 2017 en conjunto abarcan el 73% del total de los casos entrados.</w:t>
      </w:r>
    </w:p>
    <w:p w:rsidR="002C0ED4" w:rsidRPr="000B366C" w:rsidRDefault="002C0ED4" w:rsidP="002C0ED4">
      <w:pPr>
        <w:spacing w:line="360" w:lineRule="auto"/>
        <w:jc w:val="both"/>
        <w:rPr>
          <w:rFonts w:ascii="Book Antiqua" w:hAnsi="Book Antiqua"/>
        </w:rPr>
      </w:pPr>
    </w:p>
    <w:tbl>
      <w:tblPr>
        <w:tblW w:w="7876" w:type="dxa"/>
        <w:jc w:val="center"/>
        <w:tblLook w:val="04A0" w:firstRow="1" w:lastRow="0" w:firstColumn="1" w:lastColumn="0" w:noHBand="0" w:noVBand="1"/>
      </w:tblPr>
      <w:tblGrid>
        <w:gridCol w:w="1583"/>
        <w:gridCol w:w="4325"/>
        <w:gridCol w:w="696"/>
        <w:gridCol w:w="696"/>
        <w:gridCol w:w="696"/>
      </w:tblGrid>
      <w:tr w:rsidR="002C0ED4" w:rsidRPr="000B366C" w:rsidTr="002C0ED4">
        <w:trPr>
          <w:trHeight w:val="253"/>
          <w:jc w:val="center"/>
        </w:trPr>
        <w:tc>
          <w:tcPr>
            <w:tcW w:w="7876" w:type="dxa"/>
            <w:gridSpan w:val="5"/>
            <w:tcBorders>
              <w:top w:val="nil"/>
              <w:left w:val="nil"/>
              <w:bottom w:val="single" w:sz="4" w:space="0" w:color="auto"/>
              <w:right w:val="nil"/>
            </w:tcBorders>
            <w:shd w:val="clear" w:color="auto" w:fill="auto"/>
            <w:noWrap/>
            <w:vAlign w:val="bottom"/>
            <w:hideMark/>
          </w:tcPr>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E15E85" w:rsidRDefault="00E15E85" w:rsidP="002C0ED4">
            <w:pPr>
              <w:jc w:val="center"/>
              <w:rPr>
                <w:rFonts w:ascii="Book Antiqua" w:hAnsi="Book Antiqua"/>
                <w:color w:val="000000"/>
                <w:lang w:eastAsia="en-US"/>
              </w:rPr>
            </w:pP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3</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Casos entrados por delito, para el programa de Justicia Restaurativa, desde el 2015.</w:t>
            </w:r>
          </w:p>
        </w:tc>
      </w:tr>
      <w:tr w:rsidR="002C0ED4" w:rsidRPr="000B366C" w:rsidTr="002C0ED4">
        <w:trPr>
          <w:trHeight w:val="253"/>
          <w:jc w:val="center"/>
        </w:trPr>
        <w:tc>
          <w:tcPr>
            <w:tcW w:w="5908" w:type="dxa"/>
            <w:gridSpan w:val="2"/>
            <w:tcBorders>
              <w:top w:val="nil"/>
              <w:left w:val="nil"/>
              <w:bottom w:val="single" w:sz="4" w:space="0" w:color="auto"/>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eastAsia="en-US"/>
              </w:rPr>
            </w:pPr>
            <w:r w:rsidRPr="000B366C">
              <w:rPr>
                <w:rFonts w:ascii="Book Antiqua" w:hAnsi="Book Antiqua"/>
                <w:b/>
                <w:bCs/>
                <w:color w:val="000000"/>
                <w:lang w:eastAsia="en-US"/>
              </w:rPr>
              <w:lastRenderedPageBreak/>
              <w:t>Título del delito en el Código Penal</w:t>
            </w:r>
          </w:p>
        </w:tc>
        <w:tc>
          <w:tcPr>
            <w:tcW w:w="1968" w:type="dxa"/>
            <w:gridSpan w:val="3"/>
            <w:tcBorders>
              <w:top w:val="single" w:sz="4" w:space="0" w:color="auto"/>
              <w:left w:val="nil"/>
              <w:bottom w:val="single" w:sz="4" w:space="0" w:color="auto"/>
              <w:right w:val="single" w:sz="4" w:space="0" w:color="auto"/>
            </w:tcBorders>
            <w:shd w:val="clear" w:color="auto" w:fill="auto"/>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Año</w:t>
            </w:r>
          </w:p>
        </w:tc>
      </w:tr>
      <w:tr w:rsidR="002C0ED4" w:rsidRPr="000B366C" w:rsidTr="002C0ED4">
        <w:trPr>
          <w:gridBefore w:val="1"/>
          <w:wBefore w:w="1583" w:type="dxa"/>
          <w:trHeight w:val="253"/>
          <w:jc w:val="center"/>
        </w:trPr>
        <w:tc>
          <w:tcPr>
            <w:tcW w:w="4325" w:type="dxa"/>
            <w:tcBorders>
              <w:top w:val="nil"/>
              <w:left w:val="nil"/>
              <w:bottom w:val="single" w:sz="4" w:space="0" w:color="auto"/>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656" w:type="dxa"/>
            <w:tcBorders>
              <w:top w:val="nil"/>
              <w:left w:val="nil"/>
              <w:bottom w:val="single" w:sz="4" w:space="0" w:color="auto"/>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2015</w:t>
            </w:r>
          </w:p>
        </w:tc>
        <w:tc>
          <w:tcPr>
            <w:tcW w:w="656" w:type="dxa"/>
            <w:tcBorders>
              <w:top w:val="nil"/>
              <w:left w:val="nil"/>
              <w:bottom w:val="single" w:sz="4" w:space="0" w:color="auto"/>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2016</w:t>
            </w:r>
          </w:p>
        </w:tc>
        <w:tc>
          <w:tcPr>
            <w:tcW w:w="656" w:type="dxa"/>
            <w:tcBorders>
              <w:top w:val="nil"/>
              <w:left w:val="nil"/>
              <w:bottom w:val="single" w:sz="4" w:space="0" w:color="auto"/>
              <w:right w:val="nil"/>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2017</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b/>
                <w:bCs/>
                <w:color w:val="000000"/>
                <w:lang w:val="en-US" w:eastAsia="en-US"/>
              </w:rPr>
            </w:pP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b/>
                <w:bCs/>
                <w:color w:val="000000"/>
                <w:lang w:val="en-US" w:eastAsia="en-US"/>
              </w:rPr>
            </w:pPr>
            <w:r w:rsidRPr="000B366C">
              <w:rPr>
                <w:rFonts w:ascii="Book Antiqua" w:hAnsi="Book Antiqua"/>
                <w:b/>
                <w:bCs/>
                <w:color w:val="000000"/>
                <w:lang w:val="en-US" w:eastAsia="en-US"/>
              </w:rPr>
              <w:t>Total</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1491</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1932</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2148</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b/>
                <w:bCs/>
                <w:color w:val="000000"/>
                <w:lang w:val="en-US" w:eastAsia="en-US"/>
              </w:rPr>
            </w:pP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Ley de Tránsito</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546</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608</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753</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 la propiedad</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368</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471</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470</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 la vida</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332</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410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338</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Infracción.  Ley de armas y explosivos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108</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144</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268</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 la autoridad pública</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86</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Contra la administración de justicia</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85</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78</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 la fe pública</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71</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68</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54</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Otros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29</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Contra el ámbito de la intimidad</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19</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22</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27</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Contra la buena fe de los negocios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9</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Ley penalización violencia contra las mujeres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9</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Infracción Ley integral persona adulta mayor</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Normativa de Leyes especiales y otros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Contrav. contra la propiedad y el patrimonio</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Ley sobre estupefacientes, sustancias psicotrópicas, drogas de uso no autorizado y actividades conexas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Contrav. contra la seguridad pública (medio ambiente)</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Contrav. seguridad del tránsito</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 la familia</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 la seguridad común</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Ley 8799 control de ganado bovino, prevención y sanción de su robo, hurto y receptación</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Provocaciones y amenazas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Contra la libertad</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19</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28</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Infracción Ley de Psicotrópicos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10</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Infracción Ley Penalización Violencia contra la Mujer</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8</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Infracción a leyes especiales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Sexuales</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3"/>
          <w:jc w:val="center"/>
        </w:trPr>
        <w:tc>
          <w:tcPr>
            <w:tcW w:w="5908" w:type="dxa"/>
            <w:gridSpan w:val="2"/>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lastRenderedPageBreak/>
              <w:t>Atípico</w:t>
            </w:r>
          </w:p>
        </w:tc>
        <w:tc>
          <w:tcPr>
            <w:tcW w:w="656" w:type="dxa"/>
            <w:tcBorders>
              <w:top w:val="nil"/>
              <w:left w:val="single" w:sz="4" w:space="0" w:color="auto"/>
              <w:bottom w:val="nil"/>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nil"/>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c>
          <w:tcPr>
            <w:tcW w:w="656" w:type="dxa"/>
            <w:tcBorders>
              <w:top w:val="nil"/>
              <w:left w:val="nil"/>
              <w:bottom w:val="nil"/>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3"/>
          <w:jc w:val="center"/>
        </w:trPr>
        <w:tc>
          <w:tcPr>
            <w:tcW w:w="5908" w:type="dxa"/>
            <w:gridSpan w:val="2"/>
            <w:tcBorders>
              <w:top w:val="nil"/>
              <w:left w:val="nil"/>
              <w:bottom w:val="single" w:sz="4" w:space="0" w:color="auto"/>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Contra los deberes de la función pública</w:t>
            </w:r>
          </w:p>
        </w:tc>
        <w:tc>
          <w:tcPr>
            <w:tcW w:w="656" w:type="dxa"/>
            <w:tcBorders>
              <w:top w:val="nil"/>
              <w:left w:val="single" w:sz="4" w:space="0" w:color="auto"/>
              <w:bottom w:val="single" w:sz="4" w:space="0" w:color="auto"/>
              <w:right w:val="single" w:sz="4" w:space="0" w:color="auto"/>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w:t>
            </w:r>
          </w:p>
        </w:tc>
        <w:tc>
          <w:tcPr>
            <w:tcW w:w="656" w:type="dxa"/>
            <w:tcBorders>
              <w:top w:val="nil"/>
              <w:left w:val="nil"/>
              <w:bottom w:val="single" w:sz="4" w:space="0" w:color="auto"/>
              <w:right w:val="single" w:sz="4" w:space="0" w:color="auto"/>
            </w:tcBorders>
            <w:shd w:val="clear" w:color="000000" w:fill="FFF2CC"/>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56" w:type="dxa"/>
            <w:tcBorders>
              <w:top w:val="nil"/>
              <w:left w:val="nil"/>
              <w:bottom w:val="single" w:sz="4" w:space="0" w:color="auto"/>
              <w:right w:val="nil"/>
            </w:tcBorders>
            <w:shd w:val="clear" w:color="000000" w:fill="DDEBF7"/>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3"/>
          <w:jc w:val="center"/>
        </w:trPr>
        <w:tc>
          <w:tcPr>
            <w:tcW w:w="7876" w:type="dxa"/>
            <w:gridSpan w:val="5"/>
            <w:tcBorders>
              <w:top w:val="single" w:sz="4" w:space="0" w:color="auto"/>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tc>
      </w:tr>
    </w:tbl>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Aunado a la información anterior, se presenta la información de los entrados para el 2017 pero con la subclasificación de los delitos para tener un panorama más amplio, en ese sentido, los delitos con mayor cantidad de casos entrados son “Conducción Temeraria” con 575 asuntos (26,8%), seguido por la “Portación ilícita de arma permitida” con 266 asuntos (12,4%) y en tercer lugar lo ocupan las “Lesiones Culposas (Ley de tránsito)” con 164 asuntos (7,6%).</w:t>
      </w:r>
    </w:p>
    <w:p w:rsidR="002C0ED4" w:rsidRPr="000B366C" w:rsidRDefault="002C0ED4" w:rsidP="002C0ED4">
      <w:pPr>
        <w:spacing w:line="360" w:lineRule="auto"/>
        <w:jc w:val="both"/>
        <w:rPr>
          <w:rFonts w:ascii="Book Antiqua" w:hAnsi="Book Antiqua"/>
        </w:rPr>
      </w:pPr>
    </w:p>
    <w:tbl>
      <w:tblPr>
        <w:tblW w:w="9781" w:type="dxa"/>
        <w:jc w:val="center"/>
        <w:tblLook w:val="04A0" w:firstRow="1" w:lastRow="0" w:firstColumn="1" w:lastColumn="0" w:noHBand="0" w:noVBand="1"/>
      </w:tblPr>
      <w:tblGrid>
        <w:gridCol w:w="4065"/>
        <w:gridCol w:w="3590"/>
        <w:gridCol w:w="1230"/>
        <w:gridCol w:w="1216"/>
      </w:tblGrid>
      <w:tr w:rsidR="002C0ED4" w:rsidRPr="000B366C" w:rsidTr="002C0ED4">
        <w:trPr>
          <w:trHeight w:val="238"/>
          <w:jc w:val="center"/>
        </w:trPr>
        <w:tc>
          <w:tcPr>
            <w:tcW w:w="9781" w:type="dxa"/>
            <w:gridSpan w:val="4"/>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4</w:t>
            </w:r>
          </w:p>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 xml:space="preserve">    Principales casos entrados según el delito, para el Programa de Justicia Restaurativa, 2017.</w:t>
            </w:r>
          </w:p>
        </w:tc>
      </w:tr>
      <w:tr w:rsidR="002C0ED4" w:rsidRPr="000B366C" w:rsidTr="002C0ED4">
        <w:trPr>
          <w:trHeight w:val="466"/>
          <w:jc w:val="center"/>
        </w:trPr>
        <w:tc>
          <w:tcPr>
            <w:tcW w:w="4065" w:type="dxa"/>
            <w:tcBorders>
              <w:top w:val="single" w:sz="4" w:space="0" w:color="auto"/>
              <w:left w:val="nil"/>
              <w:bottom w:val="single" w:sz="4" w:space="0" w:color="auto"/>
              <w:right w:val="single" w:sz="4" w:space="0" w:color="auto"/>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Delito</w:t>
            </w:r>
          </w:p>
        </w:tc>
        <w:tc>
          <w:tcPr>
            <w:tcW w:w="3590" w:type="dxa"/>
            <w:tcBorders>
              <w:top w:val="single" w:sz="4" w:space="0" w:color="auto"/>
              <w:left w:val="nil"/>
              <w:bottom w:val="single" w:sz="4" w:space="0" w:color="auto"/>
              <w:right w:val="single" w:sz="4" w:space="0" w:color="auto"/>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Subclasificación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Valor Absoluto</w:t>
            </w:r>
          </w:p>
        </w:tc>
        <w:tc>
          <w:tcPr>
            <w:tcW w:w="1066" w:type="dxa"/>
            <w:tcBorders>
              <w:top w:val="single" w:sz="4" w:space="0" w:color="auto"/>
              <w:left w:val="nil"/>
              <w:bottom w:val="single" w:sz="4" w:space="0" w:color="auto"/>
              <w:right w:val="nil"/>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Valor Reltativo</w:t>
            </w:r>
          </w:p>
        </w:tc>
      </w:tr>
      <w:tr w:rsidR="002C0ED4" w:rsidRPr="000B366C" w:rsidTr="002C0ED4">
        <w:trPr>
          <w:trHeight w:val="250"/>
          <w:jc w:val="center"/>
        </w:trPr>
        <w:tc>
          <w:tcPr>
            <w:tcW w:w="4065" w:type="dxa"/>
            <w:tcBorders>
              <w:top w:val="nil"/>
              <w:left w:val="nil"/>
              <w:bottom w:val="nil"/>
              <w:right w:val="nil"/>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p>
        </w:tc>
        <w:tc>
          <w:tcPr>
            <w:tcW w:w="3590" w:type="dxa"/>
            <w:tcBorders>
              <w:top w:val="nil"/>
              <w:left w:val="single" w:sz="4" w:space="0" w:color="auto"/>
              <w:bottom w:val="nil"/>
              <w:right w:val="single" w:sz="4" w:space="0" w:color="auto"/>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1060" w:type="dxa"/>
            <w:tcBorders>
              <w:top w:val="nil"/>
              <w:left w:val="nil"/>
              <w:bottom w:val="nil"/>
              <w:right w:val="single" w:sz="4" w:space="0" w:color="auto"/>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1066" w:type="dxa"/>
            <w:tcBorders>
              <w:top w:val="nil"/>
              <w:left w:val="nil"/>
              <w:bottom w:val="nil"/>
              <w:right w:val="nil"/>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p>
        </w:tc>
      </w:tr>
      <w:tr w:rsidR="002C0ED4" w:rsidRPr="000B366C" w:rsidTr="002C0ED4">
        <w:trPr>
          <w:trHeight w:val="250"/>
          <w:jc w:val="center"/>
        </w:trPr>
        <w:tc>
          <w:tcPr>
            <w:tcW w:w="4065" w:type="dxa"/>
            <w:tcBorders>
              <w:top w:val="nil"/>
              <w:left w:val="nil"/>
              <w:bottom w:val="nil"/>
              <w:right w:val="nil"/>
            </w:tcBorders>
            <w:shd w:val="clear" w:color="auto" w:fill="auto"/>
            <w:vAlign w:val="bottom"/>
            <w:hideMark/>
          </w:tcPr>
          <w:p w:rsidR="002C0ED4" w:rsidRPr="000B366C" w:rsidRDefault="002C0ED4" w:rsidP="002C0ED4">
            <w:pPr>
              <w:jc w:val="center"/>
              <w:rPr>
                <w:rFonts w:ascii="Book Antiqua" w:hAnsi="Book Antiqua"/>
                <w:lang w:val="en-US" w:eastAsia="en-US"/>
              </w:rPr>
            </w:pPr>
          </w:p>
        </w:tc>
        <w:tc>
          <w:tcPr>
            <w:tcW w:w="3590" w:type="dxa"/>
            <w:tcBorders>
              <w:top w:val="nil"/>
              <w:left w:val="single" w:sz="4" w:space="0" w:color="auto"/>
              <w:bottom w:val="nil"/>
              <w:right w:val="single" w:sz="4" w:space="0" w:color="auto"/>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Total</w:t>
            </w:r>
          </w:p>
        </w:tc>
        <w:tc>
          <w:tcPr>
            <w:tcW w:w="1060" w:type="dxa"/>
            <w:tcBorders>
              <w:top w:val="nil"/>
              <w:left w:val="nil"/>
              <w:bottom w:val="nil"/>
              <w:right w:val="single" w:sz="4" w:space="0" w:color="auto"/>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2148</w:t>
            </w:r>
          </w:p>
        </w:tc>
        <w:tc>
          <w:tcPr>
            <w:tcW w:w="1066" w:type="dxa"/>
            <w:tcBorders>
              <w:top w:val="nil"/>
              <w:left w:val="nil"/>
              <w:bottom w:val="nil"/>
              <w:right w:val="nil"/>
            </w:tcBorders>
            <w:shd w:val="clear" w:color="auto" w:fill="auto"/>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100%</w:t>
            </w:r>
          </w:p>
        </w:tc>
      </w:tr>
      <w:tr w:rsidR="002C0ED4" w:rsidRPr="000B366C" w:rsidTr="002C0ED4">
        <w:trPr>
          <w:trHeight w:val="250"/>
          <w:jc w:val="center"/>
        </w:trPr>
        <w:tc>
          <w:tcPr>
            <w:tcW w:w="4065"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b/>
                <w:bCs/>
                <w:color w:val="000000"/>
                <w:lang w:val="en-US" w:eastAsia="en-US"/>
              </w:rPr>
            </w:pP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Ley de tránsito</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Conducción Temeraria</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575</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26,8%</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eastAsia="en-US"/>
              </w:rPr>
            </w:pPr>
            <w:r w:rsidRPr="000B366C">
              <w:rPr>
                <w:rFonts w:ascii="Book Antiqua" w:hAnsi="Book Antiqua"/>
                <w:lang w:eastAsia="en-US"/>
              </w:rPr>
              <w:t>Infracción.  ley de armas y explosivos</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Portación Ilícita de Arma Permitida</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266</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12,4%</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Ley de transito</w:t>
            </w:r>
          </w:p>
        </w:tc>
        <w:tc>
          <w:tcPr>
            <w:tcW w:w="3590" w:type="dxa"/>
            <w:tcBorders>
              <w:top w:val="nil"/>
              <w:left w:val="single" w:sz="4" w:space="0" w:color="auto"/>
              <w:bottom w:val="nil"/>
              <w:right w:val="single" w:sz="4" w:space="0" w:color="auto"/>
            </w:tcBorders>
            <w:shd w:val="clear" w:color="auto" w:fill="auto"/>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Lesiones Culposas (Ley de Tránsito)</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164</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7,6%</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vida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Lesiones culposas</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140</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6,5%</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propiedad</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Hurto Simple</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139</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6,5%</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vida</w:t>
            </w:r>
          </w:p>
        </w:tc>
        <w:tc>
          <w:tcPr>
            <w:tcW w:w="3590" w:type="dxa"/>
            <w:tcBorders>
              <w:top w:val="nil"/>
              <w:left w:val="single" w:sz="4" w:space="0" w:color="auto"/>
              <w:bottom w:val="nil"/>
              <w:right w:val="single" w:sz="4" w:space="0" w:color="auto"/>
            </w:tcBorders>
            <w:shd w:val="clear" w:color="auto" w:fill="auto"/>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Agresión con Armas</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137</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6,4%</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propiedad</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Daños</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117</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5,4%</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eastAsia="en-US"/>
              </w:rPr>
            </w:pPr>
            <w:r w:rsidRPr="000B366C">
              <w:rPr>
                <w:rFonts w:ascii="Book Antiqua" w:hAnsi="Book Antiqua"/>
                <w:lang w:eastAsia="en-US"/>
              </w:rPr>
              <w:t>Delitos contra la autoridad pública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Desobediencia</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50</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2,3%</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eastAsia="en-US"/>
              </w:rPr>
            </w:pPr>
            <w:r w:rsidRPr="000B366C">
              <w:rPr>
                <w:rFonts w:ascii="Book Antiqua" w:hAnsi="Book Antiqua"/>
                <w:lang w:eastAsia="en-US"/>
              </w:rPr>
              <w:t>Delitos contra la fe pública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Uso de Falso Documento</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49</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2,3%</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propiedad</w:t>
            </w:r>
          </w:p>
        </w:tc>
        <w:tc>
          <w:tcPr>
            <w:tcW w:w="3590" w:type="dxa"/>
            <w:tcBorders>
              <w:top w:val="nil"/>
              <w:left w:val="single" w:sz="4" w:space="0" w:color="auto"/>
              <w:bottom w:val="nil"/>
              <w:right w:val="single" w:sz="4" w:space="0" w:color="auto"/>
            </w:tcBorders>
            <w:shd w:val="clear" w:color="auto" w:fill="auto"/>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Estafa</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49</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2,3%</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eastAsia="en-US"/>
              </w:rPr>
            </w:pPr>
            <w:r w:rsidRPr="000B366C">
              <w:rPr>
                <w:rFonts w:ascii="Book Antiqua" w:hAnsi="Book Antiqua"/>
                <w:lang w:eastAsia="en-US"/>
              </w:rPr>
              <w:t>Delitos contra la administración de justicia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Simulación de delito</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42</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2,0%</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propiedad</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Apropiación y Retención Indebida</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40</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1,9%</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propiedad</w:t>
            </w:r>
          </w:p>
        </w:tc>
        <w:tc>
          <w:tcPr>
            <w:tcW w:w="3590" w:type="dxa"/>
            <w:tcBorders>
              <w:top w:val="nil"/>
              <w:left w:val="single" w:sz="4" w:space="0" w:color="auto"/>
              <w:bottom w:val="nil"/>
              <w:right w:val="single" w:sz="4" w:space="0" w:color="auto"/>
            </w:tcBorders>
            <w:shd w:val="clear" w:color="auto" w:fill="auto"/>
            <w:vAlign w:val="bottom"/>
            <w:hideMark/>
          </w:tcPr>
          <w:p w:rsidR="002C0ED4" w:rsidRPr="000B366C" w:rsidRDefault="002C0ED4" w:rsidP="002C0ED4">
            <w:pPr>
              <w:jc w:val="both"/>
              <w:rPr>
                <w:rFonts w:ascii="Book Antiqua" w:hAnsi="Book Antiqua"/>
                <w:lang w:val="en-US" w:eastAsia="en-US"/>
              </w:rPr>
            </w:pPr>
            <w:r w:rsidRPr="000B366C">
              <w:rPr>
                <w:rFonts w:ascii="Book Antiqua" w:hAnsi="Book Antiqua"/>
                <w:lang w:val="en-US" w:eastAsia="en-US"/>
              </w:rPr>
              <w:t>Robo Simple</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36</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1,7%</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eastAsia="en-US"/>
              </w:rPr>
            </w:pPr>
            <w:r w:rsidRPr="000B366C">
              <w:rPr>
                <w:rFonts w:ascii="Book Antiqua" w:hAnsi="Book Antiqua"/>
                <w:lang w:eastAsia="en-US"/>
              </w:rPr>
              <w:lastRenderedPageBreak/>
              <w:t>Delitos contra la administración de justicia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Receptación</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33</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1,5%</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eastAsia="en-US"/>
              </w:rPr>
            </w:pPr>
            <w:r w:rsidRPr="000B366C">
              <w:rPr>
                <w:rFonts w:ascii="Book Antiqua" w:hAnsi="Book Antiqua"/>
                <w:lang w:eastAsia="en-US"/>
              </w:rPr>
              <w:t>Delitos contra la autoridad pública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Resistencia</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32</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1,5%</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propiedad</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Hurto Agravado</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32</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1,5%</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vida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Lesiones leves</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29</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1,4%</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eastAsia="en-US"/>
              </w:rPr>
            </w:pPr>
            <w:r w:rsidRPr="000B366C">
              <w:rPr>
                <w:rFonts w:ascii="Book Antiqua" w:hAnsi="Book Antiqua"/>
                <w:lang w:eastAsia="en-US"/>
              </w:rPr>
              <w:t>Delitos contra el ámbito de la intimidad</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Violación de domicilio</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27</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w:t>
            </w:r>
          </w:p>
        </w:tc>
      </w:tr>
      <w:tr w:rsidR="002C0ED4" w:rsidRPr="000B366C" w:rsidTr="002C0ED4">
        <w:trPr>
          <w:trHeight w:val="250"/>
          <w:jc w:val="center"/>
        </w:trPr>
        <w:tc>
          <w:tcPr>
            <w:tcW w:w="4065" w:type="dxa"/>
            <w:tcBorders>
              <w:top w:val="nil"/>
              <w:left w:val="nil"/>
              <w:bottom w:val="nil"/>
              <w:right w:val="nil"/>
            </w:tcBorders>
            <w:shd w:val="clear" w:color="auto" w:fill="auto"/>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Delitos contra la vida</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Amenazas agravadas</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27</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w:t>
            </w:r>
          </w:p>
        </w:tc>
      </w:tr>
      <w:tr w:rsidR="002C0ED4" w:rsidRPr="000B366C" w:rsidTr="002C0ED4">
        <w:trPr>
          <w:trHeight w:val="250"/>
          <w:jc w:val="center"/>
        </w:trPr>
        <w:tc>
          <w:tcPr>
            <w:tcW w:w="4065"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Otros</w:t>
            </w:r>
          </w:p>
        </w:tc>
        <w:tc>
          <w:tcPr>
            <w:tcW w:w="3590"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Otros</w:t>
            </w:r>
          </w:p>
        </w:tc>
        <w:tc>
          <w:tcPr>
            <w:tcW w:w="1060" w:type="dxa"/>
            <w:tcBorders>
              <w:top w:val="nil"/>
              <w:left w:val="nil"/>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164</w:t>
            </w:r>
          </w:p>
        </w:tc>
        <w:tc>
          <w:tcPr>
            <w:tcW w:w="106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7,6%</w:t>
            </w:r>
          </w:p>
        </w:tc>
      </w:tr>
      <w:tr w:rsidR="002C0ED4" w:rsidRPr="000B366C" w:rsidTr="002C0ED4">
        <w:trPr>
          <w:trHeight w:val="250"/>
          <w:jc w:val="center"/>
        </w:trPr>
        <w:tc>
          <w:tcPr>
            <w:tcW w:w="4065" w:type="dxa"/>
            <w:tcBorders>
              <w:top w:val="nil"/>
              <w:left w:val="nil"/>
              <w:bottom w:val="single" w:sz="4" w:space="0" w:color="auto"/>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060" w:type="dxa"/>
            <w:tcBorders>
              <w:top w:val="nil"/>
              <w:left w:val="nil"/>
              <w:bottom w:val="single" w:sz="4" w:space="0" w:color="auto"/>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066" w:type="dxa"/>
            <w:tcBorders>
              <w:top w:val="nil"/>
              <w:left w:val="nil"/>
              <w:bottom w:val="single" w:sz="4" w:space="0" w:color="auto"/>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50"/>
          <w:jc w:val="center"/>
        </w:trPr>
        <w:tc>
          <w:tcPr>
            <w:tcW w:w="9781" w:type="dxa"/>
            <w:gridSpan w:val="4"/>
            <w:tcBorders>
              <w:top w:val="single" w:sz="4" w:space="0" w:color="auto"/>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tc>
      </w:tr>
    </w:tbl>
    <w:p w:rsidR="002C0ED4" w:rsidRDefault="002C0ED4" w:rsidP="002C0ED4">
      <w:pPr>
        <w:spacing w:line="360" w:lineRule="auto"/>
        <w:jc w:val="both"/>
        <w:rPr>
          <w:rFonts w:ascii="Book Antiqua" w:hAnsi="Book Antiqua"/>
        </w:rPr>
      </w:pPr>
      <w:r w:rsidRPr="000B366C">
        <w:rPr>
          <w:rFonts w:ascii="Book Antiqua" w:hAnsi="Book Antiqua"/>
        </w:rPr>
        <w:t>|</w:t>
      </w:r>
    </w:p>
    <w:p w:rsidR="002C0ED4" w:rsidRPr="000B366C" w:rsidRDefault="002C0ED4" w:rsidP="002C0ED4">
      <w:pPr>
        <w:pStyle w:val="Prrafodelista"/>
        <w:numPr>
          <w:ilvl w:val="0"/>
          <w:numId w:val="33"/>
        </w:numPr>
        <w:spacing w:line="360" w:lineRule="auto"/>
        <w:ind w:left="567" w:hanging="567"/>
        <w:contextualSpacing/>
        <w:jc w:val="both"/>
        <w:rPr>
          <w:rFonts w:ascii="Book Antiqua" w:hAnsi="Book Antiqua" w:cs="Times New Roman"/>
          <w:b/>
        </w:rPr>
      </w:pPr>
      <w:r w:rsidRPr="000B366C">
        <w:rPr>
          <w:rFonts w:ascii="Book Antiqua" w:hAnsi="Book Antiqua" w:cs="Times New Roman"/>
          <w:b/>
          <w:lang w:val="es-CR"/>
        </w:rPr>
        <w:t>CASOS TERMINADOS</w:t>
      </w:r>
    </w:p>
    <w:p w:rsidR="002C0ED4" w:rsidRPr="000B366C" w:rsidRDefault="002C0ED4" w:rsidP="002C0ED4">
      <w:pPr>
        <w:spacing w:line="360" w:lineRule="auto"/>
        <w:jc w:val="both"/>
        <w:rPr>
          <w:rFonts w:ascii="Book Antiqua" w:hAnsi="Book Antiqua"/>
        </w:rPr>
      </w:pPr>
    </w:p>
    <w:p w:rsidR="002C0ED4" w:rsidRDefault="002C0ED4" w:rsidP="002C0ED4">
      <w:pPr>
        <w:spacing w:line="360" w:lineRule="auto"/>
        <w:jc w:val="both"/>
        <w:rPr>
          <w:rFonts w:ascii="Book Antiqua" w:hAnsi="Book Antiqua"/>
        </w:rPr>
      </w:pPr>
      <w:r w:rsidRPr="000B366C">
        <w:rPr>
          <w:rFonts w:ascii="Book Antiqua" w:hAnsi="Book Antiqua"/>
        </w:rPr>
        <w:t xml:space="preserve">Este año se terminaron 2.066 asuntos, un 4% más que en el 2016, esto implica en términos absolutos 88 asuntos más, distribuidos por oficina de la siguiente manera:  </w:t>
      </w:r>
    </w:p>
    <w:tbl>
      <w:tblPr>
        <w:tblW w:w="6896" w:type="dxa"/>
        <w:jc w:val="center"/>
        <w:tblLook w:val="04A0" w:firstRow="1" w:lastRow="0" w:firstColumn="1" w:lastColumn="0" w:noHBand="0" w:noVBand="1"/>
      </w:tblPr>
      <w:tblGrid>
        <w:gridCol w:w="4339"/>
        <w:gridCol w:w="856"/>
        <w:gridCol w:w="850"/>
        <w:gridCol w:w="851"/>
      </w:tblGrid>
      <w:tr w:rsidR="002C0ED4" w:rsidRPr="000B366C" w:rsidTr="002C0ED4">
        <w:trPr>
          <w:trHeight w:val="265"/>
          <w:jc w:val="center"/>
        </w:trPr>
        <w:tc>
          <w:tcPr>
            <w:tcW w:w="6896" w:type="dxa"/>
            <w:gridSpan w:val="4"/>
            <w:tcBorders>
              <w:top w:val="nil"/>
              <w:left w:val="nil"/>
              <w:bottom w:val="single" w:sz="4" w:space="0" w:color="auto"/>
              <w:right w:val="nil"/>
            </w:tcBorders>
            <w:shd w:val="clear" w:color="auto" w:fill="auto"/>
            <w:noWrap/>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5</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Casos terminados, en el programa de Justicia Restaurativa, desde el 2015</w:t>
            </w:r>
          </w:p>
        </w:tc>
      </w:tr>
      <w:tr w:rsidR="002C0ED4" w:rsidRPr="000B366C" w:rsidTr="002C0ED4">
        <w:trPr>
          <w:trHeight w:val="265"/>
          <w:jc w:val="center"/>
        </w:trPr>
        <w:tc>
          <w:tcPr>
            <w:tcW w:w="4339" w:type="dxa"/>
            <w:vMerge w:val="restart"/>
            <w:tcBorders>
              <w:top w:val="nil"/>
              <w:left w:val="nil"/>
              <w:bottom w:val="single" w:sz="4" w:space="0" w:color="000000"/>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Sede u Oficina</w:t>
            </w:r>
          </w:p>
        </w:tc>
        <w:tc>
          <w:tcPr>
            <w:tcW w:w="2557" w:type="dxa"/>
            <w:gridSpan w:val="3"/>
            <w:tcBorders>
              <w:top w:val="single" w:sz="4" w:space="0" w:color="auto"/>
              <w:left w:val="nil"/>
              <w:bottom w:val="single" w:sz="4" w:space="0" w:color="auto"/>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Casos Terminados</w:t>
            </w:r>
          </w:p>
        </w:tc>
      </w:tr>
      <w:tr w:rsidR="002C0ED4" w:rsidRPr="000B366C" w:rsidTr="002C0ED4">
        <w:trPr>
          <w:trHeight w:val="265"/>
          <w:jc w:val="center"/>
        </w:trPr>
        <w:tc>
          <w:tcPr>
            <w:tcW w:w="4339" w:type="dxa"/>
            <w:vMerge/>
            <w:tcBorders>
              <w:top w:val="nil"/>
              <w:left w:val="nil"/>
              <w:bottom w:val="single" w:sz="4" w:space="0" w:color="000000"/>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856" w:type="dxa"/>
            <w:tcBorders>
              <w:top w:val="nil"/>
              <w:left w:val="nil"/>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2015</w:t>
            </w:r>
          </w:p>
        </w:tc>
        <w:tc>
          <w:tcPr>
            <w:tcW w:w="850" w:type="dxa"/>
            <w:tcBorders>
              <w:top w:val="nil"/>
              <w:left w:val="nil"/>
              <w:bottom w:val="single" w:sz="4" w:space="0" w:color="auto"/>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2016</w:t>
            </w:r>
          </w:p>
        </w:tc>
        <w:tc>
          <w:tcPr>
            <w:tcW w:w="851" w:type="dxa"/>
            <w:tcBorders>
              <w:top w:val="nil"/>
              <w:left w:val="nil"/>
              <w:bottom w:val="single" w:sz="4" w:space="0" w:color="auto"/>
              <w:right w:val="nil"/>
            </w:tcBorders>
            <w:shd w:val="clear" w:color="000000" w:fill="DDEBF7"/>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2017</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851" w:type="dxa"/>
            <w:tcBorders>
              <w:top w:val="nil"/>
              <w:left w:val="nil"/>
              <w:bottom w:val="nil"/>
              <w:right w:val="nil"/>
            </w:tcBorders>
            <w:shd w:val="clear" w:color="000000" w:fill="DDEBF7"/>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Total</w:t>
            </w: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1.437</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1978</w:t>
            </w:r>
          </w:p>
        </w:tc>
        <w:tc>
          <w:tcPr>
            <w:tcW w:w="851"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2066</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851"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San José</w:t>
            </w: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1"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224</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San José (Flagrancia)</w:t>
            </w: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1"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145</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pt-BR" w:eastAsia="en-US"/>
              </w:rPr>
            </w:pPr>
            <w:r w:rsidRPr="000B366C">
              <w:rPr>
                <w:rFonts w:ascii="Book Antiqua" w:hAnsi="Book Antiqua"/>
                <w:color w:val="000000"/>
                <w:lang w:val="pt-BR" w:eastAsia="en-US"/>
              </w:rPr>
              <w:t>III Circuito Judicial San José (Pavas)</w:t>
            </w: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753</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912</w:t>
            </w:r>
          </w:p>
        </w:tc>
        <w:tc>
          <w:tcPr>
            <w:tcW w:w="851"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621</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Heredia</w:t>
            </w: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414</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405</w:t>
            </w:r>
          </w:p>
        </w:tc>
        <w:tc>
          <w:tcPr>
            <w:tcW w:w="851"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400</w:t>
            </w:r>
          </w:p>
        </w:tc>
      </w:tr>
      <w:tr w:rsidR="002C0ED4" w:rsidRPr="000B366C" w:rsidTr="002C0ED4">
        <w:trPr>
          <w:trHeight w:val="265"/>
          <w:jc w:val="center"/>
        </w:trPr>
        <w:tc>
          <w:tcPr>
            <w:tcW w:w="4339"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 Circuito Judicial Zona Sur (Pérez Zeledón)</w:t>
            </w:r>
          </w:p>
        </w:tc>
        <w:tc>
          <w:tcPr>
            <w:tcW w:w="8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118</w:t>
            </w:r>
          </w:p>
        </w:tc>
        <w:tc>
          <w:tcPr>
            <w:tcW w:w="850"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302</w:t>
            </w:r>
          </w:p>
        </w:tc>
        <w:tc>
          <w:tcPr>
            <w:tcW w:w="851" w:type="dxa"/>
            <w:tcBorders>
              <w:top w:val="nil"/>
              <w:left w:val="nil"/>
              <w:bottom w:val="nil"/>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320</w:t>
            </w:r>
          </w:p>
        </w:tc>
      </w:tr>
      <w:tr w:rsidR="002C0ED4" w:rsidRPr="000B366C" w:rsidTr="002C0ED4">
        <w:trPr>
          <w:trHeight w:val="265"/>
          <w:jc w:val="center"/>
        </w:trPr>
        <w:tc>
          <w:tcPr>
            <w:tcW w:w="4339" w:type="dxa"/>
            <w:tcBorders>
              <w:top w:val="nil"/>
              <w:left w:val="nil"/>
              <w:bottom w:val="single" w:sz="4" w:space="0" w:color="auto"/>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Zona Atlántica (Pococí)</w:t>
            </w:r>
          </w:p>
        </w:tc>
        <w:tc>
          <w:tcPr>
            <w:tcW w:w="856" w:type="dxa"/>
            <w:tcBorders>
              <w:top w:val="nil"/>
              <w:left w:val="single" w:sz="4" w:space="0" w:color="auto"/>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152</w:t>
            </w:r>
          </w:p>
        </w:tc>
        <w:tc>
          <w:tcPr>
            <w:tcW w:w="850" w:type="dxa"/>
            <w:tcBorders>
              <w:top w:val="nil"/>
              <w:left w:val="nil"/>
              <w:bottom w:val="single" w:sz="4" w:space="0" w:color="auto"/>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359</w:t>
            </w:r>
          </w:p>
        </w:tc>
        <w:tc>
          <w:tcPr>
            <w:tcW w:w="851" w:type="dxa"/>
            <w:tcBorders>
              <w:top w:val="nil"/>
              <w:left w:val="nil"/>
              <w:bottom w:val="single" w:sz="4" w:space="0" w:color="auto"/>
              <w:right w:val="nil"/>
            </w:tcBorders>
            <w:shd w:val="clear" w:color="000000" w:fill="DDEBF7"/>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356</w:t>
            </w:r>
          </w:p>
        </w:tc>
      </w:tr>
      <w:tr w:rsidR="002C0ED4" w:rsidRPr="000B366C" w:rsidTr="002C0ED4">
        <w:trPr>
          <w:trHeight w:val="265"/>
          <w:jc w:val="center"/>
        </w:trPr>
        <w:tc>
          <w:tcPr>
            <w:tcW w:w="6896" w:type="dxa"/>
            <w:gridSpan w:val="4"/>
            <w:tcBorders>
              <w:top w:val="single" w:sz="4" w:space="0" w:color="auto"/>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tc>
      </w:tr>
    </w:tbl>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lastRenderedPageBreak/>
        <w:t>Del cuadro anterior se observa que Heredia mantiene un comportamiento similar a los dos últimos años, manteniendo un promedio de 406 asuntos. Únicamente el I Circuito Judicial Zona Sur (Pérez Zeledón) presentó un aumento de 18 asuntos. El III Circuito Judicial San José (Pavas), Heredia y II Circuito Judicial Zona Atlántica (Pococí), presentaron disminuciones de 291, 5 y 3 respectivamente. Cabe recalcar nuevamente en este punto que para el año 2017 se incluyen las oficinas II Circuito Judicial de San José y II Circuito Judicial de San José (Flagrancia), que entre las dos abarcan el 18% del total de casos terminados.</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A continuación, la tendencia histórica de los casos terminados por año, que mantiene una tendencia creciente en el último quinquenio, cerrando el año con 2066 asuntos:</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center"/>
        <w:rPr>
          <w:rFonts w:ascii="Book Antiqua" w:hAnsi="Book Antiqua"/>
        </w:rPr>
      </w:pPr>
      <w:r w:rsidRPr="000B366C">
        <w:rPr>
          <w:rFonts w:ascii="Book Antiqua" w:hAnsi="Book Antiqua"/>
          <w:noProof/>
        </w:rPr>
        <w:drawing>
          <wp:inline distT="0" distB="0" distL="0" distR="0">
            <wp:extent cx="4561205" cy="2552065"/>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De la cantidad total de casos fenecidos en el programa, existen 3 motivos de termino que predominan y que representan el 95% de los mismos, los cuales son: “Casos Devueltos” que presenta un aumento de 4 asuntos con respecto al año anterior, cerrando el 2017 con 919 asuntos, los casos de “Suspensión de Proceso a Prueba” </w:t>
      </w:r>
      <w:r w:rsidRPr="000B366C">
        <w:rPr>
          <w:rFonts w:ascii="Book Antiqua" w:hAnsi="Book Antiqua"/>
        </w:rPr>
        <w:lastRenderedPageBreak/>
        <w:t xml:space="preserve">aumentaron en 107 asuntos pasando de 421 en el 2016 a 528 en el 2017 y los casos de “Conciliación” los cuales, cerrando el año con 517 asuntos, 57 más que el año anterior. </w:t>
      </w:r>
    </w:p>
    <w:p w:rsidR="002C0ED4" w:rsidRPr="000B366C" w:rsidRDefault="002C0ED4" w:rsidP="002C0ED4">
      <w:pPr>
        <w:spacing w:line="360" w:lineRule="auto"/>
        <w:jc w:val="both"/>
        <w:rPr>
          <w:rFonts w:ascii="Book Antiqua" w:hAnsi="Book Antiqua"/>
        </w:rPr>
      </w:pPr>
    </w:p>
    <w:p w:rsidR="002C0ED4" w:rsidRDefault="002C0ED4" w:rsidP="002C0ED4">
      <w:pPr>
        <w:spacing w:line="360" w:lineRule="auto"/>
        <w:jc w:val="both"/>
        <w:rPr>
          <w:rFonts w:ascii="Book Antiqua" w:hAnsi="Book Antiqua"/>
        </w:rPr>
      </w:pPr>
      <w:r w:rsidRPr="000B366C">
        <w:rPr>
          <w:rFonts w:ascii="Book Antiqua" w:hAnsi="Book Antiqua"/>
        </w:rPr>
        <w:t>Sin embargo, el espíritu del programa se concentra en la resolución del conflicto por medio de las medidas alternas (suspensión de proceso a prueba, conciliación y reparación integral del daño), que en este caso abarcan el 51% del total de expedientes ingresados al programa para el 2017. En la siguiente tabla se muestra el detalle:</w:t>
      </w:r>
    </w:p>
    <w:p w:rsidR="00E15E85" w:rsidRDefault="00E15E85" w:rsidP="002C0ED4">
      <w:pPr>
        <w:spacing w:line="360" w:lineRule="auto"/>
        <w:jc w:val="both"/>
        <w:rPr>
          <w:rFonts w:ascii="Book Antiqua" w:hAnsi="Book Antiqua"/>
        </w:rPr>
      </w:pPr>
    </w:p>
    <w:tbl>
      <w:tblPr>
        <w:tblW w:w="5818" w:type="dxa"/>
        <w:jc w:val="center"/>
        <w:tblLook w:val="04A0" w:firstRow="1" w:lastRow="0" w:firstColumn="1" w:lastColumn="0" w:noHBand="0" w:noVBand="1"/>
      </w:tblPr>
      <w:tblGrid>
        <w:gridCol w:w="3550"/>
        <w:gridCol w:w="756"/>
        <w:gridCol w:w="756"/>
        <w:gridCol w:w="756"/>
      </w:tblGrid>
      <w:tr w:rsidR="002C0ED4" w:rsidRPr="000B366C" w:rsidTr="002C0ED4">
        <w:trPr>
          <w:trHeight w:val="489"/>
          <w:jc w:val="center"/>
        </w:trPr>
        <w:tc>
          <w:tcPr>
            <w:tcW w:w="5818" w:type="dxa"/>
            <w:gridSpan w:val="4"/>
            <w:tcBorders>
              <w:top w:val="nil"/>
              <w:left w:val="nil"/>
              <w:bottom w:val="single" w:sz="4" w:space="0" w:color="auto"/>
              <w:right w:val="nil"/>
            </w:tcBorders>
            <w:shd w:val="clear" w:color="auto" w:fill="auto"/>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6</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Castos terminados por motivos de término, para el programa de Justicia Restaurativa, desde el 2013.</w:t>
            </w:r>
          </w:p>
        </w:tc>
      </w:tr>
      <w:tr w:rsidR="002C0ED4" w:rsidRPr="000B366C" w:rsidTr="002C0ED4">
        <w:trPr>
          <w:trHeight w:val="250"/>
          <w:jc w:val="center"/>
        </w:trPr>
        <w:tc>
          <w:tcPr>
            <w:tcW w:w="3550" w:type="dxa"/>
            <w:vMerge w:val="restart"/>
            <w:tcBorders>
              <w:top w:val="nil"/>
              <w:left w:val="nil"/>
              <w:bottom w:val="single" w:sz="4" w:space="0" w:color="000000"/>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Motivo de Término</w:t>
            </w:r>
          </w:p>
        </w:tc>
        <w:tc>
          <w:tcPr>
            <w:tcW w:w="2268" w:type="dxa"/>
            <w:gridSpan w:val="3"/>
            <w:tcBorders>
              <w:top w:val="single" w:sz="4" w:space="0" w:color="auto"/>
              <w:left w:val="nil"/>
              <w:bottom w:val="single" w:sz="4" w:space="0" w:color="auto"/>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Casos Terminados</w:t>
            </w:r>
          </w:p>
        </w:tc>
      </w:tr>
      <w:tr w:rsidR="002C0ED4" w:rsidRPr="000B366C" w:rsidTr="002C0ED4">
        <w:trPr>
          <w:trHeight w:val="250"/>
          <w:jc w:val="center"/>
        </w:trPr>
        <w:tc>
          <w:tcPr>
            <w:tcW w:w="3550" w:type="dxa"/>
            <w:vMerge/>
            <w:tcBorders>
              <w:top w:val="nil"/>
              <w:left w:val="nil"/>
              <w:bottom w:val="single" w:sz="4" w:space="0" w:color="000000"/>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756" w:type="dxa"/>
            <w:tcBorders>
              <w:top w:val="nil"/>
              <w:left w:val="nil"/>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2015</w:t>
            </w:r>
          </w:p>
        </w:tc>
        <w:tc>
          <w:tcPr>
            <w:tcW w:w="756" w:type="dxa"/>
            <w:tcBorders>
              <w:top w:val="nil"/>
              <w:left w:val="nil"/>
              <w:bottom w:val="single" w:sz="4" w:space="0" w:color="auto"/>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2016</w:t>
            </w:r>
          </w:p>
        </w:tc>
        <w:tc>
          <w:tcPr>
            <w:tcW w:w="756" w:type="dxa"/>
            <w:tcBorders>
              <w:top w:val="nil"/>
              <w:left w:val="nil"/>
              <w:bottom w:val="single" w:sz="4" w:space="0" w:color="auto"/>
              <w:right w:val="nil"/>
            </w:tcBorders>
            <w:shd w:val="clear" w:color="000000" w:fill="DDEBF7"/>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2017</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 </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 </w:t>
            </w:r>
          </w:p>
        </w:tc>
        <w:tc>
          <w:tcPr>
            <w:tcW w:w="756" w:type="dxa"/>
            <w:tcBorders>
              <w:top w:val="nil"/>
              <w:left w:val="nil"/>
              <w:bottom w:val="nil"/>
              <w:right w:val="nil"/>
            </w:tcBorders>
            <w:shd w:val="clear" w:color="000000" w:fill="DDEBF7"/>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Total</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1.437</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1.978</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2.066</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Casos devueltos</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599</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915</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919</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Suspensión proceso a prueba</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501</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421</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528</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Conciliación</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258</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460</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517</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s-CR"/>
              </w:rPr>
              <w:t>No hubo acuerdo entre las partes</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36</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49</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40</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s-CR"/>
              </w:rPr>
              <w:t>No se presentó una de las partes</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25</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114</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36</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Acumulado</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8</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18</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Reparación integral del daño</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5</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9</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8</w:t>
            </w:r>
          </w:p>
        </w:tc>
      </w:tr>
      <w:tr w:rsidR="002C0ED4" w:rsidRPr="000B366C" w:rsidTr="002C0ED4">
        <w:trPr>
          <w:trHeight w:val="250"/>
          <w:jc w:val="center"/>
        </w:trPr>
        <w:tc>
          <w:tcPr>
            <w:tcW w:w="35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Desestimado</w:t>
            </w:r>
          </w:p>
        </w:tc>
        <w:tc>
          <w:tcPr>
            <w:tcW w:w="756"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1</w:t>
            </w:r>
          </w:p>
        </w:tc>
        <w:tc>
          <w:tcPr>
            <w:tcW w:w="756"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0</w:t>
            </w:r>
          </w:p>
        </w:tc>
        <w:tc>
          <w:tcPr>
            <w:tcW w:w="756"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0"/>
          <w:jc w:val="center"/>
        </w:trPr>
        <w:tc>
          <w:tcPr>
            <w:tcW w:w="3550" w:type="dxa"/>
            <w:tcBorders>
              <w:top w:val="nil"/>
              <w:left w:val="nil"/>
              <w:bottom w:val="single" w:sz="4" w:space="0" w:color="auto"/>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Otros motivos</w:t>
            </w:r>
          </w:p>
        </w:tc>
        <w:tc>
          <w:tcPr>
            <w:tcW w:w="756" w:type="dxa"/>
            <w:tcBorders>
              <w:top w:val="nil"/>
              <w:left w:val="single" w:sz="4" w:space="0" w:color="auto"/>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10</w:t>
            </w:r>
          </w:p>
        </w:tc>
        <w:tc>
          <w:tcPr>
            <w:tcW w:w="756" w:type="dxa"/>
            <w:tcBorders>
              <w:top w:val="nil"/>
              <w:left w:val="nil"/>
              <w:bottom w:val="single" w:sz="4" w:space="0" w:color="auto"/>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w:t>
            </w:r>
          </w:p>
        </w:tc>
        <w:tc>
          <w:tcPr>
            <w:tcW w:w="756" w:type="dxa"/>
            <w:tcBorders>
              <w:top w:val="nil"/>
              <w:left w:val="nil"/>
              <w:bottom w:val="single" w:sz="4" w:space="0" w:color="auto"/>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r>
      <w:tr w:rsidR="002C0ED4" w:rsidRPr="000B366C" w:rsidTr="002C0ED4">
        <w:trPr>
          <w:trHeight w:val="250"/>
          <w:jc w:val="center"/>
        </w:trPr>
        <w:tc>
          <w:tcPr>
            <w:tcW w:w="5818" w:type="dxa"/>
            <w:gridSpan w:val="4"/>
            <w:tcBorders>
              <w:top w:val="single" w:sz="4" w:space="0" w:color="auto"/>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tc>
      </w:tr>
    </w:tbl>
    <w:p w:rsidR="002C0ED4" w:rsidRDefault="002C0ED4" w:rsidP="002C0ED4">
      <w:pPr>
        <w:spacing w:line="360" w:lineRule="auto"/>
        <w:jc w:val="both"/>
        <w:rPr>
          <w:rFonts w:ascii="Book Antiqua" w:hAnsi="Book Antiqua"/>
        </w:rPr>
      </w:pPr>
    </w:p>
    <w:p w:rsidR="00E15E85" w:rsidRPr="000B366C" w:rsidRDefault="00E15E85"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lastRenderedPageBreak/>
        <w:t>Del total de los motivos de término, como se mencionó anteriormente, predominan los “Casos devueltos”, los cuales representan el 44% del total de los casos terminados. Los “Casos devueltos” se relacionan a estratos profesionales los cuales devolvieron las siguientes cantidades: “Defensa Pública”, devolvió 488 casos que corresponden al 53% de los casos, el “Equipo Psicosocial”, devolvió un total de 50 casos, que corresponden al 5% y por último el “Ministerio Público”, devolvió 381 casos que corresponden al 41% del total de los casos devueltos.</w:t>
      </w:r>
    </w:p>
    <w:p w:rsidR="002C0ED4" w:rsidRPr="000B366C" w:rsidRDefault="002C0ED4" w:rsidP="002C0ED4">
      <w:pPr>
        <w:spacing w:line="360" w:lineRule="auto"/>
        <w:jc w:val="both"/>
        <w:rPr>
          <w:rFonts w:ascii="Book Antiqua" w:hAnsi="Book Antiqua"/>
          <w:highlight w:val="yellow"/>
        </w:rPr>
      </w:pPr>
    </w:p>
    <w:p w:rsidR="002C0ED4" w:rsidRPr="000B366C" w:rsidRDefault="002C0ED4" w:rsidP="002C0ED4">
      <w:pPr>
        <w:spacing w:line="360" w:lineRule="auto"/>
        <w:jc w:val="both"/>
        <w:rPr>
          <w:rFonts w:ascii="Book Antiqua" w:hAnsi="Book Antiqua"/>
        </w:rPr>
      </w:pPr>
      <w:r w:rsidRPr="000B366C">
        <w:rPr>
          <w:rFonts w:ascii="Book Antiqua" w:hAnsi="Book Antiqua"/>
        </w:rPr>
        <w:t>De los “Casos devueltos” por la Defensa Pública, los más representativos corresponden a “persona imputada no se acoge al programa” y “no se logró ubicar imputado/a”, con el 27% y 13% del total de los casos respectivamente, los demás son menores al 10%.</w:t>
      </w: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Respecto a los “Casos devueltos” por el Ministerio Público, el más sobresaliente son los que “No cumple con los requisitos de admisibilidad” que abarcan el 19% del total de los casos devueltos, los demás son menores al 6%. </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highlight w:val="yellow"/>
        </w:rPr>
      </w:pPr>
      <w:r w:rsidRPr="000B366C">
        <w:rPr>
          <w:rFonts w:ascii="Book Antiqua" w:hAnsi="Book Antiqua"/>
        </w:rPr>
        <w:t>En el siguiente cuadro se puede apreciar a detalle los distintos tipos de motivos de devolución segmentados por estrato profesional:</w:t>
      </w:r>
    </w:p>
    <w:p w:rsidR="002C0ED4" w:rsidRPr="000B366C" w:rsidRDefault="002C0ED4" w:rsidP="002C0ED4">
      <w:pPr>
        <w:spacing w:line="360" w:lineRule="auto"/>
        <w:jc w:val="both"/>
        <w:rPr>
          <w:rFonts w:ascii="Book Antiqua" w:hAnsi="Book Antiqua"/>
          <w:highlight w:val="yellow"/>
        </w:rPr>
      </w:pPr>
    </w:p>
    <w:tbl>
      <w:tblPr>
        <w:tblW w:w="7850" w:type="dxa"/>
        <w:jc w:val="center"/>
        <w:tblLook w:val="04A0" w:firstRow="1" w:lastRow="0" w:firstColumn="1" w:lastColumn="0" w:noHBand="0" w:noVBand="1"/>
      </w:tblPr>
      <w:tblGrid>
        <w:gridCol w:w="5100"/>
        <w:gridCol w:w="850"/>
        <w:gridCol w:w="850"/>
        <w:gridCol w:w="1050"/>
      </w:tblGrid>
      <w:tr w:rsidR="002C0ED4" w:rsidRPr="000B366C" w:rsidTr="002C0ED4">
        <w:trPr>
          <w:trHeight w:val="457"/>
          <w:jc w:val="center"/>
        </w:trPr>
        <w:tc>
          <w:tcPr>
            <w:tcW w:w="7850" w:type="dxa"/>
            <w:gridSpan w:val="4"/>
            <w:tcBorders>
              <w:top w:val="nil"/>
              <w:left w:val="nil"/>
              <w:bottom w:val="single" w:sz="4" w:space="0" w:color="auto"/>
              <w:right w:val="nil"/>
            </w:tcBorders>
            <w:shd w:val="clear" w:color="auto" w:fill="auto"/>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7</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Casos devueltos, por motivo, para el programa de Justicia Restaurativa, desde el 2015.</w:t>
            </w:r>
          </w:p>
        </w:tc>
      </w:tr>
      <w:tr w:rsidR="002C0ED4" w:rsidRPr="000B366C" w:rsidTr="002C0ED4">
        <w:trPr>
          <w:trHeight w:val="252"/>
          <w:jc w:val="center"/>
        </w:trPr>
        <w:tc>
          <w:tcPr>
            <w:tcW w:w="5100" w:type="dxa"/>
            <w:vMerge w:val="restart"/>
            <w:tcBorders>
              <w:top w:val="nil"/>
              <w:left w:val="nil"/>
              <w:bottom w:val="single" w:sz="4" w:space="0" w:color="000000"/>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Motivo del Caso Devuelto</w:t>
            </w:r>
          </w:p>
        </w:tc>
        <w:tc>
          <w:tcPr>
            <w:tcW w:w="2750" w:type="dxa"/>
            <w:gridSpan w:val="3"/>
            <w:tcBorders>
              <w:top w:val="single" w:sz="4" w:space="0" w:color="auto"/>
              <w:left w:val="nil"/>
              <w:bottom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Casos terminados</w:t>
            </w:r>
          </w:p>
        </w:tc>
      </w:tr>
      <w:tr w:rsidR="002C0ED4" w:rsidRPr="000B366C" w:rsidTr="002C0ED4">
        <w:trPr>
          <w:trHeight w:val="252"/>
          <w:jc w:val="center"/>
        </w:trPr>
        <w:tc>
          <w:tcPr>
            <w:tcW w:w="5100" w:type="dxa"/>
            <w:vMerge/>
            <w:tcBorders>
              <w:top w:val="nil"/>
              <w:left w:val="nil"/>
              <w:bottom w:val="single" w:sz="4" w:space="0" w:color="000000"/>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850" w:type="dxa"/>
            <w:tcBorders>
              <w:top w:val="nil"/>
              <w:left w:val="nil"/>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2015</w:t>
            </w:r>
          </w:p>
        </w:tc>
        <w:tc>
          <w:tcPr>
            <w:tcW w:w="850" w:type="dxa"/>
            <w:tcBorders>
              <w:top w:val="nil"/>
              <w:left w:val="nil"/>
              <w:bottom w:val="single" w:sz="4" w:space="0" w:color="auto"/>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2016</w:t>
            </w:r>
          </w:p>
        </w:tc>
        <w:tc>
          <w:tcPr>
            <w:tcW w:w="1050" w:type="dxa"/>
            <w:tcBorders>
              <w:top w:val="nil"/>
              <w:left w:val="nil"/>
              <w:bottom w:val="single" w:sz="4" w:space="0" w:color="auto"/>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2017</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b/>
                <w:bCs/>
                <w:color w:val="000000"/>
                <w:lang w:val="en-US" w:eastAsia="en-US"/>
              </w:rPr>
            </w:pP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Total</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599</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915</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919</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b/>
                <w:bCs/>
                <w:lang w:val="en-US" w:eastAsia="en-US"/>
              </w:rPr>
            </w:pPr>
            <w:r w:rsidRPr="000B366C">
              <w:rPr>
                <w:rFonts w:ascii="Book Antiqua" w:hAnsi="Book Antiqua"/>
                <w:b/>
                <w:bCs/>
                <w:lang w:val="en-US" w:eastAsia="en-US"/>
              </w:rPr>
              <w:t>Defensa Pública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33</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255</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488</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Por estrategia de la defensa pública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33</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78</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33</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 xml:space="preserve">   Ausencia de prueba determinante</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12</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lastRenderedPageBreak/>
              <w:t xml:space="preserve">   Pers. imputada no se acoge al programa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165</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250</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 xml:space="preserve">   No se logró ubicar imputado/a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115</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 xml:space="preserve">   Pers. imputada no se apersonó a la cita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77</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color w:val="000000"/>
                <w:lang w:val="en-US" w:eastAsia="en-US"/>
              </w:rPr>
            </w:pP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 </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 </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b/>
                <w:bCs/>
                <w:lang w:val="en-US" w:eastAsia="en-US"/>
              </w:rPr>
            </w:pPr>
            <w:r w:rsidRPr="000B366C">
              <w:rPr>
                <w:rFonts w:ascii="Book Antiqua" w:hAnsi="Book Antiqua"/>
                <w:b/>
                <w:bCs/>
                <w:lang w:val="en-US" w:eastAsia="en-US"/>
              </w:rPr>
              <w:t>Equipo Psicosocial</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23</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29</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50</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 xml:space="preserve">   Por criterio técnico-psicosocial</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23</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29</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50</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 </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 </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b/>
                <w:bCs/>
                <w:lang w:val="en-US" w:eastAsia="en-US"/>
              </w:rPr>
            </w:pPr>
            <w:r w:rsidRPr="000B366C">
              <w:rPr>
                <w:rFonts w:ascii="Book Antiqua" w:hAnsi="Book Antiqua"/>
                <w:b/>
                <w:bCs/>
                <w:lang w:val="en-US" w:eastAsia="en-US"/>
              </w:rPr>
              <w:t>Ministerio Público</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543</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631</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381</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 xml:space="preserve">   No acepta persona imputada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270</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162</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56</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 xml:space="preserve">   No acepta víctima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47</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85</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50</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 xml:space="preserve">   Falta viabilidad probatoria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14</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38</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No cumple con los requisitos de admisibilidad</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131</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203</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175</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No se logró ubicar a ofendido/a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22</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24</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No se logró ubicar a imputado/a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75</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121</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14</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Por estrategia de la defensa particular</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8</w:t>
            </w:r>
          </w:p>
        </w:tc>
      </w:tr>
      <w:tr w:rsidR="002C0ED4" w:rsidRPr="000B366C" w:rsidTr="002C0ED4">
        <w:trPr>
          <w:trHeight w:val="252"/>
          <w:jc w:val="center"/>
        </w:trPr>
        <w:tc>
          <w:tcPr>
            <w:tcW w:w="5100"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No se presenta a cita persona imputada</w:t>
            </w:r>
          </w:p>
        </w:tc>
        <w:tc>
          <w:tcPr>
            <w:tcW w:w="850"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nil"/>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1050" w:type="dxa"/>
            <w:tcBorders>
              <w:top w:val="nil"/>
              <w:left w:val="nil"/>
              <w:bottom w:val="nil"/>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29</w:t>
            </w:r>
          </w:p>
        </w:tc>
      </w:tr>
      <w:tr w:rsidR="002C0ED4" w:rsidRPr="000B366C" w:rsidTr="002C0ED4">
        <w:trPr>
          <w:trHeight w:val="252"/>
          <w:jc w:val="center"/>
        </w:trPr>
        <w:tc>
          <w:tcPr>
            <w:tcW w:w="5100" w:type="dxa"/>
            <w:tcBorders>
              <w:top w:val="nil"/>
              <w:left w:val="nil"/>
              <w:bottom w:val="single" w:sz="4" w:space="0" w:color="auto"/>
              <w:right w:val="nil"/>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Pers. imputada no se apersonó a la cita</w:t>
            </w:r>
          </w:p>
        </w:tc>
        <w:tc>
          <w:tcPr>
            <w:tcW w:w="850" w:type="dxa"/>
            <w:tcBorders>
              <w:top w:val="nil"/>
              <w:left w:val="single" w:sz="4" w:space="0" w:color="auto"/>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850" w:type="dxa"/>
            <w:tcBorders>
              <w:top w:val="nil"/>
              <w:left w:val="nil"/>
              <w:bottom w:val="single" w:sz="4" w:space="0" w:color="auto"/>
              <w:right w:val="single" w:sz="4" w:space="0" w:color="auto"/>
            </w:tcBorders>
            <w:shd w:val="clear" w:color="000000"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1050" w:type="dxa"/>
            <w:tcBorders>
              <w:top w:val="nil"/>
              <w:left w:val="nil"/>
              <w:bottom w:val="single" w:sz="4" w:space="0" w:color="auto"/>
              <w:right w:val="nil"/>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12</w:t>
            </w:r>
          </w:p>
        </w:tc>
      </w:tr>
      <w:tr w:rsidR="002C0ED4" w:rsidRPr="000B366C" w:rsidTr="002C0ED4">
        <w:trPr>
          <w:trHeight w:val="252"/>
          <w:jc w:val="center"/>
        </w:trPr>
        <w:tc>
          <w:tcPr>
            <w:tcW w:w="5950" w:type="dxa"/>
            <w:gridSpan w:val="2"/>
            <w:tcBorders>
              <w:top w:val="nil"/>
              <w:left w:val="nil"/>
              <w:bottom w:val="nil"/>
              <w:right w:val="nil"/>
            </w:tcBorders>
            <w:shd w:val="clear" w:color="auto" w:fill="auto"/>
            <w:noWrap/>
            <w:vAlign w:val="bottom"/>
            <w:hideMark/>
          </w:tcPr>
          <w:p w:rsidR="002C0ED4"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p w:rsidR="00E15E85" w:rsidRDefault="00E15E85" w:rsidP="002C0ED4">
            <w:pPr>
              <w:rPr>
                <w:rFonts w:ascii="Book Antiqua" w:hAnsi="Book Antiqua"/>
                <w:color w:val="000000"/>
                <w:lang w:eastAsia="en-US"/>
              </w:rPr>
            </w:pPr>
          </w:p>
          <w:p w:rsidR="00E15E85" w:rsidRPr="000B366C" w:rsidRDefault="00E15E85" w:rsidP="002C0ED4">
            <w:pPr>
              <w:rPr>
                <w:rFonts w:ascii="Book Antiqua" w:hAnsi="Book Antiqua"/>
                <w:color w:val="000000"/>
                <w:lang w:eastAsia="en-US"/>
              </w:rPr>
            </w:pPr>
          </w:p>
        </w:tc>
        <w:tc>
          <w:tcPr>
            <w:tcW w:w="850"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p>
        </w:tc>
        <w:tc>
          <w:tcPr>
            <w:tcW w:w="1050"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lang w:eastAsia="en-US"/>
              </w:rPr>
            </w:pPr>
          </w:p>
        </w:tc>
      </w:tr>
    </w:tbl>
    <w:p w:rsidR="002C0ED4" w:rsidRPr="000B366C" w:rsidRDefault="002C0ED4" w:rsidP="002C0ED4">
      <w:pPr>
        <w:pStyle w:val="Prrafodelista"/>
        <w:numPr>
          <w:ilvl w:val="0"/>
          <w:numId w:val="33"/>
        </w:numPr>
        <w:spacing w:line="360" w:lineRule="auto"/>
        <w:ind w:left="426" w:hanging="426"/>
        <w:contextualSpacing/>
        <w:jc w:val="both"/>
        <w:rPr>
          <w:rFonts w:ascii="Book Antiqua" w:hAnsi="Book Antiqua" w:cs="Times New Roman"/>
          <w:b/>
        </w:rPr>
      </w:pPr>
      <w:r w:rsidRPr="000B366C">
        <w:rPr>
          <w:rFonts w:ascii="Book Antiqua" w:hAnsi="Book Antiqua" w:cs="Times New Roman"/>
          <w:b/>
          <w:lang w:val="es-CR"/>
        </w:rPr>
        <w:t>CIRCULANTE AL FINALIZAR EL AÑO</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El Programa de Justicia Restaurativa acumuló un circulante de 357 expedientes al finalizar el 2017, de los cuales la mayor cantidad, se concentran en Pavas con un 39% y en Pococí con un 25%. En el siguiente gráfico se puede apreciar las cantidades de asuntos pendientes de finalizar por despacho.</w:t>
      </w:r>
    </w:p>
    <w:p w:rsidR="002C0ED4" w:rsidRPr="000B366C" w:rsidRDefault="002C0ED4" w:rsidP="002C0ED4">
      <w:pPr>
        <w:spacing w:line="360" w:lineRule="auto"/>
        <w:jc w:val="both"/>
        <w:rPr>
          <w:rFonts w:ascii="Book Antiqua" w:hAnsi="Book Antiqua"/>
        </w:rPr>
      </w:pPr>
    </w:p>
    <w:tbl>
      <w:tblPr>
        <w:tblW w:w="5996" w:type="dxa"/>
        <w:tblInd w:w="1951" w:type="dxa"/>
        <w:tblLook w:val="04A0" w:firstRow="1" w:lastRow="0" w:firstColumn="1" w:lastColumn="0" w:noHBand="0" w:noVBand="1"/>
      </w:tblPr>
      <w:tblGrid>
        <w:gridCol w:w="4154"/>
        <w:gridCol w:w="696"/>
        <w:gridCol w:w="696"/>
        <w:gridCol w:w="696"/>
      </w:tblGrid>
      <w:tr w:rsidR="002C0ED4" w:rsidRPr="000B366C" w:rsidTr="002C0ED4">
        <w:trPr>
          <w:trHeight w:val="458"/>
        </w:trPr>
        <w:tc>
          <w:tcPr>
            <w:tcW w:w="5996" w:type="dxa"/>
            <w:gridSpan w:val="4"/>
            <w:tcBorders>
              <w:top w:val="nil"/>
              <w:left w:val="nil"/>
              <w:bottom w:val="single" w:sz="4" w:space="0" w:color="auto"/>
              <w:right w:val="nil"/>
            </w:tcBorders>
            <w:shd w:val="clear" w:color="auto" w:fill="auto"/>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8</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Circulante final, por Circuito Judicial para el programa de Justicia Restaurativa, desde el 2015.</w:t>
            </w:r>
          </w:p>
        </w:tc>
      </w:tr>
      <w:tr w:rsidR="002C0ED4" w:rsidRPr="000B366C" w:rsidTr="002C0ED4">
        <w:trPr>
          <w:trHeight w:val="199"/>
        </w:trPr>
        <w:tc>
          <w:tcPr>
            <w:tcW w:w="4154" w:type="dxa"/>
            <w:vMerge w:val="restart"/>
            <w:tcBorders>
              <w:top w:val="nil"/>
              <w:left w:val="nil"/>
              <w:bottom w:val="single" w:sz="4" w:space="0" w:color="000000"/>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Sede u Oficina</w:t>
            </w:r>
          </w:p>
        </w:tc>
        <w:tc>
          <w:tcPr>
            <w:tcW w:w="1842" w:type="dxa"/>
            <w:gridSpan w:val="3"/>
            <w:tcBorders>
              <w:top w:val="single" w:sz="4" w:space="0" w:color="auto"/>
              <w:left w:val="nil"/>
              <w:bottom w:val="single" w:sz="4" w:space="0" w:color="auto"/>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Circulante</w:t>
            </w:r>
          </w:p>
        </w:tc>
      </w:tr>
      <w:tr w:rsidR="002C0ED4" w:rsidRPr="000B366C" w:rsidTr="002C0ED4">
        <w:trPr>
          <w:trHeight w:val="209"/>
        </w:trPr>
        <w:tc>
          <w:tcPr>
            <w:tcW w:w="4154" w:type="dxa"/>
            <w:vMerge/>
            <w:tcBorders>
              <w:top w:val="nil"/>
              <w:left w:val="nil"/>
              <w:bottom w:val="single" w:sz="4" w:space="0" w:color="000000"/>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614" w:type="dxa"/>
            <w:tcBorders>
              <w:top w:val="nil"/>
              <w:left w:val="nil"/>
              <w:bottom w:val="single" w:sz="4" w:space="0" w:color="auto"/>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2015</w:t>
            </w:r>
          </w:p>
        </w:tc>
        <w:tc>
          <w:tcPr>
            <w:tcW w:w="614" w:type="dxa"/>
            <w:tcBorders>
              <w:top w:val="nil"/>
              <w:left w:val="nil"/>
              <w:bottom w:val="single" w:sz="4" w:space="0" w:color="auto"/>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2016</w:t>
            </w:r>
          </w:p>
        </w:tc>
        <w:tc>
          <w:tcPr>
            <w:tcW w:w="614" w:type="dxa"/>
            <w:tcBorders>
              <w:top w:val="nil"/>
              <w:left w:val="nil"/>
              <w:bottom w:val="single" w:sz="4" w:space="0" w:color="auto"/>
              <w:right w:val="nil"/>
            </w:tcBorders>
            <w:shd w:val="clear" w:color="000000" w:fill="DDEBF7"/>
            <w:noWrap/>
            <w:vAlign w:val="bottom"/>
            <w:hideMark/>
          </w:tcPr>
          <w:p w:rsidR="002C0ED4" w:rsidRPr="000B366C" w:rsidRDefault="002C0ED4" w:rsidP="002C0ED4">
            <w:pPr>
              <w:jc w:val="right"/>
              <w:rPr>
                <w:rFonts w:ascii="Book Antiqua" w:hAnsi="Book Antiqua"/>
                <w:b/>
                <w:bCs/>
                <w:color w:val="000000"/>
                <w:lang w:val="en-US" w:eastAsia="en-US"/>
              </w:rPr>
            </w:pPr>
            <w:r w:rsidRPr="000B366C">
              <w:rPr>
                <w:rFonts w:ascii="Book Antiqua" w:hAnsi="Book Antiqua"/>
                <w:b/>
                <w:bCs/>
                <w:color w:val="000000"/>
                <w:lang w:val="en-US" w:eastAsia="en-US"/>
              </w:rPr>
              <w:t>2017</w:t>
            </w:r>
          </w:p>
        </w:tc>
      </w:tr>
      <w:tr w:rsidR="002C0ED4" w:rsidRPr="000B366C" w:rsidTr="002C0ED4">
        <w:trPr>
          <w:trHeight w:val="199"/>
        </w:trPr>
        <w:tc>
          <w:tcPr>
            <w:tcW w:w="4154" w:type="dxa"/>
            <w:tcBorders>
              <w:top w:val="nil"/>
              <w:left w:val="nil"/>
              <w:bottom w:val="nil"/>
              <w:right w:val="nil"/>
            </w:tcBorders>
            <w:shd w:val="clear" w:color="auto" w:fill="auto"/>
            <w:noWrap/>
            <w:vAlign w:val="center"/>
            <w:hideMark/>
          </w:tcPr>
          <w:p w:rsidR="002C0ED4" w:rsidRPr="000B366C" w:rsidRDefault="002C0ED4" w:rsidP="002C0ED4">
            <w:pPr>
              <w:jc w:val="right"/>
              <w:rPr>
                <w:rFonts w:ascii="Book Antiqua" w:hAnsi="Book Antiqua"/>
                <w:b/>
                <w:bCs/>
                <w:color w:val="000000"/>
                <w:lang w:val="en-US" w:eastAsia="en-US"/>
              </w:rPr>
            </w:pP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199"/>
        </w:trPr>
        <w:tc>
          <w:tcPr>
            <w:tcW w:w="4154"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Total</w:t>
            </w: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187</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n-US"/>
              </w:rPr>
              <w:t>221</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jc w:val="right"/>
              <w:rPr>
                <w:rFonts w:ascii="Book Antiqua" w:hAnsi="Book Antiqua"/>
                <w:b/>
                <w:bCs/>
                <w:color w:val="000000"/>
                <w:lang w:val="en-US" w:eastAsia="en-US"/>
              </w:rPr>
            </w:pPr>
            <w:r w:rsidRPr="000B366C">
              <w:rPr>
                <w:rFonts w:ascii="Book Antiqua" w:hAnsi="Book Antiqua"/>
                <w:b/>
                <w:bCs/>
                <w:color w:val="000000"/>
                <w:lang w:val="en-US" w:eastAsia="en-US"/>
              </w:rPr>
              <w:t>357</w:t>
            </w:r>
          </w:p>
        </w:tc>
      </w:tr>
      <w:tr w:rsidR="002C0ED4" w:rsidRPr="000B366C" w:rsidTr="002C0ED4">
        <w:trPr>
          <w:trHeight w:val="199"/>
        </w:trPr>
        <w:tc>
          <w:tcPr>
            <w:tcW w:w="4154" w:type="dxa"/>
            <w:tcBorders>
              <w:top w:val="nil"/>
              <w:left w:val="nil"/>
              <w:bottom w:val="nil"/>
              <w:right w:val="nil"/>
            </w:tcBorders>
            <w:shd w:val="clear" w:color="auto" w:fill="auto"/>
            <w:noWrap/>
            <w:vAlign w:val="center"/>
            <w:hideMark/>
          </w:tcPr>
          <w:p w:rsidR="002C0ED4" w:rsidRPr="000B366C" w:rsidRDefault="002C0ED4" w:rsidP="002C0ED4">
            <w:pPr>
              <w:jc w:val="right"/>
              <w:rPr>
                <w:rFonts w:ascii="Book Antiqua" w:hAnsi="Book Antiqua"/>
                <w:b/>
                <w:bCs/>
                <w:color w:val="000000"/>
                <w:lang w:val="en-US" w:eastAsia="en-US"/>
              </w:rPr>
            </w:pP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199"/>
        </w:trPr>
        <w:tc>
          <w:tcPr>
            <w:tcW w:w="4154"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lastRenderedPageBreak/>
              <w:t>II Circuito Judicial de San José</w:t>
            </w: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jc w:val="right"/>
              <w:rPr>
                <w:rFonts w:ascii="Book Antiqua" w:hAnsi="Book Antiqua"/>
                <w:color w:val="000000"/>
                <w:lang w:val="en-US" w:eastAsia="en-US"/>
              </w:rPr>
            </w:pPr>
            <w:r w:rsidRPr="000B366C">
              <w:rPr>
                <w:rFonts w:ascii="Book Antiqua" w:hAnsi="Book Antiqua"/>
                <w:color w:val="000000"/>
                <w:lang w:val="en-US" w:eastAsia="en-US"/>
              </w:rPr>
              <w:t>44</w:t>
            </w:r>
          </w:p>
        </w:tc>
      </w:tr>
      <w:tr w:rsidR="002C0ED4" w:rsidRPr="000B366C" w:rsidTr="002C0ED4">
        <w:trPr>
          <w:trHeight w:val="199"/>
        </w:trPr>
        <w:tc>
          <w:tcPr>
            <w:tcW w:w="4154"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San José (Flagrancia)</w:t>
            </w: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0</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jc w:val="right"/>
              <w:rPr>
                <w:rFonts w:ascii="Book Antiqua" w:hAnsi="Book Antiqua"/>
                <w:color w:val="000000"/>
                <w:lang w:val="en-US" w:eastAsia="en-US"/>
              </w:rPr>
            </w:pPr>
            <w:r w:rsidRPr="000B366C">
              <w:rPr>
                <w:rFonts w:ascii="Book Antiqua" w:hAnsi="Book Antiqua"/>
                <w:color w:val="000000"/>
                <w:lang w:val="en-US" w:eastAsia="en-US"/>
              </w:rPr>
              <w:t>10</w:t>
            </w:r>
          </w:p>
        </w:tc>
      </w:tr>
      <w:tr w:rsidR="002C0ED4" w:rsidRPr="000B366C" w:rsidTr="002C0ED4">
        <w:trPr>
          <w:trHeight w:val="199"/>
        </w:trPr>
        <w:tc>
          <w:tcPr>
            <w:tcW w:w="4154"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pt-BR" w:eastAsia="en-US"/>
              </w:rPr>
            </w:pPr>
            <w:r w:rsidRPr="000B366C">
              <w:rPr>
                <w:rFonts w:ascii="Book Antiqua" w:hAnsi="Book Antiqua"/>
                <w:color w:val="000000"/>
                <w:lang w:val="pt-BR" w:eastAsia="en-US"/>
              </w:rPr>
              <w:t>III Circuito Judicial San José (Pavas)</w:t>
            </w: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85</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150</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jc w:val="right"/>
              <w:rPr>
                <w:rFonts w:ascii="Book Antiqua" w:hAnsi="Book Antiqua"/>
                <w:color w:val="000000"/>
                <w:lang w:val="en-US" w:eastAsia="en-US"/>
              </w:rPr>
            </w:pPr>
            <w:r w:rsidRPr="000B366C">
              <w:rPr>
                <w:rFonts w:ascii="Book Antiqua" w:hAnsi="Book Antiqua"/>
                <w:color w:val="000000"/>
                <w:lang w:val="en-US" w:eastAsia="en-US"/>
              </w:rPr>
              <w:t>138</w:t>
            </w:r>
          </w:p>
        </w:tc>
      </w:tr>
      <w:tr w:rsidR="002C0ED4" w:rsidRPr="000B366C" w:rsidTr="002C0ED4">
        <w:trPr>
          <w:trHeight w:val="199"/>
        </w:trPr>
        <w:tc>
          <w:tcPr>
            <w:tcW w:w="4154"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Heredia</w:t>
            </w: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36</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34</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jc w:val="right"/>
              <w:rPr>
                <w:rFonts w:ascii="Book Antiqua" w:hAnsi="Book Antiqua"/>
                <w:color w:val="000000"/>
                <w:lang w:val="en-US" w:eastAsia="en-US"/>
              </w:rPr>
            </w:pPr>
            <w:r w:rsidRPr="000B366C">
              <w:rPr>
                <w:rFonts w:ascii="Book Antiqua" w:hAnsi="Book Antiqua"/>
                <w:color w:val="000000"/>
                <w:lang w:val="en-US" w:eastAsia="en-US"/>
              </w:rPr>
              <w:t>63</w:t>
            </w:r>
          </w:p>
        </w:tc>
      </w:tr>
      <w:tr w:rsidR="002C0ED4" w:rsidRPr="000B366C" w:rsidTr="002C0ED4">
        <w:trPr>
          <w:trHeight w:val="199"/>
        </w:trPr>
        <w:tc>
          <w:tcPr>
            <w:tcW w:w="4154"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 Circuito Judicial Zona Sur (Pérez Zeledón)</w:t>
            </w: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9</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10</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jc w:val="right"/>
              <w:rPr>
                <w:rFonts w:ascii="Book Antiqua" w:hAnsi="Book Antiqua"/>
                <w:color w:val="000000"/>
                <w:lang w:val="en-US" w:eastAsia="en-US"/>
              </w:rPr>
            </w:pPr>
            <w:r w:rsidRPr="000B366C">
              <w:rPr>
                <w:rFonts w:ascii="Book Antiqua" w:hAnsi="Book Antiqua"/>
                <w:color w:val="000000"/>
                <w:lang w:val="en-US" w:eastAsia="en-US"/>
              </w:rPr>
              <w:t>14</w:t>
            </w:r>
          </w:p>
        </w:tc>
      </w:tr>
      <w:tr w:rsidR="002C0ED4" w:rsidRPr="000B366C" w:rsidTr="002C0ED4">
        <w:trPr>
          <w:trHeight w:val="199"/>
        </w:trPr>
        <w:tc>
          <w:tcPr>
            <w:tcW w:w="4154"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Zona Atlántica (Pococí)</w:t>
            </w:r>
          </w:p>
        </w:tc>
        <w:tc>
          <w:tcPr>
            <w:tcW w:w="614" w:type="dxa"/>
            <w:tcBorders>
              <w:top w:val="nil"/>
              <w:left w:val="single" w:sz="4" w:space="0" w:color="auto"/>
              <w:bottom w:val="nil"/>
              <w:right w:val="single" w:sz="4" w:space="0" w:color="auto"/>
            </w:tcBorders>
            <w:shd w:val="clear" w:color="000000" w:fill="DDEBF7"/>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57</w:t>
            </w:r>
          </w:p>
        </w:tc>
        <w:tc>
          <w:tcPr>
            <w:tcW w:w="614" w:type="dxa"/>
            <w:tcBorders>
              <w:top w:val="nil"/>
              <w:left w:val="nil"/>
              <w:bottom w:val="nil"/>
              <w:right w:val="single" w:sz="4" w:space="0" w:color="auto"/>
            </w:tcBorders>
            <w:shd w:val="clear" w:color="000000" w:fill="FFF2CC"/>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n-US"/>
              </w:rPr>
              <w:t>27</w:t>
            </w:r>
          </w:p>
        </w:tc>
        <w:tc>
          <w:tcPr>
            <w:tcW w:w="614" w:type="dxa"/>
            <w:tcBorders>
              <w:top w:val="nil"/>
              <w:left w:val="nil"/>
              <w:bottom w:val="nil"/>
              <w:right w:val="nil"/>
            </w:tcBorders>
            <w:shd w:val="clear" w:color="000000" w:fill="DDEBF7"/>
            <w:noWrap/>
            <w:vAlign w:val="bottom"/>
            <w:hideMark/>
          </w:tcPr>
          <w:p w:rsidR="002C0ED4" w:rsidRPr="000B366C" w:rsidRDefault="002C0ED4" w:rsidP="002C0ED4">
            <w:pPr>
              <w:jc w:val="right"/>
              <w:rPr>
                <w:rFonts w:ascii="Book Antiqua" w:hAnsi="Book Antiqua"/>
                <w:color w:val="000000"/>
                <w:lang w:val="en-US" w:eastAsia="en-US"/>
              </w:rPr>
            </w:pPr>
            <w:r w:rsidRPr="000B366C">
              <w:rPr>
                <w:rFonts w:ascii="Book Antiqua" w:hAnsi="Book Antiqua"/>
                <w:color w:val="000000"/>
                <w:lang w:val="en-US" w:eastAsia="en-US"/>
              </w:rPr>
              <w:t>88</w:t>
            </w:r>
          </w:p>
        </w:tc>
      </w:tr>
      <w:tr w:rsidR="002C0ED4" w:rsidRPr="000B366C" w:rsidTr="002C0ED4">
        <w:trPr>
          <w:trHeight w:val="209"/>
        </w:trPr>
        <w:tc>
          <w:tcPr>
            <w:tcW w:w="4154" w:type="dxa"/>
            <w:tcBorders>
              <w:top w:val="nil"/>
              <w:left w:val="nil"/>
              <w:bottom w:val="single" w:sz="8" w:space="0" w:color="auto"/>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614" w:type="dxa"/>
            <w:tcBorders>
              <w:top w:val="nil"/>
              <w:left w:val="single" w:sz="4" w:space="0" w:color="auto"/>
              <w:bottom w:val="single" w:sz="4" w:space="0" w:color="auto"/>
              <w:right w:val="single" w:sz="4" w:space="0" w:color="auto"/>
            </w:tcBorders>
            <w:shd w:val="clear" w:color="000000" w:fill="DDEBF7"/>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614" w:type="dxa"/>
            <w:tcBorders>
              <w:top w:val="nil"/>
              <w:left w:val="nil"/>
              <w:bottom w:val="single" w:sz="4" w:space="0" w:color="auto"/>
              <w:right w:val="single" w:sz="4" w:space="0" w:color="auto"/>
            </w:tcBorders>
            <w:shd w:val="clear" w:color="000000" w:fill="FFF2CC"/>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n-US"/>
              </w:rPr>
              <w:t> </w:t>
            </w:r>
          </w:p>
        </w:tc>
        <w:tc>
          <w:tcPr>
            <w:tcW w:w="614" w:type="dxa"/>
            <w:tcBorders>
              <w:top w:val="nil"/>
              <w:left w:val="nil"/>
              <w:bottom w:val="single" w:sz="4" w:space="0" w:color="auto"/>
              <w:right w:val="nil"/>
            </w:tcBorders>
            <w:shd w:val="clear" w:color="000000" w:fill="DDEBF7"/>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199"/>
        </w:trPr>
        <w:tc>
          <w:tcPr>
            <w:tcW w:w="5996" w:type="dxa"/>
            <w:gridSpan w:val="4"/>
            <w:tcBorders>
              <w:top w:val="nil"/>
              <w:left w:val="nil"/>
              <w:bottom w:val="nil"/>
              <w:right w:val="nil"/>
            </w:tcBorders>
            <w:shd w:val="clear" w:color="auto" w:fill="auto"/>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tc>
      </w:tr>
    </w:tbl>
    <w:p w:rsidR="00E15E85" w:rsidRDefault="00E15E85"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En el siguiente gráfico se ilustra la evolución del circulante asociado a este proyecto, al culminar cada uno de los períodos, notando como para el 2017 se produce un aumento de 136 asuntos, es decir, aumentó un 62%. Adicionalmente es importante notar como a partir del 2014 se presenta una tendencia al alza.</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center"/>
        <w:rPr>
          <w:rFonts w:ascii="Book Antiqua" w:hAnsi="Book Antiqua"/>
        </w:rPr>
      </w:pPr>
      <w:r w:rsidRPr="000B366C">
        <w:rPr>
          <w:rFonts w:ascii="Book Antiqua" w:hAnsi="Book Antiqua"/>
          <w:noProof/>
        </w:rPr>
        <w:drawing>
          <wp:inline distT="0" distB="0" distL="0" distR="0">
            <wp:extent cx="4561205" cy="255206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0ED4" w:rsidRPr="000B366C" w:rsidRDefault="002C0ED4" w:rsidP="002C0ED4">
      <w:pPr>
        <w:spacing w:line="360" w:lineRule="auto"/>
        <w:jc w:val="both"/>
        <w:rPr>
          <w:rFonts w:ascii="Book Antiqua" w:hAnsi="Book Antiqua"/>
        </w:rPr>
      </w:pPr>
    </w:p>
    <w:p w:rsidR="002C0ED4" w:rsidRPr="000B366C" w:rsidRDefault="002C0ED4" w:rsidP="002C0ED4">
      <w:pPr>
        <w:pStyle w:val="Prrafodelista"/>
        <w:numPr>
          <w:ilvl w:val="0"/>
          <w:numId w:val="33"/>
        </w:numPr>
        <w:spacing w:line="360" w:lineRule="auto"/>
        <w:ind w:left="567" w:hanging="567"/>
        <w:contextualSpacing/>
        <w:jc w:val="both"/>
        <w:rPr>
          <w:rFonts w:ascii="Book Antiqua" w:hAnsi="Book Antiqua" w:cs="Times New Roman"/>
          <w:b/>
        </w:rPr>
      </w:pPr>
      <w:r w:rsidRPr="000B366C">
        <w:rPr>
          <w:rFonts w:ascii="Book Antiqua" w:hAnsi="Book Antiqua" w:cs="Times New Roman"/>
          <w:b/>
          <w:lang w:val="es-CR"/>
        </w:rPr>
        <w:t>PERSONAS ATENDIDAS EN EL PROGRAMA</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lastRenderedPageBreak/>
        <w:t>El Programa de Justicia Restaurativa atendió un total de 4854 personas, 351 más que en el 2017. En el siguiente cuadro se puede observar el total de persona atendidas por cada despacho para el 2017, siendo III Circuito Judicial de San José (pavas) y Heredia, lo que atendieron mayor cantidad con 1058 y 1028, respectivamente:</w:t>
      </w:r>
    </w:p>
    <w:tbl>
      <w:tblPr>
        <w:tblW w:w="8649" w:type="dxa"/>
        <w:jc w:val="center"/>
        <w:tblLook w:val="04A0" w:firstRow="1" w:lastRow="0" w:firstColumn="1" w:lastColumn="0" w:noHBand="0" w:noVBand="1"/>
      </w:tblPr>
      <w:tblGrid>
        <w:gridCol w:w="4057"/>
        <w:gridCol w:w="1027"/>
        <w:gridCol w:w="1416"/>
        <w:gridCol w:w="1026"/>
        <w:gridCol w:w="1123"/>
      </w:tblGrid>
      <w:tr w:rsidR="002C0ED4" w:rsidRPr="000B366C" w:rsidTr="00E15E85">
        <w:trPr>
          <w:trHeight w:val="462"/>
          <w:jc w:val="center"/>
        </w:trPr>
        <w:tc>
          <w:tcPr>
            <w:tcW w:w="8649" w:type="dxa"/>
            <w:gridSpan w:val="5"/>
            <w:tcBorders>
              <w:top w:val="nil"/>
              <w:left w:val="nil"/>
              <w:bottom w:val="single" w:sz="4" w:space="0" w:color="auto"/>
              <w:right w:val="nil"/>
            </w:tcBorders>
            <w:shd w:val="clear" w:color="auto" w:fill="auto"/>
            <w:vAlign w:val="bottom"/>
            <w:hideMark/>
          </w:tcPr>
          <w:p w:rsidR="00E15E85" w:rsidRDefault="00E15E85" w:rsidP="002C0ED4">
            <w:pPr>
              <w:jc w:val="center"/>
              <w:rPr>
                <w:rFonts w:ascii="Book Antiqua" w:hAnsi="Book Antiqua"/>
                <w:color w:val="000000"/>
                <w:lang w:eastAsia="en-US"/>
              </w:rPr>
            </w:pP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9</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Cantidad de personas atendidas, por Circuito Judicial, en el Programa de Justicia Restaurativa, en el 2017*</w:t>
            </w:r>
          </w:p>
        </w:tc>
      </w:tr>
      <w:tr w:rsidR="002C0ED4" w:rsidRPr="000B366C" w:rsidTr="00E15E85">
        <w:trPr>
          <w:trHeight w:val="220"/>
          <w:jc w:val="center"/>
        </w:trPr>
        <w:tc>
          <w:tcPr>
            <w:tcW w:w="4057" w:type="dxa"/>
            <w:vMerge w:val="restart"/>
            <w:tcBorders>
              <w:top w:val="nil"/>
              <w:left w:val="nil"/>
              <w:bottom w:val="single" w:sz="4" w:space="0" w:color="auto"/>
              <w:right w:val="single" w:sz="4" w:space="0" w:color="auto"/>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Oficina</w:t>
            </w:r>
          </w:p>
        </w:tc>
        <w:tc>
          <w:tcPr>
            <w:tcW w:w="1027" w:type="dxa"/>
            <w:vMerge w:val="restart"/>
            <w:tcBorders>
              <w:top w:val="nil"/>
              <w:left w:val="single" w:sz="4" w:space="0" w:color="auto"/>
              <w:bottom w:val="single" w:sz="4" w:space="0" w:color="000000"/>
              <w:right w:val="single" w:sz="4" w:space="0" w:color="auto"/>
            </w:tcBorders>
            <w:shd w:val="clear" w:color="auto" w:fill="DEEAF6"/>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Total</w:t>
            </w:r>
          </w:p>
        </w:tc>
        <w:tc>
          <w:tcPr>
            <w:tcW w:w="3565" w:type="dxa"/>
            <w:gridSpan w:val="3"/>
            <w:tcBorders>
              <w:top w:val="single" w:sz="4" w:space="0" w:color="auto"/>
              <w:left w:val="nil"/>
              <w:bottom w:val="single" w:sz="4" w:space="0" w:color="auto"/>
              <w:right w:val="nil"/>
            </w:tcBorders>
            <w:shd w:val="clear" w:color="auto" w:fill="DEEAF6"/>
            <w:noWrap/>
            <w:vAlign w:val="center"/>
            <w:hideMark/>
          </w:tcPr>
          <w:p w:rsidR="002C0ED4" w:rsidRPr="000B366C" w:rsidRDefault="002C0ED4" w:rsidP="002C0ED4">
            <w:pPr>
              <w:jc w:val="center"/>
              <w:rPr>
                <w:rFonts w:ascii="Book Antiqua" w:hAnsi="Book Antiqua"/>
                <w:b/>
                <w:bCs/>
                <w:color w:val="000000"/>
                <w:lang w:eastAsia="en-US"/>
              </w:rPr>
            </w:pPr>
            <w:r w:rsidRPr="000B366C">
              <w:rPr>
                <w:rFonts w:ascii="Book Antiqua" w:hAnsi="Book Antiqua"/>
                <w:b/>
                <w:bCs/>
                <w:color w:val="000000"/>
                <w:lang w:eastAsia="en-US"/>
              </w:rPr>
              <w:t>Cantidad de personas Atendidas por:</w:t>
            </w:r>
          </w:p>
        </w:tc>
      </w:tr>
      <w:tr w:rsidR="002C0ED4" w:rsidRPr="000B366C" w:rsidTr="00E15E85">
        <w:trPr>
          <w:trHeight w:val="418"/>
          <w:jc w:val="center"/>
        </w:trPr>
        <w:tc>
          <w:tcPr>
            <w:tcW w:w="4057" w:type="dxa"/>
            <w:vMerge/>
            <w:tcBorders>
              <w:top w:val="nil"/>
              <w:left w:val="nil"/>
              <w:bottom w:val="single" w:sz="4" w:space="0" w:color="auto"/>
              <w:right w:val="single" w:sz="4" w:space="0" w:color="auto"/>
            </w:tcBorders>
            <w:shd w:val="clear" w:color="auto" w:fill="DEEAF6"/>
            <w:vAlign w:val="center"/>
            <w:hideMark/>
          </w:tcPr>
          <w:p w:rsidR="002C0ED4" w:rsidRPr="000B366C" w:rsidRDefault="002C0ED4" w:rsidP="002C0ED4">
            <w:pPr>
              <w:rPr>
                <w:rFonts w:ascii="Book Antiqua" w:hAnsi="Book Antiqua"/>
                <w:b/>
                <w:bCs/>
                <w:color w:val="000000"/>
                <w:lang w:eastAsia="en-US"/>
              </w:rPr>
            </w:pPr>
          </w:p>
        </w:tc>
        <w:tc>
          <w:tcPr>
            <w:tcW w:w="1027" w:type="dxa"/>
            <w:vMerge/>
            <w:tcBorders>
              <w:top w:val="nil"/>
              <w:left w:val="single" w:sz="4" w:space="0" w:color="auto"/>
              <w:bottom w:val="single" w:sz="4" w:space="0" w:color="000000"/>
              <w:right w:val="single" w:sz="4" w:space="0" w:color="auto"/>
            </w:tcBorders>
            <w:shd w:val="clear" w:color="auto" w:fill="DEEAF6"/>
            <w:vAlign w:val="center"/>
            <w:hideMark/>
          </w:tcPr>
          <w:p w:rsidR="002C0ED4" w:rsidRPr="000B366C" w:rsidRDefault="002C0ED4" w:rsidP="002C0ED4">
            <w:pPr>
              <w:rPr>
                <w:rFonts w:ascii="Book Antiqua" w:hAnsi="Book Antiqua"/>
                <w:b/>
                <w:bCs/>
                <w:color w:val="000000"/>
                <w:lang w:eastAsia="en-US"/>
              </w:rPr>
            </w:pPr>
          </w:p>
        </w:tc>
        <w:tc>
          <w:tcPr>
            <w:tcW w:w="1416" w:type="dxa"/>
            <w:tcBorders>
              <w:top w:val="nil"/>
              <w:left w:val="nil"/>
              <w:bottom w:val="single" w:sz="4" w:space="0" w:color="auto"/>
              <w:right w:val="single" w:sz="4" w:space="0" w:color="auto"/>
            </w:tcBorders>
            <w:shd w:val="clear" w:color="auto" w:fill="DEEAF6"/>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Equipo Psicosocial</w:t>
            </w:r>
          </w:p>
        </w:tc>
        <w:tc>
          <w:tcPr>
            <w:tcW w:w="1026" w:type="dxa"/>
            <w:tcBorders>
              <w:top w:val="nil"/>
              <w:left w:val="nil"/>
              <w:bottom w:val="single" w:sz="4" w:space="0" w:color="auto"/>
              <w:right w:val="single" w:sz="4" w:space="0" w:color="auto"/>
            </w:tcBorders>
            <w:shd w:val="clear" w:color="auto" w:fill="DEEAF6"/>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Fiscal</w:t>
            </w:r>
          </w:p>
        </w:tc>
        <w:tc>
          <w:tcPr>
            <w:tcW w:w="1123" w:type="dxa"/>
            <w:tcBorders>
              <w:top w:val="nil"/>
              <w:left w:val="nil"/>
              <w:bottom w:val="single" w:sz="4" w:space="0" w:color="auto"/>
              <w:right w:val="nil"/>
            </w:tcBorders>
            <w:shd w:val="clear" w:color="auto" w:fill="DEEAF6"/>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Defensa Pública</w:t>
            </w:r>
          </w:p>
        </w:tc>
      </w:tr>
      <w:tr w:rsidR="002C0ED4" w:rsidRPr="000B366C" w:rsidTr="00E15E85">
        <w:trPr>
          <w:trHeight w:val="220"/>
          <w:jc w:val="center"/>
        </w:trPr>
        <w:tc>
          <w:tcPr>
            <w:tcW w:w="4057"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1027" w:type="dxa"/>
            <w:tcBorders>
              <w:top w:val="nil"/>
              <w:left w:val="single" w:sz="4" w:space="0" w:color="auto"/>
              <w:bottom w:val="nil"/>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1416"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1026" w:type="dxa"/>
            <w:tcBorders>
              <w:top w:val="nil"/>
              <w:left w:val="single" w:sz="4" w:space="0" w:color="auto"/>
              <w:bottom w:val="nil"/>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 </w:t>
            </w:r>
          </w:p>
        </w:tc>
        <w:tc>
          <w:tcPr>
            <w:tcW w:w="1123"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r>
      <w:tr w:rsidR="002C0ED4" w:rsidRPr="000B366C" w:rsidTr="00E15E85">
        <w:trPr>
          <w:trHeight w:val="220"/>
          <w:jc w:val="center"/>
        </w:trPr>
        <w:tc>
          <w:tcPr>
            <w:tcW w:w="4057"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Total</w:t>
            </w:r>
          </w:p>
        </w:tc>
        <w:tc>
          <w:tcPr>
            <w:tcW w:w="1027"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4854</w:t>
            </w:r>
          </w:p>
        </w:tc>
        <w:tc>
          <w:tcPr>
            <w:tcW w:w="1416"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2083</w:t>
            </w:r>
          </w:p>
        </w:tc>
        <w:tc>
          <w:tcPr>
            <w:tcW w:w="1026" w:type="dxa"/>
            <w:tcBorders>
              <w:top w:val="nil"/>
              <w:left w:val="single" w:sz="4" w:space="0" w:color="auto"/>
              <w:bottom w:val="nil"/>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1173</w:t>
            </w:r>
          </w:p>
        </w:tc>
        <w:tc>
          <w:tcPr>
            <w:tcW w:w="1123"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1598</w:t>
            </w:r>
          </w:p>
        </w:tc>
      </w:tr>
      <w:tr w:rsidR="002C0ED4" w:rsidRPr="000B366C" w:rsidTr="00E15E85">
        <w:trPr>
          <w:trHeight w:val="220"/>
          <w:jc w:val="center"/>
        </w:trPr>
        <w:tc>
          <w:tcPr>
            <w:tcW w:w="4057" w:type="dxa"/>
            <w:tcBorders>
              <w:top w:val="nil"/>
              <w:left w:val="nil"/>
              <w:bottom w:val="nil"/>
              <w:right w:val="nil"/>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p>
        </w:tc>
        <w:tc>
          <w:tcPr>
            <w:tcW w:w="1027"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416"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p>
        </w:tc>
        <w:tc>
          <w:tcPr>
            <w:tcW w:w="1026"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123"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p>
        </w:tc>
      </w:tr>
      <w:tr w:rsidR="002C0ED4" w:rsidRPr="000B366C" w:rsidTr="00E15E85">
        <w:trPr>
          <w:trHeight w:val="220"/>
          <w:jc w:val="center"/>
        </w:trPr>
        <w:tc>
          <w:tcPr>
            <w:tcW w:w="4057"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San José</w:t>
            </w:r>
          </w:p>
        </w:tc>
        <w:tc>
          <w:tcPr>
            <w:tcW w:w="1027"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627</w:t>
            </w:r>
          </w:p>
        </w:tc>
        <w:tc>
          <w:tcPr>
            <w:tcW w:w="141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280</w:t>
            </w:r>
          </w:p>
        </w:tc>
        <w:tc>
          <w:tcPr>
            <w:tcW w:w="1026"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191</w:t>
            </w:r>
          </w:p>
        </w:tc>
        <w:tc>
          <w:tcPr>
            <w:tcW w:w="1123"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156</w:t>
            </w:r>
          </w:p>
        </w:tc>
      </w:tr>
      <w:tr w:rsidR="002C0ED4" w:rsidRPr="000B366C" w:rsidTr="00E15E85">
        <w:trPr>
          <w:trHeight w:val="220"/>
          <w:jc w:val="center"/>
        </w:trPr>
        <w:tc>
          <w:tcPr>
            <w:tcW w:w="4057"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San José (flagrancia)</w:t>
            </w:r>
          </w:p>
        </w:tc>
        <w:tc>
          <w:tcPr>
            <w:tcW w:w="1027"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449</w:t>
            </w:r>
          </w:p>
        </w:tc>
        <w:tc>
          <w:tcPr>
            <w:tcW w:w="141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207</w:t>
            </w:r>
          </w:p>
        </w:tc>
        <w:tc>
          <w:tcPr>
            <w:tcW w:w="1026"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107</w:t>
            </w:r>
          </w:p>
        </w:tc>
        <w:tc>
          <w:tcPr>
            <w:tcW w:w="1123"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135</w:t>
            </w:r>
          </w:p>
        </w:tc>
      </w:tr>
      <w:tr w:rsidR="002C0ED4" w:rsidRPr="000B366C" w:rsidTr="00E15E85">
        <w:trPr>
          <w:trHeight w:val="220"/>
          <w:jc w:val="center"/>
        </w:trPr>
        <w:tc>
          <w:tcPr>
            <w:tcW w:w="4057"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III Circuito Judicial de San José (pavas)</w:t>
            </w:r>
          </w:p>
        </w:tc>
        <w:tc>
          <w:tcPr>
            <w:tcW w:w="1027"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1058</w:t>
            </w:r>
          </w:p>
        </w:tc>
        <w:tc>
          <w:tcPr>
            <w:tcW w:w="141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445</w:t>
            </w:r>
          </w:p>
        </w:tc>
        <w:tc>
          <w:tcPr>
            <w:tcW w:w="1026"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178</w:t>
            </w:r>
          </w:p>
        </w:tc>
        <w:tc>
          <w:tcPr>
            <w:tcW w:w="1123"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435</w:t>
            </w:r>
          </w:p>
        </w:tc>
      </w:tr>
      <w:tr w:rsidR="002C0ED4" w:rsidRPr="000B366C" w:rsidTr="00E15E85">
        <w:trPr>
          <w:trHeight w:val="220"/>
          <w:jc w:val="center"/>
        </w:trPr>
        <w:tc>
          <w:tcPr>
            <w:tcW w:w="4057"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Heredia</w:t>
            </w:r>
          </w:p>
        </w:tc>
        <w:tc>
          <w:tcPr>
            <w:tcW w:w="1027"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1028</w:t>
            </w:r>
          </w:p>
        </w:tc>
        <w:tc>
          <w:tcPr>
            <w:tcW w:w="141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419</w:t>
            </w:r>
          </w:p>
        </w:tc>
        <w:tc>
          <w:tcPr>
            <w:tcW w:w="1026"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314</w:t>
            </w:r>
          </w:p>
        </w:tc>
        <w:tc>
          <w:tcPr>
            <w:tcW w:w="1123"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295</w:t>
            </w:r>
          </w:p>
        </w:tc>
      </w:tr>
      <w:tr w:rsidR="002C0ED4" w:rsidRPr="000B366C" w:rsidTr="00E15E85">
        <w:trPr>
          <w:trHeight w:val="220"/>
          <w:jc w:val="center"/>
        </w:trPr>
        <w:tc>
          <w:tcPr>
            <w:tcW w:w="4057" w:type="dxa"/>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val="pt-BR" w:eastAsia="en-US"/>
              </w:rPr>
            </w:pPr>
            <w:r w:rsidRPr="000B366C">
              <w:rPr>
                <w:rFonts w:ascii="Book Antiqua" w:hAnsi="Book Antiqua"/>
                <w:color w:val="000000"/>
                <w:lang w:val="pt-BR" w:eastAsia="en-US"/>
              </w:rPr>
              <w:t>I Circuito Judicial de Zona Sur</w:t>
            </w:r>
          </w:p>
        </w:tc>
        <w:tc>
          <w:tcPr>
            <w:tcW w:w="1027"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900</w:t>
            </w:r>
          </w:p>
        </w:tc>
        <w:tc>
          <w:tcPr>
            <w:tcW w:w="1416"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370</w:t>
            </w:r>
          </w:p>
        </w:tc>
        <w:tc>
          <w:tcPr>
            <w:tcW w:w="1026" w:type="dxa"/>
            <w:tcBorders>
              <w:top w:val="nil"/>
              <w:left w:val="single" w:sz="4" w:space="0" w:color="auto"/>
              <w:bottom w:val="nil"/>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224</w:t>
            </w:r>
          </w:p>
        </w:tc>
        <w:tc>
          <w:tcPr>
            <w:tcW w:w="1123"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306</w:t>
            </w:r>
          </w:p>
        </w:tc>
      </w:tr>
      <w:tr w:rsidR="002C0ED4" w:rsidRPr="000B366C" w:rsidTr="00E15E85">
        <w:trPr>
          <w:trHeight w:val="220"/>
          <w:jc w:val="center"/>
        </w:trPr>
        <w:tc>
          <w:tcPr>
            <w:tcW w:w="4057" w:type="dxa"/>
            <w:tcBorders>
              <w:top w:val="nil"/>
              <w:left w:val="nil"/>
              <w:bottom w:val="single" w:sz="4" w:space="0" w:color="auto"/>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II Circuito Judicial de la Zona Atlántica</w:t>
            </w:r>
          </w:p>
        </w:tc>
        <w:tc>
          <w:tcPr>
            <w:tcW w:w="1027" w:type="dxa"/>
            <w:tcBorders>
              <w:top w:val="nil"/>
              <w:left w:val="single" w:sz="4" w:space="0" w:color="auto"/>
              <w:bottom w:val="single" w:sz="4" w:space="0" w:color="auto"/>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792</w:t>
            </w:r>
          </w:p>
        </w:tc>
        <w:tc>
          <w:tcPr>
            <w:tcW w:w="1416" w:type="dxa"/>
            <w:tcBorders>
              <w:top w:val="nil"/>
              <w:left w:val="nil"/>
              <w:bottom w:val="single" w:sz="4" w:space="0" w:color="auto"/>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362</w:t>
            </w:r>
          </w:p>
        </w:tc>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159</w:t>
            </w:r>
          </w:p>
        </w:tc>
        <w:tc>
          <w:tcPr>
            <w:tcW w:w="1123" w:type="dxa"/>
            <w:tcBorders>
              <w:top w:val="nil"/>
              <w:left w:val="nil"/>
              <w:bottom w:val="single" w:sz="4" w:space="0" w:color="auto"/>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271</w:t>
            </w:r>
          </w:p>
        </w:tc>
      </w:tr>
      <w:tr w:rsidR="002C0ED4" w:rsidRPr="000B366C" w:rsidTr="00E15E85">
        <w:trPr>
          <w:trHeight w:val="220"/>
          <w:jc w:val="center"/>
        </w:trPr>
        <w:tc>
          <w:tcPr>
            <w:tcW w:w="8649" w:type="dxa"/>
            <w:gridSpan w:val="5"/>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 xml:space="preserve">* </w:t>
            </w:r>
            <w:r w:rsidRPr="000B366C">
              <w:rPr>
                <w:rFonts w:ascii="Book Antiqua" w:hAnsi="Book Antiqua"/>
                <w:color w:val="000000"/>
              </w:rPr>
              <w:t>No corresponden al sistema de Gestión, son datos recolectados y trabajados de forma manual</w:t>
            </w:r>
          </w:p>
          <w:p w:rsidR="002C0ED4" w:rsidRPr="000B366C" w:rsidRDefault="002C0ED4" w:rsidP="002C0ED4">
            <w:pPr>
              <w:rPr>
                <w:rFonts w:ascii="Book Antiqua" w:hAnsi="Book Antiqua"/>
                <w:lang w:eastAsia="en-US"/>
              </w:rPr>
            </w:pPr>
          </w:p>
        </w:tc>
      </w:tr>
    </w:tbl>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En este sentido, se debe aclarar que el número de atenciones no corresponde a la cantidad de personas atendidas, por cuanto una misma persona puede ser atendida por una o varias de las áreas, en forma simultánea.</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 xml:space="preserve">La siguiente tabla contiene el detalle de las personas atendidas en el Programa, por cada uno de los tres estratos profesionales, donde la mayor cantidad de persona </w:t>
      </w:r>
      <w:r w:rsidRPr="000B366C">
        <w:rPr>
          <w:rFonts w:ascii="Book Antiqua" w:hAnsi="Book Antiqua"/>
        </w:rPr>
        <w:lastRenderedPageBreak/>
        <w:t>atendidas se da por el “Equipo Psicosocial”, con 2083 atendidos, principalmente a personas imputadas, que abarca el 58% de los mismos; en segundo lugar se ubica la “Defensa Pública” con 1598 atendidos, de igual manera, la mayor cantidad de atendidos son persona imputadas en este caso 83% del total; y por último los casos atendidos por “Fiscales o Fiscalas”, con un total de 1173 atendidos, en este caso la mayor cantidad de atendidos son víctimas con 43% del total.</w:t>
      </w:r>
    </w:p>
    <w:p w:rsidR="002C0ED4" w:rsidRPr="000B366C" w:rsidRDefault="002C0ED4" w:rsidP="002C0ED4">
      <w:pPr>
        <w:spacing w:line="360" w:lineRule="auto"/>
        <w:jc w:val="both"/>
        <w:rPr>
          <w:rFonts w:ascii="Book Antiqua" w:hAnsi="Book Antiqua"/>
        </w:rPr>
      </w:pPr>
    </w:p>
    <w:p w:rsidR="002C0ED4" w:rsidRDefault="002C0ED4" w:rsidP="002C0ED4">
      <w:pPr>
        <w:spacing w:line="360" w:lineRule="auto"/>
        <w:jc w:val="both"/>
        <w:rPr>
          <w:rFonts w:ascii="Book Antiqua" w:hAnsi="Book Antiqua"/>
        </w:rPr>
      </w:pPr>
      <w:r w:rsidRPr="000B366C">
        <w:rPr>
          <w:rFonts w:ascii="Book Antiqua" w:hAnsi="Book Antiqua"/>
        </w:rPr>
        <w:t xml:space="preserve">Adicionalmente se puede observar, que, respecto al año anterior, la “Defensa Pública” atendió 148 casos más, el “Equipo Psicosocial” 117 y los “Fiscales o fiscalas” 86 más. </w:t>
      </w:r>
    </w:p>
    <w:p w:rsidR="00E15E85" w:rsidRDefault="00E15E85" w:rsidP="002C0ED4">
      <w:pPr>
        <w:spacing w:line="360" w:lineRule="auto"/>
        <w:jc w:val="both"/>
        <w:rPr>
          <w:rFonts w:ascii="Book Antiqua" w:hAnsi="Book Antiqua"/>
        </w:rPr>
      </w:pPr>
    </w:p>
    <w:tbl>
      <w:tblPr>
        <w:tblW w:w="6483" w:type="dxa"/>
        <w:jc w:val="center"/>
        <w:tblLook w:val="04A0" w:firstRow="1" w:lastRow="0" w:firstColumn="1" w:lastColumn="0" w:noHBand="0" w:noVBand="1"/>
      </w:tblPr>
      <w:tblGrid>
        <w:gridCol w:w="4215"/>
        <w:gridCol w:w="756"/>
        <w:gridCol w:w="756"/>
        <w:gridCol w:w="756"/>
      </w:tblGrid>
      <w:tr w:rsidR="002C0ED4" w:rsidRPr="000B366C" w:rsidTr="002C0ED4">
        <w:trPr>
          <w:trHeight w:val="508"/>
          <w:jc w:val="center"/>
        </w:trPr>
        <w:tc>
          <w:tcPr>
            <w:tcW w:w="6483" w:type="dxa"/>
            <w:gridSpan w:val="4"/>
            <w:tcBorders>
              <w:top w:val="nil"/>
              <w:left w:val="nil"/>
              <w:bottom w:val="single" w:sz="4" w:space="0" w:color="auto"/>
              <w:right w:val="nil"/>
            </w:tcBorders>
            <w:shd w:val="clear" w:color="auto" w:fill="auto"/>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10</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Cantidad de personas atendidas, según entrevista preliminar, para el programa de Justicia Restaurativa, desde el 2015*</w:t>
            </w:r>
          </w:p>
        </w:tc>
      </w:tr>
      <w:tr w:rsidR="002C0ED4" w:rsidRPr="000B366C" w:rsidTr="002C0ED4">
        <w:trPr>
          <w:trHeight w:val="254"/>
          <w:jc w:val="center"/>
        </w:trPr>
        <w:tc>
          <w:tcPr>
            <w:tcW w:w="4215" w:type="dxa"/>
            <w:vMerge w:val="restart"/>
            <w:tcBorders>
              <w:top w:val="nil"/>
              <w:left w:val="nil"/>
              <w:bottom w:val="single" w:sz="4" w:space="0" w:color="auto"/>
              <w:right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Personas atendidas</w:t>
            </w:r>
          </w:p>
        </w:tc>
        <w:tc>
          <w:tcPr>
            <w:tcW w:w="2268" w:type="dxa"/>
            <w:gridSpan w:val="3"/>
            <w:tcBorders>
              <w:top w:val="single" w:sz="4" w:space="0" w:color="auto"/>
              <w:left w:val="nil"/>
              <w:bottom w:val="single" w:sz="4" w:space="0" w:color="auto"/>
            </w:tcBorders>
            <w:shd w:val="clear" w:color="auto" w:fill="auto"/>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Año</w:t>
            </w:r>
          </w:p>
        </w:tc>
      </w:tr>
      <w:tr w:rsidR="002C0ED4" w:rsidRPr="000B366C" w:rsidTr="002C0ED4">
        <w:trPr>
          <w:trHeight w:val="254"/>
          <w:jc w:val="center"/>
        </w:trPr>
        <w:tc>
          <w:tcPr>
            <w:tcW w:w="4215" w:type="dxa"/>
            <w:vMerge/>
            <w:tcBorders>
              <w:top w:val="nil"/>
              <w:left w:val="nil"/>
              <w:bottom w:val="single" w:sz="4" w:space="0" w:color="auto"/>
              <w:right w:val="single" w:sz="4" w:space="0" w:color="auto"/>
            </w:tcBorders>
            <w:vAlign w:val="center"/>
            <w:hideMark/>
          </w:tcPr>
          <w:p w:rsidR="002C0ED4" w:rsidRPr="000B366C" w:rsidRDefault="002C0ED4" w:rsidP="002C0ED4">
            <w:pPr>
              <w:rPr>
                <w:rFonts w:ascii="Book Antiqua" w:hAnsi="Book Antiqua"/>
                <w:b/>
                <w:bCs/>
                <w:color w:val="000000"/>
                <w:lang w:val="en-US" w:eastAsia="en-US"/>
              </w:rPr>
            </w:pPr>
          </w:p>
        </w:tc>
        <w:tc>
          <w:tcPr>
            <w:tcW w:w="756" w:type="dxa"/>
            <w:tcBorders>
              <w:top w:val="nil"/>
              <w:left w:val="nil"/>
              <w:bottom w:val="single" w:sz="4" w:space="0" w:color="auto"/>
              <w:right w:val="single" w:sz="4" w:space="0" w:color="auto"/>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2015</w:t>
            </w:r>
          </w:p>
        </w:tc>
        <w:tc>
          <w:tcPr>
            <w:tcW w:w="756" w:type="dxa"/>
            <w:tcBorders>
              <w:top w:val="nil"/>
              <w:left w:val="nil"/>
              <w:bottom w:val="single" w:sz="4" w:space="0" w:color="auto"/>
              <w:right w:val="single" w:sz="4" w:space="0" w:color="auto"/>
            </w:tcBorders>
            <w:shd w:val="clear" w:color="auto"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2016</w:t>
            </w:r>
          </w:p>
        </w:tc>
        <w:tc>
          <w:tcPr>
            <w:tcW w:w="756" w:type="dxa"/>
            <w:tcBorders>
              <w:top w:val="nil"/>
              <w:left w:val="nil"/>
              <w:bottom w:val="single" w:sz="4" w:space="0" w:color="auto"/>
              <w:right w:val="nil"/>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2017</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b/>
                <w:bCs/>
                <w:color w:val="000000"/>
                <w:lang w:eastAsia="en-US"/>
              </w:rPr>
            </w:pPr>
            <w:r w:rsidRPr="000B366C">
              <w:rPr>
                <w:rFonts w:ascii="Book Antiqua" w:hAnsi="Book Antiqua"/>
                <w:b/>
                <w:bCs/>
                <w:color w:val="000000"/>
                <w:lang w:eastAsia="en-US"/>
              </w:rPr>
              <w:t>.,</w:t>
            </w:r>
          </w:p>
        </w:tc>
        <w:tc>
          <w:tcPr>
            <w:tcW w:w="756" w:type="dxa"/>
            <w:tcBorders>
              <w:top w:val="nil"/>
              <w:left w:val="single" w:sz="4" w:space="0" w:color="auto"/>
              <w:bottom w:val="nil"/>
              <w:right w:val="single" w:sz="4" w:space="0" w:color="auto"/>
            </w:tcBorders>
            <w:shd w:val="clear" w:color="auto" w:fill="DEEAF6"/>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 </w:t>
            </w:r>
          </w:p>
        </w:tc>
        <w:tc>
          <w:tcPr>
            <w:tcW w:w="756" w:type="dxa"/>
            <w:tcBorders>
              <w:top w:val="nil"/>
              <w:left w:val="nil"/>
              <w:bottom w:val="nil"/>
              <w:right w:val="single" w:sz="4" w:space="0" w:color="auto"/>
            </w:tcBorders>
            <w:shd w:val="clear" w:color="auto" w:fill="FFF2CC"/>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s-CR"/>
              </w:rPr>
              <w:t> </w:t>
            </w:r>
          </w:p>
        </w:tc>
        <w:tc>
          <w:tcPr>
            <w:tcW w:w="756" w:type="dxa"/>
            <w:tcBorders>
              <w:top w:val="nil"/>
              <w:left w:val="nil"/>
              <w:bottom w:val="nil"/>
              <w:right w:val="nil"/>
            </w:tcBorders>
            <w:shd w:val="clear" w:color="auto" w:fill="DEEAF6"/>
            <w:noWrap/>
            <w:vAlign w:val="bottom"/>
            <w:hideMark/>
          </w:tcPr>
          <w:p w:rsidR="002C0ED4" w:rsidRPr="000B366C" w:rsidRDefault="002C0ED4" w:rsidP="002C0ED4">
            <w:pPr>
              <w:rPr>
                <w:rFonts w:ascii="Book Antiqua" w:hAnsi="Book Antiqua"/>
                <w:color w:val="000000"/>
                <w:lang w:eastAsia="en-US"/>
              </w:rPr>
            </w:pP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b/>
                <w:bCs/>
                <w:color w:val="000000"/>
                <w:lang w:eastAsia="en-US"/>
              </w:rPr>
            </w:pPr>
            <w:r w:rsidRPr="000B366C">
              <w:rPr>
                <w:rFonts w:ascii="Book Antiqua" w:hAnsi="Book Antiqua"/>
                <w:b/>
                <w:bCs/>
                <w:color w:val="000000"/>
                <w:lang w:eastAsia="es-CR"/>
              </w:rPr>
              <w:t>Equipo Psicosocial</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b/>
                <w:bCs/>
                <w:color w:val="000000"/>
                <w:lang w:eastAsia="en-US"/>
              </w:rPr>
            </w:pPr>
            <w:r w:rsidRPr="000B366C">
              <w:rPr>
                <w:rFonts w:ascii="Book Antiqua" w:hAnsi="Book Antiqua"/>
                <w:b/>
                <w:bCs/>
                <w:color w:val="000000"/>
                <w:lang w:eastAsia="es-CR"/>
              </w:rPr>
              <w:t>1.529</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b/>
                <w:bCs/>
                <w:color w:val="000000"/>
                <w:lang w:eastAsia="en-US"/>
              </w:rPr>
            </w:pPr>
            <w:r w:rsidRPr="000B366C">
              <w:rPr>
                <w:rFonts w:ascii="Book Antiqua" w:hAnsi="Book Antiqua"/>
                <w:b/>
                <w:bCs/>
                <w:color w:val="000000"/>
                <w:lang w:eastAsia="es-CR"/>
              </w:rPr>
              <w:t>1.966</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b/>
                <w:bCs/>
                <w:color w:val="000000"/>
                <w:lang w:eastAsia="en-US"/>
              </w:rPr>
            </w:pPr>
            <w:r w:rsidRPr="000B366C">
              <w:rPr>
                <w:rFonts w:ascii="Book Antiqua" w:hAnsi="Book Antiqua"/>
                <w:b/>
                <w:bCs/>
                <w:color w:val="000000"/>
                <w:lang w:eastAsia="en-US"/>
              </w:rPr>
              <w:t>2.083</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eastAsia="en-US"/>
              </w:rPr>
            </w:pPr>
            <w:r w:rsidRPr="000B366C">
              <w:rPr>
                <w:rFonts w:ascii="Book Antiqua" w:hAnsi="Book Antiqua"/>
                <w:color w:val="000000"/>
                <w:lang w:eastAsia="es-CR"/>
              </w:rPr>
              <w:t>a. Víctimas</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s-CR"/>
              </w:rPr>
              <w:t>372</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s-CR"/>
              </w:rPr>
              <w:t>447</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536</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eastAsia="en-US"/>
              </w:rPr>
            </w:pPr>
            <w:r w:rsidRPr="000B366C">
              <w:rPr>
                <w:rFonts w:ascii="Book Antiqua" w:hAnsi="Book Antiqua"/>
                <w:color w:val="000000"/>
                <w:lang w:eastAsia="es-CR"/>
              </w:rPr>
              <w:t>b. Persona imputada</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s-CR"/>
              </w:rPr>
              <w:t>889</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s-CR"/>
              </w:rPr>
              <w:t>1161</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1208</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eastAsia="en-US"/>
              </w:rPr>
            </w:pPr>
            <w:r w:rsidRPr="000B366C">
              <w:rPr>
                <w:rFonts w:ascii="Book Antiqua" w:hAnsi="Book Antiqua"/>
                <w:color w:val="000000"/>
                <w:lang w:eastAsia="es-CR"/>
              </w:rPr>
              <w:t>c. Persona de apoyo</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s-CR"/>
              </w:rPr>
              <w:t>258</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345</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300</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eastAsia="en-US"/>
              </w:rPr>
            </w:pPr>
            <w:r w:rsidRPr="000B366C">
              <w:rPr>
                <w:rFonts w:ascii="Book Antiqua" w:hAnsi="Book Antiqua"/>
                <w:color w:val="000000"/>
                <w:lang w:eastAsia="es-CR"/>
              </w:rPr>
              <w:t xml:space="preserve">d. Remisión Oficina Atención Víctimas </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10</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13</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39</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p>
        </w:tc>
        <w:tc>
          <w:tcPr>
            <w:tcW w:w="756" w:type="dxa"/>
            <w:tcBorders>
              <w:top w:val="nil"/>
              <w:left w:val="single" w:sz="4" w:space="0" w:color="auto"/>
              <w:bottom w:val="nil"/>
              <w:right w:val="single" w:sz="4" w:space="0" w:color="auto"/>
            </w:tcBorders>
            <w:shd w:val="clear" w:color="auto" w:fill="DEEAF6"/>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756" w:type="dxa"/>
            <w:tcBorders>
              <w:top w:val="nil"/>
              <w:left w:val="nil"/>
              <w:bottom w:val="nil"/>
              <w:right w:val="single" w:sz="4" w:space="0" w:color="auto"/>
            </w:tcBorders>
            <w:shd w:val="clear" w:color="auto" w:fill="FFF2CC"/>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 </w:t>
            </w:r>
          </w:p>
        </w:tc>
        <w:tc>
          <w:tcPr>
            <w:tcW w:w="756" w:type="dxa"/>
            <w:tcBorders>
              <w:top w:val="nil"/>
              <w:left w:val="nil"/>
              <w:bottom w:val="nil"/>
              <w:right w:val="nil"/>
            </w:tcBorders>
            <w:shd w:val="clear" w:color="auto" w:fill="DEEAF6"/>
            <w:noWrap/>
            <w:vAlign w:val="bottom"/>
            <w:hideMark/>
          </w:tcPr>
          <w:p w:rsidR="002C0ED4" w:rsidRPr="000B366C" w:rsidRDefault="002C0ED4" w:rsidP="002C0ED4">
            <w:pPr>
              <w:rPr>
                <w:rFonts w:ascii="Book Antiqua" w:hAnsi="Book Antiqua"/>
                <w:color w:val="000000"/>
                <w:lang w:val="en-US" w:eastAsia="en-US"/>
              </w:rPr>
            </w:pP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b/>
                <w:bCs/>
                <w:color w:val="000000"/>
                <w:lang w:val="en-US" w:eastAsia="en-US"/>
              </w:rPr>
            </w:pPr>
            <w:r w:rsidRPr="000B366C">
              <w:rPr>
                <w:rFonts w:ascii="Book Antiqua" w:hAnsi="Book Antiqua"/>
                <w:b/>
                <w:bCs/>
                <w:color w:val="000000"/>
                <w:lang w:eastAsia="es-CR"/>
              </w:rPr>
              <w:t>Fiscal (a)</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920</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1087</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1173</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val="en-US" w:eastAsia="en-US"/>
              </w:rPr>
            </w:pPr>
            <w:r w:rsidRPr="000B366C">
              <w:rPr>
                <w:rFonts w:ascii="Book Antiqua" w:hAnsi="Book Antiqua"/>
                <w:color w:val="000000"/>
                <w:lang w:eastAsia="es-CR"/>
              </w:rPr>
              <w:t>a. Víctimas</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363</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507</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508</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val="en-US" w:eastAsia="en-US"/>
              </w:rPr>
            </w:pPr>
            <w:r w:rsidRPr="000B366C">
              <w:rPr>
                <w:rFonts w:ascii="Book Antiqua" w:hAnsi="Book Antiqua"/>
                <w:color w:val="000000"/>
                <w:lang w:eastAsia="es-CR"/>
              </w:rPr>
              <w:t>b. Persona imputada</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224</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234</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213</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val="en-US" w:eastAsia="en-US"/>
              </w:rPr>
            </w:pPr>
            <w:r w:rsidRPr="000B366C">
              <w:rPr>
                <w:rFonts w:ascii="Book Antiqua" w:hAnsi="Book Antiqua"/>
                <w:color w:val="000000"/>
                <w:lang w:eastAsia="es-CR"/>
              </w:rPr>
              <w:t>c. Persona de apoyo</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87</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59</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95</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val="en-US" w:eastAsia="en-US"/>
              </w:rPr>
            </w:pPr>
            <w:r w:rsidRPr="000B366C">
              <w:rPr>
                <w:rFonts w:ascii="Book Antiqua" w:hAnsi="Book Antiqua"/>
                <w:color w:val="000000"/>
                <w:lang w:eastAsia="es-CR"/>
              </w:rPr>
              <w:t>d. Abogados particulares</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246</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287</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357</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bottom"/>
            <w:hideMark/>
          </w:tcPr>
          <w:p w:rsidR="002C0ED4" w:rsidRPr="000B366C" w:rsidRDefault="002C0ED4" w:rsidP="002C0ED4">
            <w:pPr>
              <w:jc w:val="center"/>
              <w:rPr>
                <w:rFonts w:ascii="Book Antiqua" w:hAnsi="Book Antiqua"/>
                <w:color w:val="000000"/>
                <w:lang w:val="en-US" w:eastAsia="en-US"/>
              </w:rPr>
            </w:pPr>
          </w:p>
        </w:tc>
        <w:tc>
          <w:tcPr>
            <w:tcW w:w="756" w:type="dxa"/>
            <w:tcBorders>
              <w:top w:val="nil"/>
              <w:left w:val="single" w:sz="4" w:space="0" w:color="auto"/>
              <w:bottom w:val="nil"/>
              <w:right w:val="single" w:sz="4" w:space="0" w:color="auto"/>
            </w:tcBorders>
            <w:shd w:val="clear" w:color="auto" w:fill="DEEAF6"/>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756" w:type="dxa"/>
            <w:tcBorders>
              <w:top w:val="nil"/>
              <w:left w:val="nil"/>
              <w:bottom w:val="nil"/>
              <w:right w:val="single" w:sz="4" w:space="0" w:color="auto"/>
            </w:tcBorders>
            <w:shd w:val="clear" w:color="auto" w:fill="FFF2CC"/>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 </w:t>
            </w:r>
          </w:p>
        </w:tc>
        <w:tc>
          <w:tcPr>
            <w:tcW w:w="756" w:type="dxa"/>
            <w:tcBorders>
              <w:top w:val="nil"/>
              <w:left w:val="nil"/>
              <w:bottom w:val="nil"/>
              <w:right w:val="nil"/>
            </w:tcBorders>
            <w:shd w:val="clear" w:color="auto" w:fill="DEEAF6"/>
            <w:noWrap/>
            <w:vAlign w:val="bottom"/>
            <w:hideMark/>
          </w:tcPr>
          <w:p w:rsidR="002C0ED4" w:rsidRPr="000B366C" w:rsidRDefault="002C0ED4" w:rsidP="002C0ED4">
            <w:pPr>
              <w:rPr>
                <w:rFonts w:ascii="Book Antiqua" w:hAnsi="Book Antiqua"/>
                <w:color w:val="000000"/>
                <w:lang w:val="en-US" w:eastAsia="en-US"/>
              </w:rPr>
            </w:pP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rPr>
                <w:rFonts w:ascii="Book Antiqua" w:hAnsi="Book Antiqua"/>
                <w:b/>
                <w:bCs/>
                <w:color w:val="000000"/>
                <w:lang w:val="en-US" w:eastAsia="en-US"/>
              </w:rPr>
            </w:pPr>
            <w:r w:rsidRPr="000B366C">
              <w:rPr>
                <w:rFonts w:ascii="Book Antiqua" w:hAnsi="Book Antiqua"/>
                <w:b/>
                <w:bCs/>
                <w:color w:val="000000"/>
                <w:lang w:eastAsia="es-CR"/>
              </w:rPr>
              <w:t>Defensa Pública</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1.079</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eastAsia="es-CR"/>
              </w:rPr>
              <w:t>1.450</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1.598</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val="en-US" w:eastAsia="en-US"/>
              </w:rPr>
            </w:pPr>
            <w:r w:rsidRPr="000B366C">
              <w:rPr>
                <w:rFonts w:ascii="Book Antiqua" w:hAnsi="Book Antiqua"/>
                <w:color w:val="000000"/>
                <w:lang w:eastAsia="es-CR"/>
              </w:rPr>
              <w:t>a. Persona imputada</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933</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1227</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1330</w:t>
            </w:r>
          </w:p>
        </w:tc>
      </w:tr>
      <w:tr w:rsidR="002C0ED4" w:rsidRPr="000B366C" w:rsidTr="002C0ED4">
        <w:trPr>
          <w:trHeight w:val="254"/>
          <w:jc w:val="center"/>
        </w:trPr>
        <w:tc>
          <w:tcPr>
            <w:tcW w:w="4215" w:type="dxa"/>
            <w:tcBorders>
              <w:top w:val="nil"/>
              <w:left w:val="nil"/>
              <w:bottom w:val="nil"/>
              <w:right w:val="nil"/>
            </w:tcBorders>
            <w:shd w:val="clear" w:color="auto" w:fill="auto"/>
            <w:noWrap/>
            <w:vAlign w:val="center"/>
            <w:hideMark/>
          </w:tcPr>
          <w:p w:rsidR="002C0ED4" w:rsidRPr="000B366C" w:rsidRDefault="002C0ED4" w:rsidP="002C0ED4">
            <w:pPr>
              <w:ind w:firstLineChars="200" w:firstLine="480"/>
              <w:rPr>
                <w:rFonts w:ascii="Book Antiqua" w:hAnsi="Book Antiqua"/>
                <w:color w:val="000000"/>
                <w:lang w:val="en-US" w:eastAsia="en-US"/>
              </w:rPr>
            </w:pPr>
            <w:r w:rsidRPr="000B366C">
              <w:rPr>
                <w:rFonts w:ascii="Book Antiqua" w:hAnsi="Book Antiqua"/>
                <w:color w:val="000000"/>
                <w:lang w:eastAsia="es-CR"/>
              </w:rPr>
              <w:t>b. Persona de apoyo</w:t>
            </w:r>
          </w:p>
        </w:tc>
        <w:tc>
          <w:tcPr>
            <w:tcW w:w="756" w:type="dxa"/>
            <w:tcBorders>
              <w:top w:val="nil"/>
              <w:left w:val="single" w:sz="4" w:space="0" w:color="auto"/>
              <w:bottom w:val="nil"/>
              <w:right w:val="single" w:sz="4" w:space="0" w:color="auto"/>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146</w:t>
            </w:r>
          </w:p>
        </w:tc>
        <w:tc>
          <w:tcPr>
            <w:tcW w:w="756" w:type="dxa"/>
            <w:tcBorders>
              <w:top w:val="nil"/>
              <w:left w:val="nil"/>
              <w:bottom w:val="nil"/>
              <w:right w:val="single" w:sz="4" w:space="0" w:color="auto"/>
            </w:tcBorders>
            <w:shd w:val="clear" w:color="auto" w:fill="FFF2CC"/>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eastAsia="es-CR"/>
              </w:rPr>
              <w:t>223</w:t>
            </w:r>
          </w:p>
        </w:tc>
        <w:tc>
          <w:tcPr>
            <w:tcW w:w="756" w:type="dxa"/>
            <w:tcBorders>
              <w:top w:val="nil"/>
              <w:left w:val="nil"/>
              <w:bottom w:val="nil"/>
              <w:right w:val="nil"/>
            </w:tcBorders>
            <w:shd w:val="clear" w:color="auto" w:fill="DEEAF6"/>
            <w:noWrap/>
            <w:vAlign w:val="center"/>
            <w:hideMark/>
          </w:tcPr>
          <w:p w:rsidR="002C0ED4" w:rsidRPr="000B366C" w:rsidRDefault="002C0ED4" w:rsidP="002C0ED4">
            <w:pPr>
              <w:jc w:val="center"/>
              <w:rPr>
                <w:rFonts w:ascii="Book Antiqua" w:hAnsi="Book Antiqua"/>
                <w:color w:val="000000"/>
                <w:lang w:val="en-US" w:eastAsia="en-US"/>
              </w:rPr>
            </w:pPr>
            <w:r w:rsidRPr="000B366C">
              <w:rPr>
                <w:rFonts w:ascii="Book Antiqua" w:hAnsi="Book Antiqua"/>
                <w:color w:val="000000"/>
                <w:lang w:val="en-US" w:eastAsia="en-US"/>
              </w:rPr>
              <w:t>268</w:t>
            </w:r>
          </w:p>
        </w:tc>
      </w:tr>
      <w:tr w:rsidR="002C0ED4" w:rsidRPr="000B366C" w:rsidTr="002C0ED4">
        <w:trPr>
          <w:trHeight w:val="254"/>
          <w:jc w:val="center"/>
        </w:trPr>
        <w:tc>
          <w:tcPr>
            <w:tcW w:w="4215" w:type="dxa"/>
            <w:tcBorders>
              <w:top w:val="nil"/>
              <w:left w:val="nil"/>
              <w:bottom w:val="single" w:sz="4" w:space="0" w:color="auto"/>
              <w:right w:val="nil"/>
            </w:tcBorders>
            <w:shd w:val="clear" w:color="auto" w:fill="auto"/>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lastRenderedPageBreak/>
              <w:t> </w:t>
            </w:r>
          </w:p>
        </w:tc>
        <w:tc>
          <w:tcPr>
            <w:tcW w:w="756" w:type="dxa"/>
            <w:tcBorders>
              <w:top w:val="nil"/>
              <w:left w:val="single" w:sz="4" w:space="0" w:color="auto"/>
              <w:bottom w:val="single" w:sz="4" w:space="0" w:color="auto"/>
              <w:right w:val="single" w:sz="4" w:space="0" w:color="auto"/>
            </w:tcBorders>
            <w:shd w:val="clear" w:color="auto" w:fill="DEEAF6"/>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 </w:t>
            </w:r>
          </w:p>
        </w:tc>
        <w:tc>
          <w:tcPr>
            <w:tcW w:w="756" w:type="dxa"/>
            <w:tcBorders>
              <w:top w:val="nil"/>
              <w:left w:val="nil"/>
              <w:bottom w:val="single" w:sz="4" w:space="0" w:color="auto"/>
              <w:right w:val="single" w:sz="4" w:space="0" w:color="auto"/>
            </w:tcBorders>
            <w:shd w:val="clear" w:color="auto" w:fill="FFF2CC"/>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eastAsia="es-CR"/>
              </w:rPr>
              <w:t> </w:t>
            </w:r>
          </w:p>
        </w:tc>
        <w:tc>
          <w:tcPr>
            <w:tcW w:w="756" w:type="dxa"/>
            <w:tcBorders>
              <w:top w:val="nil"/>
              <w:left w:val="nil"/>
              <w:bottom w:val="single" w:sz="4" w:space="0" w:color="auto"/>
              <w:right w:val="nil"/>
            </w:tcBorders>
            <w:shd w:val="clear" w:color="auto" w:fill="DEEAF6"/>
            <w:noWrap/>
            <w:vAlign w:val="center"/>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42"/>
          <w:jc w:val="center"/>
        </w:trPr>
        <w:tc>
          <w:tcPr>
            <w:tcW w:w="6483" w:type="dxa"/>
            <w:gridSpan w:val="4"/>
            <w:tcBorders>
              <w:top w:val="nil"/>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 xml:space="preserve">* </w:t>
            </w:r>
            <w:r w:rsidRPr="000B366C">
              <w:rPr>
                <w:rFonts w:ascii="Book Antiqua" w:hAnsi="Book Antiqua"/>
                <w:color w:val="000000"/>
              </w:rPr>
              <w:t>No corresponden al sistema de Gestión, son datos recolectados y trabajados de forma manual</w:t>
            </w:r>
          </w:p>
          <w:p w:rsidR="002C0ED4" w:rsidRPr="000B366C" w:rsidRDefault="002C0ED4" w:rsidP="002C0ED4">
            <w:pPr>
              <w:rPr>
                <w:rFonts w:ascii="Book Antiqua" w:hAnsi="Book Antiqua"/>
                <w:color w:val="000000"/>
                <w:lang w:eastAsia="en-US"/>
              </w:rPr>
            </w:pPr>
          </w:p>
        </w:tc>
      </w:tr>
    </w:tbl>
    <w:p w:rsidR="002C0ED4" w:rsidRPr="000B366C" w:rsidRDefault="002C0ED4" w:rsidP="002C0ED4">
      <w:pPr>
        <w:spacing w:line="360" w:lineRule="auto"/>
        <w:jc w:val="both"/>
        <w:rPr>
          <w:rFonts w:ascii="Book Antiqua" w:hAnsi="Book Antiqua"/>
        </w:rPr>
      </w:pPr>
    </w:p>
    <w:p w:rsidR="002C0ED4" w:rsidRPr="000B366C" w:rsidRDefault="002C0ED4" w:rsidP="002C0ED4">
      <w:pPr>
        <w:pStyle w:val="Prrafodelista"/>
        <w:numPr>
          <w:ilvl w:val="0"/>
          <w:numId w:val="33"/>
        </w:numPr>
        <w:spacing w:line="360" w:lineRule="auto"/>
        <w:contextualSpacing/>
        <w:jc w:val="both"/>
        <w:outlineLvl w:val="0"/>
        <w:rPr>
          <w:rFonts w:ascii="Book Antiqua" w:hAnsi="Book Antiqua" w:cs="Times New Roman"/>
          <w:b/>
        </w:rPr>
      </w:pPr>
      <w:r w:rsidRPr="000B366C">
        <w:rPr>
          <w:rFonts w:ascii="Book Antiqua" w:hAnsi="Book Antiqua" w:cs="Times New Roman"/>
          <w:b/>
          <w:lang w:val="es-CR"/>
        </w:rPr>
        <w:t>REUNIONES RESTAURATIVAS</w:t>
      </w:r>
    </w:p>
    <w:p w:rsidR="002C0ED4" w:rsidRPr="000B366C" w:rsidRDefault="002C0ED4" w:rsidP="002C0ED4">
      <w:pPr>
        <w:pStyle w:val="Prrafodelista"/>
        <w:spacing w:line="360" w:lineRule="auto"/>
        <w:ind w:left="0"/>
        <w:contextualSpacing/>
        <w:jc w:val="both"/>
        <w:rPr>
          <w:rFonts w:ascii="Book Antiqua" w:hAnsi="Book Antiqua" w:cs="Times New Roman"/>
          <w:lang w:val="es-CR"/>
        </w:rPr>
      </w:pPr>
    </w:p>
    <w:p w:rsidR="002C0ED4" w:rsidRPr="000B366C" w:rsidRDefault="002C0ED4" w:rsidP="002C0ED4">
      <w:pPr>
        <w:pStyle w:val="Prrafodelista"/>
        <w:spacing w:line="360" w:lineRule="auto"/>
        <w:ind w:left="0"/>
        <w:contextualSpacing/>
        <w:jc w:val="both"/>
        <w:rPr>
          <w:rFonts w:ascii="Book Antiqua" w:hAnsi="Book Antiqua" w:cs="Times New Roman"/>
          <w:lang w:val="es-CR"/>
        </w:rPr>
      </w:pPr>
      <w:r w:rsidRPr="000B366C">
        <w:rPr>
          <w:rFonts w:ascii="Book Antiqua" w:hAnsi="Book Antiqua" w:cs="Times New Roman"/>
          <w:lang w:val="es-CR"/>
        </w:rPr>
        <w:t>Para el 2017, se programaron un total de 1203 reuniones de las cuales 1050 se realizaron efectivamente y alcanzaron un acuerdo en el 96%; las restantes 153 no se realizaron, en un 68% porque la persona imputada no se presentó.</w:t>
      </w:r>
    </w:p>
    <w:p w:rsidR="002C0ED4" w:rsidRPr="000B366C" w:rsidRDefault="002C0ED4" w:rsidP="002C0ED4">
      <w:pPr>
        <w:pStyle w:val="Prrafodelista"/>
        <w:spacing w:line="360" w:lineRule="auto"/>
        <w:ind w:left="0"/>
        <w:contextualSpacing/>
        <w:jc w:val="both"/>
        <w:rPr>
          <w:rFonts w:ascii="Book Antiqua" w:hAnsi="Book Antiqua" w:cs="Times New Roman"/>
          <w:lang w:val="es-CR"/>
        </w:rPr>
      </w:pPr>
    </w:p>
    <w:p w:rsidR="002C0ED4" w:rsidRPr="000B366C" w:rsidRDefault="002C0ED4" w:rsidP="002C0ED4">
      <w:pPr>
        <w:pStyle w:val="Prrafodelista"/>
        <w:spacing w:line="360" w:lineRule="auto"/>
        <w:ind w:left="0"/>
        <w:contextualSpacing/>
        <w:jc w:val="both"/>
        <w:rPr>
          <w:rFonts w:ascii="Book Antiqua" w:hAnsi="Book Antiqua" w:cs="Times New Roman"/>
          <w:lang w:val="es-CR"/>
        </w:rPr>
      </w:pPr>
      <w:r w:rsidRPr="000B366C">
        <w:rPr>
          <w:rFonts w:ascii="Book Antiqua" w:hAnsi="Book Antiqua" w:cs="Times New Roman"/>
          <w:lang w:val="es-CR"/>
        </w:rPr>
        <w:t>Adicionalmente se realizaron un total de 363 audiencias, de las cuales el 42% “modifica la medida alterna”, el 34% la “mantiene”, el 14% la “revoca” y el 10% “homologa indemnización segura”.</w:t>
      </w:r>
    </w:p>
    <w:p w:rsidR="002C0ED4" w:rsidRPr="000B366C" w:rsidRDefault="002C0ED4" w:rsidP="002C0ED4">
      <w:pPr>
        <w:pStyle w:val="Prrafodelista"/>
        <w:spacing w:line="360" w:lineRule="auto"/>
        <w:ind w:left="0"/>
        <w:contextualSpacing/>
        <w:jc w:val="both"/>
        <w:rPr>
          <w:rFonts w:ascii="Book Antiqua" w:hAnsi="Book Antiqua" w:cs="Times New Roman"/>
          <w:lang w:val="es-CR"/>
        </w:rPr>
      </w:pPr>
    </w:p>
    <w:p w:rsidR="002C0ED4" w:rsidRDefault="002C0ED4" w:rsidP="002C0ED4">
      <w:pPr>
        <w:pStyle w:val="Prrafodelista"/>
        <w:spacing w:line="360" w:lineRule="auto"/>
        <w:ind w:left="0"/>
        <w:contextualSpacing/>
        <w:jc w:val="both"/>
        <w:rPr>
          <w:rFonts w:ascii="Book Antiqua" w:hAnsi="Book Antiqua" w:cs="Times New Roman"/>
          <w:lang w:val="es-CR"/>
        </w:rPr>
      </w:pPr>
      <w:r w:rsidRPr="000B366C">
        <w:rPr>
          <w:rFonts w:ascii="Book Antiqua" w:hAnsi="Book Antiqua" w:cs="Times New Roman"/>
          <w:lang w:val="es-CR"/>
        </w:rPr>
        <w:t>A nivel de despacho, la mayor cantidad de reuniones se realizaron en Pavas, el que presentó la menor cantidad de reuniones no realizada fue II Circuito Judicial de San José (Flagrancia). Respecto a las audiencias, la mayor cantidad de igual forma se efectuaron en Pavas.</w:t>
      </w:r>
    </w:p>
    <w:p w:rsidR="00E15E85" w:rsidRPr="000B366C" w:rsidRDefault="00E15E85" w:rsidP="002C0ED4">
      <w:pPr>
        <w:pStyle w:val="Prrafodelista"/>
        <w:spacing w:line="360" w:lineRule="auto"/>
        <w:ind w:left="0"/>
        <w:contextualSpacing/>
        <w:jc w:val="both"/>
        <w:rPr>
          <w:rFonts w:ascii="Book Antiqua" w:hAnsi="Book Antiqua" w:cs="Times New Roman"/>
          <w:lang w:val="es-CR"/>
        </w:rPr>
      </w:pPr>
    </w:p>
    <w:p w:rsidR="002C0ED4" w:rsidRPr="000B366C" w:rsidRDefault="002C0ED4" w:rsidP="002C0ED4">
      <w:pPr>
        <w:pStyle w:val="Prrafodelista"/>
        <w:spacing w:line="360" w:lineRule="auto"/>
        <w:ind w:left="0"/>
        <w:contextualSpacing/>
        <w:jc w:val="center"/>
        <w:rPr>
          <w:rFonts w:ascii="Book Antiqua" w:hAnsi="Book Antiqua" w:cs="Times New Roman"/>
          <w:lang w:val="es-CR"/>
        </w:rPr>
      </w:pPr>
      <w:r w:rsidRPr="000B366C">
        <w:rPr>
          <w:rFonts w:ascii="Book Antiqua" w:hAnsi="Book Antiqua"/>
          <w:noProof/>
        </w:rPr>
        <w:lastRenderedPageBreak/>
        <w:drawing>
          <wp:inline distT="0" distB="0" distL="0" distR="0">
            <wp:extent cx="4561205" cy="3785235"/>
            <wp:effectExtent l="19050" t="0" r="10795" b="5715"/>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0ED4" w:rsidRDefault="002C0ED4" w:rsidP="002C0ED4">
      <w:pPr>
        <w:spacing w:line="360" w:lineRule="auto"/>
        <w:jc w:val="both"/>
        <w:rPr>
          <w:rFonts w:ascii="Book Antiqua" w:hAnsi="Book Antiqua"/>
        </w:rPr>
      </w:pPr>
    </w:p>
    <w:p w:rsidR="002C0ED4" w:rsidRPr="000B366C" w:rsidRDefault="002C0ED4" w:rsidP="002C0ED4">
      <w:pPr>
        <w:pStyle w:val="Prrafodelista"/>
        <w:numPr>
          <w:ilvl w:val="0"/>
          <w:numId w:val="33"/>
        </w:numPr>
        <w:spacing w:line="360" w:lineRule="auto"/>
        <w:ind w:left="440" w:hanging="440"/>
        <w:contextualSpacing/>
        <w:jc w:val="both"/>
        <w:rPr>
          <w:rFonts w:ascii="Book Antiqua" w:hAnsi="Book Antiqua" w:cs="Times New Roman"/>
          <w:b/>
        </w:rPr>
      </w:pPr>
      <w:r w:rsidRPr="000B366C">
        <w:rPr>
          <w:rFonts w:ascii="Book Antiqua" w:hAnsi="Book Antiqua" w:cs="Times New Roman"/>
          <w:b/>
          <w:lang w:val="es-CR"/>
        </w:rPr>
        <w:t xml:space="preserve"> SEGUIMIENTO DE MEDIDAS</w:t>
      </w:r>
    </w:p>
    <w:p w:rsidR="002C0ED4" w:rsidRPr="000B366C" w:rsidRDefault="002C0ED4"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Las acciones de seguimiento, apoyo y control de los acuerdos judicializados constituyen el eje principal del procedimiento restaurativo, con el fin de garantizar la satisfacción de la persona ofendida y de la comunidad, así como de procurar la reinserción de la persona ofensora, en aras de restaurar el ámbito social.</w:t>
      </w:r>
    </w:p>
    <w:p w:rsidR="002C0ED4" w:rsidRDefault="002C0ED4" w:rsidP="002C0ED4">
      <w:pPr>
        <w:spacing w:line="360" w:lineRule="auto"/>
        <w:jc w:val="both"/>
        <w:rPr>
          <w:rFonts w:ascii="Book Antiqua" w:hAnsi="Book Antiqua"/>
        </w:rPr>
      </w:pPr>
      <w:r w:rsidRPr="000B366C">
        <w:rPr>
          <w:rFonts w:ascii="Book Antiqua" w:hAnsi="Book Antiqua"/>
        </w:rPr>
        <w:t xml:space="preserve">El seguimiento del plan reparador, por parte de las personas ofensoras, estará a cargo del personal profesional en las ramas del Trabajo Social y de la Psicología de las oficinas del Programa de Justicia Restaurativa, quienes realizarán un monitoreo psicosocial a las personas ofensoras, en el lugar de las organizaciones o de las instituciones donde se está ejecutando el plan reparador. De forma simultánea, este personal deberá mantener una comunicación constante con las instituciones, para </w:t>
      </w:r>
      <w:r w:rsidRPr="000B366C">
        <w:rPr>
          <w:rFonts w:ascii="Book Antiqua" w:hAnsi="Book Antiqua"/>
        </w:rPr>
        <w:lastRenderedPageBreak/>
        <w:t xml:space="preserve">garantizar el efectivo cumplimiento de las condiciones impuestas por la autoridad judicial. </w:t>
      </w:r>
    </w:p>
    <w:p w:rsidR="00E15E85" w:rsidRPr="000B366C" w:rsidRDefault="00E15E85" w:rsidP="002C0ED4">
      <w:pPr>
        <w:spacing w:line="360" w:lineRule="auto"/>
        <w:jc w:val="both"/>
        <w:rPr>
          <w:rFonts w:ascii="Book Antiqua" w:hAnsi="Book Antiqua"/>
        </w:rPr>
      </w:pPr>
    </w:p>
    <w:p w:rsidR="002C0ED4" w:rsidRPr="000B366C" w:rsidRDefault="002C0ED4" w:rsidP="002C0ED4">
      <w:pPr>
        <w:spacing w:line="360" w:lineRule="auto"/>
        <w:jc w:val="both"/>
        <w:rPr>
          <w:rFonts w:ascii="Book Antiqua" w:hAnsi="Book Antiqua"/>
        </w:rPr>
      </w:pPr>
      <w:r w:rsidRPr="000B366C">
        <w:rPr>
          <w:rFonts w:ascii="Book Antiqua" w:hAnsi="Book Antiqua"/>
        </w:rPr>
        <w:t>En virtud de lo expuesto, la siguiente información responde a una fase de seguimiento, en la cual el equipo psicosocial reporta la cantidad de medidas alternas sobre las cuales brindó su seguimiento, siendo de 862 para el 2017, de las cuales en 590 casos se dio cumplimiento, mientras que en 272 se dio un incumpliendo.</w:t>
      </w:r>
    </w:p>
    <w:p w:rsidR="002C0ED4" w:rsidRDefault="002C0ED4" w:rsidP="002C0ED4">
      <w:pPr>
        <w:spacing w:line="360" w:lineRule="auto"/>
        <w:jc w:val="both"/>
        <w:rPr>
          <w:rFonts w:ascii="Book Antiqua" w:hAnsi="Book Antiqua"/>
        </w:rPr>
      </w:pPr>
    </w:p>
    <w:tbl>
      <w:tblPr>
        <w:tblW w:w="6968" w:type="dxa"/>
        <w:jc w:val="center"/>
        <w:tblLook w:val="04A0" w:firstRow="1" w:lastRow="0" w:firstColumn="1" w:lastColumn="0" w:noHBand="0" w:noVBand="1"/>
      </w:tblPr>
      <w:tblGrid>
        <w:gridCol w:w="5773"/>
        <w:gridCol w:w="1195"/>
      </w:tblGrid>
      <w:tr w:rsidR="002C0ED4" w:rsidRPr="000B366C" w:rsidTr="002C0ED4">
        <w:trPr>
          <w:trHeight w:val="502"/>
          <w:jc w:val="center"/>
        </w:trPr>
        <w:tc>
          <w:tcPr>
            <w:tcW w:w="6968" w:type="dxa"/>
            <w:gridSpan w:val="2"/>
            <w:tcBorders>
              <w:top w:val="nil"/>
              <w:left w:val="nil"/>
              <w:bottom w:val="single" w:sz="4" w:space="0" w:color="auto"/>
              <w:right w:val="nil"/>
            </w:tcBorders>
            <w:shd w:val="clear" w:color="auto" w:fill="auto"/>
            <w:vAlign w:val="bottom"/>
            <w:hideMark/>
          </w:tcPr>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Cuadro 11</w:t>
            </w:r>
          </w:p>
          <w:p w:rsidR="002C0ED4" w:rsidRPr="000B366C" w:rsidRDefault="002C0ED4" w:rsidP="002C0ED4">
            <w:pPr>
              <w:jc w:val="center"/>
              <w:rPr>
                <w:rFonts w:ascii="Book Antiqua" w:hAnsi="Book Antiqua"/>
                <w:color w:val="000000"/>
                <w:lang w:eastAsia="en-US"/>
              </w:rPr>
            </w:pPr>
            <w:r w:rsidRPr="000B366C">
              <w:rPr>
                <w:rFonts w:ascii="Book Antiqua" w:hAnsi="Book Antiqua"/>
                <w:color w:val="000000"/>
                <w:lang w:eastAsia="en-US"/>
              </w:rPr>
              <w:t xml:space="preserve"> Seguimiento de medidas alternas para el programa de Justicia Restaurativa, para el 2017</w:t>
            </w:r>
          </w:p>
        </w:tc>
      </w:tr>
      <w:tr w:rsidR="002C0ED4" w:rsidRPr="000B366C" w:rsidTr="002C0ED4">
        <w:trPr>
          <w:trHeight w:val="238"/>
          <w:jc w:val="center"/>
        </w:trPr>
        <w:tc>
          <w:tcPr>
            <w:tcW w:w="5773" w:type="dxa"/>
            <w:tcBorders>
              <w:top w:val="nil"/>
              <w:left w:val="nil"/>
              <w:bottom w:val="single" w:sz="4" w:space="0" w:color="auto"/>
              <w:right w:val="single" w:sz="4" w:space="0" w:color="auto"/>
            </w:tcBorders>
            <w:shd w:val="clear" w:color="auto" w:fill="DEEAF6"/>
            <w:vAlign w:val="center"/>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SEGUIMIENTO MEDIDAS ALTERNAS*</w:t>
            </w:r>
          </w:p>
        </w:tc>
        <w:tc>
          <w:tcPr>
            <w:tcW w:w="1195" w:type="dxa"/>
            <w:tcBorders>
              <w:top w:val="nil"/>
              <w:left w:val="nil"/>
              <w:bottom w:val="single" w:sz="4" w:space="0" w:color="auto"/>
            </w:tcBorders>
            <w:shd w:val="clear" w:color="auto" w:fill="DEEAF6"/>
            <w:noWrap/>
            <w:vAlign w:val="center"/>
            <w:hideMark/>
          </w:tcPr>
          <w:p w:rsidR="002C0ED4" w:rsidRPr="000B366C" w:rsidRDefault="002C0ED4" w:rsidP="002C0ED4">
            <w:pPr>
              <w:jc w:val="center"/>
              <w:rPr>
                <w:rFonts w:ascii="Book Antiqua" w:hAnsi="Book Antiqua"/>
                <w:b/>
                <w:bCs/>
                <w:color w:val="000000"/>
                <w:lang w:val="en-US" w:eastAsia="en-US"/>
              </w:rPr>
            </w:pPr>
            <w:r w:rsidRPr="000B366C">
              <w:rPr>
                <w:rFonts w:ascii="Book Antiqua" w:hAnsi="Book Antiqua"/>
                <w:b/>
                <w:bCs/>
                <w:color w:val="000000"/>
                <w:lang w:val="en-US" w:eastAsia="en-US"/>
              </w:rPr>
              <w:t>TOTAL</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vAlign w:val="center"/>
            <w:hideMark/>
          </w:tcPr>
          <w:p w:rsidR="002C0ED4" w:rsidRPr="000B366C" w:rsidRDefault="002C0ED4" w:rsidP="002C0ED4">
            <w:pPr>
              <w:rPr>
                <w:rFonts w:ascii="Book Antiqua" w:hAnsi="Book Antiqua"/>
                <w:b/>
                <w:bCs/>
                <w:lang w:val="en-US" w:eastAsia="en-US"/>
              </w:rPr>
            </w:pPr>
            <w:r w:rsidRPr="000B366C">
              <w:rPr>
                <w:rFonts w:ascii="Book Antiqua" w:hAnsi="Book Antiqua"/>
                <w:b/>
                <w:bCs/>
                <w:lang w:val="en-US" w:eastAsia="en-US"/>
              </w:rPr>
              <w:t> </w:t>
            </w:r>
          </w:p>
        </w:tc>
        <w:tc>
          <w:tcPr>
            <w:tcW w:w="1195" w:type="dxa"/>
            <w:tcBorders>
              <w:top w:val="nil"/>
              <w:left w:val="nil"/>
              <w:bottom w:val="nil"/>
            </w:tcBorders>
            <w:shd w:val="clear" w:color="auto" w:fill="auto"/>
            <w:vAlign w:val="bottom"/>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 </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vAlign w:val="center"/>
            <w:hideMark/>
          </w:tcPr>
          <w:p w:rsidR="002C0ED4" w:rsidRPr="000B366C" w:rsidRDefault="002C0ED4" w:rsidP="002C0ED4">
            <w:pPr>
              <w:rPr>
                <w:rFonts w:ascii="Book Antiqua" w:hAnsi="Book Antiqua"/>
                <w:b/>
                <w:bCs/>
                <w:lang w:eastAsia="en-US"/>
              </w:rPr>
            </w:pPr>
            <w:r w:rsidRPr="000B366C">
              <w:rPr>
                <w:rFonts w:ascii="Book Antiqua" w:hAnsi="Book Antiqua"/>
                <w:b/>
                <w:bCs/>
                <w:lang w:eastAsia="en-US"/>
              </w:rPr>
              <w:t>Resultado de la medida alterna</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862</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vAlign w:val="center"/>
            <w:hideMark/>
          </w:tcPr>
          <w:p w:rsidR="002C0ED4" w:rsidRPr="000B366C" w:rsidRDefault="002C0ED4" w:rsidP="002C0ED4">
            <w:pPr>
              <w:rPr>
                <w:rFonts w:ascii="Book Antiqua" w:hAnsi="Book Antiqua"/>
                <w:b/>
                <w:bCs/>
                <w:i/>
                <w:iCs/>
                <w:lang w:val="en-US" w:eastAsia="en-US"/>
              </w:rPr>
            </w:pPr>
            <w:r w:rsidRPr="000B366C">
              <w:rPr>
                <w:rFonts w:ascii="Book Antiqua" w:hAnsi="Book Antiqua"/>
                <w:b/>
                <w:bCs/>
                <w:i/>
                <w:iCs/>
                <w:lang w:val="en-US" w:eastAsia="en-US"/>
              </w:rPr>
              <w:t> </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 </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vAlign w:val="center"/>
            <w:hideMark/>
          </w:tcPr>
          <w:p w:rsidR="002C0ED4" w:rsidRPr="000B366C" w:rsidRDefault="002C0ED4" w:rsidP="002C0ED4">
            <w:pPr>
              <w:rPr>
                <w:rFonts w:ascii="Book Antiqua" w:hAnsi="Book Antiqua"/>
                <w:b/>
                <w:bCs/>
                <w:i/>
                <w:iCs/>
                <w:lang w:val="en-US" w:eastAsia="en-US"/>
              </w:rPr>
            </w:pPr>
            <w:r w:rsidRPr="000B366C">
              <w:rPr>
                <w:rFonts w:ascii="Book Antiqua" w:hAnsi="Book Antiqua"/>
                <w:b/>
                <w:bCs/>
                <w:i/>
                <w:iCs/>
                <w:lang w:val="en-US" w:eastAsia="en-US"/>
              </w:rPr>
              <w:t>Cumplimiento</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590</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Cantidad de informes* de cumplimiento por conciliación</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307</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Cantidad de informes* de cumplimiento por SPP</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283</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val="en-US" w:eastAsia="en-US"/>
              </w:rPr>
            </w:pPr>
            <w:r w:rsidRPr="000B366C">
              <w:rPr>
                <w:rFonts w:ascii="Book Antiqua" w:hAnsi="Book Antiqua"/>
                <w:lang w:val="en-US" w:eastAsia="en-US"/>
              </w:rPr>
              <w:t> </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 </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noWrap/>
            <w:vAlign w:val="bottom"/>
            <w:hideMark/>
          </w:tcPr>
          <w:p w:rsidR="002C0ED4" w:rsidRPr="000B366C" w:rsidRDefault="002C0ED4" w:rsidP="002C0ED4">
            <w:pPr>
              <w:rPr>
                <w:rFonts w:ascii="Book Antiqua" w:hAnsi="Book Antiqua"/>
                <w:b/>
                <w:bCs/>
                <w:lang w:val="en-US" w:eastAsia="en-US"/>
              </w:rPr>
            </w:pPr>
            <w:r w:rsidRPr="000B366C">
              <w:rPr>
                <w:rFonts w:ascii="Book Antiqua" w:hAnsi="Book Antiqua"/>
                <w:b/>
                <w:bCs/>
                <w:lang w:val="en-US" w:eastAsia="en-US"/>
              </w:rPr>
              <w:t>Incumplimientos</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272</w:t>
            </w:r>
          </w:p>
        </w:tc>
      </w:tr>
      <w:tr w:rsidR="002C0ED4" w:rsidRPr="000B366C" w:rsidTr="002C0ED4">
        <w:trPr>
          <w:trHeight w:val="238"/>
          <w:jc w:val="center"/>
        </w:trPr>
        <w:tc>
          <w:tcPr>
            <w:tcW w:w="5773" w:type="dxa"/>
            <w:tcBorders>
              <w:top w:val="nil"/>
              <w:left w:val="nil"/>
              <w:bottom w:val="nil"/>
              <w:right w:val="single" w:sz="4" w:space="0" w:color="auto"/>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Cantidad de informes* de incumplimiento por conciliación</w:t>
            </w:r>
          </w:p>
        </w:tc>
        <w:tc>
          <w:tcPr>
            <w:tcW w:w="1195" w:type="dxa"/>
            <w:tcBorders>
              <w:top w:val="nil"/>
              <w:left w:val="nil"/>
              <w:bottom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122</w:t>
            </w:r>
          </w:p>
        </w:tc>
      </w:tr>
      <w:tr w:rsidR="002C0ED4" w:rsidRPr="000B366C" w:rsidTr="002C0ED4">
        <w:trPr>
          <w:trHeight w:val="238"/>
          <w:jc w:val="center"/>
        </w:trPr>
        <w:tc>
          <w:tcPr>
            <w:tcW w:w="5773" w:type="dxa"/>
            <w:tcBorders>
              <w:top w:val="nil"/>
              <w:left w:val="nil"/>
              <w:right w:val="single" w:sz="4" w:space="0" w:color="auto"/>
            </w:tcBorders>
            <w:shd w:val="clear" w:color="auto" w:fill="auto"/>
            <w:noWrap/>
            <w:vAlign w:val="bottom"/>
            <w:hideMark/>
          </w:tcPr>
          <w:p w:rsidR="002C0ED4" w:rsidRPr="000B366C" w:rsidRDefault="002C0ED4" w:rsidP="002C0ED4">
            <w:pPr>
              <w:rPr>
                <w:rFonts w:ascii="Book Antiqua" w:hAnsi="Book Antiqua"/>
                <w:lang w:eastAsia="en-US"/>
              </w:rPr>
            </w:pPr>
            <w:r w:rsidRPr="000B366C">
              <w:rPr>
                <w:rFonts w:ascii="Book Antiqua" w:hAnsi="Book Antiqua"/>
                <w:lang w:eastAsia="en-US"/>
              </w:rPr>
              <w:t xml:space="preserve">      Cantidad de informes* de incumplimiento por SPP</w:t>
            </w:r>
          </w:p>
        </w:tc>
        <w:tc>
          <w:tcPr>
            <w:tcW w:w="1195" w:type="dxa"/>
            <w:tcBorders>
              <w:top w:val="nil"/>
              <w:left w:val="nil"/>
            </w:tcBorders>
            <w:shd w:val="clear" w:color="auto" w:fill="auto"/>
            <w:hideMark/>
          </w:tcPr>
          <w:p w:rsidR="002C0ED4" w:rsidRPr="000B366C" w:rsidRDefault="002C0ED4" w:rsidP="002C0ED4">
            <w:pPr>
              <w:jc w:val="center"/>
              <w:rPr>
                <w:rFonts w:ascii="Book Antiqua" w:hAnsi="Book Antiqua"/>
                <w:b/>
                <w:bCs/>
                <w:lang w:val="en-US" w:eastAsia="en-US"/>
              </w:rPr>
            </w:pPr>
            <w:r w:rsidRPr="000B366C">
              <w:rPr>
                <w:rFonts w:ascii="Book Antiqua" w:hAnsi="Book Antiqua"/>
                <w:b/>
                <w:bCs/>
                <w:lang w:val="en-US" w:eastAsia="en-US"/>
              </w:rPr>
              <w:t>150</w:t>
            </w:r>
          </w:p>
        </w:tc>
      </w:tr>
      <w:tr w:rsidR="002C0ED4" w:rsidRPr="000B366C" w:rsidTr="002C0ED4">
        <w:trPr>
          <w:trHeight w:val="238"/>
          <w:jc w:val="center"/>
        </w:trPr>
        <w:tc>
          <w:tcPr>
            <w:tcW w:w="5773" w:type="dxa"/>
            <w:tcBorders>
              <w:top w:val="nil"/>
              <w:left w:val="nil"/>
              <w:bottom w:val="single" w:sz="4" w:space="0" w:color="auto"/>
              <w:right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c>
          <w:tcPr>
            <w:tcW w:w="1195" w:type="dxa"/>
            <w:tcBorders>
              <w:top w:val="nil"/>
              <w:left w:val="nil"/>
              <w:bottom w:val="single" w:sz="4" w:space="0" w:color="auto"/>
            </w:tcBorders>
            <w:shd w:val="clear" w:color="auto" w:fill="auto"/>
            <w:noWrap/>
            <w:vAlign w:val="bottom"/>
            <w:hideMark/>
          </w:tcPr>
          <w:p w:rsidR="002C0ED4" w:rsidRPr="000B366C" w:rsidRDefault="002C0ED4" w:rsidP="002C0ED4">
            <w:pPr>
              <w:rPr>
                <w:rFonts w:ascii="Book Antiqua" w:hAnsi="Book Antiqua"/>
                <w:color w:val="000000"/>
                <w:lang w:val="en-US" w:eastAsia="en-US"/>
              </w:rPr>
            </w:pPr>
            <w:r w:rsidRPr="000B366C">
              <w:rPr>
                <w:rFonts w:ascii="Book Antiqua" w:hAnsi="Book Antiqua"/>
                <w:color w:val="000000"/>
                <w:lang w:val="en-US" w:eastAsia="en-US"/>
              </w:rPr>
              <w:t> </w:t>
            </w:r>
          </w:p>
        </w:tc>
      </w:tr>
      <w:tr w:rsidR="002C0ED4" w:rsidRPr="000B366C" w:rsidTr="002C0ED4">
        <w:trPr>
          <w:trHeight w:val="250"/>
          <w:jc w:val="center"/>
        </w:trPr>
        <w:tc>
          <w:tcPr>
            <w:tcW w:w="6968" w:type="dxa"/>
            <w:gridSpan w:val="2"/>
            <w:tcBorders>
              <w:top w:val="single" w:sz="4" w:space="0" w:color="auto"/>
              <w:left w:val="nil"/>
              <w:bottom w:val="nil"/>
              <w:right w:val="nil"/>
            </w:tcBorders>
            <w:shd w:val="clear" w:color="auto" w:fill="auto"/>
            <w:noWrap/>
            <w:vAlign w:val="bottom"/>
            <w:hideMark/>
          </w:tcPr>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Elaborado por: Subproceso de Estadística, Dirección de Planificación.</w:t>
            </w:r>
          </w:p>
          <w:p w:rsidR="002C0ED4" w:rsidRPr="000B366C" w:rsidRDefault="002C0ED4" w:rsidP="002C0ED4">
            <w:pPr>
              <w:rPr>
                <w:rFonts w:ascii="Book Antiqua" w:hAnsi="Book Antiqua"/>
                <w:color w:val="000000"/>
                <w:lang w:eastAsia="en-US"/>
              </w:rPr>
            </w:pPr>
            <w:r w:rsidRPr="000B366C">
              <w:rPr>
                <w:rFonts w:ascii="Book Antiqua" w:hAnsi="Book Antiqua"/>
                <w:color w:val="000000"/>
                <w:lang w:eastAsia="en-US"/>
              </w:rPr>
              <w:t>*</w:t>
            </w:r>
            <w:r w:rsidRPr="000B366C">
              <w:rPr>
                <w:rFonts w:ascii="Book Antiqua" w:hAnsi="Book Antiqua"/>
                <w:color w:val="000000"/>
              </w:rPr>
              <w:t>No corresponden al sistema de Gestión, son datos recolectados y trabajados de forma manual</w:t>
            </w:r>
          </w:p>
          <w:p w:rsidR="002C0ED4" w:rsidRPr="000B366C" w:rsidRDefault="002C0ED4" w:rsidP="002C0ED4">
            <w:pPr>
              <w:rPr>
                <w:rFonts w:ascii="Book Antiqua" w:hAnsi="Book Antiqua"/>
                <w:color w:val="000000"/>
                <w:lang w:eastAsia="en-US"/>
              </w:rPr>
            </w:pPr>
          </w:p>
        </w:tc>
      </w:tr>
    </w:tbl>
    <w:p w:rsidR="002C0ED4" w:rsidRPr="000B366C" w:rsidRDefault="002C0ED4" w:rsidP="002C0ED4">
      <w:pPr>
        <w:spacing w:line="360" w:lineRule="auto"/>
        <w:jc w:val="both"/>
        <w:rPr>
          <w:rFonts w:ascii="Book Antiqua" w:hAnsi="Book Antiqua"/>
        </w:rPr>
      </w:pPr>
    </w:p>
    <w:p w:rsidR="00932230" w:rsidRDefault="00932230" w:rsidP="00932230">
      <w:pPr>
        <w:rPr>
          <w:rFonts w:ascii="Book Antiqua" w:hAnsi="Book Antiqua" w:cs="Book Antiqua"/>
          <w:snapToGrid w:val="0"/>
          <w:sz w:val="20"/>
          <w:szCs w:val="20"/>
        </w:rPr>
      </w:pPr>
    </w:p>
    <w:sectPr w:rsidR="00932230" w:rsidSect="00856429">
      <w:headerReference w:type="default" r:id="rId12"/>
      <w:footerReference w:type="default" r:id="rId13"/>
      <w:pgSz w:w="12242" w:h="15842" w:code="1"/>
      <w:pgMar w:top="1418" w:right="1469"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72C" w:rsidRDefault="0076072C">
      <w:r>
        <w:separator/>
      </w:r>
    </w:p>
  </w:endnote>
  <w:endnote w:type="continuationSeparator" w:id="0">
    <w:p w:rsidR="0076072C" w:rsidRDefault="0076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ED4" w:rsidRDefault="00C8700F" w:rsidP="007C0BF9">
    <w:pPr>
      <w:pStyle w:val="Piedepgina"/>
      <w:framePr w:wrap="auto" w:vAnchor="text" w:hAnchor="margin" w:xAlign="right" w:y="1"/>
      <w:rPr>
        <w:rStyle w:val="Nmerodepgina"/>
        <w:rFonts w:cs="Arial"/>
      </w:rPr>
    </w:pPr>
    <w:r>
      <w:rPr>
        <w:rStyle w:val="Nmerodepgina"/>
        <w:rFonts w:cs="Arial"/>
      </w:rPr>
      <w:fldChar w:fldCharType="begin"/>
    </w:r>
    <w:r w:rsidR="002C0ED4">
      <w:rPr>
        <w:rStyle w:val="Nmerodepgina"/>
        <w:rFonts w:cs="Arial"/>
      </w:rPr>
      <w:instrText xml:space="preserve">PAGE  </w:instrText>
    </w:r>
    <w:r>
      <w:rPr>
        <w:rStyle w:val="Nmerodepgina"/>
        <w:rFonts w:cs="Arial"/>
      </w:rPr>
      <w:fldChar w:fldCharType="separate"/>
    </w:r>
    <w:r w:rsidR="00CB5C2D">
      <w:rPr>
        <w:rStyle w:val="Nmerodepgina"/>
        <w:rFonts w:cs="Arial"/>
        <w:noProof/>
      </w:rPr>
      <w:t>4</w:t>
    </w:r>
    <w:r>
      <w:rPr>
        <w:rStyle w:val="Nmerodepgina"/>
        <w:rFonts w:cs="Arial"/>
      </w:rPr>
      <w:fldChar w:fldCharType="end"/>
    </w:r>
  </w:p>
  <w:p w:rsidR="002C0ED4" w:rsidRDefault="002C0ED4"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Trabajamos por el desarrollo de la administración de justicia</w:t>
    </w:r>
    <w:r>
      <w:rPr>
        <w:rFonts w:ascii="Book Antiqua" w:hAnsi="Book Antiqua" w:cs="Times New Roman"/>
        <w:b/>
        <w:bCs/>
        <w:color w:val="000000"/>
      </w:rPr>
      <w:t xml:space="preserve">       </w:t>
    </w:r>
  </w:p>
  <w:p w:rsidR="002C0ED4" w:rsidRPr="003F17C3" w:rsidRDefault="002C0ED4"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con proyección e innovación</w:t>
    </w:r>
  </w:p>
  <w:p w:rsidR="002C0ED4" w:rsidRDefault="002C0ED4" w:rsidP="00C04D8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72C" w:rsidRDefault="0076072C">
      <w:r>
        <w:separator/>
      </w:r>
    </w:p>
  </w:footnote>
  <w:footnote w:type="continuationSeparator" w:id="0">
    <w:p w:rsidR="0076072C" w:rsidRDefault="0076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ED4" w:rsidRDefault="002C0ED4" w:rsidP="00856429">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–Dirección </w:t>
    </w:r>
    <w:proofErr w:type="gramStart"/>
    <w:r>
      <w:rPr>
        <w:rFonts w:ascii="Book Antiqua" w:hAnsi="Book Antiqua" w:cs="Book Antiqua"/>
        <w:i/>
        <w:iCs/>
        <w:sz w:val="18"/>
        <w:szCs w:val="18"/>
      </w:rPr>
      <w:t>de  Planificación</w:t>
    </w:r>
    <w:proofErr w:type="gramEnd"/>
    <w:r w:rsidRPr="007960F9">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32.25pt">
          <v:imagedata r:id="rId1" o:title=""/>
        </v:shape>
        <o:OLEObject Type="Embed" ProgID="PBrush" ShapeID="_x0000_i1026" DrawAspect="Content" ObjectID="_1601700681" r:id="rId2"/>
      </w:object>
    </w:r>
  </w:p>
  <w:p w:rsidR="002C0ED4" w:rsidRDefault="002C0ED4" w:rsidP="00856429">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2C0ED4" w:rsidRPr="00667361" w:rsidRDefault="002C0ED4" w:rsidP="00856429">
    <w:pPr>
      <w:pStyle w:val="Encabezado"/>
      <w:jc w:val="center"/>
      <w:rPr>
        <w:lang w:val="en-US"/>
      </w:rPr>
    </w:pPr>
    <w:r w:rsidRPr="00306BC7">
      <w:rPr>
        <w:rFonts w:ascii="Book Antiqua" w:hAnsi="Book Antiqua" w:cs="Book Antiqua"/>
        <w:i/>
        <w:iCs/>
        <w:sz w:val="18"/>
        <w:szCs w:val="18"/>
      </w:rPr>
      <w:t xml:space="preserve">Telf.   </w:t>
    </w:r>
    <w:r w:rsidRPr="00667361">
      <w:rPr>
        <w:rFonts w:ascii="Book Antiqua" w:hAnsi="Book Antiqua" w:cs="Book Antiqua"/>
        <w:i/>
        <w:iCs/>
        <w:sz w:val="18"/>
        <w:szCs w:val="18"/>
        <w:lang w:val="en-US"/>
      </w:rPr>
      <w:t>2295-3600 / 3599  Fax. 2</w:t>
    </w:r>
    <w:r>
      <w:rPr>
        <w:rFonts w:ascii="Book Antiqua" w:hAnsi="Book Antiqua" w:cs="Book Antiqua"/>
        <w:i/>
        <w:iCs/>
        <w:sz w:val="18"/>
        <w:szCs w:val="18"/>
        <w:lang w:val="en-US"/>
      </w:rPr>
      <w:t xml:space="preserve">257-5633   / Apdo.  95-1003  / </w:t>
    </w:r>
    <w:r w:rsidRPr="00667361">
      <w:rPr>
        <w:rFonts w:ascii="Book Antiqua" w:hAnsi="Book Antiqua" w:cs="Book Antiqua"/>
        <w:i/>
        <w:iCs/>
        <w:sz w:val="18"/>
        <w:szCs w:val="18"/>
        <w:lang w:val="en-US"/>
      </w:rPr>
      <w:t>planificacion@poder-judicial.go.cr</w:t>
    </w:r>
  </w:p>
  <w:p w:rsidR="002C0ED4" w:rsidRPr="00667361" w:rsidRDefault="002C0ED4" w:rsidP="00856429">
    <w:pPr>
      <w:pBdr>
        <w:bottom w:val="single" w:sz="6" w:space="0" w:color="auto"/>
      </w:pBdr>
      <w:spacing w:after="20"/>
      <w:rPr>
        <w:lang w:val="en-US"/>
      </w:rPr>
    </w:pPr>
  </w:p>
  <w:p w:rsidR="002C0ED4" w:rsidRPr="00E55DAB" w:rsidRDefault="002C0ED4">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242FD"/>
    <w:multiLevelType w:val="hybridMultilevel"/>
    <w:tmpl w:val="268084F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B667EFE"/>
    <w:multiLevelType w:val="hybridMultilevel"/>
    <w:tmpl w:val="543A95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C7E91"/>
    <w:multiLevelType w:val="multilevel"/>
    <w:tmpl w:val="B62EA3FA"/>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24040C"/>
    <w:multiLevelType w:val="hybridMultilevel"/>
    <w:tmpl w:val="C5CEE8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2295033"/>
    <w:multiLevelType w:val="multilevel"/>
    <w:tmpl w:val="91AAA118"/>
    <w:lvl w:ilvl="0">
      <w:start w:val="3"/>
      <w:numFmt w:val="decimal"/>
      <w:lvlText w:val="%1"/>
      <w:lvlJc w:val="left"/>
      <w:pPr>
        <w:ind w:left="405" w:hanging="405"/>
      </w:pPr>
      <w:rPr>
        <w:rFonts w:hint="default"/>
        <w:b/>
        <w:sz w:val="28"/>
      </w:rPr>
    </w:lvl>
    <w:lvl w:ilvl="1">
      <w:start w:val="1"/>
      <w:numFmt w:val="decimal"/>
      <w:lvlText w:val="%1.%2"/>
      <w:lvlJc w:val="left"/>
      <w:pPr>
        <w:ind w:left="405" w:hanging="405"/>
      </w:pPr>
      <w:rPr>
        <w:rFonts w:hint="default"/>
        <w:b/>
        <w:sz w:val="24"/>
        <w:szCs w:val="24"/>
      </w:rPr>
    </w:lvl>
    <w:lvl w:ilvl="2">
      <w:start w:val="1"/>
      <w:numFmt w:val="decimal"/>
      <w:lvlText w:val="%1.%2.%3"/>
      <w:lvlJc w:val="left"/>
      <w:pPr>
        <w:ind w:left="720" w:hanging="720"/>
      </w:pPr>
      <w:rPr>
        <w:rFonts w:hint="default"/>
        <w:b/>
        <w:i w:val="0"/>
        <w:sz w:val="24"/>
        <w:szCs w:val="24"/>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7" w15:restartNumberingAfterBreak="0">
    <w:nsid w:val="1461756C"/>
    <w:multiLevelType w:val="hybridMultilevel"/>
    <w:tmpl w:val="88C8E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5AA5578"/>
    <w:multiLevelType w:val="hybridMultilevel"/>
    <w:tmpl w:val="832CA518"/>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9" w15:restartNumberingAfterBreak="0">
    <w:nsid w:val="19D00997"/>
    <w:multiLevelType w:val="hybridMultilevel"/>
    <w:tmpl w:val="3D7C11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C12BD"/>
    <w:multiLevelType w:val="hybridMultilevel"/>
    <w:tmpl w:val="32EA9696"/>
    <w:lvl w:ilvl="0" w:tplc="0C0A0001">
      <w:start w:val="1"/>
      <w:numFmt w:val="bullet"/>
      <w:lvlText w:val=""/>
      <w:lvlJc w:val="left"/>
      <w:pPr>
        <w:tabs>
          <w:tab w:val="num" w:pos="720"/>
        </w:tabs>
        <w:ind w:left="720" w:hanging="360"/>
      </w:pPr>
      <w:rPr>
        <w:rFonts w:ascii="Symbol" w:hAnsi="Symbol"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1BD97C97"/>
    <w:multiLevelType w:val="hybridMultilevel"/>
    <w:tmpl w:val="DE66B1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542B95"/>
    <w:multiLevelType w:val="hybridMultilevel"/>
    <w:tmpl w:val="7BACE2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445DB7"/>
    <w:multiLevelType w:val="hybridMultilevel"/>
    <w:tmpl w:val="BF1AD134"/>
    <w:lvl w:ilvl="0" w:tplc="AADA095E">
      <w:start w:val="1"/>
      <w:numFmt w:val="upperRoman"/>
      <w:lvlText w:val="%1."/>
      <w:lvlJc w:val="left"/>
      <w:pPr>
        <w:ind w:left="1287"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785F9D"/>
    <w:multiLevelType w:val="multilevel"/>
    <w:tmpl w:val="7B0CE89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970CC4"/>
    <w:multiLevelType w:val="hybridMultilevel"/>
    <w:tmpl w:val="CC9629EE"/>
    <w:lvl w:ilvl="0" w:tplc="7BF4A210">
      <w:numFmt w:val="bullet"/>
      <w:lvlText w:val="-"/>
      <w:lvlJc w:val="left"/>
      <w:pPr>
        <w:ind w:left="1080" w:hanging="360"/>
      </w:pPr>
      <w:rPr>
        <w:rFonts w:ascii="Book Antiqua" w:eastAsia="Times New Roman" w:hAnsi="Book Antiqua" w:cs="Book Antiqua"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6" w15:restartNumberingAfterBreak="0">
    <w:nsid w:val="2D763FC1"/>
    <w:multiLevelType w:val="hybridMultilevel"/>
    <w:tmpl w:val="268084F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6127EA9"/>
    <w:multiLevelType w:val="hybridMultilevel"/>
    <w:tmpl w:val="4A36687E"/>
    <w:lvl w:ilvl="0" w:tplc="2674807E">
      <w:start w:val="1"/>
      <w:numFmt w:val="upperRoman"/>
      <w:lvlText w:val="%1."/>
      <w:lvlJc w:val="left"/>
      <w:pPr>
        <w:tabs>
          <w:tab w:val="num" w:pos="1080"/>
        </w:tabs>
        <w:ind w:left="1080" w:hanging="720"/>
      </w:pPr>
      <w:rPr>
        <w:rFonts w:hint="default"/>
      </w:rPr>
    </w:lvl>
    <w:lvl w:ilvl="1" w:tplc="C840C64E">
      <w:numFmt w:val="none"/>
      <w:lvlText w:val=""/>
      <w:lvlJc w:val="left"/>
      <w:pPr>
        <w:tabs>
          <w:tab w:val="num" w:pos="360"/>
        </w:tabs>
      </w:pPr>
    </w:lvl>
    <w:lvl w:ilvl="2" w:tplc="420AFD1E">
      <w:numFmt w:val="none"/>
      <w:lvlText w:val=""/>
      <w:lvlJc w:val="left"/>
      <w:pPr>
        <w:tabs>
          <w:tab w:val="num" w:pos="360"/>
        </w:tabs>
      </w:pPr>
    </w:lvl>
    <w:lvl w:ilvl="3" w:tplc="1B56F682">
      <w:numFmt w:val="none"/>
      <w:lvlText w:val=""/>
      <w:lvlJc w:val="left"/>
      <w:pPr>
        <w:tabs>
          <w:tab w:val="num" w:pos="360"/>
        </w:tabs>
      </w:pPr>
    </w:lvl>
    <w:lvl w:ilvl="4" w:tplc="8E0627E6">
      <w:numFmt w:val="none"/>
      <w:lvlText w:val=""/>
      <w:lvlJc w:val="left"/>
      <w:pPr>
        <w:tabs>
          <w:tab w:val="num" w:pos="360"/>
        </w:tabs>
      </w:pPr>
    </w:lvl>
    <w:lvl w:ilvl="5" w:tplc="2F146016">
      <w:numFmt w:val="none"/>
      <w:lvlText w:val=""/>
      <w:lvlJc w:val="left"/>
      <w:pPr>
        <w:tabs>
          <w:tab w:val="num" w:pos="360"/>
        </w:tabs>
      </w:pPr>
    </w:lvl>
    <w:lvl w:ilvl="6" w:tplc="C186E214">
      <w:numFmt w:val="none"/>
      <w:lvlText w:val=""/>
      <w:lvlJc w:val="left"/>
      <w:pPr>
        <w:tabs>
          <w:tab w:val="num" w:pos="360"/>
        </w:tabs>
      </w:pPr>
    </w:lvl>
    <w:lvl w:ilvl="7" w:tplc="D214C79C">
      <w:numFmt w:val="none"/>
      <w:lvlText w:val=""/>
      <w:lvlJc w:val="left"/>
      <w:pPr>
        <w:tabs>
          <w:tab w:val="num" w:pos="360"/>
        </w:tabs>
      </w:pPr>
    </w:lvl>
    <w:lvl w:ilvl="8" w:tplc="2D6295A4">
      <w:numFmt w:val="none"/>
      <w:lvlText w:val=""/>
      <w:lvlJc w:val="left"/>
      <w:pPr>
        <w:tabs>
          <w:tab w:val="num" w:pos="360"/>
        </w:tabs>
      </w:pPr>
    </w:lvl>
  </w:abstractNum>
  <w:abstractNum w:abstractNumId="18" w15:restartNumberingAfterBreak="0">
    <w:nsid w:val="37B715CE"/>
    <w:multiLevelType w:val="hybridMultilevel"/>
    <w:tmpl w:val="5C84BB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459ED"/>
    <w:multiLevelType w:val="hybridMultilevel"/>
    <w:tmpl w:val="268084F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67FCA3A"/>
    <w:multiLevelType w:val="multilevel"/>
    <w:tmpl w:val="00000001"/>
    <w:name w:val="List118277996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67FCA49"/>
    <w:multiLevelType w:val="multilevel"/>
    <w:tmpl w:val="00000002"/>
    <w:name w:val="List11827799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467FCA55"/>
    <w:multiLevelType w:val="multilevel"/>
    <w:tmpl w:val="00000003"/>
    <w:name w:val="List118277998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67FCA5B"/>
    <w:multiLevelType w:val="multilevel"/>
    <w:tmpl w:val="00000004"/>
    <w:name w:val="List11827799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67FCB27"/>
    <w:multiLevelType w:val="multilevel"/>
    <w:tmpl w:val="00000005"/>
    <w:name w:val="List11827801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467FCB2B"/>
    <w:multiLevelType w:val="multilevel"/>
    <w:tmpl w:val="00000006"/>
    <w:name w:val="List11827802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467FCDA6"/>
    <w:multiLevelType w:val="multilevel"/>
    <w:tmpl w:val="00000007"/>
    <w:name w:val="List11827808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467FF4F6"/>
    <w:multiLevelType w:val="multilevel"/>
    <w:tmpl w:val="00000008"/>
    <w:name w:val="List118279090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468019A7"/>
    <w:multiLevelType w:val="multilevel"/>
    <w:tmpl w:val="00000009"/>
    <w:name w:val="List1182800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46816EEA"/>
    <w:multiLevelType w:val="multilevel"/>
    <w:tmpl w:val="0000000A"/>
    <w:name w:val="List118288765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4681700A"/>
    <w:multiLevelType w:val="multilevel"/>
    <w:tmpl w:val="0000000B"/>
    <w:name w:val="List11828879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46828F28"/>
    <w:multiLevelType w:val="multilevel"/>
    <w:tmpl w:val="238E84DD"/>
    <w:name w:val="List118296144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46895D6F"/>
    <w:multiLevelType w:val="multilevel"/>
    <w:tmpl w:val="00000001"/>
    <w:name w:val="List118340747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6895D72"/>
    <w:multiLevelType w:val="multilevel"/>
    <w:tmpl w:val="00000002"/>
    <w:name w:val="List11834074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468BC571"/>
    <w:multiLevelType w:val="multilevel"/>
    <w:tmpl w:val="00000006"/>
    <w:name w:val="List118356516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68BC576"/>
    <w:multiLevelType w:val="multilevel"/>
    <w:tmpl w:val="00000007"/>
    <w:name w:val="List11835651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48040DA9"/>
    <w:multiLevelType w:val="multilevel"/>
    <w:tmpl w:val="C646F51E"/>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862" w:hanging="720"/>
      </w:pPr>
      <w:rPr>
        <w:rFonts w:hint="default"/>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585BFB"/>
    <w:multiLevelType w:val="multilevel"/>
    <w:tmpl w:val="6B46F85A"/>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02B3AF6"/>
    <w:multiLevelType w:val="multilevel"/>
    <w:tmpl w:val="2DEE84E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324AFC"/>
    <w:multiLevelType w:val="hybridMultilevel"/>
    <w:tmpl w:val="3D6EED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FD77D0"/>
    <w:multiLevelType w:val="hybridMultilevel"/>
    <w:tmpl w:val="268084F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551263"/>
    <w:multiLevelType w:val="hybridMultilevel"/>
    <w:tmpl w:val="723C016E"/>
    <w:lvl w:ilvl="0" w:tplc="4ABEB33C">
      <w:numFmt w:val="bullet"/>
      <w:lvlText w:val="-"/>
      <w:lvlJc w:val="left"/>
      <w:pPr>
        <w:ind w:left="1070" w:hanging="360"/>
      </w:pPr>
      <w:rPr>
        <w:rFonts w:ascii="Book Antiqua" w:eastAsia="Times New Roman" w:hAnsi="Book Antiqua" w:cs="Book Antiqua" w:hint="default"/>
        <w:i/>
      </w:rPr>
    </w:lvl>
    <w:lvl w:ilvl="1" w:tplc="140A0003" w:tentative="1">
      <w:start w:val="1"/>
      <w:numFmt w:val="bullet"/>
      <w:lvlText w:val="o"/>
      <w:lvlJc w:val="left"/>
      <w:pPr>
        <w:ind w:left="1790" w:hanging="360"/>
      </w:pPr>
      <w:rPr>
        <w:rFonts w:ascii="Courier New" w:hAnsi="Courier New" w:cs="Courier New" w:hint="default"/>
      </w:rPr>
    </w:lvl>
    <w:lvl w:ilvl="2" w:tplc="140A0005" w:tentative="1">
      <w:start w:val="1"/>
      <w:numFmt w:val="bullet"/>
      <w:lvlText w:val=""/>
      <w:lvlJc w:val="left"/>
      <w:pPr>
        <w:ind w:left="2510" w:hanging="360"/>
      </w:pPr>
      <w:rPr>
        <w:rFonts w:ascii="Wingdings" w:hAnsi="Wingdings" w:hint="default"/>
      </w:rPr>
    </w:lvl>
    <w:lvl w:ilvl="3" w:tplc="140A0001" w:tentative="1">
      <w:start w:val="1"/>
      <w:numFmt w:val="bullet"/>
      <w:lvlText w:val=""/>
      <w:lvlJc w:val="left"/>
      <w:pPr>
        <w:ind w:left="3230" w:hanging="360"/>
      </w:pPr>
      <w:rPr>
        <w:rFonts w:ascii="Symbol" w:hAnsi="Symbol" w:hint="default"/>
      </w:rPr>
    </w:lvl>
    <w:lvl w:ilvl="4" w:tplc="140A0003" w:tentative="1">
      <w:start w:val="1"/>
      <w:numFmt w:val="bullet"/>
      <w:lvlText w:val="o"/>
      <w:lvlJc w:val="left"/>
      <w:pPr>
        <w:ind w:left="3950" w:hanging="360"/>
      </w:pPr>
      <w:rPr>
        <w:rFonts w:ascii="Courier New" w:hAnsi="Courier New" w:cs="Courier New" w:hint="default"/>
      </w:rPr>
    </w:lvl>
    <w:lvl w:ilvl="5" w:tplc="140A0005" w:tentative="1">
      <w:start w:val="1"/>
      <w:numFmt w:val="bullet"/>
      <w:lvlText w:val=""/>
      <w:lvlJc w:val="left"/>
      <w:pPr>
        <w:ind w:left="4670" w:hanging="360"/>
      </w:pPr>
      <w:rPr>
        <w:rFonts w:ascii="Wingdings" w:hAnsi="Wingdings" w:hint="default"/>
      </w:rPr>
    </w:lvl>
    <w:lvl w:ilvl="6" w:tplc="140A0001" w:tentative="1">
      <w:start w:val="1"/>
      <w:numFmt w:val="bullet"/>
      <w:lvlText w:val=""/>
      <w:lvlJc w:val="left"/>
      <w:pPr>
        <w:ind w:left="5390" w:hanging="360"/>
      </w:pPr>
      <w:rPr>
        <w:rFonts w:ascii="Symbol" w:hAnsi="Symbol" w:hint="default"/>
      </w:rPr>
    </w:lvl>
    <w:lvl w:ilvl="7" w:tplc="140A0003" w:tentative="1">
      <w:start w:val="1"/>
      <w:numFmt w:val="bullet"/>
      <w:lvlText w:val="o"/>
      <w:lvlJc w:val="left"/>
      <w:pPr>
        <w:ind w:left="6110" w:hanging="360"/>
      </w:pPr>
      <w:rPr>
        <w:rFonts w:ascii="Courier New" w:hAnsi="Courier New" w:cs="Courier New" w:hint="default"/>
      </w:rPr>
    </w:lvl>
    <w:lvl w:ilvl="8" w:tplc="140A0005" w:tentative="1">
      <w:start w:val="1"/>
      <w:numFmt w:val="bullet"/>
      <w:lvlText w:val=""/>
      <w:lvlJc w:val="left"/>
      <w:pPr>
        <w:ind w:left="6830" w:hanging="360"/>
      </w:pPr>
      <w:rPr>
        <w:rFonts w:ascii="Wingdings" w:hAnsi="Wingdings" w:hint="default"/>
      </w:rPr>
    </w:lvl>
  </w:abstractNum>
  <w:abstractNum w:abstractNumId="46" w15:restartNumberingAfterBreak="0">
    <w:nsid w:val="6AAF7A6B"/>
    <w:multiLevelType w:val="multilevel"/>
    <w:tmpl w:val="7EA85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hint="default"/>
        <w:color w:val="auto"/>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06061F7"/>
    <w:multiLevelType w:val="hybridMultilevel"/>
    <w:tmpl w:val="36526E9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70C746F8"/>
    <w:multiLevelType w:val="hybridMultilevel"/>
    <w:tmpl w:val="B87AA67C"/>
    <w:lvl w:ilvl="0" w:tplc="D6BCA788">
      <w:numFmt w:val="bullet"/>
      <w:lvlText w:val="-"/>
      <w:lvlJc w:val="left"/>
      <w:pPr>
        <w:ind w:left="1080" w:hanging="360"/>
      </w:pPr>
      <w:rPr>
        <w:rFonts w:ascii="Book Antiqua" w:eastAsia="Times New Roman" w:hAnsi="Book Antiqua" w:cs="Book Antiqua"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0" w15:restartNumberingAfterBreak="0">
    <w:nsid w:val="71395E5E"/>
    <w:multiLevelType w:val="hybridMultilevel"/>
    <w:tmpl w:val="1A92C9B4"/>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14F4670"/>
    <w:multiLevelType w:val="hybridMultilevel"/>
    <w:tmpl w:val="9A9CDCF2"/>
    <w:lvl w:ilvl="0" w:tplc="9496D456">
      <w:numFmt w:val="bullet"/>
      <w:lvlText w:val="-"/>
      <w:lvlJc w:val="left"/>
      <w:pPr>
        <w:ind w:left="1080" w:hanging="360"/>
      </w:pPr>
      <w:rPr>
        <w:rFonts w:ascii="Book Antiqua" w:eastAsia="Times New Roman" w:hAnsi="Book Antiqua" w:cs="Book Antiqua" w:hint="default"/>
        <w:i/>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2" w15:restartNumberingAfterBreak="0">
    <w:nsid w:val="754A5D15"/>
    <w:multiLevelType w:val="multilevel"/>
    <w:tmpl w:val="2558E7E1"/>
    <w:name w:val="List118315321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754A5D16"/>
    <w:multiLevelType w:val="multilevel"/>
    <w:tmpl w:val="2558E7E2"/>
    <w:name w:val="List11831532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754A5D17"/>
    <w:multiLevelType w:val="multilevel"/>
    <w:tmpl w:val="2558E7E3"/>
    <w:name w:val="List118315327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15:restartNumberingAfterBreak="0">
    <w:nsid w:val="754A5D18"/>
    <w:multiLevelType w:val="multilevel"/>
    <w:tmpl w:val="2558E7E4"/>
    <w:name w:val="List118315331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15:restartNumberingAfterBreak="0">
    <w:nsid w:val="754A5D19"/>
    <w:multiLevelType w:val="multilevel"/>
    <w:tmpl w:val="2558E7E5"/>
    <w:name w:val="List11831534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754A5D1A"/>
    <w:multiLevelType w:val="multilevel"/>
    <w:tmpl w:val="2558E7E6"/>
    <w:name w:val="List11835833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 w15:restartNumberingAfterBreak="0">
    <w:nsid w:val="754A5D1B"/>
    <w:multiLevelType w:val="multilevel"/>
    <w:tmpl w:val="2558E7E7"/>
    <w:name w:val="List11835834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754A5D1C"/>
    <w:multiLevelType w:val="multilevel"/>
    <w:tmpl w:val="684A596F"/>
    <w:name w:val="List118599822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15:restartNumberingAfterBreak="0">
    <w:nsid w:val="754A5D1D"/>
    <w:multiLevelType w:val="multilevel"/>
    <w:tmpl w:val="684A5970"/>
    <w:name w:val="List1185999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15:restartNumberingAfterBreak="0">
    <w:nsid w:val="754A5D1E"/>
    <w:multiLevelType w:val="multilevel"/>
    <w:tmpl w:val="2558E7EA"/>
    <w:name w:val="List11859027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54A5D1F"/>
    <w:multiLevelType w:val="multilevel"/>
    <w:tmpl w:val="2558E7EB"/>
    <w:name w:val="List118591208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15:restartNumberingAfterBreak="0">
    <w:nsid w:val="754A5D20"/>
    <w:multiLevelType w:val="multilevel"/>
    <w:tmpl w:val="2558E7EC"/>
    <w:name w:val="List118591329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15:restartNumberingAfterBreak="0">
    <w:nsid w:val="754A5D21"/>
    <w:multiLevelType w:val="multilevel"/>
    <w:tmpl w:val="2558E7ED"/>
    <w:name w:val="List118591854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15:restartNumberingAfterBreak="0">
    <w:nsid w:val="754A5D22"/>
    <w:multiLevelType w:val="multilevel"/>
    <w:tmpl w:val="2558E7EE"/>
    <w:name w:val="List118591854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15:restartNumberingAfterBreak="0">
    <w:nsid w:val="754A5D23"/>
    <w:multiLevelType w:val="multilevel"/>
    <w:tmpl w:val="2558E7EF"/>
    <w:name w:val="List11859796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754A5D24"/>
    <w:multiLevelType w:val="multilevel"/>
    <w:tmpl w:val="76621B07"/>
    <w:name w:val="List11892026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15:restartNumberingAfterBreak="0">
    <w:nsid w:val="754A5D25"/>
    <w:multiLevelType w:val="multilevel"/>
    <w:tmpl w:val="76621B08"/>
    <w:name w:val="List11892027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761B32BD"/>
    <w:multiLevelType w:val="multilevel"/>
    <w:tmpl w:val="FF9823F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D1E3259"/>
    <w:multiLevelType w:val="hybridMultilevel"/>
    <w:tmpl w:val="5B02BD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7"/>
  </w:num>
  <w:num w:numId="2">
    <w:abstractNumId w:val="42"/>
  </w:num>
  <w:num w:numId="3">
    <w:abstractNumId w:val="40"/>
  </w:num>
  <w:num w:numId="4">
    <w:abstractNumId w:val="0"/>
  </w:num>
  <w:num w:numId="5">
    <w:abstractNumId w:val="44"/>
  </w:num>
  <w:num w:numId="6">
    <w:abstractNumId w:val="3"/>
  </w:num>
  <w:num w:numId="7">
    <w:abstractNumId w:val="9"/>
  </w:num>
  <w:num w:numId="8">
    <w:abstractNumId w:val="41"/>
  </w:num>
  <w:num w:numId="9">
    <w:abstractNumId w:val="2"/>
  </w:num>
  <w:num w:numId="10">
    <w:abstractNumId w:val="10"/>
  </w:num>
  <w:num w:numId="11">
    <w:abstractNumId w:val="17"/>
  </w:num>
  <w:num w:numId="12">
    <w:abstractNumId w:val="46"/>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49"/>
  </w:num>
  <w:num w:numId="17">
    <w:abstractNumId w:val="15"/>
  </w:num>
  <w:num w:numId="18">
    <w:abstractNumId w:val="45"/>
  </w:num>
  <w:num w:numId="19">
    <w:abstractNumId w:val="5"/>
  </w:num>
  <w:num w:numId="20">
    <w:abstractNumId w:val="0"/>
  </w:num>
  <w:num w:numId="21">
    <w:abstractNumId w:val="12"/>
  </w:num>
  <w:num w:numId="22">
    <w:abstractNumId w:val="11"/>
  </w:num>
  <w:num w:numId="23">
    <w:abstractNumId w:val="39"/>
  </w:num>
  <w:num w:numId="24">
    <w:abstractNumId w:val="6"/>
  </w:num>
  <w:num w:numId="25">
    <w:abstractNumId w:val="7"/>
  </w:num>
  <w:num w:numId="26">
    <w:abstractNumId w:val="50"/>
  </w:num>
  <w:num w:numId="27">
    <w:abstractNumId w:val="38"/>
  </w:num>
  <w:num w:numId="28">
    <w:abstractNumId w:val="37"/>
  </w:num>
  <w:num w:numId="29">
    <w:abstractNumId w:val="48"/>
  </w:num>
  <w:num w:numId="30">
    <w:abstractNumId w:val="14"/>
  </w:num>
  <w:num w:numId="31">
    <w:abstractNumId w:val="69"/>
  </w:num>
  <w:num w:numId="32">
    <w:abstractNumId w:val="4"/>
  </w:num>
  <w:num w:numId="33">
    <w:abstractNumId w:val="13"/>
  </w:num>
  <w:num w:numId="34">
    <w:abstractNumId w:val="70"/>
  </w:num>
  <w:num w:numId="35">
    <w:abstractNumId w:val="8"/>
  </w:num>
  <w:num w:numId="36">
    <w:abstractNumId w:val="19"/>
  </w:num>
  <w:num w:numId="37">
    <w:abstractNumId w:val="16"/>
  </w:num>
  <w:num w:numId="38">
    <w:abstractNumId w:val="4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9C"/>
    <w:rsid w:val="00002597"/>
    <w:rsid w:val="000047A6"/>
    <w:rsid w:val="00013A3C"/>
    <w:rsid w:val="00013EFB"/>
    <w:rsid w:val="000143DC"/>
    <w:rsid w:val="000179CE"/>
    <w:rsid w:val="000242F8"/>
    <w:rsid w:val="00041FA5"/>
    <w:rsid w:val="00047304"/>
    <w:rsid w:val="0005393F"/>
    <w:rsid w:val="00056425"/>
    <w:rsid w:val="00063C88"/>
    <w:rsid w:val="00077994"/>
    <w:rsid w:val="000A3F46"/>
    <w:rsid w:val="000C5BE7"/>
    <w:rsid w:val="000D10F2"/>
    <w:rsid w:val="000D5F59"/>
    <w:rsid w:val="000E318D"/>
    <w:rsid w:val="000F01AC"/>
    <w:rsid w:val="000F245B"/>
    <w:rsid w:val="00111EED"/>
    <w:rsid w:val="001131D3"/>
    <w:rsid w:val="00115F20"/>
    <w:rsid w:val="00116902"/>
    <w:rsid w:val="00116E2E"/>
    <w:rsid w:val="00123EAD"/>
    <w:rsid w:val="00124514"/>
    <w:rsid w:val="00132818"/>
    <w:rsid w:val="00134CEA"/>
    <w:rsid w:val="00135BD5"/>
    <w:rsid w:val="001549B6"/>
    <w:rsid w:val="00173456"/>
    <w:rsid w:val="001A3781"/>
    <w:rsid w:val="001A3959"/>
    <w:rsid w:val="001A7688"/>
    <w:rsid w:val="001C1DF7"/>
    <w:rsid w:val="001C213E"/>
    <w:rsid w:val="001D4A27"/>
    <w:rsid w:val="001D4F95"/>
    <w:rsid w:val="001E38DA"/>
    <w:rsid w:val="001F31E6"/>
    <w:rsid w:val="001F62B1"/>
    <w:rsid w:val="00204B44"/>
    <w:rsid w:val="002062F2"/>
    <w:rsid w:val="0021204C"/>
    <w:rsid w:val="002176F6"/>
    <w:rsid w:val="002178E9"/>
    <w:rsid w:val="00242FA0"/>
    <w:rsid w:val="00243DEA"/>
    <w:rsid w:val="00245E2E"/>
    <w:rsid w:val="0025544A"/>
    <w:rsid w:val="00263456"/>
    <w:rsid w:val="002667DF"/>
    <w:rsid w:val="00266C92"/>
    <w:rsid w:val="00287F54"/>
    <w:rsid w:val="002A5062"/>
    <w:rsid w:val="002A50B4"/>
    <w:rsid w:val="002A61CE"/>
    <w:rsid w:val="002A6DD9"/>
    <w:rsid w:val="002A7A25"/>
    <w:rsid w:val="002B59A2"/>
    <w:rsid w:val="002C0ED4"/>
    <w:rsid w:val="002C3CBE"/>
    <w:rsid w:val="002C4565"/>
    <w:rsid w:val="002D04B7"/>
    <w:rsid w:val="002D67D9"/>
    <w:rsid w:val="002E0BFA"/>
    <w:rsid w:val="002E0CC2"/>
    <w:rsid w:val="002E6B06"/>
    <w:rsid w:val="002E78FA"/>
    <w:rsid w:val="002F4D39"/>
    <w:rsid w:val="002F6F5C"/>
    <w:rsid w:val="002F7F61"/>
    <w:rsid w:val="00304812"/>
    <w:rsid w:val="00304AEB"/>
    <w:rsid w:val="00306BC7"/>
    <w:rsid w:val="00312A92"/>
    <w:rsid w:val="0033399C"/>
    <w:rsid w:val="0034301B"/>
    <w:rsid w:val="00353D85"/>
    <w:rsid w:val="00366792"/>
    <w:rsid w:val="003746CD"/>
    <w:rsid w:val="00375CD4"/>
    <w:rsid w:val="00380173"/>
    <w:rsid w:val="00382812"/>
    <w:rsid w:val="003B1523"/>
    <w:rsid w:val="003D40EA"/>
    <w:rsid w:val="003E04D6"/>
    <w:rsid w:val="003E5973"/>
    <w:rsid w:val="003E5A85"/>
    <w:rsid w:val="003E6006"/>
    <w:rsid w:val="003E725C"/>
    <w:rsid w:val="003F2547"/>
    <w:rsid w:val="00400CEB"/>
    <w:rsid w:val="0040582B"/>
    <w:rsid w:val="004147C2"/>
    <w:rsid w:val="00421957"/>
    <w:rsid w:val="004246FE"/>
    <w:rsid w:val="004328DB"/>
    <w:rsid w:val="0043696F"/>
    <w:rsid w:val="00440E51"/>
    <w:rsid w:val="004460EC"/>
    <w:rsid w:val="0045107F"/>
    <w:rsid w:val="00451CEF"/>
    <w:rsid w:val="00466813"/>
    <w:rsid w:val="0048544F"/>
    <w:rsid w:val="00494648"/>
    <w:rsid w:val="004975E6"/>
    <w:rsid w:val="004A3314"/>
    <w:rsid w:val="004A48ED"/>
    <w:rsid w:val="004A596A"/>
    <w:rsid w:val="004A6F6F"/>
    <w:rsid w:val="004B2CE8"/>
    <w:rsid w:val="004C4AD7"/>
    <w:rsid w:val="004D14B9"/>
    <w:rsid w:val="004E1018"/>
    <w:rsid w:val="004E1538"/>
    <w:rsid w:val="004F72A8"/>
    <w:rsid w:val="00503A71"/>
    <w:rsid w:val="005278C4"/>
    <w:rsid w:val="00534175"/>
    <w:rsid w:val="00537041"/>
    <w:rsid w:val="0053785B"/>
    <w:rsid w:val="00542ECC"/>
    <w:rsid w:val="00562721"/>
    <w:rsid w:val="00570534"/>
    <w:rsid w:val="0057147E"/>
    <w:rsid w:val="00587741"/>
    <w:rsid w:val="005A3B46"/>
    <w:rsid w:val="005A6AD9"/>
    <w:rsid w:val="005B27D6"/>
    <w:rsid w:val="005D304D"/>
    <w:rsid w:val="005D4F74"/>
    <w:rsid w:val="005E1BE3"/>
    <w:rsid w:val="005E3AA0"/>
    <w:rsid w:val="005E4849"/>
    <w:rsid w:val="005E5D27"/>
    <w:rsid w:val="005F4086"/>
    <w:rsid w:val="0060102B"/>
    <w:rsid w:val="00606EFB"/>
    <w:rsid w:val="006222BB"/>
    <w:rsid w:val="00641146"/>
    <w:rsid w:val="0066126A"/>
    <w:rsid w:val="00667361"/>
    <w:rsid w:val="0067029D"/>
    <w:rsid w:val="00680EC7"/>
    <w:rsid w:val="006822E3"/>
    <w:rsid w:val="00695F65"/>
    <w:rsid w:val="006A489B"/>
    <w:rsid w:val="006A71F1"/>
    <w:rsid w:val="006D5DE2"/>
    <w:rsid w:val="006D7603"/>
    <w:rsid w:val="006E15E3"/>
    <w:rsid w:val="006F08EA"/>
    <w:rsid w:val="006F3C97"/>
    <w:rsid w:val="006F4479"/>
    <w:rsid w:val="006F74DE"/>
    <w:rsid w:val="007045F1"/>
    <w:rsid w:val="00706670"/>
    <w:rsid w:val="00710890"/>
    <w:rsid w:val="00711B0A"/>
    <w:rsid w:val="00732A06"/>
    <w:rsid w:val="00745AF6"/>
    <w:rsid w:val="0076072C"/>
    <w:rsid w:val="00770AFB"/>
    <w:rsid w:val="00771DA2"/>
    <w:rsid w:val="00781615"/>
    <w:rsid w:val="007960F9"/>
    <w:rsid w:val="007A5B48"/>
    <w:rsid w:val="007B584C"/>
    <w:rsid w:val="007C0BF9"/>
    <w:rsid w:val="007D5F0B"/>
    <w:rsid w:val="0080436B"/>
    <w:rsid w:val="008065AC"/>
    <w:rsid w:val="008149AF"/>
    <w:rsid w:val="00823DA5"/>
    <w:rsid w:val="008317D0"/>
    <w:rsid w:val="00832AFB"/>
    <w:rsid w:val="00832B21"/>
    <w:rsid w:val="008426D8"/>
    <w:rsid w:val="00842D8E"/>
    <w:rsid w:val="00843775"/>
    <w:rsid w:val="00854653"/>
    <w:rsid w:val="00856429"/>
    <w:rsid w:val="00866612"/>
    <w:rsid w:val="008741D4"/>
    <w:rsid w:val="008901CB"/>
    <w:rsid w:val="00894307"/>
    <w:rsid w:val="008A04F3"/>
    <w:rsid w:val="008B2D70"/>
    <w:rsid w:val="008B4B3D"/>
    <w:rsid w:val="008B5BDE"/>
    <w:rsid w:val="008C0841"/>
    <w:rsid w:val="008C371C"/>
    <w:rsid w:val="008C541F"/>
    <w:rsid w:val="008C6C47"/>
    <w:rsid w:val="008D1384"/>
    <w:rsid w:val="008D30AC"/>
    <w:rsid w:val="008D3966"/>
    <w:rsid w:val="008D694F"/>
    <w:rsid w:val="008E5522"/>
    <w:rsid w:val="008E55EB"/>
    <w:rsid w:val="008E5754"/>
    <w:rsid w:val="008E6480"/>
    <w:rsid w:val="008F6C20"/>
    <w:rsid w:val="00921A4A"/>
    <w:rsid w:val="00932230"/>
    <w:rsid w:val="009353F3"/>
    <w:rsid w:val="0093599D"/>
    <w:rsid w:val="00942B03"/>
    <w:rsid w:val="00946FE5"/>
    <w:rsid w:val="00953723"/>
    <w:rsid w:val="0095504D"/>
    <w:rsid w:val="009676D8"/>
    <w:rsid w:val="00970E35"/>
    <w:rsid w:val="00972270"/>
    <w:rsid w:val="009772DD"/>
    <w:rsid w:val="00977E1A"/>
    <w:rsid w:val="009839B4"/>
    <w:rsid w:val="00983B19"/>
    <w:rsid w:val="009858FE"/>
    <w:rsid w:val="0098652B"/>
    <w:rsid w:val="00986667"/>
    <w:rsid w:val="00994811"/>
    <w:rsid w:val="009A0348"/>
    <w:rsid w:val="009A16C5"/>
    <w:rsid w:val="009B036B"/>
    <w:rsid w:val="009B11E6"/>
    <w:rsid w:val="009B47C0"/>
    <w:rsid w:val="009C13A6"/>
    <w:rsid w:val="009E1EAA"/>
    <w:rsid w:val="009E2091"/>
    <w:rsid w:val="009F0A2A"/>
    <w:rsid w:val="00A04027"/>
    <w:rsid w:val="00A17B50"/>
    <w:rsid w:val="00A23D40"/>
    <w:rsid w:val="00A361F6"/>
    <w:rsid w:val="00A56488"/>
    <w:rsid w:val="00A65703"/>
    <w:rsid w:val="00A82EFC"/>
    <w:rsid w:val="00A83012"/>
    <w:rsid w:val="00A85998"/>
    <w:rsid w:val="00AD67E1"/>
    <w:rsid w:val="00B0245D"/>
    <w:rsid w:val="00B15C05"/>
    <w:rsid w:val="00B21262"/>
    <w:rsid w:val="00B2396B"/>
    <w:rsid w:val="00B32F79"/>
    <w:rsid w:val="00B33B51"/>
    <w:rsid w:val="00B44314"/>
    <w:rsid w:val="00B521E6"/>
    <w:rsid w:val="00B52D91"/>
    <w:rsid w:val="00B54D5A"/>
    <w:rsid w:val="00B715D5"/>
    <w:rsid w:val="00B74C1A"/>
    <w:rsid w:val="00B77E9C"/>
    <w:rsid w:val="00B834BB"/>
    <w:rsid w:val="00B961C5"/>
    <w:rsid w:val="00BA1764"/>
    <w:rsid w:val="00BB2677"/>
    <w:rsid w:val="00BE1800"/>
    <w:rsid w:val="00BF1764"/>
    <w:rsid w:val="00C01B04"/>
    <w:rsid w:val="00C04D85"/>
    <w:rsid w:val="00C10626"/>
    <w:rsid w:val="00C212E6"/>
    <w:rsid w:val="00C32F98"/>
    <w:rsid w:val="00C3445F"/>
    <w:rsid w:val="00C3609E"/>
    <w:rsid w:val="00C41919"/>
    <w:rsid w:val="00C54F4C"/>
    <w:rsid w:val="00C616A0"/>
    <w:rsid w:val="00C66C5A"/>
    <w:rsid w:val="00C816FC"/>
    <w:rsid w:val="00C8700F"/>
    <w:rsid w:val="00C87C75"/>
    <w:rsid w:val="00C92239"/>
    <w:rsid w:val="00C93551"/>
    <w:rsid w:val="00CA0644"/>
    <w:rsid w:val="00CB4FD4"/>
    <w:rsid w:val="00CB5C2D"/>
    <w:rsid w:val="00CD6B1A"/>
    <w:rsid w:val="00CD7E6E"/>
    <w:rsid w:val="00CE0107"/>
    <w:rsid w:val="00CE7909"/>
    <w:rsid w:val="00CF3917"/>
    <w:rsid w:val="00CF3E3D"/>
    <w:rsid w:val="00CF47A4"/>
    <w:rsid w:val="00D206B3"/>
    <w:rsid w:val="00D4491A"/>
    <w:rsid w:val="00D45F18"/>
    <w:rsid w:val="00D52222"/>
    <w:rsid w:val="00D537AD"/>
    <w:rsid w:val="00D629FE"/>
    <w:rsid w:val="00D72546"/>
    <w:rsid w:val="00D74953"/>
    <w:rsid w:val="00D80444"/>
    <w:rsid w:val="00D81B08"/>
    <w:rsid w:val="00D852A9"/>
    <w:rsid w:val="00D908E3"/>
    <w:rsid w:val="00D92A51"/>
    <w:rsid w:val="00DA2C94"/>
    <w:rsid w:val="00DA5916"/>
    <w:rsid w:val="00DB601A"/>
    <w:rsid w:val="00DC4EA9"/>
    <w:rsid w:val="00DD79CC"/>
    <w:rsid w:val="00DD7CF9"/>
    <w:rsid w:val="00DF16FC"/>
    <w:rsid w:val="00E11A87"/>
    <w:rsid w:val="00E15E85"/>
    <w:rsid w:val="00E2016A"/>
    <w:rsid w:val="00E21E3D"/>
    <w:rsid w:val="00E26AB0"/>
    <w:rsid w:val="00E4091D"/>
    <w:rsid w:val="00E4258A"/>
    <w:rsid w:val="00E55DAB"/>
    <w:rsid w:val="00E57357"/>
    <w:rsid w:val="00E62EB1"/>
    <w:rsid w:val="00E67EAE"/>
    <w:rsid w:val="00E70ADC"/>
    <w:rsid w:val="00E73CF2"/>
    <w:rsid w:val="00E9691D"/>
    <w:rsid w:val="00E97CE2"/>
    <w:rsid w:val="00EC42EC"/>
    <w:rsid w:val="00EC4512"/>
    <w:rsid w:val="00EC70B3"/>
    <w:rsid w:val="00EF5F55"/>
    <w:rsid w:val="00EF6C5A"/>
    <w:rsid w:val="00EF7494"/>
    <w:rsid w:val="00F07257"/>
    <w:rsid w:val="00F131D2"/>
    <w:rsid w:val="00F135BF"/>
    <w:rsid w:val="00F26B3C"/>
    <w:rsid w:val="00F31628"/>
    <w:rsid w:val="00F31C7D"/>
    <w:rsid w:val="00F37060"/>
    <w:rsid w:val="00F41C8C"/>
    <w:rsid w:val="00F52303"/>
    <w:rsid w:val="00F6436F"/>
    <w:rsid w:val="00F64BCF"/>
    <w:rsid w:val="00F9409A"/>
    <w:rsid w:val="00FA5E13"/>
    <w:rsid w:val="00FA75C2"/>
    <w:rsid w:val="00FD0221"/>
    <w:rsid w:val="00FE1F26"/>
    <w:rsid w:val="00FE5F91"/>
    <w:rsid w:val="00FF4AB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4DA84DA-9D76-41DA-9746-734C5FC7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60F9"/>
    <w:pPr>
      <w:widowControl w:val="0"/>
      <w:autoSpaceDE w:val="0"/>
      <w:autoSpaceDN w:val="0"/>
      <w:adjustRightInd w:val="0"/>
    </w:pPr>
    <w:rPr>
      <w:rFonts w:ascii="Arial" w:hAnsi="Arial" w:cs="Arial"/>
      <w:sz w:val="24"/>
      <w:szCs w:val="24"/>
    </w:rPr>
  </w:style>
  <w:style w:type="paragraph" w:styleId="Ttulo1">
    <w:name w:val="heading 1"/>
    <w:aliases w:val="Título Principal,1. Texto Base"/>
    <w:basedOn w:val="Normal"/>
    <w:next w:val="Normal"/>
    <w:link w:val="Ttulo1Car"/>
    <w:uiPriority w:val="99"/>
    <w:qFormat/>
    <w:rsid w:val="007960F9"/>
    <w:pPr>
      <w:keepNext/>
      <w:tabs>
        <w:tab w:val="center" w:pos="4680"/>
      </w:tabs>
      <w:jc w:val="both"/>
      <w:outlineLvl w:val="0"/>
    </w:pPr>
    <w:rPr>
      <w:b/>
      <w:bCs/>
      <w:i/>
      <w:iCs/>
      <w:color w:val="000000"/>
      <w:spacing w:val="-3"/>
      <w:u w:color="000000"/>
    </w:rPr>
  </w:style>
  <w:style w:type="paragraph" w:styleId="Ttulo2">
    <w:name w:val="heading 2"/>
    <w:aliases w:val="3. Subtitulos"/>
    <w:basedOn w:val="Normal"/>
    <w:next w:val="Normal"/>
    <w:link w:val="Ttulo2Car"/>
    <w:uiPriority w:val="99"/>
    <w:qFormat/>
    <w:rsid w:val="002C0ED4"/>
    <w:pPr>
      <w:keepNext/>
      <w:spacing w:before="240" w:after="60"/>
      <w:outlineLvl w:val="1"/>
    </w:pPr>
    <w:rPr>
      <w:rFonts w:cs="Times New Roman"/>
      <w:b/>
      <w:bCs/>
      <w:i/>
      <w:iCs/>
      <w:sz w:val="28"/>
      <w:szCs w:val="28"/>
    </w:rPr>
  </w:style>
  <w:style w:type="paragraph" w:styleId="Ttulo3">
    <w:name w:val="heading 3"/>
    <w:basedOn w:val="Normal"/>
    <w:next w:val="Normal"/>
    <w:link w:val="Ttulo3Car"/>
    <w:uiPriority w:val="99"/>
    <w:qFormat/>
    <w:rsid w:val="002C0ED4"/>
    <w:pPr>
      <w:keepNext/>
      <w:spacing w:before="240" w:after="60"/>
      <w:outlineLvl w:val="2"/>
    </w:pPr>
    <w:rPr>
      <w:rFonts w:cs="Times New Roman"/>
      <w:b/>
      <w:bCs/>
      <w:sz w:val="26"/>
      <w:szCs w:val="26"/>
    </w:rPr>
  </w:style>
  <w:style w:type="paragraph" w:styleId="Ttulo4">
    <w:name w:val="heading 4"/>
    <w:aliases w:val="2. Titulo I-II-III ect."/>
    <w:basedOn w:val="Normal"/>
    <w:next w:val="Normal"/>
    <w:link w:val="Ttulo4Car"/>
    <w:uiPriority w:val="99"/>
    <w:qFormat/>
    <w:rsid w:val="007960F9"/>
    <w:pPr>
      <w:keepNext/>
      <w:outlineLvl w:val="3"/>
    </w:pPr>
    <w:rPr>
      <w:rFonts w:ascii="Book Antiqua" w:hAnsi="Book Antiqua" w:cs="Book Antiqua"/>
      <w:b/>
      <w:bCs/>
      <w:u w:color="000000"/>
    </w:rPr>
  </w:style>
  <w:style w:type="paragraph" w:styleId="Ttulo5">
    <w:name w:val="heading 5"/>
    <w:aliases w:val="4.Cuadros"/>
    <w:basedOn w:val="Normal"/>
    <w:next w:val="Normal"/>
    <w:link w:val="Ttulo5Car"/>
    <w:uiPriority w:val="99"/>
    <w:qFormat/>
    <w:rsid w:val="007960F9"/>
    <w:pPr>
      <w:keepNext/>
      <w:jc w:val="both"/>
      <w:outlineLvl w:val="4"/>
    </w:pPr>
    <w:rPr>
      <w:b/>
      <w:bCs/>
      <w:i/>
      <w:iCs/>
      <w:color w:val="000000"/>
      <w:u w:color="000000"/>
    </w:rPr>
  </w:style>
  <w:style w:type="paragraph" w:styleId="Ttulo6">
    <w:name w:val="heading 6"/>
    <w:aliases w:val="5.Fuente"/>
    <w:basedOn w:val="Normal"/>
    <w:next w:val="Normal"/>
    <w:link w:val="Ttulo6Car"/>
    <w:uiPriority w:val="99"/>
    <w:qFormat/>
    <w:rsid w:val="002C0ED4"/>
    <w:pPr>
      <w:spacing w:before="240" w:after="60"/>
      <w:outlineLvl w:val="5"/>
    </w:pPr>
    <w:rPr>
      <w:rFonts w:ascii="Times New Roman" w:hAnsi="Times New Roman" w:cs="Times New Roman"/>
      <w:b/>
      <w:bCs/>
      <w:sz w:val="22"/>
      <w:szCs w:val="22"/>
    </w:rPr>
  </w:style>
  <w:style w:type="paragraph" w:styleId="Ttulo7">
    <w:name w:val="heading 7"/>
    <w:basedOn w:val="Normal"/>
    <w:link w:val="Ttulo7Car"/>
    <w:uiPriority w:val="99"/>
    <w:qFormat/>
    <w:rsid w:val="002C0ED4"/>
    <w:pPr>
      <w:keepNext/>
      <w:widowControl/>
      <w:shd w:val="clear" w:color="auto" w:fill="FFFFFF"/>
      <w:tabs>
        <w:tab w:val="num" w:pos="360"/>
      </w:tabs>
      <w:autoSpaceDN/>
      <w:adjustRightInd/>
      <w:jc w:val="right"/>
      <w:outlineLvl w:val="6"/>
    </w:pPr>
    <w:rPr>
      <w:rFonts w:cs="Times New Roman"/>
      <w:b/>
      <w:bCs/>
      <w:u w:val="single"/>
    </w:rPr>
  </w:style>
  <w:style w:type="paragraph" w:styleId="Ttulo8">
    <w:name w:val="heading 8"/>
    <w:basedOn w:val="Normal"/>
    <w:next w:val="Normal"/>
    <w:link w:val="Ttulo8Car"/>
    <w:uiPriority w:val="99"/>
    <w:qFormat/>
    <w:rsid w:val="007960F9"/>
    <w:pPr>
      <w:keepNext/>
      <w:jc w:val="right"/>
      <w:outlineLvl w:val="7"/>
    </w:pPr>
    <w:rPr>
      <w:rFonts w:ascii="Book Antiqua" w:hAnsi="Book Antiqua" w:cs="Book Antiqua"/>
    </w:rPr>
  </w:style>
  <w:style w:type="paragraph" w:styleId="Ttulo9">
    <w:name w:val="heading 9"/>
    <w:basedOn w:val="Normal"/>
    <w:next w:val="Normal"/>
    <w:link w:val="Ttulo9Car"/>
    <w:uiPriority w:val="99"/>
    <w:qFormat/>
    <w:rsid w:val="002C0ED4"/>
    <w:pPr>
      <w:keepNext/>
      <w:widowControl/>
      <w:autoSpaceDE/>
      <w:autoSpaceDN/>
      <w:adjustRightInd/>
      <w:jc w:val="right"/>
      <w:outlineLvl w:val="8"/>
    </w:pPr>
    <w:rPr>
      <w:rFonts w:cs="Times New Roman"/>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uiPriority w:val="99"/>
    <w:rsid w:val="002C0ED4"/>
    <w:rPr>
      <w:rFonts w:ascii="Arial" w:hAnsi="Arial" w:cs="Arial"/>
      <w:b/>
      <w:bCs/>
      <w:i/>
      <w:iCs/>
      <w:color w:val="000000"/>
      <w:spacing w:val="-3"/>
      <w:sz w:val="24"/>
      <w:szCs w:val="24"/>
      <w:u w:color="000000"/>
    </w:rPr>
  </w:style>
  <w:style w:type="character" w:customStyle="1" w:styleId="Ttulo2Car">
    <w:name w:val="Título 2 Car"/>
    <w:aliases w:val="3. Subtitulos Car"/>
    <w:basedOn w:val="Fuentedeprrafopredeter"/>
    <w:link w:val="Ttulo2"/>
    <w:uiPriority w:val="99"/>
    <w:rsid w:val="002C0ED4"/>
    <w:rPr>
      <w:rFonts w:ascii="Arial" w:hAnsi="Arial"/>
      <w:b/>
      <w:bCs/>
      <w:i/>
      <w:iCs/>
      <w:sz w:val="28"/>
      <w:szCs w:val="28"/>
    </w:rPr>
  </w:style>
  <w:style w:type="character" w:customStyle="1" w:styleId="Ttulo3Car">
    <w:name w:val="Título 3 Car"/>
    <w:basedOn w:val="Fuentedeprrafopredeter"/>
    <w:link w:val="Ttulo3"/>
    <w:uiPriority w:val="99"/>
    <w:rsid w:val="002C0ED4"/>
    <w:rPr>
      <w:rFonts w:ascii="Arial" w:hAnsi="Arial"/>
      <w:b/>
      <w:bCs/>
      <w:sz w:val="26"/>
      <w:szCs w:val="26"/>
    </w:rPr>
  </w:style>
  <w:style w:type="character" w:customStyle="1" w:styleId="Ttulo4Car">
    <w:name w:val="Título 4 Car"/>
    <w:aliases w:val="2. Titulo I-II-III ect. Car"/>
    <w:basedOn w:val="Fuentedeprrafopredeter"/>
    <w:link w:val="Ttulo4"/>
    <w:uiPriority w:val="99"/>
    <w:rsid w:val="00E97CE2"/>
    <w:rPr>
      <w:rFonts w:ascii="Book Antiqua" w:hAnsi="Book Antiqua" w:cs="Book Antiqua"/>
      <w:b/>
      <w:bCs/>
      <w:sz w:val="24"/>
      <w:szCs w:val="24"/>
      <w:u w:color="000000"/>
      <w:lang w:val="es-ES" w:eastAsia="es-ES"/>
    </w:rPr>
  </w:style>
  <w:style w:type="character" w:customStyle="1" w:styleId="Ttulo5Car">
    <w:name w:val="Título 5 Car"/>
    <w:aliases w:val="4.Cuadros Car"/>
    <w:link w:val="Ttulo5"/>
    <w:uiPriority w:val="99"/>
    <w:rsid w:val="002C0ED4"/>
    <w:rPr>
      <w:rFonts w:ascii="Arial" w:hAnsi="Arial" w:cs="Arial"/>
      <w:b/>
      <w:bCs/>
      <w:i/>
      <w:iCs/>
      <w:color w:val="000000"/>
      <w:sz w:val="24"/>
      <w:szCs w:val="24"/>
      <w:u w:color="000000"/>
    </w:rPr>
  </w:style>
  <w:style w:type="character" w:customStyle="1" w:styleId="Ttulo6Car">
    <w:name w:val="Título 6 Car"/>
    <w:aliases w:val="5.Fuente Car"/>
    <w:basedOn w:val="Fuentedeprrafopredeter"/>
    <w:link w:val="Ttulo6"/>
    <w:uiPriority w:val="99"/>
    <w:rsid w:val="002C0ED4"/>
    <w:rPr>
      <w:b/>
      <w:bCs/>
      <w:sz w:val="22"/>
      <w:szCs w:val="22"/>
    </w:rPr>
  </w:style>
  <w:style w:type="character" w:customStyle="1" w:styleId="Ttulo7Car">
    <w:name w:val="Título 7 Car"/>
    <w:basedOn w:val="Fuentedeprrafopredeter"/>
    <w:link w:val="Ttulo7"/>
    <w:uiPriority w:val="99"/>
    <w:rsid w:val="002C0ED4"/>
    <w:rPr>
      <w:rFonts w:ascii="Arial" w:hAnsi="Arial"/>
      <w:b/>
      <w:bCs/>
      <w:sz w:val="24"/>
      <w:szCs w:val="24"/>
      <w:u w:val="single"/>
      <w:shd w:val="clear" w:color="auto" w:fill="FFFFFF"/>
    </w:rPr>
  </w:style>
  <w:style w:type="character" w:customStyle="1" w:styleId="Ttulo8Car">
    <w:name w:val="Título 8 Car"/>
    <w:link w:val="Ttulo8"/>
    <w:uiPriority w:val="99"/>
    <w:rsid w:val="002C0ED4"/>
    <w:rPr>
      <w:rFonts w:ascii="Book Antiqua" w:hAnsi="Book Antiqua" w:cs="Book Antiqua"/>
      <w:sz w:val="24"/>
      <w:szCs w:val="24"/>
    </w:rPr>
  </w:style>
  <w:style w:type="character" w:customStyle="1" w:styleId="Ttulo9Car">
    <w:name w:val="Título 9 Car"/>
    <w:basedOn w:val="Fuentedeprrafopredeter"/>
    <w:link w:val="Ttulo9"/>
    <w:uiPriority w:val="99"/>
    <w:rsid w:val="002C0ED4"/>
    <w:rPr>
      <w:rFonts w:ascii="Arial" w:hAnsi="Arial"/>
      <w:b/>
      <w:bCs/>
      <w:sz w:val="18"/>
      <w:szCs w:val="18"/>
      <w:lang w:val="es-ES_tradnl"/>
    </w:rPr>
  </w:style>
  <w:style w:type="paragraph" w:styleId="Textodeglobo">
    <w:name w:val="Balloon Text"/>
    <w:basedOn w:val="Normal"/>
    <w:link w:val="TextodegloboCar"/>
    <w:uiPriority w:val="99"/>
    <w:semiHidden/>
    <w:rsid w:val="007960F9"/>
    <w:pPr>
      <w:widowControl/>
      <w:autoSpaceDE/>
      <w:autoSpaceDN/>
      <w:adjustRightInd/>
    </w:pPr>
    <w:rPr>
      <w:rFonts w:ascii="Tahoma" w:hAnsi="Tahoma" w:cs="Tahoma"/>
      <w:sz w:val="16"/>
      <w:szCs w:val="16"/>
    </w:rPr>
  </w:style>
  <w:style w:type="character" w:customStyle="1" w:styleId="TextodegloboCar">
    <w:name w:val="Texto de globo Car"/>
    <w:link w:val="Textodeglobo"/>
    <w:uiPriority w:val="99"/>
    <w:semiHidden/>
    <w:rsid w:val="002C0ED4"/>
    <w:rPr>
      <w:rFonts w:ascii="Tahoma" w:hAnsi="Tahoma" w:cs="Tahoma"/>
      <w:sz w:val="16"/>
      <w:szCs w:val="16"/>
    </w:rPr>
  </w:style>
  <w:style w:type="paragraph" w:customStyle="1" w:styleId="Car">
    <w:name w:val="Car"/>
    <w:basedOn w:val="Normal"/>
    <w:semiHidden/>
    <w:rsid w:val="00A17B50"/>
    <w:pPr>
      <w:widowControl/>
      <w:autoSpaceDE/>
      <w:autoSpaceDN/>
      <w:adjustRightInd/>
      <w:spacing w:after="160" w:line="240" w:lineRule="exact"/>
    </w:pPr>
    <w:rPr>
      <w:rFonts w:ascii="Verdana" w:hAnsi="Verdana" w:cs="Verdana"/>
      <w:sz w:val="20"/>
      <w:szCs w:val="20"/>
      <w:lang w:val="en-AU" w:eastAsia="en-US"/>
    </w:rPr>
  </w:style>
  <w:style w:type="paragraph" w:customStyle="1" w:styleId="Estilo">
    <w:name w:val="Estilo"/>
    <w:next w:val="Normal"/>
    <w:rsid w:val="007960F9"/>
    <w:pPr>
      <w:widowControl w:val="0"/>
      <w:autoSpaceDE w:val="0"/>
      <w:autoSpaceDN w:val="0"/>
      <w:adjustRightInd w:val="0"/>
    </w:pPr>
    <w:rPr>
      <w:rFonts w:ascii="Arial" w:hAnsi="Arial" w:cs="Arial"/>
      <w:sz w:val="24"/>
      <w:szCs w:val="24"/>
    </w:rPr>
  </w:style>
  <w:style w:type="paragraph" w:customStyle="1" w:styleId="Estilo1">
    <w:name w:val="Estilo1"/>
    <w:next w:val="Normal"/>
    <w:rsid w:val="007960F9"/>
    <w:pPr>
      <w:widowControl w:val="0"/>
      <w:autoSpaceDE w:val="0"/>
      <w:autoSpaceDN w:val="0"/>
      <w:adjustRightInd w:val="0"/>
    </w:pPr>
    <w:rPr>
      <w:rFonts w:ascii="Arial" w:hAnsi="Arial" w:cs="Arial"/>
      <w:sz w:val="24"/>
      <w:szCs w:val="24"/>
      <w:u w:color="000000"/>
    </w:rPr>
  </w:style>
  <w:style w:type="paragraph" w:styleId="Encabezado">
    <w:name w:val="header"/>
    <w:aliases w:val="encabezado"/>
    <w:basedOn w:val="Normal"/>
    <w:link w:val="EncabezadoCar"/>
    <w:uiPriority w:val="99"/>
    <w:rsid w:val="007960F9"/>
    <w:pPr>
      <w:tabs>
        <w:tab w:val="center" w:pos="4252"/>
        <w:tab w:val="right" w:pos="8504"/>
      </w:tabs>
    </w:pPr>
    <w:rPr>
      <w:rFonts w:cs="Times New Roman"/>
      <w:sz w:val="20"/>
      <w:szCs w:val="20"/>
      <w:u w:color="000000"/>
    </w:rPr>
  </w:style>
  <w:style w:type="character" w:customStyle="1" w:styleId="EncabezadoCar">
    <w:name w:val="Encabezado Car"/>
    <w:aliases w:val="encabezado Car"/>
    <w:link w:val="Encabezado"/>
    <w:uiPriority w:val="99"/>
    <w:locked/>
    <w:rsid w:val="008B5BDE"/>
    <w:rPr>
      <w:rFonts w:ascii="Arial" w:hAnsi="Arial"/>
      <w:u w:color="000000"/>
      <w:lang w:val="es-ES" w:eastAsia="es-ES"/>
    </w:rPr>
  </w:style>
  <w:style w:type="paragraph" w:styleId="Textoindependiente3">
    <w:name w:val="Body Text 3"/>
    <w:basedOn w:val="Normal"/>
    <w:rsid w:val="007960F9"/>
    <w:pPr>
      <w:jc w:val="both"/>
    </w:pPr>
    <w:rPr>
      <w:rFonts w:ascii="Book Antiqua" w:hAnsi="Book Antiqua" w:cs="Book Antiqua"/>
    </w:rPr>
  </w:style>
  <w:style w:type="paragraph" w:styleId="Piedepgina">
    <w:name w:val="footer"/>
    <w:basedOn w:val="Normal"/>
    <w:link w:val="PiedepginaCar"/>
    <w:uiPriority w:val="99"/>
    <w:rsid w:val="007960F9"/>
    <w:pPr>
      <w:tabs>
        <w:tab w:val="center" w:pos="4252"/>
        <w:tab w:val="right" w:pos="8504"/>
      </w:tabs>
    </w:pPr>
    <w:rPr>
      <w:sz w:val="20"/>
      <w:szCs w:val="20"/>
    </w:rPr>
  </w:style>
  <w:style w:type="character" w:customStyle="1" w:styleId="PiedepginaCar">
    <w:name w:val="Pie de página Car"/>
    <w:link w:val="Piedepgina"/>
    <w:uiPriority w:val="99"/>
    <w:rsid w:val="00111EED"/>
    <w:rPr>
      <w:rFonts w:ascii="Arial" w:hAnsi="Arial" w:cs="Arial"/>
      <w:lang w:val="es-ES" w:eastAsia="es-ES" w:bidi="ar-SA"/>
    </w:rPr>
  </w:style>
  <w:style w:type="paragraph" w:styleId="Textoindependiente2">
    <w:name w:val="Body Text 2"/>
    <w:basedOn w:val="Normal"/>
    <w:rsid w:val="007960F9"/>
    <w:pPr>
      <w:jc w:val="both"/>
    </w:pPr>
    <w:rPr>
      <w:rFonts w:ascii="Book Antiqua" w:hAnsi="Book Antiqua" w:cs="Book Antiqua"/>
    </w:rPr>
  </w:style>
  <w:style w:type="character" w:styleId="Hipervnculo">
    <w:name w:val="Hyperlink"/>
    <w:basedOn w:val="Fuentedeprrafopredeter"/>
    <w:uiPriority w:val="99"/>
    <w:rsid w:val="007960F9"/>
    <w:rPr>
      <w:rFonts w:cs="Times New Roman"/>
      <w:color w:val="0000FF"/>
      <w:u w:val="single"/>
    </w:rPr>
  </w:style>
  <w:style w:type="character" w:styleId="Nmerodepgina">
    <w:name w:val="page number"/>
    <w:basedOn w:val="Fuentedeprrafopredeter"/>
    <w:rsid w:val="007960F9"/>
    <w:rPr>
      <w:rFonts w:cs="Times New Roman"/>
    </w:rPr>
  </w:style>
  <w:style w:type="character" w:styleId="Hipervnculovisitado">
    <w:name w:val="FollowedHyperlink"/>
    <w:basedOn w:val="Fuentedeprrafopredeter"/>
    <w:uiPriority w:val="99"/>
    <w:rsid w:val="007960F9"/>
    <w:rPr>
      <w:rFonts w:cs="Times New Roman"/>
      <w:color w:val="800080"/>
      <w:u w:val="single"/>
    </w:rPr>
  </w:style>
  <w:style w:type="paragraph" w:customStyle="1" w:styleId="Ttulo30">
    <w:name w:val="TÍtulo 3"/>
    <w:next w:val="Normal"/>
    <w:rsid w:val="007960F9"/>
    <w:pPr>
      <w:keepNext/>
      <w:widowControl w:val="0"/>
      <w:autoSpaceDE w:val="0"/>
      <w:autoSpaceDN w:val="0"/>
      <w:adjustRightInd w:val="0"/>
      <w:jc w:val="both"/>
    </w:pPr>
    <w:rPr>
      <w:rFonts w:ascii="Arial" w:hAnsi="Arial" w:cs="Arial"/>
      <w:sz w:val="24"/>
      <w:szCs w:val="24"/>
    </w:rPr>
  </w:style>
  <w:style w:type="paragraph" w:styleId="Textoindependiente">
    <w:name w:val="Body Text"/>
    <w:basedOn w:val="Normal"/>
    <w:link w:val="TextoindependienteCar"/>
    <w:rsid w:val="007960F9"/>
    <w:rPr>
      <w:rFonts w:ascii="Book Antiqua" w:hAnsi="Book Antiqua" w:cs="Book Antiqua"/>
      <w:sz w:val="22"/>
      <w:szCs w:val="22"/>
    </w:rPr>
  </w:style>
  <w:style w:type="character" w:customStyle="1" w:styleId="TextoindependienteCar">
    <w:name w:val="Texto independiente Car"/>
    <w:link w:val="Textoindependiente"/>
    <w:rsid w:val="002C0ED4"/>
    <w:rPr>
      <w:rFonts w:ascii="Book Antiqua" w:hAnsi="Book Antiqua" w:cs="Book Antiqua"/>
      <w:sz w:val="22"/>
      <w:szCs w:val="22"/>
    </w:rPr>
  </w:style>
  <w:style w:type="paragraph" w:styleId="Textonotapie">
    <w:name w:val="footnote text"/>
    <w:basedOn w:val="Normal"/>
    <w:link w:val="TextonotapieCar"/>
    <w:uiPriority w:val="99"/>
    <w:rsid w:val="007960F9"/>
    <w:rPr>
      <w:sz w:val="20"/>
      <w:szCs w:val="20"/>
    </w:rPr>
  </w:style>
  <w:style w:type="character" w:customStyle="1" w:styleId="TextonotapieCar">
    <w:name w:val="Texto nota pie Car"/>
    <w:basedOn w:val="Fuentedeprrafopredeter"/>
    <w:link w:val="Textonotapie"/>
    <w:uiPriority w:val="99"/>
    <w:locked/>
    <w:rsid w:val="008B5BDE"/>
    <w:rPr>
      <w:rFonts w:ascii="Arial" w:hAnsi="Arial" w:cs="Arial"/>
      <w:lang w:val="es-ES" w:eastAsia="es-ES"/>
    </w:rPr>
  </w:style>
  <w:style w:type="character" w:styleId="Refdenotaalpie">
    <w:name w:val="footnote reference"/>
    <w:basedOn w:val="Fuentedeprrafopredeter"/>
    <w:uiPriority w:val="99"/>
    <w:rsid w:val="007960F9"/>
    <w:rPr>
      <w:rFonts w:cs="Times New Roman"/>
      <w:vertAlign w:val="superscript"/>
    </w:rPr>
  </w:style>
  <w:style w:type="paragraph" w:styleId="Sangra2detindependiente">
    <w:name w:val="Body Text Indent 2"/>
    <w:basedOn w:val="Normal"/>
    <w:rsid w:val="007960F9"/>
    <w:pPr>
      <w:ind w:left="497"/>
      <w:jc w:val="both"/>
    </w:pPr>
    <w:rPr>
      <w:color w:val="000000"/>
      <w:spacing w:val="-10"/>
      <w:sz w:val="28"/>
      <w:szCs w:val="28"/>
      <w:u w:color="000000"/>
    </w:rPr>
  </w:style>
  <w:style w:type="paragraph" w:styleId="Mapadeldocumento">
    <w:name w:val="Document Map"/>
    <w:basedOn w:val="Normal"/>
    <w:semiHidden/>
    <w:rsid w:val="007960F9"/>
    <w:pPr>
      <w:shd w:val="clear" w:color="auto" w:fill="000080"/>
    </w:pPr>
    <w:rPr>
      <w:rFonts w:ascii="Tahoma" w:hAnsi="Tahoma" w:cs="Tahoma"/>
      <w:color w:val="000000"/>
      <w:sz w:val="20"/>
      <w:szCs w:val="20"/>
      <w:u w:color="000000"/>
    </w:rPr>
  </w:style>
  <w:style w:type="paragraph" w:styleId="NormalWeb">
    <w:name w:val="Normal (Web)"/>
    <w:basedOn w:val="Normal"/>
    <w:link w:val="NormalWebCar"/>
    <w:uiPriority w:val="99"/>
    <w:qFormat/>
    <w:rsid w:val="007960F9"/>
    <w:rPr>
      <w:rFonts w:ascii="Arial Unicode MS" w:eastAsia="Arial Unicode MS" w:cs="Arial Unicode MS"/>
      <w:color w:val="000000"/>
      <w:u w:color="000000"/>
    </w:rPr>
  </w:style>
  <w:style w:type="character" w:customStyle="1" w:styleId="NormalWebCar">
    <w:name w:val="Normal (Web) Car"/>
    <w:link w:val="NormalWeb"/>
    <w:uiPriority w:val="99"/>
    <w:locked/>
    <w:rsid w:val="002C0ED4"/>
    <w:rPr>
      <w:rFonts w:ascii="Arial Unicode MS" w:eastAsia="Arial Unicode MS" w:hAnsi="Arial" w:cs="Arial Unicode MS"/>
      <w:color w:val="000000"/>
      <w:sz w:val="24"/>
      <w:szCs w:val="24"/>
      <w:u w:color="000000"/>
    </w:rPr>
  </w:style>
  <w:style w:type="table" w:styleId="Tablaconcuadrcula">
    <w:name w:val="Table Grid"/>
    <w:basedOn w:val="Tablanormal"/>
    <w:uiPriority w:val="99"/>
    <w:rsid w:val="008B5BD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8B5BDE"/>
    <w:pPr>
      <w:widowControl/>
      <w:autoSpaceDE/>
      <w:autoSpaceDN/>
      <w:adjustRightInd/>
      <w:spacing w:after="120"/>
      <w:ind w:left="283"/>
    </w:pPr>
    <w:rPr>
      <w:sz w:val="20"/>
      <w:szCs w:val="20"/>
      <w:lang w:val="es-CR"/>
    </w:rPr>
  </w:style>
  <w:style w:type="paragraph" w:customStyle="1" w:styleId="estilo2">
    <w:name w:val="estilo2"/>
    <w:basedOn w:val="Normal"/>
    <w:rsid w:val="00F52303"/>
    <w:pPr>
      <w:widowControl/>
      <w:autoSpaceDE/>
      <w:autoSpaceDN/>
      <w:adjustRightInd/>
      <w:spacing w:before="100" w:beforeAutospacing="1" w:after="100" w:afterAutospacing="1"/>
    </w:pPr>
    <w:rPr>
      <w:rFonts w:ascii="Verdana" w:hAnsi="Verdana" w:cs="Verdana"/>
    </w:rPr>
  </w:style>
  <w:style w:type="character" w:customStyle="1" w:styleId="estilo51">
    <w:name w:val="estilo51"/>
    <w:basedOn w:val="Fuentedeprrafopredeter"/>
    <w:rsid w:val="00F52303"/>
    <w:rPr>
      <w:rFonts w:cs="Times New Roman"/>
      <w:b/>
      <w:bCs/>
    </w:rPr>
  </w:style>
  <w:style w:type="paragraph" w:customStyle="1" w:styleId="CharChar">
    <w:name w:val="Char Char"/>
    <w:basedOn w:val="Normal"/>
    <w:semiHidden/>
    <w:rsid w:val="004E1018"/>
    <w:pPr>
      <w:widowControl/>
      <w:autoSpaceDE/>
      <w:autoSpaceDN/>
      <w:adjustRightInd/>
      <w:spacing w:after="160" w:line="240" w:lineRule="exact"/>
    </w:pPr>
    <w:rPr>
      <w:rFonts w:ascii="Verdana" w:hAnsi="Verdana" w:cs="Verdana"/>
      <w:sz w:val="20"/>
      <w:szCs w:val="20"/>
      <w:lang w:val="en-AU" w:eastAsia="en-US"/>
    </w:rPr>
  </w:style>
  <w:style w:type="character" w:customStyle="1" w:styleId="CarCar">
    <w:name w:val="Car Car"/>
    <w:basedOn w:val="Fuentedeprrafopredeter"/>
    <w:semiHidden/>
    <w:locked/>
    <w:rsid w:val="007C0BF9"/>
    <w:rPr>
      <w:rFonts w:ascii="Arial" w:hAnsi="Arial" w:cs="Arial"/>
      <w:color w:val="000000"/>
      <w:u w:color="000000"/>
      <w:lang w:val="es-ES" w:eastAsia="es-ES"/>
    </w:rPr>
  </w:style>
  <w:style w:type="paragraph" w:styleId="Prrafodelista">
    <w:name w:val="List Paragraph"/>
    <w:basedOn w:val="Normal"/>
    <w:uiPriority w:val="34"/>
    <w:qFormat/>
    <w:rsid w:val="001C1DF7"/>
    <w:pPr>
      <w:widowControl/>
      <w:autoSpaceDE/>
      <w:autoSpaceDN/>
      <w:adjustRightInd/>
      <w:ind w:left="708"/>
    </w:pPr>
  </w:style>
  <w:style w:type="paragraph" w:customStyle="1" w:styleId="Prrafodelista1">
    <w:name w:val="Párrafo de lista1"/>
    <w:basedOn w:val="Normal"/>
    <w:qFormat/>
    <w:rsid w:val="001C1DF7"/>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apple-converted-space">
    <w:name w:val="apple-converted-space"/>
    <w:basedOn w:val="Fuentedeprrafopredeter"/>
    <w:rsid w:val="00440E51"/>
  </w:style>
  <w:style w:type="character" w:styleId="Textoennegrita">
    <w:name w:val="Strong"/>
    <w:qFormat/>
    <w:rsid w:val="002C0ED4"/>
    <w:rPr>
      <w:rFonts w:cs="Times New Roman"/>
      <w:b/>
      <w:bCs/>
    </w:rPr>
  </w:style>
  <w:style w:type="paragraph" w:customStyle="1" w:styleId="H5">
    <w:name w:val="H5"/>
    <w:next w:val="Normal"/>
    <w:rsid w:val="002C0ED4"/>
    <w:pPr>
      <w:keepNext/>
      <w:widowControl w:val="0"/>
      <w:autoSpaceDE w:val="0"/>
      <w:autoSpaceDN w:val="0"/>
      <w:adjustRightInd w:val="0"/>
      <w:spacing w:before="100" w:after="100"/>
      <w:outlineLvl w:val="5"/>
    </w:pPr>
    <w:rPr>
      <w:rFonts w:ascii="Arial" w:hAnsi="Arial" w:cs="Arial"/>
      <w:b/>
      <w:bCs/>
      <w:shd w:val="clear" w:color="auto" w:fill="FFFFFF"/>
    </w:rPr>
  </w:style>
  <w:style w:type="character" w:customStyle="1" w:styleId="estilo41">
    <w:name w:val="estilo41"/>
    <w:rsid w:val="002C0ED4"/>
    <w:rPr>
      <w:rFonts w:cs="Times New Roman"/>
    </w:rPr>
  </w:style>
  <w:style w:type="character" w:styleId="nfasis">
    <w:name w:val="Emphasis"/>
    <w:qFormat/>
    <w:rsid w:val="002C0ED4"/>
    <w:rPr>
      <w:rFonts w:cs="Times New Roman"/>
      <w:i/>
      <w:iCs/>
    </w:rPr>
  </w:style>
  <w:style w:type="paragraph" w:customStyle="1" w:styleId="Prrafodelista10">
    <w:name w:val="Párrafo de lista1"/>
    <w:basedOn w:val="Normal"/>
    <w:rsid w:val="002C0ED4"/>
    <w:pPr>
      <w:widowControl/>
      <w:autoSpaceDE/>
      <w:autoSpaceDN/>
      <w:adjustRightInd/>
      <w:spacing w:after="200" w:line="276" w:lineRule="auto"/>
      <w:ind w:left="720"/>
    </w:pPr>
    <w:rPr>
      <w:rFonts w:ascii="Calibri" w:hAnsi="Calibri" w:cs="Calibri"/>
      <w:sz w:val="22"/>
      <w:szCs w:val="22"/>
      <w:lang w:val="es-CR" w:eastAsia="en-US"/>
    </w:rPr>
  </w:style>
  <w:style w:type="paragraph" w:customStyle="1" w:styleId="BodyText22">
    <w:name w:val="Body Text 22"/>
    <w:rsid w:val="002C0ED4"/>
    <w:pPr>
      <w:widowControl w:val="0"/>
      <w:autoSpaceDE w:val="0"/>
      <w:autoSpaceDN w:val="0"/>
      <w:adjustRightInd w:val="0"/>
      <w:jc w:val="both"/>
    </w:pPr>
    <w:rPr>
      <w:rFonts w:ascii="Arial" w:hAnsi="Arial" w:cs="Arial"/>
      <w:sz w:val="24"/>
      <w:szCs w:val="24"/>
      <w:u w:color="000000"/>
      <w:shd w:val="clear" w:color="auto" w:fill="FFFFFF"/>
    </w:rPr>
  </w:style>
  <w:style w:type="paragraph" w:styleId="Textodebloque">
    <w:name w:val="Block Text"/>
    <w:basedOn w:val="Normal"/>
    <w:rsid w:val="002C0ED4"/>
    <w:pPr>
      <w:jc w:val="both"/>
    </w:pPr>
    <w:rPr>
      <w:b/>
      <w:bCs/>
      <w:u w:color="000000"/>
      <w:shd w:val="clear" w:color="auto" w:fill="FFFFFF"/>
      <w:lang w:val="es-ES_tradnl"/>
    </w:rPr>
  </w:style>
  <w:style w:type="paragraph" w:styleId="Ttulo">
    <w:name w:val="Title"/>
    <w:basedOn w:val="Normal"/>
    <w:link w:val="TtuloCar"/>
    <w:qFormat/>
    <w:rsid w:val="002C0ED4"/>
    <w:pPr>
      <w:widowControl/>
      <w:autoSpaceDE/>
      <w:autoSpaceDN/>
      <w:adjustRightInd/>
      <w:jc w:val="center"/>
    </w:pPr>
    <w:rPr>
      <w:rFonts w:cs="Times New Roman"/>
      <w:b/>
      <w:bCs/>
      <w:sz w:val="36"/>
      <w:szCs w:val="36"/>
      <w:lang w:val="es-CR"/>
    </w:rPr>
  </w:style>
  <w:style w:type="character" w:customStyle="1" w:styleId="TtuloCar">
    <w:name w:val="Título Car"/>
    <w:basedOn w:val="Fuentedeprrafopredeter"/>
    <w:link w:val="Ttulo"/>
    <w:rsid w:val="002C0ED4"/>
    <w:rPr>
      <w:rFonts w:ascii="Arial" w:hAnsi="Arial"/>
      <w:b/>
      <w:bCs/>
      <w:sz w:val="36"/>
      <w:szCs w:val="36"/>
      <w:lang w:val="es-CR"/>
    </w:rPr>
  </w:style>
  <w:style w:type="paragraph" w:customStyle="1" w:styleId="Prrafodelista2">
    <w:name w:val="Párrafo de lista2"/>
    <w:basedOn w:val="Normal"/>
    <w:uiPriority w:val="34"/>
    <w:qFormat/>
    <w:rsid w:val="002C0ED4"/>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ListParagraph1">
    <w:name w:val="List Paragraph1"/>
    <w:basedOn w:val="Normal"/>
    <w:qFormat/>
    <w:rsid w:val="002C0ED4"/>
    <w:pPr>
      <w:widowControl/>
      <w:autoSpaceDE/>
      <w:autoSpaceDN/>
      <w:adjustRightInd/>
      <w:ind w:left="720"/>
    </w:pPr>
    <w:rPr>
      <w:rFonts w:ascii="Times New Roman" w:hAnsi="Times New Roman" w:cs="Times New Roman"/>
    </w:rPr>
  </w:style>
  <w:style w:type="paragraph" w:styleId="Sangra3detindependiente">
    <w:name w:val="Body Text Indent 3"/>
    <w:basedOn w:val="Normal"/>
    <w:link w:val="Sangra3detindependienteCar"/>
    <w:rsid w:val="002C0ED4"/>
    <w:pPr>
      <w:widowControl/>
      <w:autoSpaceDE/>
      <w:autoSpaceDN/>
      <w:adjustRightInd/>
      <w:ind w:left="709" w:hanging="709"/>
      <w:jc w:val="both"/>
    </w:pPr>
    <w:rPr>
      <w:rFonts w:ascii="Bookman Old Style" w:hAnsi="Bookman Old Style" w:cs="Bookman Old Style"/>
      <w:lang w:val="es-ES_tradnl"/>
    </w:rPr>
  </w:style>
  <w:style w:type="character" w:customStyle="1" w:styleId="Sangra3detindependienteCar">
    <w:name w:val="Sangría 3 de t. independiente Car"/>
    <w:basedOn w:val="Fuentedeprrafopredeter"/>
    <w:link w:val="Sangra3detindependiente"/>
    <w:rsid w:val="002C0ED4"/>
    <w:rPr>
      <w:rFonts w:ascii="Bookman Old Style" w:hAnsi="Bookman Old Style" w:cs="Bookman Old Style"/>
      <w:sz w:val="24"/>
      <w:szCs w:val="24"/>
      <w:lang w:val="es-ES_tradnl"/>
    </w:rPr>
  </w:style>
  <w:style w:type="paragraph" w:styleId="Subttulo">
    <w:name w:val="Subtitle"/>
    <w:basedOn w:val="Normal"/>
    <w:link w:val="SubttuloCar"/>
    <w:qFormat/>
    <w:rsid w:val="002C0ED4"/>
    <w:pPr>
      <w:widowControl/>
      <w:autoSpaceDE/>
      <w:autoSpaceDN/>
      <w:adjustRightInd/>
      <w:jc w:val="center"/>
    </w:pPr>
    <w:rPr>
      <w:rFonts w:ascii="Times New Roman" w:hAnsi="Times New Roman" w:cs="Times New Roman"/>
      <w:b/>
      <w:bCs/>
      <w:sz w:val="32"/>
      <w:szCs w:val="32"/>
    </w:rPr>
  </w:style>
  <w:style w:type="character" w:customStyle="1" w:styleId="SubttuloCar">
    <w:name w:val="Subtítulo Car"/>
    <w:basedOn w:val="Fuentedeprrafopredeter"/>
    <w:link w:val="Subttulo"/>
    <w:rsid w:val="002C0ED4"/>
    <w:rPr>
      <w:b/>
      <w:bCs/>
      <w:sz w:val="32"/>
      <w:szCs w:val="32"/>
    </w:rPr>
  </w:style>
  <w:style w:type="paragraph" w:styleId="Lista">
    <w:name w:val="List"/>
    <w:basedOn w:val="Normal"/>
    <w:uiPriority w:val="99"/>
    <w:rsid w:val="002C0ED4"/>
    <w:pPr>
      <w:widowControl/>
      <w:autoSpaceDE/>
      <w:autoSpaceDN/>
      <w:adjustRightInd/>
      <w:ind w:left="283" w:hanging="283"/>
    </w:pPr>
    <w:rPr>
      <w:rFonts w:ascii="Times New Roman" w:hAnsi="Times New Roman" w:cs="Times New Roman"/>
      <w:sz w:val="28"/>
      <w:szCs w:val="28"/>
    </w:rPr>
  </w:style>
  <w:style w:type="paragraph" w:customStyle="1" w:styleId="Ttulo60">
    <w:name w:val="TÍtulo 6"/>
    <w:basedOn w:val="Normal"/>
    <w:next w:val="Normal"/>
    <w:rsid w:val="002C0ED4"/>
    <w:pPr>
      <w:keepNext/>
      <w:tabs>
        <w:tab w:val="left" w:pos="-720"/>
      </w:tabs>
      <w:suppressAutoHyphens/>
      <w:overflowPunct w:val="0"/>
      <w:jc w:val="both"/>
      <w:textAlignment w:val="baseline"/>
    </w:pPr>
    <w:rPr>
      <w:rFonts w:ascii="Bookman Old Style" w:hAnsi="Bookman Old Style" w:cs="Bookman Old Style"/>
      <w:spacing w:val="-3"/>
    </w:rPr>
  </w:style>
  <w:style w:type="paragraph" w:customStyle="1" w:styleId="Ttulo90">
    <w:name w:val="TÕtulo 9"/>
    <w:basedOn w:val="Normal"/>
    <w:next w:val="Normal"/>
    <w:rsid w:val="002C0ED4"/>
    <w:pPr>
      <w:keepNext/>
      <w:widowControl/>
      <w:tabs>
        <w:tab w:val="left" w:pos="142"/>
      </w:tabs>
      <w:overflowPunct w:val="0"/>
      <w:jc w:val="both"/>
      <w:textAlignment w:val="baseline"/>
    </w:pPr>
    <w:rPr>
      <w:rFonts w:ascii="Book Antiqua" w:hAnsi="Book Antiqua" w:cs="Book Antiqua"/>
      <w:b/>
      <w:bCs/>
      <w:sz w:val="22"/>
      <w:szCs w:val="22"/>
    </w:rPr>
  </w:style>
  <w:style w:type="paragraph" w:customStyle="1" w:styleId="xl24">
    <w:name w:val="xl24"/>
    <w:basedOn w:val="Normal"/>
    <w:rsid w:val="002C0ED4"/>
    <w:pPr>
      <w:widowControl/>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Cpi">
    <w:name w:val="Cpi"/>
    <w:basedOn w:val="Normal"/>
    <w:rsid w:val="002C0ED4"/>
    <w:pPr>
      <w:spacing w:line="360" w:lineRule="auto"/>
    </w:pPr>
    <w:rPr>
      <w:rFonts w:ascii="Times New Roman" w:hAnsi="Times New Roman" w:cs="Times New Roman"/>
      <w:sz w:val="28"/>
      <w:szCs w:val="28"/>
      <w:shd w:val="clear" w:color="auto" w:fill="FFFFFF"/>
      <w:lang w:val="es-MX"/>
    </w:rPr>
  </w:style>
  <w:style w:type="paragraph" w:styleId="Descripcin">
    <w:name w:val="caption"/>
    <w:basedOn w:val="Normal"/>
    <w:next w:val="Normal"/>
    <w:uiPriority w:val="35"/>
    <w:qFormat/>
    <w:rsid w:val="002C0ED4"/>
    <w:rPr>
      <w:b/>
      <w:bCs/>
      <w:sz w:val="20"/>
      <w:szCs w:val="20"/>
    </w:rPr>
  </w:style>
  <w:style w:type="paragraph" w:customStyle="1" w:styleId="Textoindependiente21">
    <w:name w:val="Texto independiente 21"/>
    <w:basedOn w:val="Normal"/>
    <w:rsid w:val="002C0ED4"/>
    <w:pPr>
      <w:widowControl/>
      <w:suppressAutoHyphens/>
      <w:autoSpaceDE/>
      <w:autoSpaceDN/>
      <w:adjustRightInd/>
      <w:jc w:val="both"/>
    </w:pPr>
    <w:rPr>
      <w:rFonts w:ascii="Verdana" w:hAnsi="Verdana" w:cs="Times New Roman"/>
      <w:i/>
      <w:szCs w:val="20"/>
      <w:lang w:val="es-ES_tradnl" w:eastAsia="ar-SA"/>
    </w:rPr>
  </w:style>
  <w:style w:type="paragraph" w:styleId="Textonotaalfinal">
    <w:name w:val="endnote text"/>
    <w:basedOn w:val="Normal"/>
    <w:link w:val="TextonotaalfinalCar"/>
    <w:uiPriority w:val="99"/>
    <w:unhideWhenUsed/>
    <w:rsid w:val="002C0ED4"/>
    <w:pPr>
      <w:widowControl/>
      <w:autoSpaceDE/>
      <w:autoSpaceDN/>
      <w:adjustRightInd/>
      <w:jc w:val="both"/>
    </w:pPr>
    <w:rPr>
      <w:rFonts w:ascii="Times New Roman" w:hAnsi="Times New Roman" w:cs="Times New Roman"/>
      <w:i/>
      <w:sz w:val="20"/>
      <w:szCs w:val="20"/>
    </w:rPr>
  </w:style>
  <w:style w:type="character" w:customStyle="1" w:styleId="TextonotaalfinalCar">
    <w:name w:val="Texto nota al final Car"/>
    <w:basedOn w:val="Fuentedeprrafopredeter"/>
    <w:link w:val="Textonotaalfinal"/>
    <w:uiPriority w:val="99"/>
    <w:rsid w:val="002C0ED4"/>
    <w:rPr>
      <w:i/>
    </w:rPr>
  </w:style>
  <w:style w:type="character" w:styleId="Refdenotaalfinal">
    <w:name w:val="endnote reference"/>
    <w:uiPriority w:val="99"/>
    <w:unhideWhenUsed/>
    <w:rsid w:val="002C0ED4"/>
    <w:rPr>
      <w:vertAlign w:val="superscript"/>
    </w:rPr>
  </w:style>
  <w:style w:type="paragraph" w:styleId="Tabladeilustraciones">
    <w:name w:val="table of figures"/>
    <w:basedOn w:val="Normal"/>
    <w:next w:val="Normal"/>
    <w:uiPriority w:val="99"/>
    <w:unhideWhenUsed/>
    <w:rsid w:val="002C0ED4"/>
    <w:pPr>
      <w:widowControl/>
      <w:autoSpaceDE/>
      <w:autoSpaceDN/>
      <w:adjustRightInd/>
      <w:ind w:left="480" w:hanging="480"/>
    </w:pPr>
    <w:rPr>
      <w:rFonts w:ascii="Calibri" w:hAnsi="Calibri" w:cs="Times New Roman"/>
      <w:caps/>
      <w:sz w:val="20"/>
      <w:szCs w:val="20"/>
    </w:rPr>
  </w:style>
  <w:style w:type="paragraph" w:customStyle="1" w:styleId="Textosinformato1">
    <w:name w:val="Texto sin formato1"/>
    <w:basedOn w:val="Normal"/>
    <w:rsid w:val="002C0ED4"/>
    <w:pPr>
      <w:widowControl/>
      <w:suppressAutoHyphens/>
      <w:autoSpaceDE/>
      <w:autoSpaceDN/>
      <w:adjustRightInd/>
    </w:pPr>
    <w:rPr>
      <w:rFonts w:ascii="Courier New" w:hAnsi="Courier New" w:cs="Courier New"/>
      <w:sz w:val="20"/>
      <w:szCs w:val="20"/>
      <w:lang w:eastAsia="zh-CN"/>
    </w:rPr>
  </w:style>
  <w:style w:type="character" w:styleId="Referenciaintensa">
    <w:name w:val="Intense Reference"/>
    <w:uiPriority w:val="32"/>
    <w:rsid w:val="002C0ED4"/>
    <w:rPr>
      <w:rFonts w:ascii="Calibri" w:hAnsi="Calibri"/>
      <w:sz w:val="18"/>
      <w:szCs w:val="22"/>
      <w:lang w:val="es-CR" w:eastAsia="es-CR"/>
    </w:rPr>
  </w:style>
  <w:style w:type="character" w:styleId="Ttulodellibro">
    <w:name w:val="Book Title"/>
    <w:uiPriority w:val="33"/>
    <w:rsid w:val="002C0ED4"/>
    <w:rPr>
      <w:b/>
      <w:bCs/>
      <w:smallCaps/>
      <w:spacing w:val="5"/>
    </w:rPr>
  </w:style>
  <w:style w:type="character" w:styleId="Refdecomentario">
    <w:name w:val="annotation reference"/>
    <w:uiPriority w:val="99"/>
    <w:unhideWhenUsed/>
    <w:rsid w:val="002C0ED4"/>
    <w:rPr>
      <w:sz w:val="16"/>
      <w:szCs w:val="16"/>
    </w:rPr>
  </w:style>
  <w:style w:type="paragraph" w:styleId="Textocomentario">
    <w:name w:val="annotation text"/>
    <w:basedOn w:val="Normal"/>
    <w:link w:val="TextocomentarioCar"/>
    <w:uiPriority w:val="99"/>
    <w:unhideWhenUsed/>
    <w:rsid w:val="002C0ED4"/>
    <w:pPr>
      <w:widowControl/>
      <w:autoSpaceDE/>
      <w:autoSpaceDN/>
      <w:adjustRightInd/>
      <w:jc w:val="both"/>
    </w:pPr>
    <w:rPr>
      <w:rFonts w:ascii="Times New Roman" w:hAnsi="Times New Roman" w:cs="Times New Roman"/>
      <w:i/>
      <w:sz w:val="20"/>
      <w:szCs w:val="20"/>
    </w:rPr>
  </w:style>
  <w:style w:type="character" w:customStyle="1" w:styleId="TextocomentarioCar">
    <w:name w:val="Texto comentario Car"/>
    <w:basedOn w:val="Fuentedeprrafopredeter"/>
    <w:link w:val="Textocomentario"/>
    <w:uiPriority w:val="99"/>
    <w:rsid w:val="002C0ED4"/>
    <w:rPr>
      <w:i/>
    </w:rPr>
  </w:style>
  <w:style w:type="paragraph" w:styleId="Asuntodelcomentario">
    <w:name w:val="annotation subject"/>
    <w:basedOn w:val="Textocomentario"/>
    <w:next w:val="Textocomentario"/>
    <w:link w:val="AsuntodelcomentarioCar"/>
    <w:uiPriority w:val="99"/>
    <w:unhideWhenUsed/>
    <w:rsid w:val="002C0ED4"/>
    <w:rPr>
      <w:b/>
      <w:bCs/>
    </w:rPr>
  </w:style>
  <w:style w:type="character" w:customStyle="1" w:styleId="AsuntodelcomentarioCar">
    <w:name w:val="Asunto del comentario Car"/>
    <w:basedOn w:val="TextocomentarioCar"/>
    <w:link w:val="Asuntodelcomentario"/>
    <w:uiPriority w:val="99"/>
    <w:rsid w:val="002C0ED4"/>
    <w:rPr>
      <w:b/>
      <w:bCs/>
      <w:i/>
    </w:rPr>
  </w:style>
  <w:style w:type="paragraph" w:customStyle="1" w:styleId="Predeterminado">
    <w:name w:val="Predeterminado"/>
    <w:next w:val="Normal"/>
    <w:uiPriority w:val="99"/>
    <w:rsid w:val="002C0ED4"/>
    <w:pPr>
      <w:widowControl w:val="0"/>
      <w:autoSpaceDE w:val="0"/>
      <w:autoSpaceDN w:val="0"/>
      <w:adjustRightInd w:val="0"/>
      <w:spacing w:line="100" w:lineRule="atLeast"/>
      <w:jc w:val="both"/>
    </w:pPr>
    <w:rPr>
      <w:i/>
      <w:iCs/>
      <w:sz w:val="24"/>
      <w:szCs w:val="24"/>
      <w:lang w:eastAsia="es-CR"/>
    </w:rPr>
  </w:style>
  <w:style w:type="paragraph" w:styleId="Sinespaciado">
    <w:name w:val="No Spacing"/>
    <w:uiPriority w:val="1"/>
    <w:rsid w:val="002C0ED4"/>
    <w:pPr>
      <w:jc w:val="both"/>
    </w:pPr>
    <w:rPr>
      <w:i/>
      <w:sz w:val="24"/>
      <w:szCs w:val="24"/>
    </w:rPr>
  </w:style>
  <w:style w:type="paragraph" w:styleId="Saludo">
    <w:name w:val="Salutation"/>
    <w:basedOn w:val="Normal"/>
    <w:next w:val="Normal"/>
    <w:link w:val="SaludoCar"/>
    <w:uiPriority w:val="99"/>
    <w:unhideWhenUsed/>
    <w:rsid w:val="002C0ED4"/>
    <w:pPr>
      <w:widowControl/>
      <w:autoSpaceDE/>
      <w:autoSpaceDN/>
      <w:adjustRightInd/>
      <w:jc w:val="both"/>
    </w:pPr>
    <w:rPr>
      <w:rFonts w:ascii="Times New Roman" w:hAnsi="Times New Roman" w:cs="Times New Roman"/>
      <w:i/>
    </w:rPr>
  </w:style>
  <w:style w:type="character" w:customStyle="1" w:styleId="SaludoCar">
    <w:name w:val="Saludo Car"/>
    <w:basedOn w:val="Fuentedeprrafopredeter"/>
    <w:link w:val="Saludo"/>
    <w:uiPriority w:val="99"/>
    <w:rsid w:val="002C0ED4"/>
    <w:rPr>
      <w:i/>
      <w:sz w:val="24"/>
      <w:szCs w:val="24"/>
    </w:rPr>
  </w:style>
  <w:style w:type="paragraph" w:styleId="Continuarlista">
    <w:name w:val="List Continue"/>
    <w:basedOn w:val="Normal"/>
    <w:uiPriority w:val="99"/>
    <w:unhideWhenUsed/>
    <w:rsid w:val="002C0ED4"/>
    <w:pPr>
      <w:widowControl/>
      <w:autoSpaceDE/>
      <w:autoSpaceDN/>
      <w:adjustRightInd/>
      <w:spacing w:after="120"/>
      <w:ind w:left="283"/>
      <w:contextualSpacing/>
      <w:jc w:val="both"/>
    </w:pPr>
    <w:rPr>
      <w:rFonts w:ascii="Times New Roman" w:hAnsi="Times New Roman" w:cs="Times New Roman"/>
      <w:i/>
    </w:rPr>
  </w:style>
  <w:style w:type="paragraph" w:customStyle="1" w:styleId="WW-Cuerpodetexto">
    <w:name w:val="WW-Cuerpo de texto"/>
    <w:basedOn w:val="Normal"/>
    <w:rsid w:val="002C0ED4"/>
    <w:pPr>
      <w:widowControl/>
      <w:tabs>
        <w:tab w:val="left" w:pos="708"/>
      </w:tabs>
      <w:suppressAutoHyphens/>
      <w:autoSpaceDE/>
      <w:autoSpaceDN/>
      <w:adjustRightInd/>
      <w:spacing w:after="120" w:line="100" w:lineRule="atLeast"/>
    </w:pPr>
    <w:rPr>
      <w:rFonts w:ascii="Times New Roman" w:hAnsi="Times New Roman" w:cs="Times New Roman"/>
      <w:lang w:val="es-CR" w:eastAsia="hi-IN" w:bidi="hi-IN"/>
    </w:rPr>
  </w:style>
  <w:style w:type="paragraph" w:customStyle="1" w:styleId="Ttulo21">
    <w:name w:val="Título 21"/>
    <w:next w:val="Normal"/>
    <w:rsid w:val="002C0ED4"/>
    <w:pPr>
      <w:keepNext/>
      <w:widowControl w:val="0"/>
      <w:suppressAutoHyphens/>
      <w:autoSpaceDE w:val="0"/>
      <w:spacing w:before="240" w:after="60"/>
      <w:jc w:val="center"/>
    </w:pPr>
    <w:rPr>
      <w:rFonts w:ascii="Book Antiqua" w:eastAsia="Book Antiqua" w:hAnsi="Book Antiqua" w:cs="Book Antiqua"/>
      <w:b/>
      <w:bCs/>
      <w:i/>
      <w:iCs/>
      <w:sz w:val="28"/>
      <w:szCs w:val="28"/>
      <w:u w:val="double"/>
      <w:lang w:val="es-C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3498520">
      <w:bodyDiv w:val="1"/>
      <w:marLeft w:val="0"/>
      <w:marRight w:val="0"/>
      <w:marTop w:val="0"/>
      <w:marBottom w:val="0"/>
      <w:divBdr>
        <w:top w:val="none" w:sz="0" w:space="0" w:color="auto"/>
        <w:left w:val="none" w:sz="0" w:space="0" w:color="auto"/>
        <w:bottom w:val="none" w:sz="0" w:space="0" w:color="auto"/>
        <w:right w:val="none" w:sz="0" w:space="0" w:color="auto"/>
      </w:divBdr>
    </w:div>
    <w:div w:id="311296120">
      <w:bodyDiv w:val="1"/>
      <w:marLeft w:val="0"/>
      <w:marRight w:val="0"/>
      <w:marTop w:val="0"/>
      <w:marBottom w:val="0"/>
      <w:divBdr>
        <w:top w:val="none" w:sz="0" w:space="0" w:color="auto"/>
        <w:left w:val="none" w:sz="0" w:space="0" w:color="auto"/>
        <w:bottom w:val="none" w:sz="0" w:space="0" w:color="auto"/>
        <w:right w:val="none" w:sz="0" w:space="0" w:color="auto"/>
      </w:divBdr>
    </w:div>
    <w:div w:id="480927519">
      <w:bodyDiv w:val="1"/>
      <w:marLeft w:val="0"/>
      <w:marRight w:val="0"/>
      <w:marTop w:val="0"/>
      <w:marBottom w:val="0"/>
      <w:divBdr>
        <w:top w:val="none" w:sz="0" w:space="0" w:color="auto"/>
        <w:left w:val="none" w:sz="0" w:space="0" w:color="auto"/>
        <w:bottom w:val="none" w:sz="0" w:space="0" w:color="auto"/>
        <w:right w:val="none" w:sz="0" w:space="0" w:color="auto"/>
      </w:divBdr>
    </w:div>
    <w:div w:id="797408666">
      <w:bodyDiv w:val="1"/>
      <w:marLeft w:val="0"/>
      <w:marRight w:val="0"/>
      <w:marTop w:val="0"/>
      <w:marBottom w:val="0"/>
      <w:divBdr>
        <w:top w:val="none" w:sz="0" w:space="0" w:color="auto"/>
        <w:left w:val="none" w:sz="0" w:space="0" w:color="auto"/>
        <w:bottom w:val="none" w:sz="0" w:space="0" w:color="auto"/>
        <w:right w:val="none" w:sz="0" w:space="0" w:color="auto"/>
      </w:divBdr>
    </w:div>
    <w:div w:id="1691880415">
      <w:bodyDiv w:val="1"/>
      <w:marLeft w:val="0"/>
      <w:marRight w:val="0"/>
      <w:marTop w:val="0"/>
      <w:marBottom w:val="0"/>
      <w:divBdr>
        <w:top w:val="none" w:sz="0" w:space="0" w:color="auto"/>
        <w:left w:val="none" w:sz="0" w:space="0" w:color="auto"/>
        <w:bottom w:val="none" w:sz="0" w:space="0" w:color="auto"/>
        <w:right w:val="none" w:sz="0" w:space="0" w:color="auto"/>
      </w:divBdr>
    </w:div>
    <w:div w:id="17094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7" b="0" i="0" u="none" strike="noStrike" baseline="0">
                <a:solidFill>
                  <a:srgbClr val="000000"/>
                </a:solidFill>
                <a:latin typeface="Calibri"/>
                <a:ea typeface="Calibri"/>
                <a:cs typeface="Calibri"/>
              </a:defRPr>
            </a:pPr>
            <a:r>
              <a:rPr lang="en-US" sz="1047" b="0" i="0" u="none" strike="noStrike" baseline="0">
                <a:solidFill>
                  <a:srgbClr val="333333"/>
                </a:solidFill>
                <a:latin typeface="Calibri"/>
              </a:rPr>
              <a:t>Gráfico </a:t>
            </a:r>
            <a:r>
              <a:rPr lang="en-US" sz="1047" b="0" i="0" u="none" strike="noStrike" baseline="0">
                <a:solidFill>
                  <a:srgbClr val="333333"/>
                </a:solidFill>
                <a:latin typeface="Calibri"/>
                <a:ea typeface="+mn-ea"/>
                <a:cs typeface="+mn-ea"/>
              </a:rPr>
              <a:t>1 - Evolución de los casos entrados, en el Programa de Justicia Restaurativa, desde el 2013</a:t>
            </a:r>
            <a:endParaRPr lang="en-US" sz="1050" b="0" i="0" u="none" strike="noStrike" baseline="0">
              <a:solidFill>
                <a:srgbClr val="333333"/>
              </a:solidFill>
              <a:latin typeface="Calibri"/>
            </a:endParaRPr>
          </a:p>
        </c:rich>
      </c:tx>
      <c:layout>
        <c:manualLayout>
          <c:xMode val="edge"/>
          <c:yMode val="edge"/>
          <c:x val="0.14426385204523279"/>
          <c:y val="2.7778027746531687E-2"/>
        </c:manualLayout>
      </c:layout>
      <c:overlay val="0"/>
      <c:spPr>
        <a:noFill/>
        <a:ln w="25333">
          <a:noFill/>
        </a:ln>
      </c:spPr>
    </c:title>
    <c:autoTitleDeleted val="0"/>
    <c:plotArea>
      <c:layout>
        <c:manualLayout>
          <c:layoutTarget val="inner"/>
          <c:xMode val="edge"/>
          <c:yMode val="edge"/>
          <c:x val="0.15112270341207348"/>
          <c:y val="0.23276353431599633"/>
          <c:w val="0.80005774278215158"/>
          <c:h val="0.52462850448192244"/>
        </c:manualLayout>
      </c:layout>
      <c:lineChart>
        <c:grouping val="standard"/>
        <c:varyColors val="0"/>
        <c:ser>
          <c:idx val="0"/>
          <c:order val="0"/>
          <c:tx>
            <c:strRef>
              <c:f>Hoja1!$B$20</c:f>
              <c:strCache>
                <c:ptCount val="1"/>
                <c:pt idx="0">
                  <c:v>Entrados</c:v>
                </c:pt>
              </c:strCache>
            </c:strRef>
          </c:tx>
          <c:spPr>
            <a:ln w="28500" cap="rnd">
              <a:solidFill>
                <a:schemeClr val="accent1"/>
              </a:solidFill>
              <a:round/>
            </a:ln>
            <a:effectLst/>
          </c:spPr>
          <c:marker>
            <c:symbol val="circle"/>
            <c:size val="4"/>
            <c:spPr>
              <a:solidFill>
                <a:schemeClr val="accent1"/>
              </a:solidFill>
              <a:ln w="9500">
                <a:solidFill>
                  <a:schemeClr val="accent1"/>
                </a:solidFill>
              </a:ln>
              <a:effectLst/>
            </c:spPr>
          </c:marker>
          <c:dLbls>
            <c:spPr>
              <a:noFill/>
              <a:ln w="25333">
                <a:noFill/>
              </a:ln>
            </c:spPr>
            <c:txPr>
              <a:bodyPr/>
              <a:lstStyle/>
              <a:p>
                <a:pPr>
                  <a:defRPr sz="898" b="0" i="0" u="none" strike="noStrike" baseline="0">
                    <a:solidFill>
                      <a:srgbClr val="333333"/>
                    </a:solidFill>
                    <a:latin typeface="Calibri"/>
                    <a:ea typeface="Calibri"/>
                    <a:cs typeface="Calibri"/>
                  </a:defRPr>
                </a:pPr>
                <a:endParaRPr lang="es-E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Hoja1!$A$21:$A$25</c:f>
              <c:strCache>
                <c:ptCount val="5"/>
                <c:pt idx="0">
                  <c:v>2013</c:v>
                </c:pt>
                <c:pt idx="1">
                  <c:v>2014</c:v>
                </c:pt>
                <c:pt idx="2">
                  <c:v>2015</c:v>
                </c:pt>
                <c:pt idx="3">
                  <c:v>2016</c:v>
                </c:pt>
                <c:pt idx="4">
                  <c:v>2017</c:v>
                </c:pt>
              </c:strCache>
            </c:strRef>
          </c:cat>
          <c:val>
            <c:numRef>
              <c:f>Hoja1!$B$21:$B$25</c:f>
              <c:numCache>
                <c:formatCode>_-* #,##0\ _€_-;\-* #,##0\ _€_-;_-* "-"??\ _€_-;_-@_-</c:formatCode>
                <c:ptCount val="5"/>
                <c:pt idx="0">
                  <c:v>341</c:v>
                </c:pt>
                <c:pt idx="1">
                  <c:v>490</c:v>
                </c:pt>
                <c:pt idx="2">
                  <c:v>1491</c:v>
                </c:pt>
                <c:pt idx="3">
                  <c:v>1937</c:v>
                </c:pt>
                <c:pt idx="4">
                  <c:v>2148</c:v>
                </c:pt>
              </c:numCache>
            </c:numRef>
          </c:val>
          <c:smooth val="0"/>
          <c:extLst>
            <c:ext xmlns:c16="http://schemas.microsoft.com/office/drawing/2014/chart" uri="{C3380CC4-5D6E-409C-BE32-E72D297353CC}">
              <c16:uniqueId val="{00000000-F03B-45B3-993B-11FC6253899B}"/>
            </c:ext>
          </c:extLst>
        </c:ser>
        <c:dLbls>
          <c:showLegendKey val="0"/>
          <c:showVal val="0"/>
          <c:showCatName val="0"/>
          <c:showSerName val="0"/>
          <c:showPercent val="0"/>
          <c:showBubbleSize val="0"/>
        </c:dLbls>
        <c:marker val="1"/>
        <c:smooth val="0"/>
        <c:axId val="37676928"/>
        <c:axId val="63188992"/>
      </c:lineChart>
      <c:catAx>
        <c:axId val="37676928"/>
        <c:scaling>
          <c:orientation val="minMax"/>
        </c:scaling>
        <c:delete val="0"/>
        <c:axPos val="b"/>
        <c:title>
          <c:tx>
            <c:rich>
              <a:bodyPr/>
              <a:lstStyle/>
              <a:p>
                <a:pPr>
                  <a:defRPr sz="997" b="0" i="0" u="none" strike="noStrike" baseline="0">
                    <a:solidFill>
                      <a:srgbClr val="333333"/>
                    </a:solidFill>
                    <a:latin typeface="Calibri"/>
                    <a:ea typeface="Calibri"/>
                    <a:cs typeface="Calibri"/>
                  </a:defRPr>
                </a:pPr>
                <a:r>
                  <a:rPr lang="es-ES"/>
                  <a:t>Año</a:t>
                </a:r>
              </a:p>
            </c:rich>
          </c:tx>
          <c:overlay val="0"/>
          <c:spPr>
            <a:noFill/>
            <a:ln w="25333">
              <a:noFill/>
            </a:ln>
          </c:spPr>
        </c:title>
        <c:numFmt formatCode="General" sourceLinked="1"/>
        <c:majorTickMark val="none"/>
        <c:minorTickMark val="none"/>
        <c:tickLblPos val="nextTo"/>
        <c:spPr>
          <a:noFill/>
          <a:ln w="9500" cap="flat" cmpd="sng" algn="ctr">
            <a:solidFill>
              <a:schemeClr val="tx1">
                <a:lumMod val="15000"/>
                <a:lumOff val="85000"/>
              </a:schemeClr>
            </a:solidFill>
            <a:round/>
          </a:ln>
          <a:effectLst/>
        </c:spPr>
        <c:txPr>
          <a:bodyPr rot="0" vert="horz"/>
          <a:lstStyle/>
          <a:p>
            <a:pPr>
              <a:defRPr sz="898" b="0" i="0" u="none" strike="noStrike" baseline="0">
                <a:solidFill>
                  <a:srgbClr val="333333"/>
                </a:solidFill>
                <a:latin typeface="Calibri"/>
                <a:ea typeface="Calibri"/>
                <a:cs typeface="Calibri"/>
              </a:defRPr>
            </a:pPr>
            <a:endParaRPr lang="es-ES"/>
          </a:p>
        </c:txPr>
        <c:crossAx val="63188992"/>
        <c:crosses val="autoZero"/>
        <c:auto val="1"/>
        <c:lblAlgn val="ctr"/>
        <c:lblOffset val="100"/>
        <c:noMultiLvlLbl val="0"/>
      </c:catAx>
      <c:valAx>
        <c:axId val="63188992"/>
        <c:scaling>
          <c:orientation val="minMax"/>
        </c:scaling>
        <c:delete val="0"/>
        <c:axPos val="l"/>
        <c:majorGridlines>
          <c:spPr>
            <a:ln w="9500" cap="flat" cmpd="sng" algn="ctr">
              <a:solidFill>
                <a:schemeClr val="tx1">
                  <a:lumMod val="15000"/>
                  <a:lumOff val="85000"/>
                </a:schemeClr>
              </a:solidFill>
              <a:round/>
            </a:ln>
            <a:effectLst/>
          </c:spPr>
        </c:majorGridlines>
        <c:title>
          <c:tx>
            <c:rich>
              <a:bodyPr/>
              <a:lstStyle/>
              <a:p>
                <a:pPr>
                  <a:defRPr sz="997" b="0" i="0" u="none" strike="noStrike" baseline="0">
                    <a:solidFill>
                      <a:srgbClr val="333333"/>
                    </a:solidFill>
                    <a:latin typeface="Calibri"/>
                    <a:ea typeface="Calibri"/>
                    <a:cs typeface="Calibri"/>
                  </a:defRPr>
                </a:pPr>
                <a:r>
                  <a:rPr lang="es-ES"/>
                  <a:t>Entrados</a:t>
                </a:r>
              </a:p>
            </c:rich>
          </c:tx>
          <c:layout>
            <c:manualLayout>
              <c:xMode val="edge"/>
              <c:yMode val="edge"/>
              <c:x val="1.7819697671480898E-2"/>
              <c:y val="0.43671691038620264"/>
            </c:manualLayout>
          </c:layout>
          <c:overlay val="0"/>
          <c:spPr>
            <a:noFill/>
            <a:ln w="25333">
              <a:noFill/>
            </a:ln>
          </c:spPr>
        </c:title>
        <c:numFmt formatCode="_-* #,##0\ _€_-;\-* #,##0\ _€_-;_-* &quot;-&quot;??\ _€_-;_-@_-" sourceLinked="1"/>
        <c:majorTickMark val="none"/>
        <c:minorTickMark val="none"/>
        <c:tickLblPos val="nextTo"/>
        <c:spPr>
          <a:ln w="9500">
            <a:noFill/>
          </a:ln>
        </c:spPr>
        <c:txPr>
          <a:bodyPr rot="0" vert="horz"/>
          <a:lstStyle/>
          <a:p>
            <a:pPr>
              <a:defRPr sz="898" b="0" i="0" u="none" strike="noStrike" baseline="0">
                <a:solidFill>
                  <a:srgbClr val="333333"/>
                </a:solidFill>
                <a:latin typeface="Calibri"/>
                <a:ea typeface="Calibri"/>
                <a:cs typeface="Calibri"/>
              </a:defRPr>
            </a:pPr>
            <a:endParaRPr lang="es-ES"/>
          </a:p>
        </c:txPr>
        <c:crossAx val="37676928"/>
        <c:crosses val="autoZero"/>
        <c:crossBetween val="between"/>
      </c:valAx>
      <c:spPr>
        <a:solidFill>
          <a:sysClr val="window" lastClr="FFFFFF"/>
        </a:solidFill>
        <a:ln>
          <a:solidFill>
            <a:schemeClr val="bg1"/>
          </a:solidFill>
        </a:ln>
        <a:effectLst/>
        <a:sp3d>
          <a:contourClr>
            <a:schemeClr val="bg1"/>
          </a:contourClr>
        </a:sp3d>
      </c:spPr>
    </c:plotArea>
    <c:plotVisOnly val="1"/>
    <c:dispBlanksAs val="zero"/>
    <c:showDLblsOverMax val="0"/>
  </c:chart>
  <c:spPr>
    <a:gradFill flip="none" rotWithShape="1">
      <a:gsLst>
        <a:gs pos="31000">
          <a:schemeClr val="accent4">
            <a:lumMod val="20000"/>
            <a:lumOff val="80000"/>
          </a:schemeClr>
        </a:gs>
        <a:gs pos="72000">
          <a:schemeClr val="accent5">
            <a:lumMod val="30000"/>
            <a:lumOff val="70000"/>
          </a:schemeClr>
        </a:gs>
      </a:gsLst>
      <a:path path="circle">
        <a:fillToRect l="100000" t="100000"/>
      </a:path>
      <a:tileRect r="-100000" b="-100000"/>
    </a:gradFill>
    <a:ln w="9500" cap="flat" cmpd="sng" algn="ctr">
      <a:solidFill>
        <a:sysClr val="windowText" lastClr="000000"/>
      </a:solidFill>
      <a:round/>
    </a:ln>
    <a:effectLst/>
  </c:spPr>
  <c:txPr>
    <a:bodyPr/>
    <a:lstStyle/>
    <a:p>
      <a:pPr>
        <a:defRPr sz="997" b="0" i="0" u="none" strike="noStrike" baseline="0">
          <a:solidFill>
            <a:srgbClr val="000000"/>
          </a:solidFill>
          <a:latin typeface="Calibri"/>
          <a:ea typeface="Calibri"/>
          <a:cs typeface="Calibri"/>
        </a:defRPr>
      </a:pPr>
      <a:endParaRPr lang="es-E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98" b="0" i="0" u="none" strike="noStrike" kern="1200" spc="0" baseline="0">
                <a:solidFill>
                  <a:schemeClr val="tx1">
                    <a:lumMod val="65000"/>
                    <a:lumOff val="35000"/>
                  </a:schemeClr>
                </a:solidFill>
                <a:latin typeface="+mn-lt"/>
                <a:ea typeface="+mn-ea"/>
                <a:cs typeface="+mn-cs"/>
              </a:defRPr>
            </a:pPr>
            <a:r>
              <a:rPr lang="en-US" sz="1098"/>
              <a:t>Gráfico 2 -  Cantidad</a:t>
            </a:r>
            <a:r>
              <a:rPr lang="en-US" sz="1098" baseline="0"/>
              <a:t> de casos entrados, según el lugar de procedencia, para el Programa de Justicia Restaurativa, para el 2017.</a:t>
            </a:r>
            <a:endParaRPr lang="en-US" sz="1100"/>
          </a:p>
        </c:rich>
      </c:tx>
      <c:overlay val="0"/>
      <c:spPr>
        <a:noFill/>
        <a:ln w="25356">
          <a:noFill/>
        </a:ln>
      </c:spPr>
    </c:title>
    <c:autoTitleDeleted val="0"/>
    <c:plotArea>
      <c:layout>
        <c:manualLayout>
          <c:layoutTarget val="inner"/>
          <c:xMode val="edge"/>
          <c:yMode val="edge"/>
          <c:x val="0.3270324706464745"/>
          <c:y val="0.20847096533992543"/>
          <c:w val="0.62623537480211833"/>
          <c:h val="0.6558778843176607"/>
        </c:manualLayout>
      </c:layout>
      <c:barChart>
        <c:barDir val="bar"/>
        <c:grouping val="clustered"/>
        <c:varyColors val="0"/>
        <c:ser>
          <c:idx val="0"/>
          <c:order val="0"/>
          <c:spPr>
            <a:solidFill>
              <a:srgbClr val="4472C4"/>
            </a:solidFill>
            <a:ln w="25356">
              <a:noFill/>
            </a:ln>
          </c:spPr>
          <c:invertIfNegative val="0"/>
          <c:dLbls>
            <c:spPr>
              <a:noFill/>
              <a:ln w="25356">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'c-3'!$A$35:$A$47</c:f>
              <c:strCache>
                <c:ptCount val="13"/>
                <c:pt idx="0">
                  <c:v>Tribunal de flagrancia Heredia</c:v>
                </c:pt>
                <c:pt idx="1">
                  <c:v>Hatillo</c:v>
                </c:pt>
                <c:pt idx="2">
                  <c:v>San Joaquín</c:v>
                </c:pt>
                <c:pt idx="3">
                  <c:v>Pavas</c:v>
                </c:pt>
                <c:pt idx="4">
                  <c:v>Siquirres</c:v>
                </c:pt>
                <c:pt idx="5">
                  <c:v>Buenos Aires</c:v>
                </c:pt>
                <c:pt idx="6">
                  <c:v>Sarapiquí</c:v>
                </c:pt>
                <c:pt idx="7">
                  <c:v>Goicoechea</c:v>
                </c:pt>
                <c:pt idx="8">
                  <c:v>Desamparados</c:v>
                </c:pt>
                <c:pt idx="9">
                  <c:v>Pérez Zeledón</c:v>
                </c:pt>
                <c:pt idx="10">
                  <c:v>Heredia</c:v>
                </c:pt>
                <c:pt idx="11">
                  <c:v>Pococí</c:v>
                </c:pt>
                <c:pt idx="12">
                  <c:v>San José</c:v>
                </c:pt>
              </c:strCache>
            </c:strRef>
          </c:cat>
          <c:val>
            <c:numRef>
              <c:f>'c-3'!$B$35:$B$47</c:f>
              <c:numCache>
                <c:formatCode>General</c:formatCode>
                <c:ptCount val="13"/>
                <c:pt idx="0">
                  <c:v>13</c:v>
                </c:pt>
                <c:pt idx="1">
                  <c:v>26</c:v>
                </c:pt>
                <c:pt idx="2">
                  <c:v>48</c:v>
                </c:pt>
                <c:pt idx="3">
                  <c:v>54</c:v>
                </c:pt>
                <c:pt idx="4">
                  <c:v>57</c:v>
                </c:pt>
                <c:pt idx="5">
                  <c:v>59</c:v>
                </c:pt>
                <c:pt idx="6">
                  <c:v>62</c:v>
                </c:pt>
                <c:pt idx="7">
                  <c:v>116</c:v>
                </c:pt>
                <c:pt idx="8">
                  <c:v>118</c:v>
                </c:pt>
                <c:pt idx="9">
                  <c:v>258</c:v>
                </c:pt>
                <c:pt idx="10">
                  <c:v>307</c:v>
                </c:pt>
                <c:pt idx="11">
                  <c:v>335</c:v>
                </c:pt>
                <c:pt idx="12">
                  <c:v>695</c:v>
                </c:pt>
              </c:numCache>
            </c:numRef>
          </c:val>
          <c:extLst>
            <c:ext xmlns:c16="http://schemas.microsoft.com/office/drawing/2014/chart" uri="{C3380CC4-5D6E-409C-BE32-E72D297353CC}">
              <c16:uniqueId val="{00000000-E652-4C8B-81D5-5CB70C7480FD}"/>
            </c:ext>
          </c:extLst>
        </c:ser>
        <c:dLbls>
          <c:showLegendKey val="0"/>
          <c:showVal val="0"/>
          <c:showCatName val="0"/>
          <c:showSerName val="0"/>
          <c:showPercent val="0"/>
          <c:showBubbleSize val="0"/>
        </c:dLbls>
        <c:gapWidth val="182"/>
        <c:axId val="116506624"/>
        <c:axId val="116508160"/>
      </c:barChart>
      <c:catAx>
        <c:axId val="116506624"/>
        <c:scaling>
          <c:orientation val="minMax"/>
        </c:scaling>
        <c:delete val="0"/>
        <c:axPos val="l"/>
        <c:numFmt formatCode="General" sourceLinked="1"/>
        <c:majorTickMark val="none"/>
        <c:minorTickMark val="none"/>
        <c:tickLblPos val="nextTo"/>
        <c:spPr>
          <a:noFill/>
          <a:ln w="950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s-ES"/>
          </a:p>
        </c:txPr>
        <c:crossAx val="116508160"/>
        <c:crosses val="autoZero"/>
        <c:auto val="1"/>
        <c:lblAlgn val="ctr"/>
        <c:lblOffset val="100"/>
        <c:noMultiLvlLbl val="0"/>
      </c:catAx>
      <c:valAx>
        <c:axId val="116508160"/>
        <c:scaling>
          <c:orientation val="minMax"/>
        </c:scaling>
        <c:delete val="0"/>
        <c:axPos val="b"/>
        <c:majorGridlines>
          <c:spPr>
            <a:ln w="9509" cap="flat" cmpd="sng" algn="ctr">
              <a:solidFill>
                <a:schemeClr val="tx1">
                  <a:lumMod val="15000"/>
                  <a:lumOff val="85000"/>
                </a:schemeClr>
              </a:solidFill>
              <a:round/>
            </a:ln>
            <a:effectLst/>
          </c:spPr>
        </c:majorGridlines>
        <c:numFmt formatCode="General" sourceLinked="1"/>
        <c:majorTickMark val="none"/>
        <c:minorTickMark val="none"/>
        <c:tickLblPos val="nextTo"/>
        <c:spPr>
          <a:ln w="9509">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s-ES"/>
          </a:p>
        </c:txPr>
        <c:crossAx val="116506624"/>
        <c:crosses val="autoZero"/>
        <c:crossBetween val="between"/>
      </c:valAx>
      <c:spPr>
        <a:noFill/>
        <a:ln>
          <a:solidFill>
            <a:schemeClr val="bg1">
              <a:lumMod val="50000"/>
            </a:schemeClr>
          </a:solidFill>
        </a:ln>
        <a:effectLst/>
      </c:spPr>
    </c:plotArea>
    <c:plotVisOnly val="1"/>
    <c:dispBlanksAs val="gap"/>
    <c:showDLblsOverMax val="0"/>
  </c:chart>
  <c:spPr>
    <a:gradFill flip="none" rotWithShape="1">
      <a:gsLst>
        <a:gs pos="43000">
          <a:schemeClr val="accent4">
            <a:lumMod val="20000"/>
            <a:lumOff val="80000"/>
          </a:schemeClr>
        </a:gs>
        <a:gs pos="70000">
          <a:schemeClr val="accent1">
            <a:tint val="44500"/>
            <a:satMod val="160000"/>
          </a:schemeClr>
        </a:gs>
        <a:gs pos="100000">
          <a:schemeClr val="accent1">
            <a:tint val="23500"/>
            <a:satMod val="160000"/>
          </a:schemeClr>
        </a:gs>
      </a:gsLst>
      <a:path path="circle">
        <a:fillToRect l="100000" t="100000"/>
      </a:path>
      <a:tileRect r="-100000" b="-100000"/>
    </a:gradFill>
    <a:ln w="9509" cap="flat" cmpd="sng" algn="ctr">
      <a:solidFill>
        <a:schemeClr val="bg1">
          <a:lumMod val="50000"/>
        </a:schemeClr>
      </a:solidFill>
      <a:round/>
    </a:ln>
    <a:effectLst/>
  </c:spPr>
  <c:txPr>
    <a:bodyPr/>
    <a:lstStyle/>
    <a:p>
      <a:pPr>
        <a:defRPr/>
      </a:pPr>
      <a:endParaRPr lang="es-E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8" b="0" i="0" u="none" strike="noStrike" baseline="0">
                <a:solidFill>
                  <a:srgbClr val="000000"/>
                </a:solidFill>
                <a:latin typeface="Calibri"/>
                <a:ea typeface="Calibri"/>
                <a:cs typeface="Calibri"/>
              </a:defRPr>
            </a:pPr>
            <a:r>
              <a:rPr lang="en-US" sz="1048" b="0" i="0" u="none" strike="noStrike" baseline="0">
                <a:solidFill>
                  <a:srgbClr val="333333"/>
                </a:solidFill>
                <a:latin typeface="Calibri"/>
              </a:rPr>
              <a:t>Gráfico </a:t>
            </a:r>
            <a:r>
              <a:rPr lang="en-US" sz="1048" b="0" i="0" u="none" strike="noStrike" baseline="0">
                <a:solidFill>
                  <a:srgbClr val="333333"/>
                </a:solidFill>
                <a:latin typeface="Calibri"/>
                <a:ea typeface="+mn-ea"/>
                <a:cs typeface="+mn-ea"/>
              </a:rPr>
              <a:t>3 - Casos terminados, en el Programa de Justicia Restaurativa, desde el 2013</a:t>
            </a:r>
            <a:endParaRPr lang="en-US" sz="1050" b="0" i="0" u="none" strike="noStrike" baseline="0">
              <a:solidFill>
                <a:srgbClr val="333333"/>
              </a:solidFill>
              <a:latin typeface="Calibri"/>
            </a:endParaRPr>
          </a:p>
        </c:rich>
      </c:tx>
      <c:layout>
        <c:manualLayout>
          <c:xMode val="edge"/>
          <c:yMode val="edge"/>
          <c:x val="0.1442637929644463"/>
          <c:y val="2.7777777777777912E-2"/>
        </c:manualLayout>
      </c:layout>
      <c:overlay val="0"/>
      <c:spPr>
        <a:noFill/>
        <a:ln w="25340">
          <a:noFill/>
        </a:ln>
      </c:spPr>
    </c:title>
    <c:autoTitleDeleted val="0"/>
    <c:plotArea>
      <c:layout>
        <c:manualLayout>
          <c:layoutTarget val="inner"/>
          <c:xMode val="edge"/>
          <c:yMode val="edge"/>
          <c:x val="0.15112270341207348"/>
          <c:y val="0.23276353431599633"/>
          <c:w val="0.80005774278215158"/>
          <c:h val="0.52462850448192244"/>
        </c:manualLayout>
      </c:layout>
      <c:lineChart>
        <c:grouping val="standard"/>
        <c:varyColors val="0"/>
        <c:ser>
          <c:idx val="0"/>
          <c:order val="0"/>
          <c:tx>
            <c:strRef>
              <c:f>Hoja1!$B$20</c:f>
              <c:strCache>
                <c:ptCount val="1"/>
                <c:pt idx="0">
                  <c:v>Terminados</c:v>
                </c:pt>
              </c:strCache>
            </c:strRef>
          </c:tx>
          <c:spPr>
            <a:ln w="28508" cap="rnd">
              <a:solidFill>
                <a:schemeClr val="accent1"/>
              </a:solidFill>
              <a:round/>
            </a:ln>
            <a:effectLst/>
          </c:spPr>
          <c:marker>
            <c:symbol val="circle"/>
            <c:size val="4"/>
            <c:spPr>
              <a:solidFill>
                <a:schemeClr val="accent1"/>
              </a:solidFill>
              <a:ln w="9503">
                <a:solidFill>
                  <a:schemeClr val="accent1"/>
                </a:solidFill>
              </a:ln>
              <a:effectLst/>
            </c:spPr>
          </c:marker>
          <c:dLbls>
            <c:spPr>
              <a:noFill/>
              <a:ln w="25340">
                <a:noFill/>
              </a:ln>
            </c:spPr>
            <c:txPr>
              <a:bodyPr/>
              <a:lstStyle/>
              <a:p>
                <a:pPr>
                  <a:defRPr sz="898" b="0" i="0" u="none" strike="noStrike" baseline="0">
                    <a:solidFill>
                      <a:srgbClr val="333333"/>
                    </a:solidFill>
                    <a:latin typeface="Calibri"/>
                    <a:ea typeface="Calibri"/>
                    <a:cs typeface="Calibri"/>
                  </a:defRPr>
                </a:pPr>
                <a:endParaRPr lang="es-E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Hoja1!$A$21:$A$25</c:f>
              <c:strCache>
                <c:ptCount val="5"/>
                <c:pt idx="0">
                  <c:v>2013</c:v>
                </c:pt>
                <c:pt idx="1">
                  <c:v>2014</c:v>
                </c:pt>
                <c:pt idx="2">
                  <c:v>2015</c:v>
                </c:pt>
                <c:pt idx="3">
                  <c:v>2016</c:v>
                </c:pt>
                <c:pt idx="4">
                  <c:v>2017</c:v>
                </c:pt>
              </c:strCache>
            </c:strRef>
          </c:cat>
          <c:val>
            <c:numRef>
              <c:f>Hoja1!$B$21:$B$25</c:f>
              <c:numCache>
                <c:formatCode>#,##0</c:formatCode>
                <c:ptCount val="5"/>
                <c:pt idx="0">
                  <c:v>315</c:v>
                </c:pt>
                <c:pt idx="1">
                  <c:v>526</c:v>
                </c:pt>
                <c:pt idx="2">
                  <c:v>1437</c:v>
                </c:pt>
                <c:pt idx="3" formatCode="General">
                  <c:v>1978</c:v>
                </c:pt>
                <c:pt idx="4">
                  <c:v>2066</c:v>
                </c:pt>
              </c:numCache>
            </c:numRef>
          </c:val>
          <c:smooth val="0"/>
          <c:extLst>
            <c:ext xmlns:c16="http://schemas.microsoft.com/office/drawing/2014/chart" uri="{C3380CC4-5D6E-409C-BE32-E72D297353CC}">
              <c16:uniqueId val="{00000000-0F97-4984-AC3F-988A9CD204F0}"/>
            </c:ext>
          </c:extLst>
        </c:ser>
        <c:dLbls>
          <c:showLegendKey val="0"/>
          <c:showVal val="0"/>
          <c:showCatName val="0"/>
          <c:showSerName val="0"/>
          <c:showPercent val="0"/>
          <c:showBubbleSize val="0"/>
        </c:dLbls>
        <c:marker val="1"/>
        <c:smooth val="0"/>
        <c:axId val="90957312"/>
        <c:axId val="90959232"/>
      </c:lineChart>
      <c:catAx>
        <c:axId val="90957312"/>
        <c:scaling>
          <c:orientation val="minMax"/>
        </c:scaling>
        <c:delete val="0"/>
        <c:axPos val="b"/>
        <c:title>
          <c:tx>
            <c:rich>
              <a:bodyPr/>
              <a:lstStyle/>
              <a:p>
                <a:pPr>
                  <a:defRPr sz="998" b="0" i="0" u="none" strike="noStrike" baseline="0">
                    <a:solidFill>
                      <a:srgbClr val="333333"/>
                    </a:solidFill>
                    <a:latin typeface="Calibri"/>
                    <a:ea typeface="Calibri"/>
                    <a:cs typeface="Calibri"/>
                  </a:defRPr>
                </a:pPr>
                <a:r>
                  <a:rPr lang="es-ES"/>
                  <a:t>Año</a:t>
                </a:r>
              </a:p>
            </c:rich>
          </c:tx>
          <c:overlay val="0"/>
          <c:spPr>
            <a:noFill/>
            <a:ln w="25340">
              <a:noFill/>
            </a:ln>
          </c:spPr>
        </c:title>
        <c:numFmt formatCode="General" sourceLinked="1"/>
        <c:majorTickMark val="none"/>
        <c:minorTickMark val="none"/>
        <c:tickLblPos val="nextTo"/>
        <c:spPr>
          <a:noFill/>
          <a:ln w="9503" cap="flat" cmpd="sng" algn="ctr">
            <a:solidFill>
              <a:schemeClr val="tx1">
                <a:lumMod val="15000"/>
                <a:lumOff val="85000"/>
              </a:schemeClr>
            </a:solidFill>
            <a:round/>
          </a:ln>
          <a:effectLst/>
        </c:spPr>
        <c:txPr>
          <a:bodyPr rot="0" vert="horz"/>
          <a:lstStyle/>
          <a:p>
            <a:pPr>
              <a:defRPr sz="898" b="0" i="0" u="none" strike="noStrike" baseline="0">
                <a:solidFill>
                  <a:srgbClr val="333333"/>
                </a:solidFill>
                <a:latin typeface="Calibri"/>
                <a:ea typeface="Calibri"/>
                <a:cs typeface="Calibri"/>
              </a:defRPr>
            </a:pPr>
            <a:endParaRPr lang="es-ES"/>
          </a:p>
        </c:txPr>
        <c:crossAx val="90959232"/>
        <c:crosses val="autoZero"/>
        <c:auto val="1"/>
        <c:lblAlgn val="ctr"/>
        <c:lblOffset val="100"/>
        <c:noMultiLvlLbl val="0"/>
      </c:catAx>
      <c:valAx>
        <c:axId val="90959232"/>
        <c:scaling>
          <c:orientation val="minMax"/>
        </c:scaling>
        <c:delete val="0"/>
        <c:axPos val="l"/>
        <c:majorGridlines>
          <c:spPr>
            <a:ln w="9503" cap="flat" cmpd="sng" algn="ctr">
              <a:solidFill>
                <a:schemeClr val="tx1">
                  <a:lumMod val="15000"/>
                  <a:lumOff val="85000"/>
                </a:schemeClr>
              </a:solidFill>
              <a:round/>
            </a:ln>
            <a:effectLst/>
          </c:spPr>
        </c:majorGridlines>
        <c:title>
          <c:tx>
            <c:rich>
              <a:bodyPr/>
              <a:lstStyle/>
              <a:p>
                <a:pPr>
                  <a:defRPr sz="998" b="0" i="0" u="none" strike="noStrike" baseline="0">
                    <a:solidFill>
                      <a:srgbClr val="333333"/>
                    </a:solidFill>
                    <a:latin typeface="Calibri"/>
                    <a:ea typeface="Calibri"/>
                    <a:cs typeface="Calibri"/>
                  </a:defRPr>
                </a:pPr>
                <a:r>
                  <a:rPr lang="es-ES"/>
                  <a:t>Terminados</a:t>
                </a:r>
              </a:p>
            </c:rich>
          </c:tx>
          <c:layout>
            <c:manualLayout>
              <c:xMode val="edge"/>
              <c:yMode val="edge"/>
              <c:x val="1.7819551566293119E-2"/>
              <c:y val="0.43671678890606064"/>
            </c:manualLayout>
          </c:layout>
          <c:overlay val="0"/>
          <c:spPr>
            <a:noFill/>
            <a:ln w="25340">
              <a:noFill/>
            </a:ln>
          </c:spPr>
        </c:title>
        <c:numFmt formatCode="#,##0" sourceLinked="1"/>
        <c:majorTickMark val="none"/>
        <c:minorTickMark val="none"/>
        <c:tickLblPos val="nextTo"/>
        <c:spPr>
          <a:ln w="9503">
            <a:noFill/>
          </a:ln>
        </c:spPr>
        <c:txPr>
          <a:bodyPr rot="0" vert="horz"/>
          <a:lstStyle/>
          <a:p>
            <a:pPr>
              <a:defRPr sz="898" b="0" i="0" u="none" strike="noStrike" baseline="0">
                <a:solidFill>
                  <a:srgbClr val="333333"/>
                </a:solidFill>
                <a:latin typeface="Calibri"/>
                <a:ea typeface="Calibri"/>
                <a:cs typeface="Calibri"/>
              </a:defRPr>
            </a:pPr>
            <a:endParaRPr lang="es-ES"/>
          </a:p>
        </c:txPr>
        <c:crossAx val="90957312"/>
        <c:crosses val="autoZero"/>
        <c:crossBetween val="between"/>
      </c:valAx>
      <c:spPr>
        <a:solidFill>
          <a:sysClr val="window" lastClr="FFFFFF"/>
        </a:solidFill>
        <a:ln>
          <a:solidFill>
            <a:schemeClr val="bg1"/>
          </a:solidFill>
        </a:ln>
        <a:effectLst/>
        <a:sp3d>
          <a:contourClr>
            <a:schemeClr val="bg1"/>
          </a:contourClr>
        </a:sp3d>
      </c:spPr>
    </c:plotArea>
    <c:plotVisOnly val="1"/>
    <c:dispBlanksAs val="zero"/>
    <c:showDLblsOverMax val="0"/>
  </c:chart>
  <c:spPr>
    <a:gradFill flip="none" rotWithShape="1">
      <a:gsLst>
        <a:gs pos="31000">
          <a:schemeClr val="accent4">
            <a:lumMod val="20000"/>
            <a:lumOff val="80000"/>
          </a:schemeClr>
        </a:gs>
        <a:gs pos="72000">
          <a:schemeClr val="accent5">
            <a:lumMod val="30000"/>
            <a:lumOff val="70000"/>
          </a:schemeClr>
        </a:gs>
      </a:gsLst>
      <a:path path="circle">
        <a:fillToRect l="100000" t="100000"/>
      </a:path>
      <a:tileRect r="-100000" b="-100000"/>
    </a:gradFill>
    <a:ln w="9503" cap="flat" cmpd="sng" algn="ctr">
      <a:solidFill>
        <a:sysClr val="windowText" lastClr="000000"/>
      </a:solidFill>
      <a:round/>
    </a:ln>
    <a:effectLst/>
  </c:spPr>
  <c:txPr>
    <a:bodyPr/>
    <a:lstStyle/>
    <a:p>
      <a:pPr>
        <a:defRPr sz="998" b="0" i="0" u="none" strike="noStrike" baseline="0">
          <a:solidFill>
            <a:srgbClr val="000000"/>
          </a:solidFill>
          <a:latin typeface="Calibri"/>
          <a:ea typeface="Calibri"/>
          <a:cs typeface="Calibri"/>
        </a:defRPr>
      </a:pPr>
      <a:endParaRPr lang="es-E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8" b="0" i="0" u="none" strike="noStrike" baseline="0">
                <a:solidFill>
                  <a:srgbClr val="000000"/>
                </a:solidFill>
                <a:latin typeface="Calibri"/>
                <a:ea typeface="Calibri"/>
                <a:cs typeface="Calibri"/>
              </a:defRPr>
            </a:pPr>
            <a:r>
              <a:rPr lang="en-US" sz="1048" b="0" i="0" u="none" strike="noStrike" baseline="0">
                <a:solidFill>
                  <a:srgbClr val="333333"/>
                </a:solidFill>
                <a:latin typeface="Calibri"/>
              </a:rPr>
              <a:t>Gráfico </a:t>
            </a:r>
            <a:r>
              <a:rPr lang="en-US" sz="1048" b="0" i="0" u="none" strike="noStrike" baseline="0">
                <a:solidFill>
                  <a:srgbClr val="333333"/>
                </a:solidFill>
                <a:latin typeface="Calibri"/>
                <a:ea typeface="+mn-ea"/>
                <a:cs typeface="+mn-ea"/>
              </a:rPr>
              <a:t>4 - Evolución del Circulante Final, en el Programa de Justicia Restaurativa, desde el 2013</a:t>
            </a:r>
            <a:endParaRPr lang="en-US" sz="1050" b="0" i="0" u="none" strike="noStrike" baseline="0">
              <a:solidFill>
                <a:srgbClr val="333333"/>
              </a:solidFill>
              <a:latin typeface="Calibri"/>
            </a:endParaRPr>
          </a:p>
        </c:rich>
      </c:tx>
      <c:layout>
        <c:manualLayout>
          <c:xMode val="edge"/>
          <c:yMode val="edge"/>
          <c:x val="0.1442637929644463"/>
          <c:y val="2.7777777777777912E-2"/>
        </c:manualLayout>
      </c:layout>
      <c:overlay val="0"/>
      <c:spPr>
        <a:noFill/>
        <a:ln w="25340">
          <a:noFill/>
        </a:ln>
      </c:spPr>
    </c:title>
    <c:autoTitleDeleted val="0"/>
    <c:plotArea>
      <c:layout>
        <c:manualLayout>
          <c:layoutTarget val="inner"/>
          <c:xMode val="edge"/>
          <c:yMode val="edge"/>
          <c:x val="0.15112270341207348"/>
          <c:y val="0.23276353431599633"/>
          <c:w val="0.80005774278215158"/>
          <c:h val="0.52462850448192244"/>
        </c:manualLayout>
      </c:layout>
      <c:lineChart>
        <c:grouping val="standard"/>
        <c:varyColors val="0"/>
        <c:ser>
          <c:idx val="0"/>
          <c:order val="0"/>
          <c:tx>
            <c:strRef>
              <c:f>Hoja1!$B$20</c:f>
              <c:strCache>
                <c:ptCount val="1"/>
                <c:pt idx="0">
                  <c:v>Final</c:v>
                </c:pt>
              </c:strCache>
            </c:strRef>
          </c:tx>
          <c:spPr>
            <a:ln w="28508" cap="rnd">
              <a:solidFill>
                <a:schemeClr val="accent1"/>
              </a:solidFill>
              <a:round/>
            </a:ln>
            <a:effectLst/>
          </c:spPr>
          <c:marker>
            <c:symbol val="circle"/>
            <c:size val="4"/>
            <c:spPr>
              <a:solidFill>
                <a:schemeClr val="accent1"/>
              </a:solidFill>
              <a:ln w="9503">
                <a:solidFill>
                  <a:schemeClr val="accent1"/>
                </a:solidFill>
              </a:ln>
              <a:effectLst/>
            </c:spPr>
          </c:marker>
          <c:dLbls>
            <c:spPr>
              <a:noFill/>
              <a:ln w="25340">
                <a:noFill/>
              </a:ln>
            </c:spPr>
            <c:txPr>
              <a:bodyPr/>
              <a:lstStyle/>
              <a:p>
                <a:pPr>
                  <a:defRPr sz="898" b="0" i="0" u="none" strike="noStrike" baseline="0">
                    <a:solidFill>
                      <a:srgbClr val="333333"/>
                    </a:solidFill>
                    <a:latin typeface="Calibri"/>
                    <a:ea typeface="Calibri"/>
                    <a:cs typeface="Calibri"/>
                  </a:defRPr>
                </a:pPr>
                <a:endParaRPr lang="es-E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Hoja1!$A$21:$A$25</c:f>
              <c:strCache>
                <c:ptCount val="5"/>
                <c:pt idx="0">
                  <c:v>2013</c:v>
                </c:pt>
                <c:pt idx="1">
                  <c:v>2014</c:v>
                </c:pt>
                <c:pt idx="2">
                  <c:v>2015</c:v>
                </c:pt>
                <c:pt idx="3">
                  <c:v>2016</c:v>
                </c:pt>
                <c:pt idx="4">
                  <c:v>2017</c:v>
                </c:pt>
              </c:strCache>
            </c:strRef>
          </c:cat>
          <c:val>
            <c:numRef>
              <c:f>Hoja1!$B$21:$B$25</c:f>
              <c:numCache>
                <c:formatCode>#,##0</c:formatCode>
                <c:ptCount val="5"/>
                <c:pt idx="0">
                  <c:v>72</c:v>
                </c:pt>
                <c:pt idx="1">
                  <c:v>42</c:v>
                </c:pt>
                <c:pt idx="2">
                  <c:v>187</c:v>
                </c:pt>
                <c:pt idx="3" formatCode="General">
                  <c:v>221</c:v>
                </c:pt>
                <c:pt idx="4">
                  <c:v>357</c:v>
                </c:pt>
              </c:numCache>
            </c:numRef>
          </c:val>
          <c:smooth val="0"/>
          <c:extLst>
            <c:ext xmlns:c16="http://schemas.microsoft.com/office/drawing/2014/chart" uri="{C3380CC4-5D6E-409C-BE32-E72D297353CC}">
              <c16:uniqueId val="{00000000-8C14-404F-903E-EC03571434F5}"/>
            </c:ext>
          </c:extLst>
        </c:ser>
        <c:dLbls>
          <c:showLegendKey val="0"/>
          <c:showVal val="0"/>
          <c:showCatName val="0"/>
          <c:showSerName val="0"/>
          <c:showPercent val="0"/>
          <c:showBubbleSize val="0"/>
        </c:dLbls>
        <c:marker val="1"/>
        <c:smooth val="0"/>
        <c:axId val="124088320"/>
        <c:axId val="124090240"/>
      </c:lineChart>
      <c:catAx>
        <c:axId val="124088320"/>
        <c:scaling>
          <c:orientation val="minMax"/>
        </c:scaling>
        <c:delete val="0"/>
        <c:axPos val="b"/>
        <c:title>
          <c:tx>
            <c:rich>
              <a:bodyPr/>
              <a:lstStyle/>
              <a:p>
                <a:pPr>
                  <a:defRPr sz="998" b="0" i="0" u="none" strike="noStrike" baseline="0">
                    <a:solidFill>
                      <a:srgbClr val="333333"/>
                    </a:solidFill>
                    <a:latin typeface="Calibri"/>
                    <a:ea typeface="Calibri"/>
                    <a:cs typeface="Calibri"/>
                  </a:defRPr>
                </a:pPr>
                <a:r>
                  <a:rPr lang="es-ES"/>
                  <a:t>Año</a:t>
                </a:r>
              </a:p>
            </c:rich>
          </c:tx>
          <c:overlay val="0"/>
          <c:spPr>
            <a:noFill/>
            <a:ln w="25340">
              <a:noFill/>
            </a:ln>
          </c:spPr>
        </c:title>
        <c:numFmt formatCode="General" sourceLinked="1"/>
        <c:majorTickMark val="none"/>
        <c:minorTickMark val="none"/>
        <c:tickLblPos val="nextTo"/>
        <c:spPr>
          <a:noFill/>
          <a:ln w="9503" cap="flat" cmpd="sng" algn="ctr">
            <a:solidFill>
              <a:schemeClr val="tx1">
                <a:lumMod val="15000"/>
                <a:lumOff val="85000"/>
              </a:schemeClr>
            </a:solidFill>
            <a:round/>
          </a:ln>
          <a:effectLst/>
        </c:spPr>
        <c:txPr>
          <a:bodyPr rot="0" vert="horz"/>
          <a:lstStyle/>
          <a:p>
            <a:pPr>
              <a:defRPr sz="898" b="0" i="0" u="none" strike="noStrike" baseline="0">
                <a:solidFill>
                  <a:srgbClr val="333333"/>
                </a:solidFill>
                <a:latin typeface="Calibri"/>
                <a:ea typeface="Calibri"/>
                <a:cs typeface="Calibri"/>
              </a:defRPr>
            </a:pPr>
            <a:endParaRPr lang="es-ES"/>
          </a:p>
        </c:txPr>
        <c:crossAx val="124090240"/>
        <c:crosses val="autoZero"/>
        <c:auto val="1"/>
        <c:lblAlgn val="ctr"/>
        <c:lblOffset val="100"/>
        <c:noMultiLvlLbl val="0"/>
      </c:catAx>
      <c:valAx>
        <c:axId val="124090240"/>
        <c:scaling>
          <c:orientation val="minMax"/>
        </c:scaling>
        <c:delete val="0"/>
        <c:axPos val="l"/>
        <c:majorGridlines>
          <c:spPr>
            <a:ln w="9503" cap="flat" cmpd="sng" algn="ctr">
              <a:solidFill>
                <a:schemeClr val="tx1">
                  <a:lumMod val="15000"/>
                  <a:lumOff val="85000"/>
                </a:schemeClr>
              </a:solidFill>
              <a:round/>
            </a:ln>
            <a:effectLst/>
          </c:spPr>
        </c:majorGridlines>
        <c:title>
          <c:tx>
            <c:rich>
              <a:bodyPr/>
              <a:lstStyle/>
              <a:p>
                <a:pPr>
                  <a:defRPr sz="998" b="0" i="0" u="none" strike="noStrike" baseline="0">
                    <a:solidFill>
                      <a:srgbClr val="333333"/>
                    </a:solidFill>
                    <a:latin typeface="Calibri"/>
                    <a:ea typeface="Calibri"/>
                    <a:cs typeface="Calibri"/>
                  </a:defRPr>
                </a:pPr>
                <a:r>
                  <a:rPr lang="es-ES"/>
                  <a:t>Circulante Final</a:t>
                </a:r>
              </a:p>
            </c:rich>
          </c:tx>
          <c:layout>
            <c:manualLayout>
              <c:xMode val="edge"/>
              <c:yMode val="edge"/>
              <c:x val="1.7819551566293119E-2"/>
              <c:y val="0.43671678890606064"/>
            </c:manualLayout>
          </c:layout>
          <c:overlay val="0"/>
          <c:spPr>
            <a:noFill/>
            <a:ln w="25340">
              <a:noFill/>
            </a:ln>
          </c:spPr>
        </c:title>
        <c:numFmt formatCode="#,##0" sourceLinked="1"/>
        <c:majorTickMark val="none"/>
        <c:minorTickMark val="none"/>
        <c:tickLblPos val="nextTo"/>
        <c:spPr>
          <a:ln w="9503">
            <a:noFill/>
          </a:ln>
        </c:spPr>
        <c:txPr>
          <a:bodyPr rot="0" vert="horz"/>
          <a:lstStyle/>
          <a:p>
            <a:pPr>
              <a:defRPr sz="898" b="0" i="0" u="none" strike="noStrike" baseline="0">
                <a:solidFill>
                  <a:srgbClr val="333333"/>
                </a:solidFill>
                <a:latin typeface="Calibri"/>
                <a:ea typeface="Calibri"/>
                <a:cs typeface="Calibri"/>
              </a:defRPr>
            </a:pPr>
            <a:endParaRPr lang="es-ES"/>
          </a:p>
        </c:txPr>
        <c:crossAx val="124088320"/>
        <c:crosses val="autoZero"/>
        <c:crossBetween val="between"/>
      </c:valAx>
      <c:spPr>
        <a:solidFill>
          <a:sysClr val="window" lastClr="FFFFFF"/>
        </a:solidFill>
        <a:ln>
          <a:solidFill>
            <a:schemeClr val="bg1"/>
          </a:solidFill>
        </a:ln>
        <a:effectLst/>
        <a:sp3d>
          <a:contourClr>
            <a:schemeClr val="bg1"/>
          </a:contourClr>
        </a:sp3d>
      </c:spPr>
    </c:plotArea>
    <c:plotVisOnly val="1"/>
    <c:dispBlanksAs val="zero"/>
    <c:showDLblsOverMax val="0"/>
  </c:chart>
  <c:spPr>
    <a:gradFill flip="none" rotWithShape="1">
      <a:gsLst>
        <a:gs pos="31000">
          <a:schemeClr val="accent4">
            <a:lumMod val="20000"/>
            <a:lumOff val="80000"/>
          </a:schemeClr>
        </a:gs>
        <a:gs pos="72000">
          <a:schemeClr val="accent5">
            <a:lumMod val="30000"/>
            <a:lumOff val="70000"/>
          </a:schemeClr>
        </a:gs>
      </a:gsLst>
      <a:path path="circle">
        <a:fillToRect l="100000" t="100000"/>
      </a:path>
      <a:tileRect r="-100000" b="-100000"/>
    </a:gradFill>
    <a:ln w="9503" cap="flat" cmpd="sng" algn="ctr">
      <a:solidFill>
        <a:sysClr val="windowText" lastClr="000000"/>
      </a:solidFill>
      <a:round/>
    </a:ln>
    <a:effectLst/>
  </c:spPr>
  <c:txPr>
    <a:bodyPr/>
    <a:lstStyle/>
    <a:p>
      <a:pPr>
        <a:defRPr sz="998" b="0" i="0" u="none" strike="noStrike" baseline="0">
          <a:solidFill>
            <a:srgbClr val="000000"/>
          </a:solidFill>
          <a:latin typeface="Calibri"/>
          <a:ea typeface="Calibri"/>
          <a:cs typeface="Calibri"/>
        </a:defRPr>
      </a:pPr>
      <a:endParaRPr lang="es-E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8" b="0" i="0" u="none" strike="noStrike" baseline="0">
                <a:solidFill>
                  <a:srgbClr val="000000"/>
                </a:solidFill>
                <a:latin typeface="Calibri"/>
                <a:ea typeface="Calibri"/>
                <a:cs typeface="Calibri"/>
              </a:defRPr>
            </a:pPr>
            <a:r>
              <a:rPr lang="en-US" sz="1048" b="0" i="0" u="none" strike="noStrike" baseline="0">
                <a:solidFill>
                  <a:srgbClr val="333333"/>
                </a:solidFill>
                <a:latin typeface="Calibri"/>
              </a:rPr>
              <a:t>Gráfico </a:t>
            </a:r>
            <a:r>
              <a:rPr lang="en-US" sz="1048" b="0" i="0" u="none" strike="noStrike" baseline="0">
                <a:solidFill>
                  <a:srgbClr val="333333"/>
                </a:solidFill>
                <a:latin typeface="Calibri"/>
                <a:ea typeface="+mn-ea"/>
                <a:cs typeface="+mn-ea"/>
              </a:rPr>
              <a:t>5 - Cantidad de reuniones y audiencias, por circuito judicial en el programa de Justicia Restaurativa, en el 2017*</a:t>
            </a:r>
            <a:endParaRPr lang="en-US" sz="1050" b="0" i="0" u="none" strike="noStrike" baseline="0">
              <a:solidFill>
                <a:srgbClr val="333333"/>
              </a:solidFill>
              <a:latin typeface="Calibri"/>
            </a:endParaRPr>
          </a:p>
        </c:rich>
      </c:tx>
      <c:overlay val="0"/>
      <c:spPr>
        <a:noFill/>
        <a:ln w="25340">
          <a:noFill/>
        </a:ln>
      </c:spPr>
    </c:title>
    <c:autoTitleDeleted val="0"/>
    <c:plotArea>
      <c:layout>
        <c:manualLayout>
          <c:layoutTarget val="inner"/>
          <c:xMode val="edge"/>
          <c:yMode val="edge"/>
          <c:x val="0.46436111111111111"/>
          <c:y val="0.15328295549958021"/>
          <c:w val="0.48608333333333331"/>
          <c:h val="0.58309079514914552"/>
        </c:manualLayout>
      </c:layout>
      <c:barChart>
        <c:barDir val="bar"/>
        <c:grouping val="clustered"/>
        <c:varyColors val="0"/>
        <c:ser>
          <c:idx val="0"/>
          <c:order val="0"/>
          <c:tx>
            <c:strRef>
              <c:f>'c-5'!$B$83</c:f>
              <c:strCache>
                <c:ptCount val="1"/>
                <c:pt idx="0">
                  <c:v>AUDIENCIAS</c:v>
                </c:pt>
              </c:strCache>
            </c:strRef>
          </c:tx>
          <c:spPr>
            <a:solidFill>
              <a:srgbClr val="4472C4"/>
            </a:solidFill>
            <a:ln w="25340">
              <a:noFill/>
            </a:ln>
          </c:spPr>
          <c:invertIfNegative val="0"/>
          <c:dLbls>
            <c:spPr>
              <a:noFill/>
              <a:ln w="25340">
                <a:noFill/>
              </a:ln>
            </c:spPr>
            <c:txPr>
              <a:bodyPr/>
              <a:lstStyle/>
              <a:p>
                <a:pPr>
                  <a:defRPr sz="798" b="0" i="0" u="none" strike="noStrike" baseline="0">
                    <a:solidFill>
                      <a:srgbClr val="000000"/>
                    </a:solidFill>
                    <a:latin typeface="Calibri"/>
                    <a:ea typeface="Calibri"/>
                    <a:cs typeface="Calibri"/>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'c-5'!$A$84:$A$89</c:f>
              <c:strCache>
                <c:ptCount val="6"/>
                <c:pt idx="0">
                  <c:v>II Circuito Judicial de San José</c:v>
                </c:pt>
                <c:pt idx="1">
                  <c:v>II Circuito Judicial de San José (Flagrancia)</c:v>
                </c:pt>
                <c:pt idx="2">
                  <c:v>III Circuito Judicial de San José (Pavas)</c:v>
                </c:pt>
                <c:pt idx="3">
                  <c:v>Heredia</c:v>
                </c:pt>
                <c:pt idx="4">
                  <c:v>I Circuito Judicial de Zona Sur</c:v>
                </c:pt>
                <c:pt idx="5">
                  <c:v>II Circuito Judicial de la Zona Atlántica</c:v>
                </c:pt>
              </c:strCache>
            </c:strRef>
          </c:cat>
          <c:val>
            <c:numRef>
              <c:f>'c-5'!$B$84:$B$89</c:f>
              <c:numCache>
                <c:formatCode>General</c:formatCode>
                <c:ptCount val="6"/>
                <c:pt idx="0">
                  <c:v>18</c:v>
                </c:pt>
                <c:pt idx="1">
                  <c:v>5</c:v>
                </c:pt>
                <c:pt idx="2">
                  <c:v>188</c:v>
                </c:pt>
                <c:pt idx="3">
                  <c:v>46</c:v>
                </c:pt>
                <c:pt idx="4">
                  <c:v>35</c:v>
                </c:pt>
                <c:pt idx="5">
                  <c:v>71</c:v>
                </c:pt>
              </c:numCache>
            </c:numRef>
          </c:val>
          <c:extLst>
            <c:ext xmlns:c16="http://schemas.microsoft.com/office/drawing/2014/chart" uri="{C3380CC4-5D6E-409C-BE32-E72D297353CC}">
              <c16:uniqueId val="{00000000-07DA-42A6-A852-D6F1DA6CA7E8}"/>
            </c:ext>
          </c:extLst>
        </c:ser>
        <c:ser>
          <c:idx val="1"/>
          <c:order val="1"/>
          <c:tx>
            <c:strRef>
              <c:f>'c-5'!$C$83</c:f>
              <c:strCache>
                <c:ptCount val="1"/>
                <c:pt idx="0">
                  <c:v>NO REALIZADAS</c:v>
                </c:pt>
              </c:strCache>
            </c:strRef>
          </c:tx>
          <c:spPr>
            <a:solidFill>
              <a:srgbClr val="ED7D31"/>
            </a:solidFill>
            <a:ln w="25340">
              <a:noFill/>
            </a:ln>
          </c:spPr>
          <c:invertIfNegative val="0"/>
          <c:dLbls>
            <c:spPr>
              <a:noFill/>
              <a:ln w="25340">
                <a:noFill/>
              </a:ln>
            </c:spPr>
            <c:txPr>
              <a:bodyPr/>
              <a:lstStyle/>
              <a:p>
                <a:pPr>
                  <a:defRPr sz="798" b="0" i="0" u="none" strike="noStrike" baseline="0">
                    <a:solidFill>
                      <a:srgbClr val="000000"/>
                    </a:solidFill>
                    <a:latin typeface="Calibri"/>
                    <a:ea typeface="Calibri"/>
                    <a:cs typeface="Calibri"/>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'c-5'!$A$84:$A$89</c:f>
              <c:strCache>
                <c:ptCount val="6"/>
                <c:pt idx="0">
                  <c:v>II Circuito Judicial de San José</c:v>
                </c:pt>
                <c:pt idx="1">
                  <c:v>II Circuito Judicial de San José (Flagrancia)</c:v>
                </c:pt>
                <c:pt idx="2">
                  <c:v>III Circuito Judicial de San José (Pavas)</c:v>
                </c:pt>
                <c:pt idx="3">
                  <c:v>Heredia</c:v>
                </c:pt>
                <c:pt idx="4">
                  <c:v>I Circuito Judicial de Zona Sur</c:v>
                </c:pt>
                <c:pt idx="5">
                  <c:v>II Circuito Judicial de la Zona Atlántica</c:v>
                </c:pt>
              </c:strCache>
            </c:strRef>
          </c:cat>
          <c:val>
            <c:numRef>
              <c:f>'c-5'!$C$84:$C$89</c:f>
              <c:numCache>
                <c:formatCode>General</c:formatCode>
                <c:ptCount val="6"/>
                <c:pt idx="0">
                  <c:v>21</c:v>
                </c:pt>
                <c:pt idx="1">
                  <c:v>7</c:v>
                </c:pt>
                <c:pt idx="2">
                  <c:v>54</c:v>
                </c:pt>
                <c:pt idx="3">
                  <c:v>10</c:v>
                </c:pt>
                <c:pt idx="4">
                  <c:v>11</c:v>
                </c:pt>
                <c:pt idx="5">
                  <c:v>50</c:v>
                </c:pt>
              </c:numCache>
            </c:numRef>
          </c:val>
          <c:extLst>
            <c:ext xmlns:c16="http://schemas.microsoft.com/office/drawing/2014/chart" uri="{C3380CC4-5D6E-409C-BE32-E72D297353CC}">
              <c16:uniqueId val="{00000001-07DA-42A6-A852-D6F1DA6CA7E8}"/>
            </c:ext>
          </c:extLst>
        </c:ser>
        <c:ser>
          <c:idx val="2"/>
          <c:order val="2"/>
          <c:tx>
            <c:strRef>
              <c:f>'c-5'!$D$83</c:f>
              <c:strCache>
                <c:ptCount val="1"/>
                <c:pt idx="0">
                  <c:v>REALIZADAS</c:v>
                </c:pt>
              </c:strCache>
            </c:strRef>
          </c:tx>
          <c:spPr>
            <a:solidFill>
              <a:srgbClr val="A5A5A5"/>
            </a:solidFill>
            <a:ln w="25340">
              <a:noFill/>
            </a:ln>
          </c:spPr>
          <c:invertIfNegative val="0"/>
          <c:dLbls>
            <c:spPr>
              <a:noFill/>
              <a:ln w="25340">
                <a:noFill/>
              </a:ln>
            </c:spPr>
            <c:txPr>
              <a:bodyPr/>
              <a:lstStyle/>
              <a:p>
                <a:pPr>
                  <a:defRPr sz="798" b="0" i="0" u="none" strike="noStrike" baseline="0">
                    <a:solidFill>
                      <a:srgbClr val="000000"/>
                    </a:solidFill>
                    <a:latin typeface="Calibri"/>
                    <a:ea typeface="Calibri"/>
                    <a:cs typeface="Calibri"/>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'c-5'!$A$84:$A$89</c:f>
              <c:strCache>
                <c:ptCount val="6"/>
                <c:pt idx="0">
                  <c:v>II Circuito Judicial de San José</c:v>
                </c:pt>
                <c:pt idx="1">
                  <c:v>II Circuito Judicial de San José (Flagrancia)</c:v>
                </c:pt>
                <c:pt idx="2">
                  <c:v>III Circuito Judicial de San José (Pavas)</c:v>
                </c:pt>
                <c:pt idx="3">
                  <c:v>Heredia</c:v>
                </c:pt>
                <c:pt idx="4">
                  <c:v>I Circuito Judicial de Zona Sur</c:v>
                </c:pt>
                <c:pt idx="5">
                  <c:v>II Circuito Judicial de la Zona Atlántica</c:v>
                </c:pt>
              </c:strCache>
            </c:strRef>
          </c:cat>
          <c:val>
            <c:numRef>
              <c:f>'c-5'!$D$84:$D$89</c:f>
              <c:numCache>
                <c:formatCode>General</c:formatCode>
                <c:ptCount val="6"/>
                <c:pt idx="0">
                  <c:v>131</c:v>
                </c:pt>
                <c:pt idx="1">
                  <c:v>113</c:v>
                </c:pt>
                <c:pt idx="2">
                  <c:v>217</c:v>
                </c:pt>
                <c:pt idx="3">
                  <c:v>205</c:v>
                </c:pt>
                <c:pt idx="4">
                  <c:v>205</c:v>
                </c:pt>
                <c:pt idx="5">
                  <c:v>179</c:v>
                </c:pt>
              </c:numCache>
            </c:numRef>
          </c:val>
          <c:extLst>
            <c:ext xmlns:c16="http://schemas.microsoft.com/office/drawing/2014/chart" uri="{C3380CC4-5D6E-409C-BE32-E72D297353CC}">
              <c16:uniqueId val="{00000002-07DA-42A6-A852-D6F1DA6CA7E8}"/>
            </c:ext>
          </c:extLst>
        </c:ser>
        <c:dLbls>
          <c:showLegendKey val="0"/>
          <c:showVal val="0"/>
          <c:showCatName val="0"/>
          <c:showSerName val="0"/>
          <c:showPercent val="0"/>
          <c:showBubbleSize val="0"/>
        </c:dLbls>
        <c:gapWidth val="150"/>
        <c:axId val="124122624"/>
        <c:axId val="124124160"/>
      </c:barChart>
      <c:catAx>
        <c:axId val="124122624"/>
        <c:scaling>
          <c:orientation val="minMax"/>
        </c:scaling>
        <c:delete val="0"/>
        <c:axPos val="l"/>
        <c:numFmt formatCode="General" sourceLinked="1"/>
        <c:majorTickMark val="none"/>
        <c:minorTickMark val="none"/>
        <c:tickLblPos val="nextTo"/>
        <c:spPr>
          <a:noFill/>
          <a:ln w="9503" cap="flat" cmpd="sng" algn="ctr">
            <a:solidFill>
              <a:schemeClr val="tx1">
                <a:lumMod val="15000"/>
                <a:lumOff val="85000"/>
              </a:schemeClr>
            </a:solidFill>
            <a:round/>
          </a:ln>
          <a:effectLst/>
        </c:spPr>
        <c:txPr>
          <a:bodyPr rot="0" vert="horz"/>
          <a:lstStyle/>
          <a:p>
            <a:pPr>
              <a:defRPr sz="898" b="0" i="0" u="none" strike="noStrike" baseline="0">
                <a:solidFill>
                  <a:srgbClr val="000000"/>
                </a:solidFill>
                <a:latin typeface="Calibri"/>
                <a:ea typeface="Calibri"/>
                <a:cs typeface="Calibri"/>
              </a:defRPr>
            </a:pPr>
            <a:endParaRPr lang="es-ES"/>
          </a:p>
        </c:txPr>
        <c:crossAx val="124124160"/>
        <c:crosses val="autoZero"/>
        <c:auto val="1"/>
        <c:lblAlgn val="ctr"/>
        <c:lblOffset val="100"/>
        <c:noMultiLvlLbl val="0"/>
      </c:catAx>
      <c:valAx>
        <c:axId val="124124160"/>
        <c:scaling>
          <c:orientation val="minMax"/>
        </c:scaling>
        <c:delete val="0"/>
        <c:axPos val="b"/>
        <c:majorGridlines>
          <c:spPr>
            <a:ln w="9503" cap="flat" cmpd="sng" algn="ctr">
              <a:solidFill>
                <a:schemeClr val="tx1">
                  <a:lumMod val="15000"/>
                  <a:lumOff val="85000"/>
                </a:schemeClr>
              </a:solidFill>
              <a:round/>
            </a:ln>
            <a:effectLst/>
          </c:spPr>
        </c:majorGridlines>
        <c:numFmt formatCode="General" sourceLinked="1"/>
        <c:majorTickMark val="none"/>
        <c:minorTickMark val="none"/>
        <c:tickLblPos val="nextTo"/>
        <c:spPr>
          <a:ln w="9503">
            <a:noFill/>
          </a:ln>
        </c:spPr>
        <c:txPr>
          <a:bodyPr rot="0" vert="horz"/>
          <a:lstStyle/>
          <a:p>
            <a:pPr>
              <a:defRPr sz="898" b="0" i="0" u="none" strike="noStrike" baseline="0">
                <a:solidFill>
                  <a:srgbClr val="333333"/>
                </a:solidFill>
                <a:latin typeface="Calibri"/>
                <a:ea typeface="Calibri"/>
                <a:cs typeface="Calibri"/>
              </a:defRPr>
            </a:pPr>
            <a:endParaRPr lang="es-ES"/>
          </a:p>
        </c:txPr>
        <c:crossAx val="124122624"/>
        <c:crosses val="autoZero"/>
        <c:crossBetween val="between"/>
      </c:valAx>
      <c:spPr>
        <a:noFill/>
        <a:ln>
          <a:solidFill>
            <a:schemeClr val="bg1">
              <a:lumMod val="50000"/>
            </a:schemeClr>
          </a:solidFill>
        </a:ln>
        <a:effectLst/>
      </c:spPr>
    </c:plotArea>
    <c:legend>
      <c:legendPos val="r"/>
      <c:layout>
        <c:manualLayout>
          <c:xMode val="edge"/>
          <c:yMode val="edge"/>
          <c:x val="0.15319148936170268"/>
          <c:y val="0.79328165374677062"/>
          <c:w val="0.77234042553191473"/>
          <c:h val="7.2351421188630707E-2"/>
        </c:manualLayout>
      </c:layout>
      <c:overlay val="0"/>
      <c:spPr>
        <a:noFill/>
        <a:ln w="25340">
          <a:noFill/>
        </a:ln>
      </c:spPr>
      <c:txPr>
        <a:bodyPr/>
        <a:lstStyle/>
        <a:p>
          <a:pPr>
            <a:defRPr sz="823" b="0" i="0" u="none" strike="noStrike" baseline="0">
              <a:solidFill>
                <a:srgbClr val="333333"/>
              </a:solidFill>
              <a:latin typeface="Calibri"/>
              <a:ea typeface="Calibri"/>
              <a:cs typeface="Calibri"/>
            </a:defRPr>
          </a:pPr>
          <a:endParaRPr lang="es-ES"/>
        </a:p>
      </c:txPr>
    </c:legend>
    <c:plotVisOnly val="1"/>
    <c:dispBlanksAs val="gap"/>
    <c:showDLblsOverMax val="0"/>
  </c:chart>
  <c:spPr>
    <a:gradFill flip="none" rotWithShape="1">
      <a:gsLst>
        <a:gs pos="40000">
          <a:schemeClr val="accent4">
            <a:lumMod val="20000"/>
            <a:lumOff val="80000"/>
          </a:schemeClr>
        </a:gs>
        <a:gs pos="73000">
          <a:schemeClr val="accent1">
            <a:tint val="44500"/>
            <a:satMod val="160000"/>
          </a:schemeClr>
        </a:gs>
        <a:gs pos="100000">
          <a:schemeClr val="accent1">
            <a:tint val="23500"/>
            <a:satMod val="160000"/>
          </a:schemeClr>
        </a:gs>
      </a:gsLst>
      <a:path path="circle">
        <a:fillToRect l="100000" t="100000"/>
      </a:path>
      <a:tileRect r="-100000" b="-100000"/>
    </a:gradFill>
    <a:ln w="9503" cap="flat" cmpd="sng" algn="ctr">
      <a:solidFill>
        <a:schemeClr val="bg1">
          <a:lumMod val="50000"/>
        </a:schemeClr>
      </a:solidFill>
      <a:round/>
    </a:ln>
    <a:effectLst/>
  </c:spPr>
  <c:txPr>
    <a:bodyPr/>
    <a:lstStyle/>
    <a:p>
      <a:pPr>
        <a:defRPr sz="998" b="0" i="0" u="none" strike="noStrike" baseline="0">
          <a:solidFill>
            <a:srgbClr val="000000"/>
          </a:solidFill>
          <a:latin typeface="Calibri"/>
          <a:ea typeface="Calibri"/>
          <a:cs typeface="Calibri"/>
        </a:defRPr>
      </a:pPr>
      <a:endParaRPr lang="es-E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0.02942</cdr:x>
      <cdr:y>0.89807</cdr:y>
    </cdr:from>
    <cdr:to>
      <cdr:x>0.89615</cdr:x>
      <cdr:y>0.98252</cdr:y>
    </cdr:to>
    <cdr:sp macro="" textlink="">
      <cdr:nvSpPr>
        <cdr:cNvPr id="2" name="CuadroTexto 1">
          <a:extLst xmlns:a="http://schemas.openxmlformats.org/drawingml/2006/main"/>
        </cdr:cNvPr>
        <cdr:cNvSpPr txBox="1"/>
      </cdr:nvSpPr>
      <cdr:spPr>
        <a:xfrm xmlns:a="http://schemas.openxmlformats.org/drawingml/2006/main">
          <a:off x="120735" y="2222831"/>
          <a:ext cx="3585355" cy="2103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0.02508</cdr:x>
      <cdr:y>0.92509</cdr:y>
    </cdr:from>
    <cdr:to>
      <cdr:x>0.83258</cdr:x>
      <cdr:y>1</cdr:y>
    </cdr:to>
    <cdr:sp macro="" textlink="">
      <cdr:nvSpPr>
        <cdr:cNvPr id="2" name="CuadroTexto 1">
          <a:extLst xmlns:a="http://schemas.openxmlformats.org/drawingml/2006/main"/>
        </cdr:cNvPr>
        <cdr:cNvSpPr txBox="1"/>
      </cdr:nvSpPr>
      <cdr:spPr>
        <a:xfrm xmlns:a="http://schemas.openxmlformats.org/drawingml/2006/main">
          <a:off x="114301" y="2990851"/>
          <a:ext cx="390525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a:p>
      </cdr:txBody>
    </cdr:sp>
  </cdr:relSizeAnchor>
  <cdr:relSizeAnchor xmlns:cdr="http://schemas.openxmlformats.org/drawingml/2006/chartDrawing">
    <cdr:from>
      <cdr:x>2.06261E-7</cdr:x>
      <cdr:y>0.92211</cdr:y>
    </cdr:from>
    <cdr:to>
      <cdr:x>0.87476</cdr:x>
      <cdr:y>0.97735</cdr:y>
    </cdr:to>
    <cdr:sp macro="" textlink="">
      <cdr:nvSpPr>
        <cdr:cNvPr id="3" name="CuadroTexto 2">
          <a:extLst xmlns:a="http://schemas.openxmlformats.org/drawingml/2006/main"/>
        </cdr:cNvPr>
        <cdr:cNvSpPr txBox="1"/>
      </cdr:nvSpPr>
      <cdr:spPr>
        <a:xfrm xmlns:a="http://schemas.openxmlformats.org/drawingml/2006/main">
          <a:off x="1" y="2962276"/>
          <a:ext cx="42386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Elaborado por: Subproceso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0.02842</cdr:x>
      <cdr:y>0.89632</cdr:y>
    </cdr:from>
    <cdr:to>
      <cdr:x>0.75075</cdr:x>
      <cdr:y>0.96651</cdr:y>
    </cdr:to>
    <cdr:sp macro="" textlink="">
      <cdr:nvSpPr>
        <cdr:cNvPr id="2" name="CuadroTexto 1">
          <a:extLst xmlns:a="http://schemas.openxmlformats.org/drawingml/2006/main"/>
        </cdr:cNvPr>
        <cdr:cNvSpPr txBox="1"/>
      </cdr:nvSpPr>
      <cdr:spPr>
        <a:xfrm xmlns:a="http://schemas.openxmlformats.org/drawingml/2006/main">
          <a:off x="133350" y="2462213"/>
          <a:ext cx="32956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Elaborado por: Subproceso de Estadística, Dirección de Planificación</a:t>
          </a:r>
        </a:p>
      </cdr:txBody>
    </cdr:sp>
  </cdr:relSizeAnchor>
</c:userShapes>
</file>

<file path=word/drawings/drawing4.xml><?xml version="1.0" encoding="utf-8"?>
<c:userShapes xmlns:c="http://schemas.openxmlformats.org/drawingml/2006/chart">
  <cdr:relSizeAnchor xmlns:cdr="http://schemas.openxmlformats.org/drawingml/2006/chartDrawing">
    <cdr:from>
      <cdr:x>0.02842</cdr:x>
      <cdr:y>0.89632</cdr:y>
    </cdr:from>
    <cdr:to>
      <cdr:x>0.75075</cdr:x>
      <cdr:y>0.96651</cdr:y>
    </cdr:to>
    <cdr:sp macro="" textlink="">
      <cdr:nvSpPr>
        <cdr:cNvPr id="2" name="CuadroTexto 1">
          <a:extLst xmlns:a="http://schemas.openxmlformats.org/drawingml/2006/main"/>
        </cdr:cNvPr>
        <cdr:cNvSpPr txBox="1"/>
      </cdr:nvSpPr>
      <cdr:spPr>
        <a:xfrm xmlns:a="http://schemas.openxmlformats.org/drawingml/2006/main">
          <a:off x="133350" y="2462213"/>
          <a:ext cx="32956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Elaborado por: Subproceso de Estadística, Dirección de Planificación</a:t>
          </a:r>
        </a:p>
      </cdr:txBody>
    </cdr:sp>
  </cdr:relSizeAnchor>
</c:userShapes>
</file>

<file path=word/drawings/drawing5.xml><?xml version="1.0" encoding="utf-8"?>
<c:userShapes xmlns:c="http://schemas.openxmlformats.org/drawingml/2006/chart">
  <cdr:relSizeAnchor xmlns:cdr="http://schemas.openxmlformats.org/drawingml/2006/chartDrawing">
    <cdr:from>
      <cdr:x>0.04571</cdr:x>
      <cdr:y>0.92049</cdr:y>
    </cdr:from>
    <cdr:to>
      <cdr:x>0.85729</cdr:x>
      <cdr:y>0.97056</cdr:y>
    </cdr:to>
    <cdr:sp macro="" textlink="">
      <cdr:nvSpPr>
        <cdr:cNvPr id="2" name="CuadroTexto 1">
          <a:extLst xmlns:a="http://schemas.openxmlformats.org/drawingml/2006/main"/>
        </cdr:cNvPr>
        <cdr:cNvSpPr txBox="1"/>
      </cdr:nvSpPr>
      <cdr:spPr>
        <a:xfrm xmlns:a="http://schemas.openxmlformats.org/drawingml/2006/main">
          <a:off x="138113" y="3524251"/>
          <a:ext cx="360997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a:p>
      </cdr:txBody>
    </cdr:sp>
  </cdr:relSizeAnchor>
  <cdr:relSizeAnchor xmlns:cdr="http://schemas.openxmlformats.org/drawingml/2006/chartDrawing">
    <cdr:from>
      <cdr:x>0.04213</cdr:x>
      <cdr:y>0.85426</cdr:y>
    </cdr:from>
    <cdr:to>
      <cdr:x>0.96274</cdr:x>
      <cdr:y>0.96612</cdr:y>
    </cdr:to>
    <cdr:sp macro="" textlink="">
      <cdr:nvSpPr>
        <cdr:cNvPr id="3" name="CuadroTexto 2">
          <a:extLst xmlns:a="http://schemas.openxmlformats.org/drawingml/2006/main"/>
        </cdr:cNvPr>
        <cdr:cNvSpPr txBox="1"/>
      </cdr:nvSpPr>
      <cdr:spPr>
        <a:xfrm xmlns:a="http://schemas.openxmlformats.org/drawingml/2006/main">
          <a:off x="186062" y="3183445"/>
          <a:ext cx="4151476" cy="3792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Elaborado por:</a:t>
          </a:r>
          <a:r>
            <a:rPr lang="en-US" sz="800" baseline="0"/>
            <a:t> Subproceso de Estadística, Dirección de Planificación</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CR" sz="800">
              <a:effectLst/>
              <a:latin typeface="+mn-lt"/>
              <a:ea typeface="+mn-ea"/>
              <a:cs typeface="+mn-cs"/>
            </a:rPr>
            <a:t>*</a:t>
          </a:r>
          <a:r>
            <a:rPr lang="es-ES" sz="800">
              <a:effectLst/>
              <a:latin typeface="+mn-lt"/>
              <a:ea typeface="+mn-ea"/>
              <a:cs typeface="+mn-cs"/>
            </a:rPr>
            <a:t>No corresponden al sistema de Gestión, son datos recolectados y trabajados de forma manual</a:t>
          </a:r>
          <a:endParaRPr lang="en-US" sz="800">
            <a:effectLst/>
            <a:latin typeface="+mn-lt"/>
            <a:ea typeface="+mn-ea"/>
            <a:cs typeface="+mn-cs"/>
          </a:endParaRPr>
        </a:p>
        <a:p xmlns:a="http://schemas.openxmlformats.org/drawingml/2006/main">
          <a:endParaRPr lang="en-US" sz="8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3523</Words>
  <Characters>19378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1388-PLA-2013</vt:lpstr>
    </vt:vector>
  </TitlesOfParts>
  <Company>Poder Judicial</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1388-PLA-2013</dc:title>
  <dc:creator>xbarrientos</dc:creator>
  <cp:lastModifiedBy>Marlen Vargas Benavides</cp:lastModifiedBy>
  <cp:revision>2</cp:revision>
  <dcterms:created xsi:type="dcterms:W3CDTF">2018-10-22T14:05:00Z</dcterms:created>
  <dcterms:modified xsi:type="dcterms:W3CDTF">2018-10-22T14:05:00Z</dcterms:modified>
</cp:coreProperties>
</file>