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DA" w:rsidRPr="00666A89" w:rsidRDefault="00834B6C" w:rsidP="00DC50DA">
      <w:pPr>
        <w:jc w:val="right"/>
        <w:rPr>
          <w:rFonts w:ascii="Book Antiqua" w:hAnsi="Book Antiqua" w:cs="Book Antiqua"/>
          <w:sz w:val="24"/>
          <w:szCs w:val="24"/>
          <w:lang w:val="pt-BR"/>
        </w:rPr>
      </w:pPr>
      <w:r>
        <w:rPr>
          <w:rFonts w:ascii="Book Antiqua" w:hAnsi="Book Antiqua" w:cs="Book Antiqua"/>
          <w:sz w:val="24"/>
          <w:szCs w:val="24"/>
          <w:lang w:val="pt-BR"/>
        </w:rPr>
        <w:t>858</w:t>
      </w:r>
      <w:r w:rsidR="00DC50DA" w:rsidRPr="00666A89">
        <w:rPr>
          <w:rFonts w:ascii="Book Antiqua" w:hAnsi="Book Antiqua" w:cs="Book Antiqua"/>
          <w:sz w:val="24"/>
          <w:szCs w:val="24"/>
          <w:lang w:val="pt-BR"/>
        </w:rPr>
        <w:t>-PLA-2018</w:t>
      </w:r>
    </w:p>
    <w:p w:rsidR="00DC50DA" w:rsidRPr="00666A89" w:rsidRDefault="00DC50DA" w:rsidP="00DC50DA">
      <w:pPr>
        <w:jc w:val="right"/>
        <w:rPr>
          <w:rFonts w:ascii="Book Antiqua" w:hAnsi="Book Antiqua" w:cs="Book Antiqua"/>
          <w:sz w:val="24"/>
          <w:szCs w:val="24"/>
          <w:lang w:val="pt-BR"/>
        </w:rPr>
      </w:pPr>
      <w:r w:rsidRPr="00666A89">
        <w:rPr>
          <w:rFonts w:ascii="Book Antiqua" w:hAnsi="Book Antiqua" w:cs="Book Antiqua"/>
          <w:sz w:val="24"/>
          <w:szCs w:val="24"/>
        </w:rPr>
        <w:t>Ref. SICE: 977-2018</w:t>
      </w:r>
    </w:p>
    <w:p w:rsidR="00DC50DA" w:rsidRPr="00666A89" w:rsidRDefault="00DC50DA" w:rsidP="00DC50DA">
      <w:pPr>
        <w:rPr>
          <w:rFonts w:ascii="Book Antiqua" w:hAnsi="Book Antiqua" w:cs="Book Antiqua"/>
          <w:sz w:val="24"/>
          <w:szCs w:val="24"/>
          <w:lang w:val="pt-BR"/>
        </w:rPr>
      </w:pPr>
      <w:r w:rsidRPr="00666A89">
        <w:rPr>
          <w:rFonts w:ascii="Book Antiqua" w:hAnsi="Book Antiqua" w:cs="Book Antiqua"/>
          <w:sz w:val="24"/>
          <w:szCs w:val="24"/>
          <w:lang w:val="pt-BR"/>
        </w:rPr>
        <w:t xml:space="preserve">30 de </w:t>
      </w:r>
      <w:proofErr w:type="gramStart"/>
      <w:r w:rsidRPr="00666A89">
        <w:rPr>
          <w:rFonts w:ascii="Book Antiqua" w:hAnsi="Book Antiqua" w:cs="Book Antiqua"/>
          <w:sz w:val="24"/>
          <w:szCs w:val="24"/>
          <w:lang w:val="pt-BR"/>
        </w:rPr>
        <w:t>julio</w:t>
      </w:r>
      <w:proofErr w:type="gramEnd"/>
      <w:r w:rsidRPr="00666A89">
        <w:rPr>
          <w:rFonts w:ascii="Book Antiqua" w:hAnsi="Book Antiqua" w:cs="Book Antiqua"/>
          <w:sz w:val="24"/>
          <w:szCs w:val="24"/>
          <w:lang w:val="pt-BR"/>
        </w:rPr>
        <w:t xml:space="preserve"> de 2018</w:t>
      </w:r>
    </w:p>
    <w:p w:rsidR="00DC50DA" w:rsidRPr="00666A89" w:rsidRDefault="00DC50DA" w:rsidP="00DC50DA">
      <w:pPr>
        <w:rPr>
          <w:rFonts w:ascii="Book Antiqua" w:hAnsi="Book Antiqua" w:cs="Book Antiqua"/>
          <w:sz w:val="24"/>
          <w:szCs w:val="24"/>
          <w:lang w:val="pt-BR"/>
        </w:rPr>
      </w:pPr>
    </w:p>
    <w:p w:rsidR="00DC50DA" w:rsidRPr="00666A89" w:rsidRDefault="00DC50DA" w:rsidP="00DC50DA">
      <w:pPr>
        <w:rPr>
          <w:rFonts w:ascii="Book Antiqua" w:hAnsi="Book Antiqua" w:cs="Book Antiqua"/>
          <w:sz w:val="24"/>
          <w:szCs w:val="24"/>
          <w:lang w:val="pt-BR"/>
        </w:rPr>
      </w:pPr>
    </w:p>
    <w:p w:rsidR="00DC50DA" w:rsidRPr="00666A89" w:rsidRDefault="00DC50DA" w:rsidP="00DC50DA">
      <w:pPr>
        <w:rPr>
          <w:rFonts w:ascii="Book Antiqua" w:hAnsi="Book Antiqua" w:cs="Book Antiqua"/>
          <w:sz w:val="24"/>
          <w:szCs w:val="24"/>
          <w:lang w:val="pt-BR"/>
        </w:rPr>
      </w:pPr>
    </w:p>
    <w:p w:rsidR="00DC50DA" w:rsidRPr="00666A89" w:rsidRDefault="00DC50DA" w:rsidP="00DC50DA">
      <w:pPr>
        <w:rPr>
          <w:rFonts w:ascii="Book Antiqua" w:hAnsi="Book Antiqua" w:cs="Book Antiqua"/>
          <w:sz w:val="24"/>
          <w:szCs w:val="24"/>
          <w:lang w:val="pt-BR"/>
        </w:rPr>
      </w:pPr>
      <w:r w:rsidRPr="00666A89">
        <w:rPr>
          <w:rFonts w:ascii="Book Antiqua" w:hAnsi="Book Antiqua" w:cs="Book Antiqua"/>
          <w:sz w:val="24"/>
          <w:szCs w:val="24"/>
          <w:lang w:val="pt-BR"/>
        </w:rPr>
        <w:t>Licenciada</w:t>
      </w:r>
    </w:p>
    <w:p w:rsidR="00DC50DA" w:rsidRPr="00666A89" w:rsidRDefault="00DC50DA" w:rsidP="00DC50DA">
      <w:pPr>
        <w:rPr>
          <w:rFonts w:ascii="Book Antiqua" w:hAnsi="Book Antiqua" w:cs="Book Antiqua"/>
          <w:sz w:val="24"/>
          <w:szCs w:val="24"/>
          <w:lang w:val="pt-BR"/>
        </w:rPr>
      </w:pPr>
      <w:smartTag w:uri="urn:schemas-microsoft-com:office:smarttags" w:element="PersonName">
        <w:r w:rsidRPr="00666A89">
          <w:rPr>
            <w:rFonts w:ascii="Book Antiqua" w:hAnsi="Book Antiqua" w:cs="Book Antiqua"/>
            <w:sz w:val="24"/>
            <w:szCs w:val="24"/>
            <w:lang w:val="pt-BR"/>
          </w:rPr>
          <w:t>Silvia Navarro Romanini</w:t>
        </w:r>
      </w:smartTag>
      <w:r w:rsidRPr="00666A89">
        <w:rPr>
          <w:rFonts w:ascii="Book Antiqua" w:hAnsi="Book Antiqua" w:cs="Book Antiqua"/>
          <w:sz w:val="24"/>
          <w:szCs w:val="24"/>
          <w:lang w:val="pt-BR"/>
        </w:rPr>
        <w:t xml:space="preserve"> </w:t>
      </w:r>
    </w:p>
    <w:p w:rsidR="00DC50DA" w:rsidRPr="00666A89" w:rsidRDefault="00DC50DA" w:rsidP="00DC50DA">
      <w:pPr>
        <w:rPr>
          <w:rFonts w:ascii="Book Antiqua" w:hAnsi="Book Antiqua" w:cs="Book Antiqua"/>
          <w:sz w:val="24"/>
          <w:szCs w:val="24"/>
        </w:rPr>
      </w:pPr>
      <w:r w:rsidRPr="00666A89">
        <w:rPr>
          <w:rFonts w:ascii="Book Antiqua" w:hAnsi="Book Antiqua" w:cs="Book Antiqua"/>
          <w:sz w:val="24"/>
          <w:szCs w:val="24"/>
        </w:rPr>
        <w:t xml:space="preserve">Secretaría General de </w:t>
      </w:r>
      <w:smartTag w:uri="urn:schemas-microsoft-com:office:smarttags" w:element="PersonName">
        <w:smartTagPr>
          <w:attr w:name="ProductID" w:val="la Corte"/>
        </w:smartTagPr>
        <w:r w:rsidRPr="00666A89">
          <w:rPr>
            <w:rFonts w:ascii="Book Antiqua" w:hAnsi="Book Antiqua" w:cs="Book Antiqua"/>
            <w:sz w:val="24"/>
            <w:szCs w:val="24"/>
          </w:rPr>
          <w:t>la Corte</w:t>
        </w:r>
      </w:smartTag>
    </w:p>
    <w:p w:rsidR="00DC50DA" w:rsidRPr="00666A89" w:rsidRDefault="00DC50DA" w:rsidP="00DC50DA">
      <w:pPr>
        <w:rPr>
          <w:rFonts w:ascii="Book Antiqua" w:hAnsi="Book Antiqua" w:cs="Book Antiqua"/>
          <w:sz w:val="24"/>
          <w:szCs w:val="24"/>
        </w:rPr>
      </w:pPr>
    </w:p>
    <w:p w:rsidR="00DC50DA" w:rsidRPr="00666A89" w:rsidRDefault="00DC50DA" w:rsidP="00DC50DA">
      <w:pPr>
        <w:rPr>
          <w:rFonts w:ascii="Book Antiqua" w:hAnsi="Book Antiqua" w:cs="Book Antiqua"/>
          <w:sz w:val="24"/>
          <w:szCs w:val="24"/>
        </w:rPr>
      </w:pPr>
    </w:p>
    <w:p w:rsidR="00DC50DA" w:rsidRPr="00666A89" w:rsidRDefault="00DC50DA" w:rsidP="00DC50DA">
      <w:pPr>
        <w:rPr>
          <w:rFonts w:ascii="Book Antiqua" w:hAnsi="Book Antiqua" w:cs="Book Antiqua"/>
          <w:sz w:val="24"/>
          <w:szCs w:val="24"/>
        </w:rPr>
      </w:pPr>
      <w:r w:rsidRPr="00666A89">
        <w:rPr>
          <w:rFonts w:ascii="Book Antiqua" w:hAnsi="Book Antiqua" w:cs="Book Antiqua"/>
          <w:sz w:val="24"/>
          <w:szCs w:val="24"/>
        </w:rPr>
        <w:t>Estimada señora:</w:t>
      </w:r>
    </w:p>
    <w:p w:rsidR="00DC50DA" w:rsidRPr="00056425" w:rsidRDefault="00DC50DA" w:rsidP="00DC50DA">
      <w:pPr>
        <w:rPr>
          <w:rFonts w:ascii="Book Antiqua" w:hAnsi="Book Antiqua" w:cs="Book Antiqua"/>
        </w:rPr>
      </w:pPr>
    </w:p>
    <w:p w:rsidR="00DC50DA" w:rsidRPr="00C96062" w:rsidRDefault="00DC50DA" w:rsidP="00DC50DA">
      <w:pPr>
        <w:ind w:firstLine="708"/>
        <w:jc w:val="both"/>
        <w:rPr>
          <w:rStyle w:val="Hipervnculo"/>
          <w:rFonts w:ascii="Book Antiqua" w:hAnsi="Book Antiqua" w:cs="Book Antiqua"/>
          <w:sz w:val="24"/>
          <w:szCs w:val="24"/>
        </w:rPr>
      </w:pPr>
      <w:r w:rsidRPr="00C96062">
        <w:rPr>
          <w:rFonts w:ascii="Book Antiqua" w:hAnsi="Book Antiqua" w:cs="Book Antiqua"/>
          <w:sz w:val="24"/>
          <w:szCs w:val="24"/>
        </w:rPr>
        <w:t>Le remito el informe 122-ES-2018</w:t>
      </w:r>
      <w:r w:rsidRPr="00C96062">
        <w:rPr>
          <w:rFonts w:ascii="Book Antiqua" w:hAnsi="Book Antiqua" w:cs="Book Antiqua"/>
          <w:b/>
          <w:bCs/>
          <w:sz w:val="24"/>
          <w:szCs w:val="24"/>
        </w:rPr>
        <w:t xml:space="preserve"> </w:t>
      </w:r>
      <w:r w:rsidR="00823732">
        <w:rPr>
          <w:rFonts w:ascii="Book Antiqua" w:hAnsi="Book Antiqua" w:cs="Book Antiqua"/>
          <w:sz w:val="24"/>
          <w:szCs w:val="24"/>
        </w:rPr>
        <w:t>del 5 de julio de 2018</w:t>
      </w:r>
      <w:r w:rsidRPr="00C96062">
        <w:rPr>
          <w:rFonts w:ascii="Book Antiqua" w:hAnsi="Book Antiqua" w:cs="Book Antiqua"/>
          <w:sz w:val="24"/>
          <w:szCs w:val="24"/>
        </w:rPr>
        <w:t>,  suscrito por la Licda. Ana Ericka Rodríguez Araya, Jefa a.i. del Subproceso de Estadística, relacionado con</w:t>
      </w:r>
      <w:r w:rsidRPr="00C96062">
        <w:rPr>
          <w:rFonts w:ascii="Book Antiqua" w:hAnsi="Book Antiqua"/>
          <w:sz w:val="24"/>
          <w:szCs w:val="24"/>
        </w:rPr>
        <w:t xml:space="preserve"> los movimientos de trabajo en </w:t>
      </w:r>
      <w:r>
        <w:rPr>
          <w:rFonts w:ascii="Book Antiqua" w:hAnsi="Book Antiqua"/>
          <w:sz w:val="24"/>
          <w:szCs w:val="24"/>
        </w:rPr>
        <w:t>los</w:t>
      </w:r>
      <w:r w:rsidRPr="00C96062">
        <w:rPr>
          <w:rFonts w:ascii="Book Antiqua" w:hAnsi="Book Antiqua"/>
          <w:sz w:val="24"/>
          <w:szCs w:val="24"/>
        </w:rPr>
        <w:t xml:space="preserve"> Tribunales Civiles de instancia superior durante el 2017</w:t>
      </w:r>
      <w:r>
        <w:rPr>
          <w:rFonts w:ascii="Book Antiqua" w:hAnsi="Book Antiqua"/>
          <w:sz w:val="24"/>
          <w:szCs w:val="24"/>
        </w:rPr>
        <w:t>.</w:t>
      </w:r>
      <w:r w:rsidRPr="00C96062">
        <w:rPr>
          <w:rFonts w:ascii="Book Antiqua" w:hAnsi="Book Antiqua"/>
          <w:sz w:val="24"/>
          <w:szCs w:val="24"/>
        </w:rPr>
        <w:t xml:space="preserve"> </w:t>
      </w:r>
      <w:r w:rsidRPr="00C96062">
        <w:rPr>
          <w:rStyle w:val="Hipervnculo"/>
          <w:rFonts w:ascii="Book Antiqua" w:hAnsi="Book Antiqua" w:cs="Book Antiqua"/>
          <w:sz w:val="24"/>
          <w:szCs w:val="24"/>
        </w:rPr>
        <w:t xml:space="preserve"> </w:t>
      </w:r>
    </w:p>
    <w:p w:rsidR="00DC50DA" w:rsidRPr="00056425" w:rsidRDefault="00DC50DA" w:rsidP="00DC50DA">
      <w:pPr>
        <w:jc w:val="both"/>
        <w:rPr>
          <w:rFonts w:ascii="Book Antiqua" w:hAnsi="Book Antiqua" w:cs="Book Antiqua"/>
        </w:rPr>
      </w:pPr>
    </w:p>
    <w:p w:rsidR="00DC50DA" w:rsidRDefault="00DC50DA" w:rsidP="00DC50DA">
      <w:pPr>
        <w:pStyle w:val="Textoindependiente2"/>
        <w:ind w:firstLine="720"/>
        <w:rPr>
          <w:lang w:val="es-CR"/>
        </w:rPr>
      </w:pPr>
      <w:r w:rsidRPr="00056425">
        <w:rPr>
          <w:lang w:val="es-CR"/>
        </w:rPr>
        <w:t xml:space="preserve">Con el fin de que se manifestara al respecto, mediante oficio </w:t>
      </w:r>
      <w:r>
        <w:rPr>
          <w:lang w:val="es-CR"/>
        </w:rPr>
        <w:t>738</w:t>
      </w:r>
      <w:r w:rsidRPr="00056425">
        <w:rPr>
          <w:lang w:val="es-CR"/>
        </w:rPr>
        <w:t>-PLA-201</w:t>
      </w:r>
      <w:r>
        <w:rPr>
          <w:lang w:val="es-CR"/>
        </w:rPr>
        <w:t xml:space="preserve">8 </w:t>
      </w:r>
      <w:r w:rsidRPr="00056425">
        <w:rPr>
          <w:lang w:val="es-CR"/>
        </w:rPr>
        <w:t xml:space="preserve">del </w:t>
      </w:r>
      <w:r>
        <w:rPr>
          <w:lang w:val="es-CR"/>
        </w:rPr>
        <w:t>5</w:t>
      </w:r>
      <w:r w:rsidRPr="00056425">
        <w:rPr>
          <w:lang w:val="es-CR"/>
        </w:rPr>
        <w:t xml:space="preserve"> de </w:t>
      </w:r>
      <w:r>
        <w:rPr>
          <w:lang w:val="es-CR"/>
        </w:rPr>
        <w:t>julio</w:t>
      </w:r>
      <w:r w:rsidRPr="00056425">
        <w:rPr>
          <w:lang w:val="es-CR"/>
        </w:rPr>
        <w:t xml:space="preserve"> del </w:t>
      </w:r>
      <w:r>
        <w:rPr>
          <w:lang w:val="es-CR"/>
        </w:rPr>
        <w:t>201</w:t>
      </w:r>
      <w:r w:rsidR="00823732">
        <w:rPr>
          <w:lang w:val="es-CR"/>
        </w:rPr>
        <w:t>8</w:t>
      </w:r>
      <w:r w:rsidRPr="00056425">
        <w:rPr>
          <w:lang w:val="es-CR"/>
        </w:rPr>
        <w:t>,  el preliminar de este documento fue puesto en conocimiento de</w:t>
      </w:r>
      <w:r>
        <w:rPr>
          <w:lang w:val="es-CR"/>
        </w:rPr>
        <w:t>l Magistrado William Molinari Vílchez, Coordinador de la Comisión de la Jurisdicción Civil</w:t>
      </w:r>
      <w:r w:rsidRPr="00056425">
        <w:rPr>
          <w:lang w:val="es-CR"/>
        </w:rPr>
        <w:t>.</w:t>
      </w:r>
      <w:r>
        <w:rPr>
          <w:lang w:val="es-CR"/>
        </w:rPr>
        <w:t xml:space="preserve"> A la fecha no se recibieron observaciones al informe que se presenta.   </w:t>
      </w:r>
    </w:p>
    <w:p w:rsidR="00DC50DA" w:rsidRPr="00056425" w:rsidRDefault="00DC50DA" w:rsidP="00DC50DA">
      <w:pPr>
        <w:jc w:val="both"/>
        <w:rPr>
          <w:rFonts w:ascii="Book Antiqua" w:hAnsi="Book Antiqua" w:cs="Book Antiqua"/>
        </w:rPr>
      </w:pPr>
      <w:r w:rsidRPr="007045F1">
        <w:rPr>
          <w:rFonts w:ascii="Book Antiqua" w:hAnsi="Book Antiqua" w:cs="Book Antiqua"/>
          <w:color w:val="FF0000"/>
        </w:rPr>
        <w:tab/>
      </w:r>
    </w:p>
    <w:p w:rsidR="00DC50DA" w:rsidRPr="00DC50DA" w:rsidRDefault="00DC50DA" w:rsidP="00DC50DA">
      <w:pPr>
        <w:jc w:val="both"/>
        <w:rPr>
          <w:rFonts w:ascii="Bookman Old Style" w:hAnsi="Bookman Old Style" w:cs="Bookman Old Style"/>
          <w:sz w:val="24"/>
          <w:szCs w:val="24"/>
        </w:rPr>
      </w:pPr>
      <w:r w:rsidRPr="00DC50DA">
        <w:rPr>
          <w:rFonts w:ascii="Bookman Old Style" w:hAnsi="Bookman Old Style" w:cs="Bookman Old Style"/>
          <w:sz w:val="24"/>
          <w:szCs w:val="24"/>
        </w:rPr>
        <w:t>Atentamente,</w:t>
      </w:r>
    </w:p>
    <w:p w:rsidR="00DC50DA" w:rsidRPr="00DC50DA" w:rsidRDefault="00DC50DA" w:rsidP="00DC50DA">
      <w:pPr>
        <w:jc w:val="both"/>
        <w:rPr>
          <w:rFonts w:ascii="Bookman Old Style" w:hAnsi="Bookman Old Style" w:cs="Bookman Old Style"/>
          <w:sz w:val="24"/>
          <w:szCs w:val="24"/>
        </w:rPr>
      </w:pPr>
    </w:p>
    <w:p w:rsidR="00DC50DA" w:rsidRPr="00DC50DA" w:rsidRDefault="00DC50DA" w:rsidP="00DC50DA">
      <w:pPr>
        <w:jc w:val="both"/>
        <w:rPr>
          <w:rFonts w:ascii="Bookman Old Style" w:hAnsi="Bookman Old Style" w:cs="Bookman Old Style"/>
          <w:sz w:val="24"/>
          <w:szCs w:val="24"/>
        </w:rPr>
      </w:pPr>
    </w:p>
    <w:p w:rsidR="00DC50DA" w:rsidRPr="00DC50DA" w:rsidRDefault="00DC50DA" w:rsidP="00DC50DA">
      <w:pPr>
        <w:rPr>
          <w:rFonts w:ascii="Bookman Old Style" w:hAnsi="Bookman Old Style" w:cs="Bookman Old Style"/>
          <w:sz w:val="24"/>
          <w:szCs w:val="24"/>
        </w:rPr>
      </w:pPr>
    </w:p>
    <w:p w:rsidR="00DC50DA" w:rsidRPr="00DC50DA" w:rsidRDefault="00DC50DA" w:rsidP="00DC50DA">
      <w:pPr>
        <w:rPr>
          <w:rFonts w:ascii="Bookman Old Style" w:hAnsi="Bookman Old Style" w:cs="Bookman Old Style"/>
          <w:sz w:val="24"/>
          <w:szCs w:val="24"/>
        </w:rPr>
      </w:pPr>
      <w:r w:rsidRPr="00DC50DA">
        <w:rPr>
          <w:rFonts w:ascii="Bookman Old Style" w:hAnsi="Bookman Old Style" w:cs="Bookman Old Style"/>
          <w:sz w:val="24"/>
          <w:szCs w:val="24"/>
        </w:rPr>
        <w:t xml:space="preserve">Erick Antonio Mora Leiva, </w:t>
      </w:r>
      <w:proofErr w:type="gramStart"/>
      <w:r w:rsidRPr="00DC50DA">
        <w:rPr>
          <w:rFonts w:ascii="Bookman Old Style" w:hAnsi="Bookman Old Style" w:cs="Bookman Old Style"/>
          <w:sz w:val="24"/>
          <w:szCs w:val="24"/>
        </w:rPr>
        <w:t>Jefe</w:t>
      </w:r>
      <w:proofErr w:type="gramEnd"/>
      <w:r w:rsidRPr="00DC50DA">
        <w:rPr>
          <w:rFonts w:ascii="Bookman Old Style" w:hAnsi="Bookman Old Style" w:cs="Bookman Old Style"/>
          <w:sz w:val="24"/>
          <w:szCs w:val="24"/>
        </w:rPr>
        <w:t xml:space="preserve"> </w:t>
      </w:r>
    </w:p>
    <w:p w:rsidR="00DC50DA" w:rsidRPr="00DC50DA" w:rsidRDefault="00DC50DA" w:rsidP="00DC50DA">
      <w:pPr>
        <w:rPr>
          <w:rFonts w:ascii="Bookman Old Style" w:hAnsi="Bookman Old Style" w:cs="Bookman Old Style"/>
          <w:sz w:val="24"/>
          <w:szCs w:val="24"/>
        </w:rPr>
      </w:pPr>
      <w:r w:rsidRPr="00DC50DA">
        <w:rPr>
          <w:rFonts w:ascii="Bookman Old Style" w:hAnsi="Bookman Old Style" w:cs="Bookman Old Style"/>
          <w:sz w:val="24"/>
          <w:szCs w:val="24"/>
        </w:rPr>
        <w:t>Proceso Planeación y Evaluación</w:t>
      </w:r>
    </w:p>
    <w:p w:rsidR="00DC50DA" w:rsidRPr="00DC50DA" w:rsidRDefault="00DC50DA" w:rsidP="00DC50DA">
      <w:pPr>
        <w:rPr>
          <w:rFonts w:ascii="Bookman Old Style" w:hAnsi="Bookman Old Style" w:cs="Bookman Old Style"/>
          <w:sz w:val="24"/>
          <w:szCs w:val="24"/>
        </w:rPr>
      </w:pPr>
    </w:p>
    <w:p w:rsidR="00DC50DA" w:rsidRPr="00570534" w:rsidRDefault="00DC50DA" w:rsidP="00DC50DA">
      <w:pPr>
        <w:pStyle w:val="Encabezado"/>
        <w:tabs>
          <w:tab w:val="clear" w:pos="4252"/>
          <w:tab w:val="clear" w:pos="8504"/>
        </w:tabs>
        <w:rPr>
          <w:rFonts w:ascii="Book Antiqua" w:hAnsi="Book Antiqua" w:cs="Book Antiqua"/>
          <w:i/>
          <w:iCs/>
          <w:sz w:val="18"/>
          <w:szCs w:val="18"/>
        </w:rPr>
      </w:pPr>
    </w:p>
    <w:p w:rsidR="00DC50DA" w:rsidRPr="00570534" w:rsidRDefault="00DC50DA" w:rsidP="00DC50DA">
      <w:pPr>
        <w:pStyle w:val="Encabezado"/>
        <w:tabs>
          <w:tab w:val="clear" w:pos="4252"/>
          <w:tab w:val="clear" w:pos="8504"/>
        </w:tabs>
        <w:rPr>
          <w:rFonts w:ascii="Book Antiqua" w:hAnsi="Book Antiqua" w:cs="Book Antiqua"/>
        </w:rPr>
      </w:pPr>
      <w:r w:rsidRPr="00570534">
        <w:rPr>
          <w:rFonts w:ascii="Book Antiqua" w:hAnsi="Book Antiqua" w:cs="Book Antiqua"/>
        </w:rPr>
        <w:t>Copias:</w:t>
      </w:r>
    </w:p>
    <w:p w:rsidR="00DC50DA" w:rsidRPr="007C0BF9" w:rsidRDefault="00DC50DA" w:rsidP="00DC50DA">
      <w:pPr>
        <w:ind w:left="360" w:firstLine="360"/>
        <w:rPr>
          <w:rFonts w:ascii="Book Antiqua" w:hAnsi="Book Antiqua" w:cs="Book Antiqua"/>
        </w:rPr>
      </w:pPr>
    </w:p>
    <w:p w:rsidR="00DC50DA" w:rsidRPr="00DC50DA" w:rsidRDefault="00DC50DA" w:rsidP="00DC50DA">
      <w:pPr>
        <w:widowControl w:val="0"/>
        <w:numPr>
          <w:ilvl w:val="0"/>
          <w:numId w:val="13"/>
        </w:numPr>
        <w:rPr>
          <w:rFonts w:ascii="Book Antiqua" w:hAnsi="Book Antiqua" w:cs="Book Antiqua"/>
          <w:snapToGrid w:val="0"/>
        </w:rPr>
      </w:pPr>
      <w:r w:rsidRPr="00DC50DA">
        <w:rPr>
          <w:rFonts w:ascii="Book Antiqua" w:hAnsi="Book Antiqua" w:cs="Book Antiqua"/>
          <w:snapToGrid w:val="0"/>
        </w:rPr>
        <w:t>Magistrado William Molinari Vílchez, Coordinador</w:t>
      </w:r>
    </w:p>
    <w:p w:rsidR="00DC50DA" w:rsidRPr="00DC50DA" w:rsidRDefault="00DC50DA" w:rsidP="00DC50DA">
      <w:pPr>
        <w:widowControl w:val="0"/>
        <w:ind w:left="720"/>
        <w:rPr>
          <w:rFonts w:ascii="Book Antiqua" w:hAnsi="Book Antiqua" w:cs="Book Antiqua"/>
          <w:snapToGrid w:val="0"/>
        </w:rPr>
      </w:pPr>
      <w:r w:rsidRPr="00DC50DA">
        <w:rPr>
          <w:rFonts w:ascii="Book Antiqua" w:hAnsi="Book Antiqua" w:cs="Book Antiqua"/>
          <w:snapToGrid w:val="0"/>
        </w:rPr>
        <w:t>Comisión de la Jurisdicción Civil</w:t>
      </w:r>
    </w:p>
    <w:p w:rsidR="00823732" w:rsidRDefault="00823732" w:rsidP="00DC50DA">
      <w:pPr>
        <w:widowControl w:val="0"/>
        <w:numPr>
          <w:ilvl w:val="0"/>
          <w:numId w:val="13"/>
        </w:numPr>
        <w:rPr>
          <w:rFonts w:ascii="Book Antiqua" w:hAnsi="Book Antiqua" w:cs="Book Antiqua"/>
          <w:snapToGrid w:val="0"/>
        </w:rPr>
      </w:pPr>
      <w:r>
        <w:rPr>
          <w:rFonts w:ascii="Book Antiqua" w:hAnsi="Book Antiqua" w:cs="Book Antiqua"/>
          <w:snapToGrid w:val="0"/>
        </w:rPr>
        <w:t xml:space="preserve">Inspección Judicial </w:t>
      </w:r>
    </w:p>
    <w:p w:rsidR="00823732" w:rsidRDefault="00823732" w:rsidP="00DC50DA">
      <w:pPr>
        <w:widowControl w:val="0"/>
        <w:numPr>
          <w:ilvl w:val="0"/>
          <w:numId w:val="13"/>
        </w:numPr>
        <w:rPr>
          <w:rFonts w:ascii="Book Antiqua" w:hAnsi="Book Antiqua" w:cs="Book Antiqua"/>
          <w:snapToGrid w:val="0"/>
        </w:rPr>
      </w:pPr>
      <w:r>
        <w:rPr>
          <w:rFonts w:ascii="Book Antiqua" w:hAnsi="Book Antiqua" w:cs="Book Antiqua"/>
          <w:snapToGrid w:val="0"/>
        </w:rPr>
        <w:t xml:space="preserve">Departamento de Prensa y Comunicación Organizacional </w:t>
      </w:r>
    </w:p>
    <w:p w:rsidR="00DC50DA" w:rsidRPr="007C0BF9" w:rsidRDefault="00DC50DA" w:rsidP="00DC50DA">
      <w:pPr>
        <w:widowControl w:val="0"/>
        <w:numPr>
          <w:ilvl w:val="0"/>
          <w:numId w:val="13"/>
        </w:numPr>
        <w:rPr>
          <w:rFonts w:ascii="Book Antiqua" w:hAnsi="Book Antiqua" w:cs="Book Antiqua"/>
          <w:snapToGrid w:val="0"/>
        </w:rPr>
      </w:pPr>
      <w:r w:rsidRPr="007C0BF9">
        <w:rPr>
          <w:rFonts w:ascii="Book Antiqua" w:hAnsi="Book Antiqua" w:cs="Book Antiqua"/>
          <w:snapToGrid w:val="0"/>
        </w:rPr>
        <w:t>Archivo</w:t>
      </w:r>
    </w:p>
    <w:p w:rsidR="00DC50DA" w:rsidRDefault="00DC50DA" w:rsidP="00DC50DA">
      <w:pPr>
        <w:rPr>
          <w:rFonts w:ascii="Book Antiqua" w:hAnsi="Book Antiqua" w:cs="Book Antiqua"/>
          <w:snapToGrid w:val="0"/>
        </w:rPr>
      </w:pPr>
      <w:proofErr w:type="gramStart"/>
      <w:r>
        <w:rPr>
          <w:rFonts w:ascii="Book Antiqua" w:hAnsi="Book Antiqua" w:cs="Book Antiqua"/>
          <w:snapToGrid w:val="0"/>
        </w:rPr>
        <w:t>pvv</w:t>
      </w:r>
      <w:proofErr w:type="gramEnd"/>
    </w:p>
    <w:p w:rsidR="00DC50DA" w:rsidRDefault="00DC50DA" w:rsidP="00DC50DA">
      <w:pPr>
        <w:rPr>
          <w:rFonts w:ascii="Book Antiqua" w:hAnsi="Book Antiqua" w:cs="Book Antiqua"/>
          <w:snapToGrid w:val="0"/>
        </w:rPr>
      </w:pPr>
      <w:r>
        <w:rPr>
          <w:rFonts w:ascii="Book Antiqua" w:hAnsi="Book Antiqua" w:cs="Book Antiqua"/>
          <w:snapToGrid w:val="0"/>
        </w:rPr>
        <w:t>REF. 977-2018</w:t>
      </w:r>
    </w:p>
    <w:p w:rsidR="00DC50DA" w:rsidRDefault="00DC50DA" w:rsidP="00463E31">
      <w:pPr>
        <w:widowControl w:val="0"/>
        <w:jc w:val="right"/>
        <w:rPr>
          <w:rFonts w:ascii="Book Antiqua" w:hAnsi="Book Antiqua" w:cs="Book Antiqua"/>
          <w:snapToGrid w:val="0"/>
          <w:sz w:val="24"/>
          <w:szCs w:val="24"/>
        </w:rPr>
      </w:pPr>
    </w:p>
    <w:p w:rsidR="00DC50DA" w:rsidRDefault="00DC50DA" w:rsidP="00463E31">
      <w:pPr>
        <w:widowControl w:val="0"/>
        <w:jc w:val="right"/>
        <w:rPr>
          <w:rFonts w:ascii="Book Antiqua" w:hAnsi="Book Antiqua" w:cs="Book Antiqua"/>
          <w:snapToGrid w:val="0"/>
          <w:sz w:val="24"/>
          <w:szCs w:val="24"/>
        </w:rPr>
      </w:pPr>
    </w:p>
    <w:p w:rsidR="00DC50DA" w:rsidRDefault="00DC50DA" w:rsidP="00463E31">
      <w:pPr>
        <w:widowControl w:val="0"/>
        <w:jc w:val="right"/>
        <w:rPr>
          <w:rFonts w:ascii="Book Antiqua" w:hAnsi="Book Antiqua" w:cs="Book Antiqua"/>
          <w:snapToGrid w:val="0"/>
          <w:sz w:val="24"/>
          <w:szCs w:val="24"/>
        </w:rPr>
      </w:pPr>
    </w:p>
    <w:p w:rsidR="00823732" w:rsidRDefault="00823732" w:rsidP="006B1A77">
      <w:pPr>
        <w:jc w:val="right"/>
        <w:rPr>
          <w:sz w:val="24"/>
          <w:szCs w:val="24"/>
        </w:rPr>
      </w:pPr>
    </w:p>
    <w:p w:rsidR="00823732" w:rsidRDefault="00823732" w:rsidP="006B1A77">
      <w:pPr>
        <w:jc w:val="right"/>
        <w:rPr>
          <w:sz w:val="24"/>
          <w:szCs w:val="24"/>
        </w:rPr>
      </w:pPr>
    </w:p>
    <w:p w:rsidR="00823732" w:rsidRDefault="00823732" w:rsidP="006B1A77">
      <w:pPr>
        <w:jc w:val="right"/>
        <w:rPr>
          <w:sz w:val="24"/>
          <w:szCs w:val="24"/>
        </w:rPr>
      </w:pPr>
    </w:p>
    <w:p w:rsidR="00005801" w:rsidRPr="006B1A77" w:rsidRDefault="006B1A77" w:rsidP="006B1A77">
      <w:pPr>
        <w:jc w:val="right"/>
        <w:rPr>
          <w:sz w:val="24"/>
          <w:szCs w:val="24"/>
        </w:rPr>
      </w:pPr>
      <w:r w:rsidRPr="006B1A77">
        <w:rPr>
          <w:sz w:val="24"/>
          <w:szCs w:val="24"/>
        </w:rPr>
        <w:t>122</w:t>
      </w:r>
      <w:r w:rsidR="00005801" w:rsidRPr="006B1A77">
        <w:rPr>
          <w:sz w:val="24"/>
          <w:szCs w:val="24"/>
        </w:rPr>
        <w:t>-ES-2018</w:t>
      </w:r>
    </w:p>
    <w:p w:rsidR="006B1A77" w:rsidRPr="006B1A77" w:rsidRDefault="006B1A77" w:rsidP="006B1A77">
      <w:pPr>
        <w:jc w:val="both"/>
        <w:rPr>
          <w:sz w:val="24"/>
          <w:szCs w:val="24"/>
        </w:rPr>
      </w:pPr>
    </w:p>
    <w:p w:rsidR="00005801" w:rsidRPr="006B1A77" w:rsidRDefault="00664B6B" w:rsidP="006B1A77">
      <w:pPr>
        <w:jc w:val="both"/>
        <w:rPr>
          <w:sz w:val="24"/>
          <w:szCs w:val="24"/>
        </w:rPr>
      </w:pPr>
      <w:r>
        <w:rPr>
          <w:sz w:val="24"/>
          <w:szCs w:val="24"/>
        </w:rPr>
        <w:t>5</w:t>
      </w:r>
      <w:r w:rsidR="00005801" w:rsidRPr="006B1A77">
        <w:rPr>
          <w:sz w:val="24"/>
          <w:szCs w:val="24"/>
        </w:rPr>
        <w:t xml:space="preserve"> de julio de 2018</w:t>
      </w:r>
    </w:p>
    <w:p w:rsidR="00005801" w:rsidRPr="006B1A77" w:rsidRDefault="00005801" w:rsidP="006B1A77">
      <w:pPr>
        <w:jc w:val="both"/>
        <w:rPr>
          <w:sz w:val="24"/>
          <w:szCs w:val="24"/>
        </w:rPr>
      </w:pPr>
    </w:p>
    <w:p w:rsidR="00005801" w:rsidRDefault="00005801" w:rsidP="006B1A77">
      <w:pPr>
        <w:jc w:val="both"/>
        <w:rPr>
          <w:sz w:val="24"/>
          <w:szCs w:val="24"/>
        </w:rPr>
      </w:pPr>
    </w:p>
    <w:p w:rsidR="00D72062" w:rsidRPr="006B1A77" w:rsidRDefault="00D72062" w:rsidP="006B1A77">
      <w:pPr>
        <w:jc w:val="both"/>
        <w:rPr>
          <w:sz w:val="24"/>
          <w:szCs w:val="24"/>
        </w:rPr>
      </w:pPr>
    </w:p>
    <w:p w:rsidR="00005801" w:rsidRPr="006B1A77" w:rsidRDefault="00005801" w:rsidP="006B1A77">
      <w:pPr>
        <w:jc w:val="both"/>
        <w:rPr>
          <w:sz w:val="24"/>
          <w:szCs w:val="24"/>
        </w:rPr>
      </w:pPr>
      <w:r w:rsidRPr="006B1A77">
        <w:rPr>
          <w:sz w:val="24"/>
          <w:szCs w:val="24"/>
        </w:rPr>
        <w:t>Máster</w:t>
      </w:r>
    </w:p>
    <w:p w:rsidR="00005801" w:rsidRPr="006B1A77" w:rsidRDefault="00005801" w:rsidP="006B1A77">
      <w:pPr>
        <w:jc w:val="both"/>
        <w:rPr>
          <w:sz w:val="24"/>
          <w:szCs w:val="24"/>
        </w:rPr>
      </w:pPr>
      <w:r w:rsidRPr="006B1A77">
        <w:rPr>
          <w:sz w:val="24"/>
          <w:szCs w:val="24"/>
        </w:rPr>
        <w:t>Erick Antonio Mora Leiva, Jefe</w:t>
      </w:r>
    </w:p>
    <w:p w:rsidR="00005801" w:rsidRPr="006B1A77" w:rsidRDefault="00005801" w:rsidP="006B1A77">
      <w:pPr>
        <w:jc w:val="both"/>
        <w:rPr>
          <w:sz w:val="24"/>
          <w:szCs w:val="24"/>
        </w:rPr>
      </w:pPr>
      <w:r w:rsidRPr="006B1A77">
        <w:rPr>
          <w:sz w:val="24"/>
          <w:szCs w:val="24"/>
        </w:rPr>
        <w:t>Proceso de Planeación y Evaluación</w:t>
      </w:r>
    </w:p>
    <w:p w:rsidR="00005801" w:rsidRPr="006B1A77" w:rsidRDefault="00005801" w:rsidP="006B1A77">
      <w:pPr>
        <w:jc w:val="both"/>
        <w:rPr>
          <w:sz w:val="24"/>
          <w:szCs w:val="24"/>
        </w:rPr>
      </w:pPr>
    </w:p>
    <w:p w:rsidR="00D72062" w:rsidRDefault="00D72062" w:rsidP="006B1A77">
      <w:pPr>
        <w:jc w:val="both"/>
        <w:rPr>
          <w:sz w:val="24"/>
          <w:szCs w:val="24"/>
        </w:rPr>
      </w:pPr>
    </w:p>
    <w:p w:rsidR="00005801" w:rsidRPr="006B1A77" w:rsidRDefault="00005801" w:rsidP="006B1A77">
      <w:pPr>
        <w:jc w:val="both"/>
        <w:rPr>
          <w:sz w:val="24"/>
          <w:szCs w:val="24"/>
        </w:rPr>
      </w:pPr>
      <w:r w:rsidRPr="006B1A77">
        <w:rPr>
          <w:sz w:val="24"/>
          <w:szCs w:val="24"/>
        </w:rPr>
        <w:t xml:space="preserve">Estimado señor: </w:t>
      </w:r>
    </w:p>
    <w:p w:rsidR="00005801" w:rsidRPr="006B1A77" w:rsidRDefault="00005801" w:rsidP="006B1A77">
      <w:pPr>
        <w:jc w:val="both"/>
        <w:rPr>
          <w:sz w:val="24"/>
          <w:szCs w:val="24"/>
        </w:rPr>
      </w:pPr>
    </w:p>
    <w:p w:rsidR="00005801" w:rsidRPr="006B1A77" w:rsidRDefault="00005801" w:rsidP="006B1A77">
      <w:pPr>
        <w:jc w:val="both"/>
        <w:rPr>
          <w:sz w:val="24"/>
          <w:szCs w:val="24"/>
        </w:rPr>
      </w:pPr>
      <w:r w:rsidRPr="006B1A77">
        <w:rPr>
          <w:sz w:val="24"/>
          <w:szCs w:val="24"/>
        </w:rPr>
        <w:t xml:space="preserve">Por este medio remito informe relacionado con los movimientos de trabajo en </w:t>
      </w:r>
      <w:r w:rsidR="00C96062">
        <w:rPr>
          <w:sz w:val="24"/>
          <w:szCs w:val="24"/>
        </w:rPr>
        <w:t>los</w:t>
      </w:r>
      <w:r w:rsidRPr="006B1A77">
        <w:rPr>
          <w:sz w:val="24"/>
          <w:szCs w:val="24"/>
        </w:rPr>
        <w:t xml:space="preserve"> Tribunales Civiles de instancia superior durante el 2017; esto para su incorporación en el anuario estadístico de ese año. </w:t>
      </w:r>
    </w:p>
    <w:p w:rsidR="00005801" w:rsidRPr="006B1A77" w:rsidRDefault="00005801" w:rsidP="006B1A77">
      <w:pPr>
        <w:jc w:val="both"/>
        <w:rPr>
          <w:sz w:val="24"/>
          <w:szCs w:val="24"/>
        </w:rPr>
      </w:pPr>
    </w:p>
    <w:p w:rsidR="00005801" w:rsidRPr="006B1A77" w:rsidRDefault="00005801" w:rsidP="006B1A77">
      <w:pPr>
        <w:jc w:val="both"/>
        <w:rPr>
          <w:sz w:val="24"/>
          <w:szCs w:val="24"/>
        </w:rPr>
      </w:pPr>
      <w:r w:rsidRPr="006B1A77">
        <w:rPr>
          <w:sz w:val="24"/>
          <w:szCs w:val="24"/>
        </w:rPr>
        <w:t xml:space="preserve">A continuación, se muestran los hechos más relevantes:   </w:t>
      </w:r>
    </w:p>
    <w:p w:rsidR="00005801" w:rsidRPr="006B1A77" w:rsidRDefault="00005801" w:rsidP="006B1A77">
      <w:pPr>
        <w:pStyle w:val="Prrafodelista"/>
        <w:ind w:left="0"/>
        <w:rPr>
          <w:rFonts w:ascii="Times New Roman" w:hAnsi="Times New Roman" w:cs="Times New Roman"/>
        </w:rPr>
      </w:pPr>
    </w:p>
    <w:p w:rsidR="00005801" w:rsidRPr="006B1A77" w:rsidRDefault="00005801" w:rsidP="006B1A77">
      <w:pPr>
        <w:widowControl w:val="0"/>
        <w:numPr>
          <w:ilvl w:val="0"/>
          <w:numId w:val="29"/>
        </w:numPr>
        <w:autoSpaceDE w:val="0"/>
        <w:autoSpaceDN w:val="0"/>
        <w:adjustRightInd w:val="0"/>
        <w:jc w:val="both"/>
        <w:rPr>
          <w:sz w:val="24"/>
          <w:szCs w:val="24"/>
        </w:rPr>
      </w:pPr>
      <w:r w:rsidRPr="006B1A77">
        <w:rPr>
          <w:sz w:val="24"/>
          <w:szCs w:val="24"/>
        </w:rPr>
        <w:t xml:space="preserve">El hito más importante asociado con este informe es el cambio organizacional ocurrido en la distribución territorial de los Tribunales. Se debe recordar que antes de las reformas procesales en las materias Laboral y Civil (leyes 9343 y 9342 respectivamente) los Tribunales de instancia superior ubicados fuera de San José competentes en esas materias se conformaban como secciones dentro de la estructura de Tribunales de Juicio Penal. </w:t>
      </w:r>
    </w:p>
    <w:p w:rsidR="00005801" w:rsidRPr="006B1A77" w:rsidRDefault="00005801" w:rsidP="006B1A77">
      <w:pPr>
        <w:ind w:left="720"/>
        <w:jc w:val="both"/>
        <w:rPr>
          <w:sz w:val="24"/>
          <w:szCs w:val="24"/>
        </w:rPr>
      </w:pPr>
    </w:p>
    <w:p w:rsidR="00005801" w:rsidRPr="006B1A77" w:rsidRDefault="00005801" w:rsidP="006B1A77">
      <w:pPr>
        <w:widowControl w:val="0"/>
        <w:numPr>
          <w:ilvl w:val="0"/>
          <w:numId w:val="29"/>
        </w:numPr>
        <w:autoSpaceDE w:val="0"/>
        <w:autoSpaceDN w:val="0"/>
        <w:adjustRightInd w:val="0"/>
        <w:jc w:val="both"/>
        <w:rPr>
          <w:sz w:val="24"/>
          <w:szCs w:val="24"/>
        </w:rPr>
      </w:pPr>
      <w:r w:rsidRPr="006B1A77">
        <w:rPr>
          <w:sz w:val="24"/>
          <w:szCs w:val="24"/>
        </w:rPr>
        <w:t xml:space="preserve">Ambas reformas legislativas mencionadas, plantean la especialización material y al entrar en vigencia el primero de tales cuerpos legales (el 25 de julio de 2016 entra en vigencia de la reforma al Código Procesal laboral; Ley 9442) se procura cumplir con el mandato legislativo de la especialización en materia laboral y consecuentemente en la materia civil; a pesar de que esta última no se verá afectada sino hasta el 25 de octubre de 2018. </w:t>
      </w:r>
    </w:p>
    <w:p w:rsidR="00005801" w:rsidRPr="006B1A77" w:rsidRDefault="00005801" w:rsidP="006B1A77">
      <w:pPr>
        <w:ind w:left="720"/>
        <w:jc w:val="both"/>
        <w:rPr>
          <w:sz w:val="24"/>
          <w:szCs w:val="24"/>
        </w:rPr>
      </w:pPr>
    </w:p>
    <w:p w:rsidR="00005801" w:rsidRPr="006B1A77" w:rsidRDefault="00005801" w:rsidP="006B1A77">
      <w:pPr>
        <w:ind w:left="720"/>
        <w:jc w:val="both"/>
        <w:rPr>
          <w:sz w:val="24"/>
          <w:szCs w:val="24"/>
        </w:rPr>
      </w:pPr>
      <w:r w:rsidRPr="006B1A77">
        <w:rPr>
          <w:sz w:val="24"/>
          <w:szCs w:val="24"/>
        </w:rPr>
        <w:t>La Dirección de Planificación ante los bajos volúmenes de las cargas de trabajo por materia en cada circuito propuso una regionalización diferente a la vigente consistente en un despacho por circuito, lo que ocasionó que algunas jurisdicciones aumentaran la competencia territorial, a saber:</w:t>
      </w:r>
    </w:p>
    <w:p w:rsidR="00005801" w:rsidRPr="006B1A77" w:rsidRDefault="00005801" w:rsidP="006B1A77">
      <w:pPr>
        <w:ind w:left="720"/>
        <w:jc w:val="both"/>
        <w:rPr>
          <w:sz w:val="24"/>
          <w:szCs w:val="24"/>
        </w:rPr>
      </w:pPr>
    </w:p>
    <w:p w:rsidR="00005801" w:rsidRPr="006B1A77" w:rsidRDefault="00005801" w:rsidP="006B1A77">
      <w:pPr>
        <w:widowControl w:val="0"/>
        <w:numPr>
          <w:ilvl w:val="0"/>
          <w:numId w:val="27"/>
        </w:numPr>
        <w:autoSpaceDE w:val="0"/>
        <w:autoSpaceDN w:val="0"/>
        <w:adjustRightInd w:val="0"/>
        <w:jc w:val="both"/>
        <w:rPr>
          <w:sz w:val="24"/>
          <w:szCs w:val="24"/>
        </w:rPr>
      </w:pPr>
      <w:r w:rsidRPr="006B1A77">
        <w:rPr>
          <w:sz w:val="24"/>
          <w:szCs w:val="24"/>
        </w:rPr>
        <w:t xml:space="preserve">Desaparecen los Tribunales Civiles del Segundo Circuito Judicial de Alajuela, </w:t>
      </w:r>
      <w:r w:rsidRPr="006B1A77">
        <w:rPr>
          <w:sz w:val="24"/>
          <w:szCs w:val="24"/>
        </w:rPr>
        <w:lastRenderedPageBreak/>
        <w:t xml:space="preserve">así como los Tribunales de Grecia y San Ramón, competencias absorbidas por el Tribunal Civil del Primer Circuito Judicial de </w:t>
      </w:r>
      <w:r w:rsidR="00C96062" w:rsidRPr="006B1A77">
        <w:rPr>
          <w:sz w:val="24"/>
          <w:szCs w:val="24"/>
        </w:rPr>
        <w:t>esa</w:t>
      </w:r>
      <w:r w:rsidRPr="006B1A77">
        <w:rPr>
          <w:sz w:val="24"/>
          <w:szCs w:val="24"/>
        </w:rPr>
        <w:t xml:space="preserve"> provincia.</w:t>
      </w:r>
    </w:p>
    <w:p w:rsidR="00005801" w:rsidRPr="006B1A77" w:rsidRDefault="00005801" w:rsidP="006B1A77">
      <w:pPr>
        <w:widowControl w:val="0"/>
        <w:numPr>
          <w:ilvl w:val="0"/>
          <w:numId w:val="27"/>
        </w:numPr>
        <w:autoSpaceDE w:val="0"/>
        <w:autoSpaceDN w:val="0"/>
        <w:adjustRightInd w:val="0"/>
        <w:jc w:val="both"/>
        <w:rPr>
          <w:sz w:val="24"/>
          <w:szCs w:val="24"/>
        </w:rPr>
      </w:pPr>
      <w:r w:rsidRPr="006B1A77">
        <w:rPr>
          <w:sz w:val="24"/>
          <w:szCs w:val="24"/>
        </w:rPr>
        <w:t>La competencia del Tribunal Civil del Segundo Circuito de la Zona Sur es adherida al Tribunal del Primer Circuito de dicha zona.</w:t>
      </w:r>
    </w:p>
    <w:p w:rsidR="00005801" w:rsidRPr="006B1A77" w:rsidRDefault="00005801" w:rsidP="006B1A77">
      <w:pPr>
        <w:widowControl w:val="0"/>
        <w:numPr>
          <w:ilvl w:val="0"/>
          <w:numId w:val="27"/>
        </w:numPr>
        <w:autoSpaceDE w:val="0"/>
        <w:autoSpaceDN w:val="0"/>
        <w:adjustRightInd w:val="0"/>
        <w:jc w:val="both"/>
        <w:rPr>
          <w:sz w:val="24"/>
          <w:szCs w:val="24"/>
        </w:rPr>
      </w:pPr>
      <w:r w:rsidRPr="006B1A77">
        <w:rPr>
          <w:sz w:val="24"/>
          <w:szCs w:val="24"/>
        </w:rPr>
        <w:t>Desaparece el Tribunal Civil del Segundo Circuito Judicial de Guanacaste y su territorio es atendido por el Tribunal Civil del Primer Circuito Judicial de esa Provincia.</w:t>
      </w:r>
    </w:p>
    <w:p w:rsidR="00005801" w:rsidRPr="006B1A77" w:rsidRDefault="00005801" w:rsidP="006B1A77">
      <w:pPr>
        <w:widowControl w:val="0"/>
        <w:numPr>
          <w:ilvl w:val="0"/>
          <w:numId w:val="27"/>
        </w:numPr>
        <w:autoSpaceDE w:val="0"/>
        <w:autoSpaceDN w:val="0"/>
        <w:adjustRightInd w:val="0"/>
        <w:jc w:val="both"/>
        <w:rPr>
          <w:sz w:val="24"/>
          <w:szCs w:val="24"/>
        </w:rPr>
      </w:pPr>
      <w:r w:rsidRPr="006B1A77">
        <w:rPr>
          <w:sz w:val="24"/>
          <w:szCs w:val="24"/>
        </w:rPr>
        <w:t>En la Zona Atlántica, desaparece el Tribunal del Segundo Circuito Judicial, siendo que el Tribunal Civil ubicado en Limón es competente en toda esta región.</w:t>
      </w:r>
    </w:p>
    <w:p w:rsidR="00005801" w:rsidRPr="006B1A77" w:rsidRDefault="00005801" w:rsidP="006B1A77">
      <w:pPr>
        <w:widowControl w:val="0"/>
        <w:numPr>
          <w:ilvl w:val="0"/>
          <w:numId w:val="27"/>
        </w:numPr>
        <w:autoSpaceDE w:val="0"/>
        <w:autoSpaceDN w:val="0"/>
        <w:adjustRightInd w:val="0"/>
        <w:jc w:val="both"/>
        <w:rPr>
          <w:sz w:val="24"/>
          <w:szCs w:val="24"/>
        </w:rPr>
      </w:pPr>
      <w:r w:rsidRPr="006B1A77">
        <w:rPr>
          <w:sz w:val="24"/>
          <w:szCs w:val="24"/>
        </w:rPr>
        <w:t>Algunos asuntos que eran competencia del Tribunal Segundo Civil de San José se trasladaron para su trámite al Tribunal Civil de Puntarenas.</w:t>
      </w:r>
    </w:p>
    <w:p w:rsidR="00005801" w:rsidRPr="006B1A77" w:rsidRDefault="00005801" w:rsidP="006B1A77">
      <w:pPr>
        <w:jc w:val="both"/>
        <w:rPr>
          <w:sz w:val="24"/>
          <w:szCs w:val="24"/>
        </w:rPr>
      </w:pPr>
    </w:p>
    <w:p w:rsidR="00005801" w:rsidRPr="006B1A77" w:rsidRDefault="00005801" w:rsidP="00D72062">
      <w:pPr>
        <w:jc w:val="both"/>
        <w:rPr>
          <w:sz w:val="24"/>
          <w:szCs w:val="24"/>
        </w:rPr>
      </w:pPr>
      <w:r w:rsidRPr="006B1A77">
        <w:rPr>
          <w:sz w:val="24"/>
          <w:szCs w:val="24"/>
        </w:rPr>
        <w:t>En la siguiente tabla se muestra el efecto del traslado de expedientes por parte de tribunales que dejan de ser competentes en asuntos de segunda instancia civil, ante la reorganización regional de tribunales civiles:</w:t>
      </w:r>
    </w:p>
    <w:p w:rsidR="00005801" w:rsidRDefault="00005801" w:rsidP="00005801">
      <w:pPr>
        <w:spacing w:line="360" w:lineRule="auto"/>
        <w:jc w:val="both"/>
      </w:pPr>
    </w:p>
    <w:p w:rsidR="00005801" w:rsidRDefault="003C3BFC" w:rsidP="00005801">
      <w:pPr>
        <w:spacing w:line="360" w:lineRule="auto"/>
        <w:jc w:val="both"/>
      </w:pPr>
      <w:r>
        <w:rPr>
          <w:noProof/>
          <w:lang w:eastAsia="es-CR"/>
        </w:rPr>
        <w:drawing>
          <wp:inline distT="0" distB="0" distL="0" distR="0">
            <wp:extent cx="5753735" cy="341820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53735" cy="3418205"/>
                    </a:xfrm>
                    <a:prstGeom prst="rect">
                      <a:avLst/>
                    </a:prstGeom>
                    <a:noFill/>
                    <a:ln w="9525">
                      <a:noFill/>
                      <a:miter lim="800000"/>
                      <a:headEnd/>
                      <a:tailEnd/>
                    </a:ln>
                  </pic:spPr>
                </pic:pic>
              </a:graphicData>
            </a:graphic>
          </wp:inline>
        </w:drawing>
      </w:r>
    </w:p>
    <w:p w:rsidR="00005801" w:rsidRPr="006B1A77" w:rsidRDefault="00005801" w:rsidP="006B1A77">
      <w:pPr>
        <w:ind w:left="360"/>
        <w:jc w:val="both"/>
        <w:rPr>
          <w:color w:val="008000"/>
          <w:sz w:val="24"/>
          <w:szCs w:val="24"/>
        </w:rPr>
      </w:pPr>
    </w:p>
    <w:p w:rsidR="00005801" w:rsidRPr="006B1A77" w:rsidRDefault="00005801" w:rsidP="00D72062">
      <w:pPr>
        <w:jc w:val="both"/>
        <w:rPr>
          <w:sz w:val="24"/>
          <w:szCs w:val="24"/>
        </w:rPr>
      </w:pPr>
      <w:r w:rsidRPr="006B1A77">
        <w:rPr>
          <w:sz w:val="24"/>
          <w:szCs w:val="24"/>
        </w:rPr>
        <w:t>Este análisis estadístico fue desarrollado por el licenciado Gustavo Chen Quesada</w:t>
      </w:r>
      <w:r w:rsidR="00D72062">
        <w:rPr>
          <w:sz w:val="24"/>
          <w:szCs w:val="24"/>
        </w:rPr>
        <w:t>,</w:t>
      </w:r>
      <w:r w:rsidRPr="006B1A77">
        <w:rPr>
          <w:sz w:val="24"/>
          <w:szCs w:val="24"/>
        </w:rPr>
        <w:t xml:space="preserve"> </w:t>
      </w:r>
      <w:r w:rsidR="00D72062">
        <w:rPr>
          <w:sz w:val="24"/>
          <w:szCs w:val="24"/>
        </w:rPr>
        <w:t>P</w:t>
      </w:r>
      <w:r w:rsidRPr="006B1A77">
        <w:rPr>
          <w:sz w:val="24"/>
          <w:szCs w:val="24"/>
        </w:rPr>
        <w:t xml:space="preserve">rofesional 2 del Subproceso de Estadística. </w:t>
      </w:r>
    </w:p>
    <w:p w:rsidR="00005801" w:rsidRDefault="00005801" w:rsidP="006B1A77">
      <w:pPr>
        <w:ind w:left="360"/>
        <w:jc w:val="both"/>
        <w:rPr>
          <w:color w:val="008000"/>
          <w:sz w:val="24"/>
          <w:szCs w:val="24"/>
        </w:rPr>
      </w:pPr>
    </w:p>
    <w:p w:rsidR="00D72062" w:rsidRPr="006B1A77" w:rsidRDefault="00D72062" w:rsidP="006B1A77">
      <w:pPr>
        <w:ind w:left="360"/>
        <w:jc w:val="both"/>
        <w:rPr>
          <w:color w:val="008000"/>
          <w:sz w:val="24"/>
          <w:szCs w:val="24"/>
        </w:rPr>
      </w:pPr>
      <w:r>
        <w:rPr>
          <w:color w:val="008000"/>
          <w:sz w:val="24"/>
          <w:szCs w:val="24"/>
        </w:rPr>
        <w:br w:type="page"/>
      </w:r>
    </w:p>
    <w:p w:rsidR="00005801" w:rsidRPr="006B1A77" w:rsidRDefault="00005801" w:rsidP="006B1A77">
      <w:pPr>
        <w:jc w:val="both"/>
        <w:rPr>
          <w:sz w:val="24"/>
          <w:szCs w:val="24"/>
        </w:rPr>
      </w:pPr>
      <w:r w:rsidRPr="006B1A77">
        <w:rPr>
          <w:sz w:val="24"/>
          <w:szCs w:val="24"/>
        </w:rPr>
        <w:lastRenderedPageBreak/>
        <w:t>Atentamente,</w:t>
      </w:r>
    </w:p>
    <w:p w:rsidR="00005801" w:rsidRDefault="00005801" w:rsidP="006B1A77">
      <w:pPr>
        <w:jc w:val="both"/>
        <w:rPr>
          <w:sz w:val="24"/>
          <w:szCs w:val="24"/>
        </w:rPr>
      </w:pPr>
    </w:p>
    <w:p w:rsidR="00C96062" w:rsidRPr="006B1A77" w:rsidRDefault="00C96062" w:rsidP="006B1A77">
      <w:pPr>
        <w:jc w:val="both"/>
        <w:rPr>
          <w:sz w:val="24"/>
          <w:szCs w:val="24"/>
        </w:rPr>
      </w:pPr>
    </w:p>
    <w:p w:rsidR="00005801" w:rsidRPr="006B1A77" w:rsidRDefault="00005801" w:rsidP="006B1A77">
      <w:pPr>
        <w:jc w:val="both"/>
        <w:rPr>
          <w:sz w:val="24"/>
          <w:szCs w:val="24"/>
        </w:rPr>
      </w:pPr>
    </w:p>
    <w:p w:rsidR="00005801" w:rsidRPr="006B1A77" w:rsidRDefault="00005801" w:rsidP="006B1A77">
      <w:pPr>
        <w:jc w:val="both"/>
        <w:rPr>
          <w:bCs/>
          <w:sz w:val="24"/>
          <w:szCs w:val="24"/>
        </w:rPr>
      </w:pPr>
      <w:r w:rsidRPr="006B1A77">
        <w:rPr>
          <w:bCs/>
          <w:sz w:val="24"/>
          <w:szCs w:val="24"/>
        </w:rPr>
        <w:t xml:space="preserve">Licda. Ana Ericka Rodríguez Araya, Jefa </w:t>
      </w:r>
      <w:r w:rsidR="00D72062">
        <w:rPr>
          <w:bCs/>
          <w:sz w:val="24"/>
          <w:szCs w:val="24"/>
        </w:rPr>
        <w:t>a.i.</w:t>
      </w:r>
    </w:p>
    <w:p w:rsidR="00005801" w:rsidRDefault="00005801" w:rsidP="006B1A77">
      <w:pPr>
        <w:jc w:val="both"/>
        <w:rPr>
          <w:sz w:val="24"/>
          <w:szCs w:val="24"/>
        </w:rPr>
      </w:pPr>
      <w:r w:rsidRPr="006B1A77">
        <w:rPr>
          <w:bCs/>
          <w:sz w:val="24"/>
          <w:szCs w:val="24"/>
        </w:rPr>
        <w:t>Subproceso de Estadística</w:t>
      </w:r>
      <w:r w:rsidRPr="006B1A77">
        <w:rPr>
          <w:sz w:val="24"/>
          <w:szCs w:val="24"/>
        </w:rPr>
        <w:t xml:space="preserve"> </w:t>
      </w:r>
    </w:p>
    <w:p w:rsidR="00D72062" w:rsidRDefault="00D72062" w:rsidP="006B1A77">
      <w:pPr>
        <w:jc w:val="both"/>
        <w:rPr>
          <w:sz w:val="24"/>
          <w:szCs w:val="24"/>
        </w:rPr>
      </w:pPr>
    </w:p>
    <w:p w:rsidR="00D72062" w:rsidRDefault="00D72062" w:rsidP="006B1A77">
      <w:pPr>
        <w:jc w:val="both"/>
        <w:rPr>
          <w:sz w:val="24"/>
          <w:szCs w:val="24"/>
        </w:rPr>
      </w:pPr>
    </w:p>
    <w:p w:rsidR="00D72062" w:rsidRDefault="00D72062" w:rsidP="006B1A77">
      <w:pPr>
        <w:jc w:val="both"/>
        <w:rPr>
          <w:sz w:val="24"/>
          <w:szCs w:val="24"/>
        </w:rPr>
      </w:pPr>
      <w:r>
        <w:rPr>
          <w:sz w:val="24"/>
          <w:szCs w:val="24"/>
        </w:rPr>
        <w:t>c. Archivo</w:t>
      </w:r>
    </w:p>
    <w:p w:rsidR="00D72062" w:rsidRDefault="00D72062" w:rsidP="006B1A77">
      <w:pPr>
        <w:jc w:val="both"/>
        <w:rPr>
          <w:sz w:val="24"/>
          <w:szCs w:val="24"/>
        </w:rPr>
      </w:pPr>
    </w:p>
    <w:p w:rsidR="00C96062" w:rsidRDefault="00C96062" w:rsidP="006B1A77">
      <w:pPr>
        <w:jc w:val="both"/>
        <w:rPr>
          <w:sz w:val="24"/>
          <w:szCs w:val="24"/>
        </w:rPr>
      </w:pPr>
    </w:p>
    <w:p w:rsidR="00D72062" w:rsidRDefault="00D72062" w:rsidP="006B1A77">
      <w:pPr>
        <w:jc w:val="both"/>
        <w:rPr>
          <w:sz w:val="24"/>
          <w:szCs w:val="24"/>
        </w:rPr>
      </w:pPr>
      <w:proofErr w:type="gramStart"/>
      <w:r>
        <w:rPr>
          <w:sz w:val="24"/>
          <w:szCs w:val="24"/>
        </w:rPr>
        <w:t>xba</w:t>
      </w:r>
      <w:proofErr w:type="gramEnd"/>
    </w:p>
    <w:p w:rsidR="00D72062" w:rsidRDefault="00D72062" w:rsidP="006B1A77">
      <w:pPr>
        <w:jc w:val="both"/>
        <w:rPr>
          <w:sz w:val="24"/>
          <w:szCs w:val="24"/>
        </w:rPr>
      </w:pPr>
      <w:r>
        <w:rPr>
          <w:sz w:val="24"/>
          <w:szCs w:val="24"/>
        </w:rPr>
        <w:t xml:space="preserve">Ref. </w:t>
      </w:r>
      <w:r w:rsidR="00A370A2">
        <w:rPr>
          <w:sz w:val="24"/>
          <w:szCs w:val="24"/>
        </w:rPr>
        <w:t>977-18</w:t>
      </w:r>
    </w:p>
    <w:p w:rsidR="00D72062" w:rsidRPr="006B1A77" w:rsidRDefault="00D72062" w:rsidP="006B1A77">
      <w:pPr>
        <w:jc w:val="both"/>
        <w:rPr>
          <w:sz w:val="24"/>
          <w:szCs w:val="24"/>
        </w:rPr>
      </w:pPr>
    </w:p>
    <w:p w:rsidR="00005801" w:rsidRPr="00BD0264" w:rsidRDefault="006B1A77" w:rsidP="00005801">
      <w:pPr>
        <w:jc w:val="both"/>
      </w:pPr>
      <w:r>
        <w:rPr>
          <w:sz w:val="24"/>
          <w:szCs w:val="24"/>
        </w:rPr>
        <w:br w:type="page"/>
      </w:r>
    </w:p>
    <w:p w:rsidR="00005801" w:rsidRPr="00DC69A6" w:rsidRDefault="00005801" w:rsidP="00005801">
      <w:pPr>
        <w:spacing w:line="360" w:lineRule="auto"/>
        <w:jc w:val="center"/>
        <w:rPr>
          <w:b/>
          <w:sz w:val="32"/>
          <w:szCs w:val="32"/>
        </w:rPr>
      </w:pPr>
      <w:r w:rsidRPr="00DC69A6">
        <w:rPr>
          <w:b/>
          <w:sz w:val="32"/>
          <w:szCs w:val="32"/>
        </w:rPr>
        <w:lastRenderedPageBreak/>
        <w:t>T</w:t>
      </w:r>
      <w:r w:rsidR="00A370A2">
        <w:rPr>
          <w:b/>
          <w:sz w:val="32"/>
          <w:szCs w:val="32"/>
        </w:rPr>
        <w:t xml:space="preserve">RIBUNALES </w:t>
      </w:r>
      <w:r w:rsidRPr="00DC69A6">
        <w:rPr>
          <w:b/>
          <w:sz w:val="32"/>
          <w:szCs w:val="32"/>
        </w:rPr>
        <w:t xml:space="preserve"> C</w:t>
      </w:r>
      <w:r w:rsidR="00A370A2">
        <w:rPr>
          <w:b/>
          <w:sz w:val="32"/>
          <w:szCs w:val="32"/>
        </w:rPr>
        <w:t>IVILES DE</w:t>
      </w:r>
      <w:r w:rsidRPr="00DC69A6">
        <w:rPr>
          <w:b/>
          <w:sz w:val="32"/>
          <w:szCs w:val="32"/>
        </w:rPr>
        <w:t xml:space="preserve"> S</w:t>
      </w:r>
      <w:r w:rsidR="00A370A2">
        <w:rPr>
          <w:b/>
          <w:sz w:val="32"/>
          <w:szCs w:val="32"/>
        </w:rPr>
        <w:t xml:space="preserve">EGUNDA </w:t>
      </w:r>
      <w:r w:rsidRPr="00DC69A6">
        <w:rPr>
          <w:b/>
          <w:sz w:val="32"/>
          <w:szCs w:val="32"/>
        </w:rPr>
        <w:t>I</w:t>
      </w:r>
      <w:r w:rsidR="00A370A2">
        <w:rPr>
          <w:b/>
          <w:sz w:val="32"/>
          <w:szCs w:val="32"/>
        </w:rPr>
        <w:t xml:space="preserve">NSTANCIA </w:t>
      </w:r>
    </w:p>
    <w:p w:rsidR="00A370A2" w:rsidRDefault="00A370A2" w:rsidP="00005801">
      <w:pPr>
        <w:spacing w:line="360" w:lineRule="auto"/>
        <w:jc w:val="both"/>
        <w:rPr>
          <w:b/>
          <w:sz w:val="28"/>
          <w:szCs w:val="28"/>
        </w:rPr>
      </w:pPr>
    </w:p>
    <w:p w:rsidR="00005801" w:rsidRPr="006B1A77" w:rsidRDefault="00005801" w:rsidP="00005801">
      <w:pPr>
        <w:spacing w:line="360" w:lineRule="auto"/>
        <w:jc w:val="both"/>
        <w:rPr>
          <w:b/>
          <w:sz w:val="28"/>
          <w:szCs w:val="28"/>
        </w:rPr>
      </w:pPr>
      <w:r w:rsidRPr="006B1A77">
        <w:rPr>
          <w:b/>
          <w:sz w:val="28"/>
          <w:szCs w:val="28"/>
        </w:rPr>
        <w:t>I</w:t>
      </w:r>
      <w:r w:rsidR="00A370A2">
        <w:rPr>
          <w:b/>
          <w:sz w:val="28"/>
          <w:szCs w:val="28"/>
        </w:rPr>
        <w:t>ndicadores de Gestión Judicial</w:t>
      </w:r>
    </w:p>
    <w:p w:rsidR="00005801" w:rsidRPr="006B1A77" w:rsidRDefault="00005801" w:rsidP="00005801">
      <w:pPr>
        <w:spacing w:line="360" w:lineRule="auto"/>
        <w:jc w:val="both"/>
        <w:rPr>
          <w:sz w:val="28"/>
          <w:szCs w:val="28"/>
        </w:rPr>
      </w:pPr>
    </w:p>
    <w:p w:rsidR="00005801" w:rsidRPr="006B1A77" w:rsidRDefault="00005801" w:rsidP="00005801">
      <w:pPr>
        <w:spacing w:line="360" w:lineRule="auto"/>
        <w:jc w:val="both"/>
        <w:rPr>
          <w:sz w:val="28"/>
          <w:szCs w:val="28"/>
        </w:rPr>
      </w:pPr>
      <w:r w:rsidRPr="006B1A77">
        <w:rPr>
          <w:sz w:val="28"/>
          <w:szCs w:val="28"/>
        </w:rPr>
        <w:t xml:space="preserve">La siguiente tabla presenta los resultados de las principales variables de gestión judicial en los 15 tribunales competentes en materia Civil de instancia superior para los últimos cinco años.  </w:t>
      </w:r>
    </w:p>
    <w:p w:rsidR="00005801" w:rsidRPr="00463E31" w:rsidRDefault="00005801" w:rsidP="00005801">
      <w:pPr>
        <w:spacing w:line="360" w:lineRule="auto"/>
        <w:jc w:val="both"/>
        <w:rPr>
          <w:b/>
          <w:sz w:val="24"/>
          <w:szCs w:val="24"/>
        </w:rPr>
      </w:pPr>
    </w:p>
    <w:tbl>
      <w:tblPr>
        <w:tblW w:w="6152" w:type="dxa"/>
        <w:jc w:val="center"/>
        <w:tblInd w:w="3794" w:type="dxa"/>
        <w:tblLook w:val="04A0"/>
      </w:tblPr>
      <w:tblGrid>
        <w:gridCol w:w="6152"/>
      </w:tblGrid>
      <w:tr w:rsidR="00005801" w:rsidRPr="00463E31" w:rsidTr="00A22C79">
        <w:trPr>
          <w:trHeight w:val="277"/>
          <w:jc w:val="center"/>
        </w:trPr>
        <w:tc>
          <w:tcPr>
            <w:tcW w:w="6152" w:type="dxa"/>
            <w:tcBorders>
              <w:top w:val="nil"/>
              <w:left w:val="nil"/>
              <w:bottom w:val="nil"/>
              <w:right w:val="nil"/>
            </w:tcBorders>
            <w:shd w:val="clear" w:color="auto" w:fill="auto"/>
            <w:noWrap/>
            <w:vAlign w:val="bottom"/>
            <w:hideMark/>
          </w:tcPr>
          <w:p w:rsidR="006B1A77" w:rsidRPr="00463E31" w:rsidRDefault="00005801" w:rsidP="00A22C79">
            <w:pPr>
              <w:rPr>
                <w:b/>
                <w:sz w:val="24"/>
                <w:szCs w:val="24"/>
                <w:lang w:eastAsia="en-US"/>
              </w:rPr>
            </w:pPr>
            <w:r w:rsidRPr="00463E31">
              <w:rPr>
                <w:b/>
                <w:sz w:val="24"/>
                <w:szCs w:val="24"/>
                <w:lang w:eastAsia="en-US"/>
              </w:rPr>
              <w:t xml:space="preserve">Cuadro 1 </w:t>
            </w:r>
          </w:p>
          <w:p w:rsidR="00005801" w:rsidRPr="00463E31" w:rsidRDefault="00005801" w:rsidP="006B1A77">
            <w:pPr>
              <w:jc w:val="center"/>
              <w:rPr>
                <w:b/>
                <w:sz w:val="24"/>
                <w:szCs w:val="24"/>
                <w:lang w:eastAsia="en-US"/>
              </w:rPr>
            </w:pPr>
            <w:r w:rsidRPr="00463E31">
              <w:rPr>
                <w:b/>
                <w:sz w:val="24"/>
                <w:szCs w:val="24"/>
                <w:lang w:eastAsia="en-US"/>
              </w:rPr>
              <w:t>Balance General e Indicadores Judiciales, desde el 2013</w:t>
            </w:r>
          </w:p>
        </w:tc>
      </w:tr>
    </w:tbl>
    <w:p w:rsidR="00005801" w:rsidRPr="00463E31" w:rsidRDefault="00005801" w:rsidP="00005801">
      <w:pPr>
        <w:spacing w:line="360" w:lineRule="auto"/>
        <w:jc w:val="both"/>
        <w:rPr>
          <w:b/>
          <w:sz w:val="24"/>
          <w:szCs w:val="24"/>
        </w:rPr>
      </w:pPr>
    </w:p>
    <w:tbl>
      <w:tblPr>
        <w:tblW w:w="6874" w:type="dxa"/>
        <w:jc w:val="center"/>
        <w:tblInd w:w="-254" w:type="dxa"/>
        <w:tblCellMar>
          <w:left w:w="70" w:type="dxa"/>
          <w:right w:w="70" w:type="dxa"/>
        </w:tblCellMar>
        <w:tblLook w:val="04A0"/>
      </w:tblPr>
      <w:tblGrid>
        <w:gridCol w:w="3024"/>
        <w:gridCol w:w="770"/>
        <w:gridCol w:w="770"/>
        <w:gridCol w:w="770"/>
        <w:gridCol w:w="770"/>
        <w:gridCol w:w="770"/>
      </w:tblGrid>
      <w:tr w:rsidR="00005801" w:rsidRPr="00463E31" w:rsidTr="00A22C79">
        <w:trPr>
          <w:trHeight w:val="350"/>
          <w:jc w:val="center"/>
        </w:trPr>
        <w:tc>
          <w:tcPr>
            <w:tcW w:w="3024" w:type="dxa"/>
            <w:vMerge w:val="restart"/>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Descripción</w:t>
            </w: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lang w:eastAsia="es-CR"/>
              </w:rPr>
            </w:pP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lang w:eastAsia="es-CR"/>
              </w:rPr>
            </w:pP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rPr>
                <w:b/>
                <w:bCs/>
                <w:color w:val="000000"/>
                <w:sz w:val="24"/>
                <w:szCs w:val="24"/>
                <w:lang w:eastAsia="es-CR"/>
              </w:rPr>
            </w:pPr>
            <w:r w:rsidRPr="00463E31">
              <w:rPr>
                <w:b/>
                <w:bCs/>
                <w:color w:val="000000"/>
                <w:sz w:val="24"/>
                <w:szCs w:val="24"/>
                <w:lang w:eastAsia="es-CR"/>
              </w:rPr>
              <w:t>Año</w:t>
            </w: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rPr>
                <w:b/>
                <w:bCs/>
                <w:color w:val="000000"/>
                <w:sz w:val="24"/>
                <w:szCs w:val="24"/>
                <w:lang w:eastAsia="es-CR"/>
              </w:rPr>
            </w:pP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rPr>
                <w:b/>
                <w:bCs/>
                <w:color w:val="000000"/>
                <w:sz w:val="24"/>
                <w:szCs w:val="24"/>
                <w:lang w:eastAsia="es-CR"/>
              </w:rPr>
            </w:pPr>
          </w:p>
        </w:tc>
      </w:tr>
      <w:tr w:rsidR="00005801" w:rsidRPr="00463E31" w:rsidTr="00A22C79">
        <w:trPr>
          <w:trHeight w:val="350"/>
          <w:jc w:val="center"/>
        </w:trPr>
        <w:tc>
          <w:tcPr>
            <w:tcW w:w="3024" w:type="dxa"/>
            <w:vMerge/>
            <w:tcBorders>
              <w:top w:val="nil"/>
              <w:left w:val="nil"/>
              <w:bottom w:val="nil"/>
              <w:right w:val="nil"/>
            </w:tcBorders>
            <w:vAlign w:val="center"/>
            <w:hideMark/>
          </w:tcPr>
          <w:p w:rsidR="00005801" w:rsidRPr="00463E31" w:rsidRDefault="00005801" w:rsidP="00A22C79">
            <w:pPr>
              <w:rPr>
                <w:b/>
                <w:bCs/>
                <w:color w:val="000000"/>
                <w:sz w:val="24"/>
                <w:szCs w:val="24"/>
                <w:lang w:eastAsia="es-CR"/>
              </w:rPr>
            </w:pPr>
          </w:p>
        </w:tc>
        <w:tc>
          <w:tcPr>
            <w:tcW w:w="770" w:type="dxa"/>
            <w:tcBorders>
              <w:top w:val="nil"/>
              <w:left w:val="nil"/>
              <w:bottom w:val="nil"/>
              <w:right w:val="nil"/>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2013</w:t>
            </w:r>
          </w:p>
        </w:tc>
        <w:tc>
          <w:tcPr>
            <w:tcW w:w="770" w:type="dxa"/>
            <w:tcBorders>
              <w:top w:val="nil"/>
              <w:left w:val="nil"/>
              <w:bottom w:val="nil"/>
              <w:right w:val="nil"/>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2014</w:t>
            </w:r>
          </w:p>
        </w:tc>
        <w:tc>
          <w:tcPr>
            <w:tcW w:w="770" w:type="dxa"/>
            <w:tcBorders>
              <w:top w:val="nil"/>
              <w:left w:val="nil"/>
              <w:bottom w:val="nil"/>
              <w:right w:val="nil"/>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2015</w:t>
            </w:r>
          </w:p>
        </w:tc>
        <w:tc>
          <w:tcPr>
            <w:tcW w:w="770" w:type="dxa"/>
            <w:tcBorders>
              <w:top w:val="nil"/>
              <w:left w:val="nil"/>
              <w:bottom w:val="nil"/>
              <w:right w:val="nil"/>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2016</w:t>
            </w:r>
          </w:p>
        </w:tc>
        <w:tc>
          <w:tcPr>
            <w:tcW w:w="770" w:type="dxa"/>
            <w:tcBorders>
              <w:top w:val="nil"/>
              <w:left w:val="nil"/>
              <w:bottom w:val="nil"/>
              <w:right w:val="nil"/>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2017</w:t>
            </w:r>
          </w:p>
        </w:tc>
      </w:tr>
      <w:tr w:rsidR="00005801" w:rsidRPr="00463E31" w:rsidTr="00A22C79">
        <w:trPr>
          <w:trHeight w:val="360"/>
          <w:jc w:val="center"/>
        </w:trPr>
        <w:tc>
          <w:tcPr>
            <w:tcW w:w="3024" w:type="dxa"/>
            <w:tcBorders>
              <w:top w:val="single" w:sz="4" w:space="0" w:color="auto"/>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Circulante al iniciar</w:t>
            </w: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1.199</w:t>
            </w: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1.713</w:t>
            </w: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1.974</w:t>
            </w: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2.434</w:t>
            </w:r>
          </w:p>
        </w:tc>
        <w:tc>
          <w:tcPr>
            <w:tcW w:w="770" w:type="dxa"/>
            <w:tcBorders>
              <w:top w:val="single" w:sz="4" w:space="0" w:color="auto"/>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1.725</w:t>
            </w:r>
          </w:p>
        </w:tc>
      </w:tr>
      <w:tr w:rsidR="00005801" w:rsidRPr="00463E31" w:rsidTr="00A22C79">
        <w:trPr>
          <w:trHeight w:val="360"/>
          <w:jc w:val="center"/>
        </w:trPr>
        <w:tc>
          <w:tcPr>
            <w:tcW w:w="3024"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Casos entrados</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4240</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4282</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4135</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4.079</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4.829</w:t>
            </w:r>
          </w:p>
        </w:tc>
      </w:tr>
      <w:tr w:rsidR="00005801" w:rsidRPr="00463E31" w:rsidTr="00A22C79">
        <w:trPr>
          <w:trHeight w:val="360"/>
          <w:jc w:val="center"/>
        </w:trPr>
        <w:tc>
          <w:tcPr>
            <w:tcW w:w="3024"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Casos reentrados</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80</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159</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271</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140</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176</w:t>
            </w:r>
          </w:p>
        </w:tc>
      </w:tr>
      <w:tr w:rsidR="00005801" w:rsidRPr="00463E31" w:rsidTr="00A22C79">
        <w:trPr>
          <w:trHeight w:val="360"/>
          <w:jc w:val="center"/>
        </w:trPr>
        <w:tc>
          <w:tcPr>
            <w:tcW w:w="3024"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Por traslado</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342</w:t>
            </w:r>
          </w:p>
        </w:tc>
      </w:tr>
      <w:tr w:rsidR="00005801" w:rsidRPr="00463E31" w:rsidTr="00A22C79">
        <w:trPr>
          <w:trHeight w:val="360"/>
          <w:jc w:val="center"/>
        </w:trPr>
        <w:tc>
          <w:tcPr>
            <w:tcW w:w="3024"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Casos terminados</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3.806</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4.180</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3.946</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4.928</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4.740</w:t>
            </w:r>
          </w:p>
        </w:tc>
      </w:tr>
      <w:tr w:rsidR="00005801" w:rsidRPr="00463E31" w:rsidTr="00A22C79">
        <w:trPr>
          <w:trHeight w:val="360"/>
          <w:jc w:val="center"/>
        </w:trPr>
        <w:tc>
          <w:tcPr>
            <w:tcW w:w="3024"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Circulante al finalizar</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1.713</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1.974</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2.434</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1.725</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2.332</w:t>
            </w:r>
          </w:p>
        </w:tc>
      </w:tr>
      <w:tr w:rsidR="00005801" w:rsidRPr="00463E31" w:rsidTr="00A22C79">
        <w:trPr>
          <w:trHeight w:val="720"/>
          <w:jc w:val="center"/>
        </w:trPr>
        <w:tc>
          <w:tcPr>
            <w:tcW w:w="3024" w:type="dxa"/>
            <w:tcBorders>
              <w:top w:val="nil"/>
              <w:left w:val="nil"/>
              <w:bottom w:val="nil"/>
              <w:right w:val="nil"/>
            </w:tcBorders>
            <w:shd w:val="clear" w:color="auto" w:fill="auto"/>
            <w:vAlign w:val="center"/>
            <w:hideMark/>
          </w:tcPr>
          <w:p w:rsidR="00005801" w:rsidRPr="00463E31" w:rsidRDefault="00005801" w:rsidP="00A22C79">
            <w:pPr>
              <w:rPr>
                <w:b/>
                <w:bCs/>
                <w:color w:val="000000"/>
                <w:sz w:val="24"/>
                <w:szCs w:val="24"/>
                <w:lang w:eastAsia="es-CR"/>
              </w:rPr>
            </w:pPr>
            <w:r w:rsidRPr="00463E31">
              <w:rPr>
                <w:b/>
                <w:bCs/>
                <w:color w:val="000000"/>
                <w:sz w:val="24"/>
                <w:szCs w:val="24"/>
                <w:lang w:eastAsia="es-CR"/>
              </w:rPr>
              <w:t>Indicadores</w:t>
            </w:r>
          </w:p>
        </w:tc>
        <w:tc>
          <w:tcPr>
            <w:tcW w:w="770" w:type="dxa"/>
            <w:tcBorders>
              <w:top w:val="nil"/>
              <w:left w:val="nil"/>
              <w:bottom w:val="nil"/>
              <w:right w:val="nil"/>
            </w:tcBorders>
            <w:shd w:val="clear" w:color="auto" w:fill="auto"/>
            <w:vAlign w:val="center"/>
            <w:hideMark/>
          </w:tcPr>
          <w:p w:rsidR="00005801" w:rsidRPr="00463E31" w:rsidRDefault="00005801" w:rsidP="00A22C79">
            <w:pPr>
              <w:rPr>
                <w:b/>
                <w:bCs/>
                <w:color w:val="000000"/>
                <w:sz w:val="24"/>
                <w:szCs w:val="24"/>
                <w:lang w:eastAsia="es-CR"/>
              </w:rPr>
            </w:pPr>
          </w:p>
        </w:tc>
        <w:tc>
          <w:tcPr>
            <w:tcW w:w="770" w:type="dxa"/>
            <w:tcBorders>
              <w:top w:val="nil"/>
              <w:left w:val="nil"/>
              <w:bottom w:val="nil"/>
              <w:right w:val="nil"/>
            </w:tcBorders>
            <w:shd w:val="clear" w:color="auto" w:fill="auto"/>
            <w:vAlign w:val="center"/>
            <w:hideMark/>
          </w:tcPr>
          <w:p w:rsidR="00005801" w:rsidRPr="00463E31" w:rsidRDefault="00005801" w:rsidP="00A22C79">
            <w:pPr>
              <w:rPr>
                <w:b/>
                <w:bCs/>
                <w:color w:val="000000"/>
                <w:sz w:val="24"/>
                <w:szCs w:val="24"/>
                <w:lang w:eastAsia="es-CR"/>
              </w:rPr>
            </w:pPr>
          </w:p>
        </w:tc>
        <w:tc>
          <w:tcPr>
            <w:tcW w:w="770" w:type="dxa"/>
            <w:tcBorders>
              <w:top w:val="nil"/>
              <w:left w:val="nil"/>
              <w:bottom w:val="nil"/>
              <w:right w:val="nil"/>
            </w:tcBorders>
            <w:shd w:val="clear" w:color="auto" w:fill="auto"/>
            <w:vAlign w:val="center"/>
            <w:hideMark/>
          </w:tcPr>
          <w:p w:rsidR="00005801" w:rsidRPr="00463E31" w:rsidRDefault="00005801" w:rsidP="00A22C79">
            <w:pPr>
              <w:rPr>
                <w:rFonts w:ascii="Calibri" w:hAnsi="Calibri"/>
                <w:color w:val="000000"/>
                <w:sz w:val="24"/>
                <w:szCs w:val="24"/>
                <w:lang w:eastAsia="es-CR"/>
              </w:rPr>
            </w:pPr>
          </w:p>
        </w:tc>
        <w:tc>
          <w:tcPr>
            <w:tcW w:w="770" w:type="dxa"/>
            <w:tcBorders>
              <w:top w:val="nil"/>
              <w:left w:val="nil"/>
              <w:bottom w:val="nil"/>
              <w:right w:val="nil"/>
            </w:tcBorders>
            <w:shd w:val="clear" w:color="auto" w:fill="auto"/>
            <w:vAlign w:val="center"/>
            <w:hideMark/>
          </w:tcPr>
          <w:p w:rsidR="00005801" w:rsidRPr="00463E31" w:rsidRDefault="00005801" w:rsidP="00A22C79">
            <w:pPr>
              <w:rPr>
                <w:rFonts w:ascii="Calibri" w:hAnsi="Calibri"/>
                <w:color w:val="000000"/>
                <w:sz w:val="24"/>
                <w:szCs w:val="24"/>
                <w:lang w:eastAsia="es-CR"/>
              </w:rPr>
            </w:pPr>
          </w:p>
        </w:tc>
        <w:tc>
          <w:tcPr>
            <w:tcW w:w="77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p>
        </w:tc>
      </w:tr>
      <w:tr w:rsidR="00005801" w:rsidRPr="00463E31" w:rsidTr="00A22C79">
        <w:trPr>
          <w:trHeight w:val="360"/>
          <w:jc w:val="center"/>
        </w:trPr>
        <w:tc>
          <w:tcPr>
            <w:tcW w:w="3024"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Tasa de congestión</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145</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147</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162</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135</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149</w:t>
            </w:r>
          </w:p>
        </w:tc>
      </w:tr>
      <w:tr w:rsidR="00005801" w:rsidRPr="00463E31" w:rsidTr="00A22C79">
        <w:trPr>
          <w:trHeight w:val="360"/>
          <w:jc w:val="center"/>
        </w:trPr>
        <w:tc>
          <w:tcPr>
            <w:tcW w:w="3024"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Porcentaje de pendencia</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31%</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32%</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38%</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26%</w:t>
            </w:r>
          </w:p>
        </w:tc>
        <w:tc>
          <w:tcPr>
            <w:tcW w:w="77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33%</w:t>
            </w:r>
          </w:p>
        </w:tc>
      </w:tr>
      <w:tr w:rsidR="00005801" w:rsidRPr="00463E31" w:rsidTr="00A22C79">
        <w:trPr>
          <w:trHeight w:val="370"/>
          <w:jc w:val="center"/>
        </w:trPr>
        <w:tc>
          <w:tcPr>
            <w:tcW w:w="3024" w:type="dxa"/>
            <w:tcBorders>
              <w:top w:val="nil"/>
              <w:left w:val="nil"/>
              <w:bottom w:val="single" w:sz="4" w:space="0" w:color="auto"/>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Porcentaje de resolución</w:t>
            </w:r>
          </w:p>
        </w:tc>
        <w:tc>
          <w:tcPr>
            <w:tcW w:w="77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69%</w:t>
            </w:r>
          </w:p>
        </w:tc>
        <w:tc>
          <w:tcPr>
            <w:tcW w:w="77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68%</w:t>
            </w:r>
          </w:p>
        </w:tc>
        <w:tc>
          <w:tcPr>
            <w:tcW w:w="77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62%</w:t>
            </w:r>
          </w:p>
        </w:tc>
        <w:tc>
          <w:tcPr>
            <w:tcW w:w="77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74%</w:t>
            </w:r>
          </w:p>
        </w:tc>
        <w:tc>
          <w:tcPr>
            <w:tcW w:w="77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67%</w:t>
            </w:r>
          </w:p>
        </w:tc>
      </w:tr>
    </w:tbl>
    <w:p w:rsidR="00005801" w:rsidRPr="00463E31" w:rsidRDefault="00005801" w:rsidP="00005801">
      <w:pPr>
        <w:spacing w:line="360" w:lineRule="auto"/>
        <w:jc w:val="both"/>
        <w:rPr>
          <w:sz w:val="24"/>
          <w:szCs w:val="24"/>
        </w:rPr>
      </w:pPr>
    </w:p>
    <w:p w:rsidR="00005801" w:rsidRPr="00D72062" w:rsidRDefault="00005801" w:rsidP="00005801">
      <w:pPr>
        <w:spacing w:line="360" w:lineRule="auto"/>
        <w:jc w:val="both"/>
        <w:rPr>
          <w:sz w:val="28"/>
          <w:szCs w:val="28"/>
        </w:rPr>
      </w:pPr>
      <w:r w:rsidRPr="00D72062">
        <w:rPr>
          <w:sz w:val="28"/>
          <w:szCs w:val="28"/>
        </w:rPr>
        <w:t xml:space="preserve">Con la tasa de Congestión, se pretende medir el nivel de saturación o retraso que tenida por el conjunto de oficinas judiciales. Su cálculo se obtiene al </w:t>
      </w:r>
      <w:r w:rsidRPr="00D72062">
        <w:rPr>
          <w:sz w:val="28"/>
          <w:szCs w:val="28"/>
        </w:rPr>
        <w:lastRenderedPageBreak/>
        <w:t xml:space="preserve">dividir la carga de </w:t>
      </w:r>
      <w:proofErr w:type="gramStart"/>
      <w:r w:rsidRPr="00D72062">
        <w:rPr>
          <w:sz w:val="28"/>
          <w:szCs w:val="28"/>
        </w:rPr>
        <w:t>trabajo</w:t>
      </w:r>
      <w:r w:rsidRPr="00D72062">
        <w:rPr>
          <w:sz w:val="28"/>
          <w:szCs w:val="28"/>
          <w:vertAlign w:val="superscript"/>
        </w:rPr>
        <w:t>(</w:t>
      </w:r>
      <w:proofErr w:type="gramEnd"/>
      <w:r w:rsidRPr="00D72062">
        <w:rPr>
          <w:sz w:val="28"/>
          <w:szCs w:val="28"/>
          <w:vertAlign w:val="superscript"/>
        </w:rPr>
        <w:footnoteReference w:id="1"/>
      </w:r>
      <w:r w:rsidRPr="00D72062">
        <w:rPr>
          <w:sz w:val="28"/>
          <w:szCs w:val="28"/>
          <w:vertAlign w:val="superscript"/>
        </w:rPr>
        <w:t>)</w:t>
      </w:r>
      <w:r w:rsidRPr="00D72062">
        <w:rPr>
          <w:sz w:val="28"/>
          <w:szCs w:val="28"/>
        </w:rPr>
        <w:t xml:space="preserve"> entre el número de casos terminados en un período definido y cuyo resultado se interpreta en función de cada 100 asuntos terminados. En el 2016, se dio una tasa de congestión de </w:t>
      </w:r>
      <w:r w:rsidRPr="00D72062">
        <w:rPr>
          <w:b/>
          <w:sz w:val="28"/>
          <w:szCs w:val="28"/>
        </w:rPr>
        <w:t>149</w:t>
      </w:r>
      <w:r w:rsidRPr="00D72062">
        <w:rPr>
          <w:sz w:val="28"/>
          <w:szCs w:val="28"/>
        </w:rPr>
        <w:t xml:space="preserve">; esto es, por cada 100 asuntos terminados por el conjunto de todos los tribunales civiles de instancia superior, se requirieron finiquitar </w:t>
      </w:r>
      <w:r w:rsidRPr="00D72062">
        <w:rPr>
          <w:b/>
          <w:sz w:val="28"/>
          <w:szCs w:val="28"/>
        </w:rPr>
        <w:t>49</w:t>
      </w:r>
      <w:r w:rsidRPr="00D72062">
        <w:rPr>
          <w:sz w:val="28"/>
          <w:szCs w:val="28"/>
        </w:rPr>
        <w:t xml:space="preserve"> asuntos </w:t>
      </w:r>
      <w:r w:rsidRPr="00D72062">
        <w:rPr>
          <w:sz w:val="28"/>
          <w:szCs w:val="28"/>
          <w:u w:val="single"/>
        </w:rPr>
        <w:t>más</w:t>
      </w:r>
      <w:r w:rsidRPr="00D72062">
        <w:rPr>
          <w:sz w:val="28"/>
          <w:szCs w:val="28"/>
        </w:rPr>
        <w:t xml:space="preserve"> para que la existencia final fuera cercana a nula; sea, se requirieron terminar unos </w:t>
      </w:r>
      <w:r w:rsidRPr="00D72062">
        <w:rPr>
          <w:b/>
          <w:sz w:val="28"/>
          <w:szCs w:val="28"/>
        </w:rPr>
        <w:t>2.332</w:t>
      </w:r>
      <w:r w:rsidRPr="00D72062">
        <w:rPr>
          <w:sz w:val="28"/>
          <w:szCs w:val="28"/>
        </w:rPr>
        <w:t xml:space="preserve"> asuntos </w:t>
      </w:r>
      <w:r w:rsidRPr="00D72062">
        <w:rPr>
          <w:sz w:val="28"/>
          <w:szCs w:val="28"/>
          <w:u w:val="single"/>
        </w:rPr>
        <w:t>más</w:t>
      </w:r>
      <w:r w:rsidRPr="00D72062">
        <w:rPr>
          <w:sz w:val="28"/>
          <w:szCs w:val="28"/>
        </w:rPr>
        <w:t xml:space="preserve"> anuales para no tener casos en trámite (unos </w:t>
      </w:r>
      <w:r w:rsidRPr="00D72062">
        <w:rPr>
          <w:b/>
          <w:sz w:val="28"/>
          <w:szCs w:val="28"/>
        </w:rPr>
        <w:t>194</w:t>
      </w:r>
      <w:r w:rsidRPr="00D72062">
        <w:rPr>
          <w:sz w:val="28"/>
          <w:szCs w:val="28"/>
        </w:rPr>
        <w:t xml:space="preserve"> </w:t>
      </w:r>
      <w:r w:rsidRPr="00D72062">
        <w:rPr>
          <w:sz w:val="28"/>
          <w:szCs w:val="28"/>
          <w:u w:val="single"/>
        </w:rPr>
        <w:t>más</w:t>
      </w:r>
      <w:r w:rsidRPr="00D72062">
        <w:rPr>
          <w:sz w:val="28"/>
          <w:szCs w:val="28"/>
        </w:rPr>
        <w:t xml:space="preserve"> por mes para que el valor de la existencia final tendiera a cero).</w:t>
      </w:r>
    </w:p>
    <w:p w:rsidR="00005801" w:rsidRPr="00D72062" w:rsidRDefault="00005801" w:rsidP="00005801">
      <w:pPr>
        <w:spacing w:line="360" w:lineRule="auto"/>
        <w:jc w:val="both"/>
        <w:rPr>
          <w:sz w:val="28"/>
          <w:szCs w:val="28"/>
        </w:rPr>
      </w:pPr>
    </w:p>
    <w:p w:rsidR="00005801" w:rsidRPr="00D72062" w:rsidRDefault="00005801" w:rsidP="00005801">
      <w:pPr>
        <w:spacing w:line="360" w:lineRule="auto"/>
        <w:jc w:val="both"/>
        <w:rPr>
          <w:sz w:val="28"/>
          <w:szCs w:val="28"/>
        </w:rPr>
      </w:pPr>
      <w:r w:rsidRPr="00D72062">
        <w:rPr>
          <w:sz w:val="28"/>
          <w:szCs w:val="28"/>
        </w:rPr>
        <w:t xml:space="preserve">Este indicador se presenta muy oscilante en la jurisdicción Civil de Instancia Superior en los últimos cuatro años. Como se aprecia en el siguiente gráfico, esta tasa era de </w:t>
      </w:r>
      <w:r w:rsidRPr="00D72062">
        <w:rPr>
          <w:b/>
          <w:sz w:val="28"/>
          <w:szCs w:val="28"/>
        </w:rPr>
        <w:t>145</w:t>
      </w:r>
      <w:r w:rsidRPr="00D72062">
        <w:rPr>
          <w:sz w:val="28"/>
          <w:szCs w:val="28"/>
        </w:rPr>
        <w:t xml:space="preserve"> y </w:t>
      </w:r>
      <w:r w:rsidRPr="00D72062">
        <w:rPr>
          <w:b/>
          <w:sz w:val="28"/>
          <w:szCs w:val="28"/>
        </w:rPr>
        <w:t>147</w:t>
      </w:r>
      <w:r w:rsidRPr="00D72062">
        <w:rPr>
          <w:sz w:val="28"/>
          <w:szCs w:val="28"/>
        </w:rPr>
        <w:t xml:space="preserve"> en el 2013 y 2014, dando un salto importante en el 2015 cuando era de </w:t>
      </w:r>
      <w:r w:rsidRPr="00D72062">
        <w:rPr>
          <w:b/>
          <w:sz w:val="28"/>
          <w:szCs w:val="28"/>
        </w:rPr>
        <w:t>162</w:t>
      </w:r>
      <w:r w:rsidRPr="00D72062">
        <w:rPr>
          <w:sz w:val="28"/>
          <w:szCs w:val="28"/>
        </w:rPr>
        <w:t xml:space="preserve"> para caer en un año después a </w:t>
      </w:r>
      <w:r w:rsidRPr="00D72062">
        <w:rPr>
          <w:b/>
          <w:sz w:val="28"/>
          <w:szCs w:val="28"/>
        </w:rPr>
        <w:t>135</w:t>
      </w:r>
      <w:r w:rsidRPr="00D72062">
        <w:rPr>
          <w:sz w:val="28"/>
          <w:szCs w:val="28"/>
        </w:rPr>
        <w:t xml:space="preserve">. Este año, como se indicó, es de </w:t>
      </w:r>
      <w:r w:rsidRPr="00D72062">
        <w:rPr>
          <w:b/>
          <w:sz w:val="28"/>
          <w:szCs w:val="28"/>
        </w:rPr>
        <w:t>149</w:t>
      </w:r>
      <w:r w:rsidRPr="00D72062">
        <w:rPr>
          <w:sz w:val="28"/>
          <w:szCs w:val="28"/>
        </w:rPr>
        <w:t xml:space="preserve">. </w:t>
      </w:r>
    </w:p>
    <w:p w:rsidR="00005801" w:rsidRPr="002321ED" w:rsidRDefault="00005801" w:rsidP="00005801">
      <w:pPr>
        <w:spacing w:line="360" w:lineRule="auto"/>
        <w:jc w:val="both"/>
      </w:pPr>
    </w:p>
    <w:p w:rsidR="00005801" w:rsidRPr="002321ED" w:rsidRDefault="003C3BFC" w:rsidP="00005801">
      <w:pPr>
        <w:spacing w:line="360" w:lineRule="auto"/>
        <w:jc w:val="center"/>
      </w:pPr>
      <w:r>
        <w:rPr>
          <w:noProof/>
          <w:lang w:eastAsia="es-CR"/>
        </w:rPr>
        <w:lastRenderedPageBreak/>
        <w:drawing>
          <wp:inline distT="0" distB="0" distL="0" distR="0">
            <wp:extent cx="5141595" cy="3326765"/>
            <wp:effectExtent l="0" t="0" r="0" b="0"/>
            <wp:docPr id="14"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5801" w:rsidRPr="002321ED" w:rsidRDefault="00005801" w:rsidP="00005801">
      <w:pPr>
        <w:spacing w:line="360" w:lineRule="auto"/>
        <w:jc w:val="both"/>
      </w:pPr>
    </w:p>
    <w:p w:rsidR="00005801" w:rsidRPr="00D72062" w:rsidRDefault="00005801" w:rsidP="00005801">
      <w:pPr>
        <w:spacing w:line="360" w:lineRule="auto"/>
        <w:jc w:val="both"/>
        <w:rPr>
          <w:sz w:val="28"/>
          <w:szCs w:val="28"/>
        </w:rPr>
      </w:pPr>
      <w:r w:rsidRPr="00D72062">
        <w:rPr>
          <w:sz w:val="28"/>
          <w:szCs w:val="28"/>
        </w:rPr>
        <w:t xml:space="preserve">En congruencia, los indicadores de gestión de pendencia y de resolución se presentan igualmente variables en los últimos años. Como se aprecia en el siguiente gráfico, luego del incremento del porcentaje de resolución acaecida en el 2016, este indicador se reduce en este año para aproximarse a los resultados del 2013 y 2014. Así este año el </w:t>
      </w:r>
      <w:r w:rsidRPr="00D72062">
        <w:rPr>
          <w:b/>
          <w:sz w:val="28"/>
          <w:szCs w:val="28"/>
        </w:rPr>
        <w:t>67%</w:t>
      </w:r>
      <w:r w:rsidRPr="00D72062">
        <w:rPr>
          <w:sz w:val="28"/>
          <w:szCs w:val="28"/>
        </w:rPr>
        <w:t xml:space="preserve"> de la carga de trabajo a atender por el conjunto de Tribunales Civiles fue atendida, cifra que es inferior al ejercicio del año inmediatamente anterior cuando fue del </w:t>
      </w:r>
      <w:r w:rsidRPr="00D72062">
        <w:rPr>
          <w:b/>
          <w:sz w:val="28"/>
          <w:szCs w:val="28"/>
        </w:rPr>
        <w:t>74%</w:t>
      </w:r>
      <w:r w:rsidRPr="00D72062">
        <w:rPr>
          <w:sz w:val="28"/>
          <w:szCs w:val="28"/>
        </w:rPr>
        <w:t xml:space="preserve">. Consecuentemente, el porcentaje de pendencia en el 2017 llega al </w:t>
      </w:r>
      <w:r w:rsidRPr="00D72062">
        <w:rPr>
          <w:b/>
          <w:sz w:val="28"/>
          <w:szCs w:val="28"/>
        </w:rPr>
        <w:t>33%</w:t>
      </w:r>
      <w:r w:rsidRPr="00D72062">
        <w:rPr>
          <w:sz w:val="28"/>
          <w:szCs w:val="28"/>
        </w:rPr>
        <w:t xml:space="preserve"> cuando que un año antes era del </w:t>
      </w:r>
      <w:r w:rsidRPr="00D72062">
        <w:rPr>
          <w:b/>
          <w:sz w:val="28"/>
          <w:szCs w:val="28"/>
        </w:rPr>
        <w:t>24%</w:t>
      </w:r>
      <w:r w:rsidRPr="00D72062">
        <w:rPr>
          <w:sz w:val="28"/>
          <w:szCs w:val="28"/>
        </w:rPr>
        <w:t xml:space="preserve">. </w:t>
      </w:r>
    </w:p>
    <w:p w:rsidR="00005801" w:rsidRPr="002321ED" w:rsidRDefault="00005801" w:rsidP="00005801">
      <w:pPr>
        <w:spacing w:line="360" w:lineRule="auto"/>
        <w:jc w:val="both"/>
      </w:pPr>
    </w:p>
    <w:p w:rsidR="00005801" w:rsidRPr="002321ED" w:rsidRDefault="003C3BFC" w:rsidP="00005801">
      <w:pPr>
        <w:spacing w:line="360" w:lineRule="auto"/>
        <w:jc w:val="center"/>
      </w:pPr>
      <w:r>
        <w:rPr>
          <w:noProof/>
          <w:lang w:eastAsia="es-CR"/>
        </w:rPr>
        <w:lastRenderedPageBreak/>
        <w:drawing>
          <wp:inline distT="0" distB="0" distL="0" distR="0">
            <wp:extent cx="5141595" cy="3481705"/>
            <wp:effectExtent l="0" t="0" r="0" b="0"/>
            <wp:docPr id="16" name="Objet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5801" w:rsidRPr="00D72062" w:rsidRDefault="00005801" w:rsidP="00005801">
      <w:pPr>
        <w:spacing w:line="360" w:lineRule="auto"/>
        <w:jc w:val="both"/>
        <w:rPr>
          <w:sz w:val="28"/>
          <w:szCs w:val="28"/>
        </w:rPr>
      </w:pPr>
    </w:p>
    <w:p w:rsidR="00005801" w:rsidRPr="00D72062" w:rsidRDefault="00005801" w:rsidP="00005801">
      <w:pPr>
        <w:spacing w:line="360" w:lineRule="auto"/>
        <w:jc w:val="both"/>
        <w:rPr>
          <w:sz w:val="28"/>
          <w:szCs w:val="28"/>
        </w:rPr>
      </w:pPr>
      <w:r w:rsidRPr="00D72062">
        <w:rPr>
          <w:sz w:val="28"/>
          <w:szCs w:val="28"/>
        </w:rPr>
        <w:t>En el siguiente cuadro presenta los resultados para cada uno de los indicadores de gestión, según Tribunal Civil que quedaron funcionamiento ante la reorganización territorial indicada y por lo tanto sus resultados son afectados por la incorporación por el traslado de casos desde las correspondientes jurisdicciones absorbidas.</w:t>
      </w:r>
    </w:p>
    <w:p w:rsidR="00005801" w:rsidRDefault="00005801"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Default="00664B6B" w:rsidP="00BA45C9">
      <w:pPr>
        <w:jc w:val="both"/>
        <w:rPr>
          <w:b/>
        </w:rPr>
      </w:pPr>
    </w:p>
    <w:p w:rsidR="00664B6B" w:rsidRPr="00BA45C9" w:rsidRDefault="00664B6B" w:rsidP="00BA45C9">
      <w:pPr>
        <w:jc w:val="both"/>
        <w:rPr>
          <w:b/>
        </w:rPr>
      </w:pPr>
    </w:p>
    <w:p w:rsidR="00D72062" w:rsidRPr="00463E31" w:rsidRDefault="00005801" w:rsidP="00463E31">
      <w:pPr>
        <w:ind w:firstLine="851"/>
        <w:rPr>
          <w:b/>
          <w:sz w:val="24"/>
          <w:szCs w:val="24"/>
          <w:lang w:eastAsia="en-US"/>
        </w:rPr>
      </w:pPr>
      <w:r w:rsidRPr="00463E31">
        <w:rPr>
          <w:b/>
          <w:sz w:val="24"/>
          <w:szCs w:val="24"/>
          <w:lang w:eastAsia="en-US"/>
        </w:rPr>
        <w:lastRenderedPageBreak/>
        <w:t xml:space="preserve">Cuadro 2 </w:t>
      </w:r>
    </w:p>
    <w:p w:rsidR="00005801" w:rsidRPr="00463E31" w:rsidRDefault="00005801" w:rsidP="00BA45C9">
      <w:pPr>
        <w:jc w:val="center"/>
        <w:rPr>
          <w:b/>
          <w:sz w:val="24"/>
          <w:szCs w:val="24"/>
          <w:lang w:eastAsia="en-US"/>
        </w:rPr>
      </w:pPr>
      <w:r w:rsidRPr="00463E31">
        <w:rPr>
          <w:b/>
          <w:sz w:val="24"/>
          <w:szCs w:val="24"/>
          <w:lang w:eastAsia="en-US"/>
        </w:rPr>
        <w:t>Tasa de Congestión, según el Tribunales Civiles, durante el 2017</w:t>
      </w:r>
    </w:p>
    <w:p w:rsidR="00BA45C9" w:rsidRPr="00463E31" w:rsidRDefault="00BA45C9" w:rsidP="00BA45C9">
      <w:pPr>
        <w:jc w:val="center"/>
        <w:rPr>
          <w:b/>
          <w:sz w:val="24"/>
          <w:szCs w:val="24"/>
        </w:rPr>
      </w:pPr>
    </w:p>
    <w:tbl>
      <w:tblPr>
        <w:tblW w:w="9360" w:type="dxa"/>
        <w:tblInd w:w="61" w:type="dxa"/>
        <w:tblBorders>
          <w:top w:val="single" w:sz="4" w:space="0" w:color="auto"/>
          <w:bottom w:val="single" w:sz="4" w:space="0" w:color="auto"/>
        </w:tblBorders>
        <w:tblCellMar>
          <w:left w:w="70" w:type="dxa"/>
          <w:right w:w="70" w:type="dxa"/>
        </w:tblCellMar>
        <w:tblLook w:val="04A0"/>
      </w:tblPr>
      <w:tblGrid>
        <w:gridCol w:w="5356"/>
        <w:gridCol w:w="1287"/>
        <w:gridCol w:w="1338"/>
        <w:gridCol w:w="1379"/>
      </w:tblGrid>
      <w:tr w:rsidR="00005801" w:rsidRPr="00463E31" w:rsidTr="00A22C79">
        <w:trPr>
          <w:trHeight w:val="310"/>
        </w:trPr>
        <w:tc>
          <w:tcPr>
            <w:tcW w:w="5400" w:type="dxa"/>
            <w:vMerge w:val="restart"/>
            <w:tcBorders>
              <w:top w:val="single" w:sz="4" w:space="0" w:color="auto"/>
              <w:bottom w:val="nil"/>
              <w:right w:val="single" w:sz="4" w:space="0" w:color="auto"/>
            </w:tcBorders>
            <w:shd w:val="clear" w:color="auto" w:fill="auto"/>
            <w:vAlign w:val="center"/>
            <w:hideMark/>
          </w:tcPr>
          <w:p w:rsidR="00005801" w:rsidRPr="00463E31" w:rsidRDefault="00005801" w:rsidP="00A22C79">
            <w:pPr>
              <w:jc w:val="center"/>
              <w:rPr>
                <w:b/>
                <w:bCs/>
                <w:sz w:val="24"/>
                <w:szCs w:val="24"/>
                <w:lang w:eastAsia="es-CR"/>
              </w:rPr>
            </w:pPr>
            <w:r w:rsidRPr="00463E31">
              <w:rPr>
                <w:b/>
                <w:bCs/>
                <w:sz w:val="24"/>
                <w:szCs w:val="24"/>
                <w:lang w:eastAsia="es-CR"/>
              </w:rPr>
              <w:t>TRIBUNAL</w:t>
            </w:r>
          </w:p>
        </w:tc>
        <w:tc>
          <w:tcPr>
            <w:tcW w:w="1240" w:type="dxa"/>
            <w:vMerge w:val="restart"/>
            <w:tcBorders>
              <w:top w:val="single" w:sz="4" w:space="0" w:color="auto"/>
              <w:left w:val="single" w:sz="4" w:space="0" w:color="auto"/>
              <w:bottom w:val="nil"/>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Tasa de Congestión</w:t>
            </w:r>
          </w:p>
        </w:tc>
        <w:tc>
          <w:tcPr>
            <w:tcW w:w="2720" w:type="dxa"/>
            <w:gridSpan w:val="2"/>
            <w:tcBorders>
              <w:top w:val="single" w:sz="4" w:space="0" w:color="auto"/>
              <w:bottom w:val="single" w:sz="4" w:space="0" w:color="auto"/>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Porcentajes</w:t>
            </w:r>
          </w:p>
        </w:tc>
      </w:tr>
      <w:tr w:rsidR="00005801" w:rsidRPr="00463E31" w:rsidTr="00A22C79">
        <w:trPr>
          <w:trHeight w:val="570"/>
        </w:trPr>
        <w:tc>
          <w:tcPr>
            <w:tcW w:w="5400" w:type="dxa"/>
            <w:vMerge/>
            <w:tcBorders>
              <w:top w:val="nil"/>
              <w:bottom w:val="single" w:sz="4" w:space="0" w:color="auto"/>
              <w:right w:val="single" w:sz="4" w:space="0" w:color="auto"/>
            </w:tcBorders>
            <w:vAlign w:val="center"/>
            <w:hideMark/>
          </w:tcPr>
          <w:p w:rsidR="00005801" w:rsidRPr="00463E31" w:rsidRDefault="00005801" w:rsidP="00A22C79">
            <w:pPr>
              <w:rPr>
                <w:b/>
                <w:bCs/>
                <w:sz w:val="24"/>
                <w:szCs w:val="24"/>
                <w:lang w:eastAsia="es-CR"/>
              </w:rPr>
            </w:pPr>
          </w:p>
        </w:tc>
        <w:tc>
          <w:tcPr>
            <w:tcW w:w="1240" w:type="dxa"/>
            <w:vMerge/>
            <w:tcBorders>
              <w:top w:val="nil"/>
              <w:left w:val="single" w:sz="4" w:space="0" w:color="auto"/>
              <w:bottom w:val="single" w:sz="4" w:space="0" w:color="auto"/>
            </w:tcBorders>
            <w:vAlign w:val="center"/>
            <w:hideMark/>
          </w:tcPr>
          <w:p w:rsidR="00005801" w:rsidRPr="00463E31" w:rsidRDefault="00005801" w:rsidP="00A22C79">
            <w:pPr>
              <w:rPr>
                <w:b/>
                <w:bCs/>
                <w:color w:val="000000"/>
                <w:sz w:val="24"/>
                <w:szCs w:val="24"/>
                <w:lang w:eastAsia="es-CR"/>
              </w:rPr>
            </w:pPr>
          </w:p>
        </w:tc>
        <w:tc>
          <w:tcPr>
            <w:tcW w:w="1340" w:type="dxa"/>
            <w:tcBorders>
              <w:top w:val="single" w:sz="4" w:space="0" w:color="auto"/>
              <w:bottom w:val="single" w:sz="4" w:space="0" w:color="auto"/>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Pendencia</w:t>
            </w:r>
          </w:p>
        </w:tc>
        <w:tc>
          <w:tcPr>
            <w:tcW w:w="1380" w:type="dxa"/>
            <w:tcBorders>
              <w:top w:val="single" w:sz="4" w:space="0" w:color="auto"/>
              <w:bottom w:val="single" w:sz="4" w:space="0" w:color="auto"/>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Resolución</w:t>
            </w:r>
          </w:p>
        </w:tc>
      </w:tr>
      <w:tr w:rsidR="00005801" w:rsidRPr="00463E31" w:rsidTr="00A22C79">
        <w:trPr>
          <w:trHeight w:val="310"/>
        </w:trPr>
        <w:tc>
          <w:tcPr>
            <w:tcW w:w="5400" w:type="dxa"/>
            <w:tcBorders>
              <w:top w:val="single" w:sz="4" w:space="0" w:color="auto"/>
              <w:right w:val="single" w:sz="4" w:space="0" w:color="auto"/>
            </w:tcBorders>
            <w:shd w:val="clear" w:color="auto" w:fill="auto"/>
            <w:vAlign w:val="center"/>
            <w:hideMark/>
          </w:tcPr>
          <w:p w:rsidR="00005801" w:rsidRPr="00463E31" w:rsidRDefault="00005801" w:rsidP="00A22C79">
            <w:pPr>
              <w:rPr>
                <w:sz w:val="24"/>
                <w:szCs w:val="24"/>
                <w:lang w:eastAsia="es-CR"/>
              </w:rPr>
            </w:pPr>
            <w:r w:rsidRPr="00463E31">
              <w:rPr>
                <w:sz w:val="24"/>
                <w:szCs w:val="24"/>
                <w:lang w:eastAsia="es-CR"/>
              </w:rPr>
              <w:t>Tribunal de Puntarenas</w:t>
            </w:r>
          </w:p>
        </w:tc>
        <w:tc>
          <w:tcPr>
            <w:tcW w:w="1240" w:type="dxa"/>
            <w:tcBorders>
              <w:top w:val="single" w:sz="4" w:space="0" w:color="auto"/>
              <w:left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235</w:t>
            </w:r>
          </w:p>
        </w:tc>
        <w:tc>
          <w:tcPr>
            <w:tcW w:w="1340" w:type="dxa"/>
            <w:tcBorders>
              <w:top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57%</w:t>
            </w:r>
          </w:p>
        </w:tc>
        <w:tc>
          <w:tcPr>
            <w:tcW w:w="1380" w:type="dxa"/>
            <w:tcBorders>
              <w:top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43%</w:t>
            </w:r>
          </w:p>
        </w:tc>
      </w:tr>
      <w:tr w:rsidR="00005801" w:rsidRPr="00463E31" w:rsidTr="00A22C79">
        <w:trPr>
          <w:trHeight w:val="310"/>
        </w:trPr>
        <w:tc>
          <w:tcPr>
            <w:tcW w:w="5400" w:type="dxa"/>
            <w:tcBorders>
              <w:right w:val="single" w:sz="4" w:space="0" w:color="auto"/>
            </w:tcBorders>
            <w:shd w:val="clear" w:color="auto" w:fill="auto"/>
            <w:vAlign w:val="center"/>
            <w:hideMark/>
          </w:tcPr>
          <w:p w:rsidR="00005801" w:rsidRPr="00463E31" w:rsidRDefault="00005801" w:rsidP="00A22C79">
            <w:pPr>
              <w:rPr>
                <w:sz w:val="24"/>
                <w:szCs w:val="24"/>
                <w:lang w:eastAsia="es-CR"/>
              </w:rPr>
            </w:pPr>
            <w:r w:rsidRPr="00463E31">
              <w:rPr>
                <w:sz w:val="24"/>
                <w:szCs w:val="24"/>
                <w:lang w:eastAsia="es-CR"/>
              </w:rPr>
              <w:t>Tribunal Primer Circuito Judicial Zona Sur</w:t>
            </w:r>
          </w:p>
        </w:tc>
        <w:tc>
          <w:tcPr>
            <w:tcW w:w="1240" w:type="dxa"/>
            <w:tcBorders>
              <w:left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188</w:t>
            </w:r>
          </w:p>
        </w:tc>
        <w:tc>
          <w:tcPr>
            <w:tcW w:w="134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47%</w:t>
            </w:r>
          </w:p>
        </w:tc>
        <w:tc>
          <w:tcPr>
            <w:tcW w:w="138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53%</w:t>
            </w:r>
          </w:p>
        </w:tc>
      </w:tr>
      <w:tr w:rsidR="00005801" w:rsidRPr="00463E31" w:rsidTr="00A22C79">
        <w:trPr>
          <w:trHeight w:val="310"/>
        </w:trPr>
        <w:tc>
          <w:tcPr>
            <w:tcW w:w="5400" w:type="dxa"/>
            <w:tcBorders>
              <w:right w:val="single" w:sz="4" w:space="0" w:color="auto"/>
            </w:tcBorders>
            <w:shd w:val="clear" w:color="auto" w:fill="auto"/>
            <w:vAlign w:val="center"/>
            <w:hideMark/>
          </w:tcPr>
          <w:p w:rsidR="00005801" w:rsidRPr="00463E31" w:rsidRDefault="00005801" w:rsidP="00A22C79">
            <w:pPr>
              <w:rPr>
                <w:sz w:val="24"/>
                <w:szCs w:val="24"/>
                <w:lang w:eastAsia="es-CR"/>
              </w:rPr>
            </w:pPr>
            <w:r w:rsidRPr="00463E31">
              <w:rPr>
                <w:sz w:val="24"/>
                <w:szCs w:val="24"/>
                <w:lang w:eastAsia="es-CR"/>
              </w:rPr>
              <w:t>Tribunal de Heredia</w:t>
            </w:r>
          </w:p>
        </w:tc>
        <w:tc>
          <w:tcPr>
            <w:tcW w:w="1240" w:type="dxa"/>
            <w:tcBorders>
              <w:left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173</w:t>
            </w:r>
          </w:p>
        </w:tc>
        <w:tc>
          <w:tcPr>
            <w:tcW w:w="134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42%</w:t>
            </w:r>
          </w:p>
        </w:tc>
        <w:tc>
          <w:tcPr>
            <w:tcW w:w="138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58%</w:t>
            </w:r>
          </w:p>
        </w:tc>
      </w:tr>
      <w:tr w:rsidR="00005801" w:rsidRPr="00463E31" w:rsidTr="00A22C79">
        <w:trPr>
          <w:trHeight w:val="310"/>
        </w:trPr>
        <w:tc>
          <w:tcPr>
            <w:tcW w:w="5400" w:type="dxa"/>
            <w:tcBorders>
              <w:right w:val="single" w:sz="4" w:space="0" w:color="auto"/>
            </w:tcBorders>
            <w:shd w:val="clear" w:color="auto" w:fill="auto"/>
            <w:vAlign w:val="center"/>
            <w:hideMark/>
          </w:tcPr>
          <w:p w:rsidR="00005801" w:rsidRPr="00463E31" w:rsidRDefault="00005801" w:rsidP="00A22C79">
            <w:pPr>
              <w:rPr>
                <w:sz w:val="24"/>
                <w:szCs w:val="24"/>
                <w:lang w:eastAsia="es-CR"/>
              </w:rPr>
            </w:pPr>
            <w:r w:rsidRPr="00463E31">
              <w:rPr>
                <w:sz w:val="24"/>
                <w:szCs w:val="24"/>
                <w:lang w:eastAsia="es-CR"/>
              </w:rPr>
              <w:t>Tribunal Primer Circuito Judicial de la Zona Atlántica</w:t>
            </w:r>
          </w:p>
        </w:tc>
        <w:tc>
          <w:tcPr>
            <w:tcW w:w="1240" w:type="dxa"/>
            <w:tcBorders>
              <w:left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164</w:t>
            </w:r>
          </w:p>
        </w:tc>
        <w:tc>
          <w:tcPr>
            <w:tcW w:w="134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39%</w:t>
            </w:r>
          </w:p>
        </w:tc>
        <w:tc>
          <w:tcPr>
            <w:tcW w:w="138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61%</w:t>
            </w:r>
          </w:p>
        </w:tc>
      </w:tr>
      <w:tr w:rsidR="00005801" w:rsidRPr="00463E31" w:rsidTr="00A22C79">
        <w:trPr>
          <w:trHeight w:val="310"/>
        </w:trPr>
        <w:tc>
          <w:tcPr>
            <w:tcW w:w="5400" w:type="dxa"/>
            <w:tcBorders>
              <w:right w:val="single" w:sz="4" w:space="0" w:color="auto"/>
            </w:tcBorders>
            <w:shd w:val="clear" w:color="auto" w:fill="auto"/>
            <w:vAlign w:val="center"/>
            <w:hideMark/>
          </w:tcPr>
          <w:p w:rsidR="00005801" w:rsidRPr="00463E31" w:rsidRDefault="00005801" w:rsidP="00A22C79">
            <w:pPr>
              <w:rPr>
                <w:sz w:val="24"/>
                <w:szCs w:val="24"/>
                <w:lang w:eastAsia="es-CR"/>
              </w:rPr>
            </w:pPr>
            <w:r w:rsidRPr="00463E31">
              <w:rPr>
                <w:sz w:val="24"/>
                <w:szCs w:val="24"/>
                <w:lang w:eastAsia="es-CR"/>
              </w:rPr>
              <w:t>Tribunal Primero Civil</w:t>
            </w:r>
          </w:p>
        </w:tc>
        <w:tc>
          <w:tcPr>
            <w:tcW w:w="1240" w:type="dxa"/>
            <w:tcBorders>
              <w:left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161</w:t>
            </w:r>
          </w:p>
        </w:tc>
        <w:tc>
          <w:tcPr>
            <w:tcW w:w="134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38%</w:t>
            </w:r>
          </w:p>
        </w:tc>
        <w:tc>
          <w:tcPr>
            <w:tcW w:w="138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62%</w:t>
            </w:r>
          </w:p>
        </w:tc>
      </w:tr>
      <w:tr w:rsidR="00005801" w:rsidRPr="00463E31" w:rsidTr="00A22C79">
        <w:trPr>
          <w:trHeight w:val="310"/>
        </w:trPr>
        <w:tc>
          <w:tcPr>
            <w:tcW w:w="5400" w:type="dxa"/>
            <w:tcBorders>
              <w:right w:val="single" w:sz="4" w:space="0" w:color="auto"/>
            </w:tcBorders>
            <w:shd w:val="clear" w:color="auto" w:fill="auto"/>
            <w:vAlign w:val="center"/>
            <w:hideMark/>
          </w:tcPr>
          <w:p w:rsidR="00005801" w:rsidRPr="00463E31" w:rsidRDefault="00005801" w:rsidP="00A22C79">
            <w:pPr>
              <w:rPr>
                <w:sz w:val="24"/>
                <w:szCs w:val="24"/>
                <w:lang w:eastAsia="es-CR"/>
              </w:rPr>
            </w:pPr>
            <w:r w:rsidRPr="00463E31">
              <w:rPr>
                <w:sz w:val="24"/>
                <w:szCs w:val="24"/>
                <w:lang w:eastAsia="es-CR"/>
              </w:rPr>
              <w:t>Tribunal de Primer Circuito Judicial de Alajuela</w:t>
            </w:r>
          </w:p>
        </w:tc>
        <w:tc>
          <w:tcPr>
            <w:tcW w:w="1240" w:type="dxa"/>
            <w:tcBorders>
              <w:left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161</w:t>
            </w:r>
          </w:p>
        </w:tc>
        <w:tc>
          <w:tcPr>
            <w:tcW w:w="134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38%</w:t>
            </w:r>
          </w:p>
        </w:tc>
        <w:tc>
          <w:tcPr>
            <w:tcW w:w="138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62%</w:t>
            </w:r>
          </w:p>
        </w:tc>
      </w:tr>
      <w:tr w:rsidR="00005801" w:rsidRPr="00463E31" w:rsidTr="00A22C79">
        <w:trPr>
          <w:trHeight w:val="310"/>
        </w:trPr>
        <w:tc>
          <w:tcPr>
            <w:tcW w:w="5400" w:type="dxa"/>
            <w:tcBorders>
              <w:right w:val="single" w:sz="4" w:space="0" w:color="auto"/>
            </w:tcBorders>
            <w:shd w:val="clear" w:color="auto" w:fill="auto"/>
            <w:vAlign w:val="center"/>
            <w:hideMark/>
          </w:tcPr>
          <w:p w:rsidR="00005801" w:rsidRPr="00463E31" w:rsidRDefault="00005801" w:rsidP="00A22C79">
            <w:pPr>
              <w:rPr>
                <w:sz w:val="24"/>
                <w:szCs w:val="24"/>
                <w:lang w:eastAsia="es-CR"/>
              </w:rPr>
            </w:pPr>
            <w:r w:rsidRPr="00463E31">
              <w:rPr>
                <w:sz w:val="24"/>
                <w:szCs w:val="24"/>
                <w:lang w:eastAsia="es-CR"/>
              </w:rPr>
              <w:t>Tribunal Primer Circuito Judicial de Guanacaste</w:t>
            </w:r>
          </w:p>
        </w:tc>
        <w:tc>
          <w:tcPr>
            <w:tcW w:w="1240" w:type="dxa"/>
            <w:tcBorders>
              <w:left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155</w:t>
            </w:r>
          </w:p>
        </w:tc>
        <w:tc>
          <w:tcPr>
            <w:tcW w:w="134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35%</w:t>
            </w:r>
          </w:p>
        </w:tc>
        <w:tc>
          <w:tcPr>
            <w:tcW w:w="138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65%</w:t>
            </w:r>
          </w:p>
        </w:tc>
      </w:tr>
      <w:tr w:rsidR="00005801" w:rsidRPr="00463E31" w:rsidTr="00A22C79">
        <w:trPr>
          <w:trHeight w:val="310"/>
        </w:trPr>
        <w:tc>
          <w:tcPr>
            <w:tcW w:w="5400" w:type="dxa"/>
            <w:tcBorders>
              <w:right w:val="single" w:sz="4" w:space="0" w:color="auto"/>
            </w:tcBorders>
            <w:shd w:val="clear" w:color="auto" w:fill="auto"/>
            <w:vAlign w:val="center"/>
            <w:hideMark/>
          </w:tcPr>
          <w:p w:rsidR="00005801" w:rsidRPr="00463E31" w:rsidRDefault="00005801" w:rsidP="00A22C79">
            <w:pPr>
              <w:rPr>
                <w:sz w:val="24"/>
                <w:szCs w:val="24"/>
                <w:lang w:eastAsia="es-CR"/>
              </w:rPr>
            </w:pPr>
            <w:r w:rsidRPr="00463E31">
              <w:rPr>
                <w:sz w:val="24"/>
                <w:szCs w:val="24"/>
                <w:lang w:eastAsia="es-CR"/>
              </w:rPr>
              <w:t>Tribunal de Cartago</w:t>
            </w:r>
          </w:p>
        </w:tc>
        <w:tc>
          <w:tcPr>
            <w:tcW w:w="1240" w:type="dxa"/>
            <w:tcBorders>
              <w:left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154</w:t>
            </w:r>
          </w:p>
        </w:tc>
        <w:tc>
          <w:tcPr>
            <w:tcW w:w="134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35%</w:t>
            </w:r>
          </w:p>
        </w:tc>
        <w:tc>
          <w:tcPr>
            <w:tcW w:w="138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65%</w:t>
            </w:r>
          </w:p>
        </w:tc>
      </w:tr>
      <w:tr w:rsidR="00005801" w:rsidRPr="00463E31" w:rsidTr="00A22C79">
        <w:trPr>
          <w:trHeight w:val="310"/>
        </w:trPr>
        <w:tc>
          <w:tcPr>
            <w:tcW w:w="5400" w:type="dxa"/>
            <w:tcBorders>
              <w:right w:val="single" w:sz="4" w:space="0" w:color="auto"/>
            </w:tcBorders>
            <w:shd w:val="clear" w:color="auto" w:fill="auto"/>
            <w:vAlign w:val="center"/>
            <w:hideMark/>
          </w:tcPr>
          <w:p w:rsidR="00005801" w:rsidRPr="00463E31" w:rsidRDefault="00005801" w:rsidP="00A22C79">
            <w:pPr>
              <w:rPr>
                <w:sz w:val="24"/>
                <w:szCs w:val="24"/>
                <w:lang w:eastAsia="es-CR"/>
              </w:rPr>
            </w:pPr>
            <w:r w:rsidRPr="00463E31">
              <w:rPr>
                <w:sz w:val="24"/>
                <w:szCs w:val="24"/>
                <w:lang w:eastAsia="es-CR"/>
              </w:rPr>
              <w:t xml:space="preserve">Tribunal Segundo Civil                   </w:t>
            </w:r>
          </w:p>
        </w:tc>
        <w:tc>
          <w:tcPr>
            <w:tcW w:w="1240" w:type="dxa"/>
            <w:tcBorders>
              <w:left w:val="single" w:sz="4" w:space="0" w:color="auto"/>
              <w:bottom w:val="single" w:sz="4" w:space="0" w:color="auto"/>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132</w:t>
            </w:r>
          </w:p>
        </w:tc>
        <w:tc>
          <w:tcPr>
            <w:tcW w:w="134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24%</w:t>
            </w:r>
          </w:p>
        </w:tc>
        <w:tc>
          <w:tcPr>
            <w:tcW w:w="1380" w:type="dxa"/>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76%</w:t>
            </w:r>
          </w:p>
        </w:tc>
      </w:tr>
    </w:tbl>
    <w:p w:rsidR="00005801" w:rsidRDefault="00005801" w:rsidP="00005801">
      <w:pPr>
        <w:spacing w:line="360" w:lineRule="auto"/>
        <w:jc w:val="both"/>
        <w:rPr>
          <w:sz w:val="28"/>
          <w:szCs w:val="28"/>
        </w:rPr>
      </w:pPr>
    </w:p>
    <w:p w:rsidR="00463E31" w:rsidRPr="00D72062" w:rsidRDefault="00463E31" w:rsidP="00005801">
      <w:pPr>
        <w:spacing w:line="360" w:lineRule="auto"/>
        <w:jc w:val="both"/>
        <w:rPr>
          <w:sz w:val="28"/>
          <w:szCs w:val="28"/>
        </w:rPr>
      </w:pPr>
    </w:p>
    <w:p w:rsidR="00005801" w:rsidRPr="00D72062" w:rsidRDefault="00005801" w:rsidP="00005801">
      <w:pPr>
        <w:widowControl w:val="0"/>
        <w:numPr>
          <w:ilvl w:val="0"/>
          <w:numId w:val="28"/>
        </w:numPr>
        <w:autoSpaceDE w:val="0"/>
        <w:autoSpaceDN w:val="0"/>
        <w:adjustRightInd w:val="0"/>
        <w:spacing w:line="360" w:lineRule="auto"/>
        <w:jc w:val="both"/>
        <w:rPr>
          <w:sz w:val="28"/>
          <w:szCs w:val="28"/>
        </w:rPr>
      </w:pPr>
      <w:r w:rsidRPr="00D72062">
        <w:rPr>
          <w:b/>
          <w:sz w:val="28"/>
          <w:szCs w:val="28"/>
        </w:rPr>
        <w:t>CASOS ENTRADOS</w:t>
      </w:r>
    </w:p>
    <w:p w:rsidR="00005801" w:rsidRPr="00D72062" w:rsidRDefault="00005801" w:rsidP="00005801">
      <w:pPr>
        <w:spacing w:line="360" w:lineRule="auto"/>
        <w:ind w:left="720"/>
        <w:jc w:val="both"/>
        <w:rPr>
          <w:sz w:val="28"/>
          <w:szCs w:val="28"/>
        </w:rPr>
      </w:pPr>
    </w:p>
    <w:p w:rsidR="00005801" w:rsidRPr="00D72062" w:rsidRDefault="00005801" w:rsidP="00005801">
      <w:pPr>
        <w:spacing w:line="360" w:lineRule="auto"/>
        <w:jc w:val="both"/>
        <w:rPr>
          <w:sz w:val="28"/>
          <w:szCs w:val="28"/>
        </w:rPr>
      </w:pPr>
      <w:r w:rsidRPr="00D72062">
        <w:rPr>
          <w:sz w:val="28"/>
          <w:szCs w:val="28"/>
        </w:rPr>
        <w:t xml:space="preserve">Este año, se interrumpe la relativa estabilidad en el volumen de casos entrados al conjunto de los Tribunales Civiles. Como se puede apreciar en el siguiente gráfico del 2013 al 2016 el ingreso nuevo de casos osciló en un rango que iba desde los </w:t>
      </w:r>
      <w:r w:rsidRPr="00D72062">
        <w:rPr>
          <w:sz w:val="28"/>
          <w:szCs w:val="28"/>
          <w:u w:val="single"/>
        </w:rPr>
        <w:t>4.000 y los 4.300</w:t>
      </w:r>
      <w:r w:rsidRPr="00D72062">
        <w:rPr>
          <w:sz w:val="28"/>
          <w:szCs w:val="28"/>
        </w:rPr>
        <w:t xml:space="preserve"> casos, no obstante, el valor de esta variable estadística se incrementa en el 2017 a los </w:t>
      </w:r>
      <w:r w:rsidRPr="00D72062">
        <w:rPr>
          <w:b/>
          <w:sz w:val="28"/>
          <w:szCs w:val="28"/>
        </w:rPr>
        <w:t>4.829</w:t>
      </w:r>
      <w:r w:rsidRPr="00D72062">
        <w:rPr>
          <w:sz w:val="28"/>
          <w:szCs w:val="28"/>
        </w:rPr>
        <w:t xml:space="preserve"> casos acercándose a la frontera de los 5.000 asuntos; esta cifra es un </w:t>
      </w:r>
      <w:r w:rsidRPr="00D72062">
        <w:rPr>
          <w:b/>
          <w:sz w:val="28"/>
          <w:szCs w:val="28"/>
        </w:rPr>
        <w:t>15%</w:t>
      </w:r>
      <w:r w:rsidRPr="00D72062">
        <w:rPr>
          <w:sz w:val="28"/>
          <w:szCs w:val="28"/>
        </w:rPr>
        <w:t xml:space="preserve"> mayor que el promedio anual del periodo 2013-2016, porcentaje de crecimiento suficiente para alejarlo de la relativa estabilidad anterior.</w:t>
      </w:r>
    </w:p>
    <w:p w:rsidR="00005801" w:rsidRDefault="00005801" w:rsidP="00005801">
      <w:pPr>
        <w:spacing w:line="360" w:lineRule="auto"/>
        <w:jc w:val="both"/>
      </w:pPr>
    </w:p>
    <w:p w:rsidR="00463E31" w:rsidRDefault="00463E31" w:rsidP="00005801">
      <w:pPr>
        <w:spacing w:line="360" w:lineRule="auto"/>
        <w:jc w:val="both"/>
      </w:pPr>
    </w:p>
    <w:p w:rsidR="00463E31" w:rsidRDefault="00463E31" w:rsidP="00005801">
      <w:pPr>
        <w:spacing w:line="360" w:lineRule="auto"/>
        <w:jc w:val="both"/>
      </w:pPr>
    </w:p>
    <w:p w:rsidR="00463E31" w:rsidRDefault="00463E31" w:rsidP="00005801">
      <w:pPr>
        <w:spacing w:line="360" w:lineRule="auto"/>
        <w:jc w:val="both"/>
      </w:pPr>
    </w:p>
    <w:p w:rsidR="00463E31" w:rsidRDefault="00463E31" w:rsidP="00005801">
      <w:pPr>
        <w:spacing w:line="360" w:lineRule="auto"/>
        <w:jc w:val="both"/>
      </w:pPr>
    </w:p>
    <w:p w:rsidR="00463E31" w:rsidRDefault="00463E31" w:rsidP="00005801">
      <w:pPr>
        <w:spacing w:line="360" w:lineRule="auto"/>
        <w:jc w:val="both"/>
      </w:pPr>
    </w:p>
    <w:p w:rsidR="00005801" w:rsidRPr="002321ED" w:rsidRDefault="003C3BFC" w:rsidP="00005801">
      <w:pPr>
        <w:spacing w:line="360" w:lineRule="auto"/>
        <w:jc w:val="center"/>
      </w:pPr>
      <w:r>
        <w:rPr>
          <w:noProof/>
          <w:lang w:eastAsia="es-CR"/>
        </w:rPr>
        <w:drawing>
          <wp:inline distT="0" distB="0" distL="0" distR="0">
            <wp:extent cx="5155565" cy="3052445"/>
            <wp:effectExtent l="0" t="0" r="0" b="0"/>
            <wp:docPr id="21" name="Objet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3E31" w:rsidRDefault="00463E31" w:rsidP="00005801">
      <w:pPr>
        <w:spacing w:line="360" w:lineRule="auto"/>
        <w:jc w:val="both"/>
        <w:rPr>
          <w:sz w:val="28"/>
          <w:szCs w:val="28"/>
        </w:rPr>
      </w:pPr>
    </w:p>
    <w:p w:rsidR="00005801" w:rsidRPr="00D72062" w:rsidRDefault="00005801" w:rsidP="00005801">
      <w:pPr>
        <w:spacing w:line="360" w:lineRule="auto"/>
        <w:jc w:val="both"/>
        <w:rPr>
          <w:sz w:val="28"/>
          <w:szCs w:val="28"/>
        </w:rPr>
      </w:pPr>
      <w:r w:rsidRPr="00D72062">
        <w:rPr>
          <w:sz w:val="28"/>
          <w:szCs w:val="28"/>
        </w:rPr>
        <w:t xml:space="preserve">La distribución de los asuntos ingresados de acuerdo al despacho se muestra en la siguiente tabla. En el 2017, el Tribunal Civil del Primer Circuito Judicial de Alajuela fue donde se dio el mayor crecimiento relativo respecto al reporte del año anterior; el crecimiento de la entrada a este despacho fue del un </w:t>
      </w:r>
      <w:r w:rsidRPr="00D72062">
        <w:rPr>
          <w:b/>
          <w:sz w:val="28"/>
          <w:szCs w:val="28"/>
        </w:rPr>
        <w:t>86%</w:t>
      </w:r>
      <w:r w:rsidRPr="00D72062">
        <w:rPr>
          <w:sz w:val="28"/>
          <w:szCs w:val="28"/>
        </w:rPr>
        <w:t xml:space="preserve">. Por otro lado, el subgrupo de despachos que decrecieron en volumen de entrados se </w:t>
      </w:r>
      <w:proofErr w:type="gramStart"/>
      <w:r w:rsidRPr="00D72062">
        <w:rPr>
          <w:sz w:val="28"/>
          <w:szCs w:val="28"/>
        </w:rPr>
        <w:t>ubican</w:t>
      </w:r>
      <w:proofErr w:type="gramEnd"/>
      <w:r w:rsidRPr="00D72062">
        <w:rPr>
          <w:sz w:val="28"/>
          <w:szCs w:val="28"/>
        </w:rPr>
        <w:t xml:space="preserve"> los que dejaron de ser competentes así como el de Cartago y el Segundo Civil de San José.</w:t>
      </w:r>
    </w:p>
    <w:tbl>
      <w:tblPr>
        <w:tblW w:w="7780" w:type="dxa"/>
        <w:jc w:val="center"/>
        <w:tblInd w:w="61" w:type="dxa"/>
        <w:tblCellMar>
          <w:left w:w="70" w:type="dxa"/>
          <w:right w:w="70" w:type="dxa"/>
        </w:tblCellMar>
        <w:tblLook w:val="04A0"/>
      </w:tblPr>
      <w:tblGrid>
        <w:gridCol w:w="4220"/>
        <w:gridCol w:w="700"/>
        <w:gridCol w:w="700"/>
        <w:gridCol w:w="1140"/>
        <w:gridCol w:w="1020"/>
      </w:tblGrid>
      <w:tr w:rsidR="00005801" w:rsidRPr="00463E31" w:rsidTr="00A22C79">
        <w:trPr>
          <w:trHeight w:val="920"/>
          <w:jc w:val="center"/>
        </w:trPr>
        <w:tc>
          <w:tcPr>
            <w:tcW w:w="7780" w:type="dxa"/>
            <w:gridSpan w:val="5"/>
            <w:tcBorders>
              <w:top w:val="nil"/>
              <w:left w:val="nil"/>
              <w:bottom w:val="single" w:sz="4" w:space="0" w:color="auto"/>
              <w:right w:val="nil"/>
            </w:tcBorders>
            <w:shd w:val="clear" w:color="auto" w:fill="auto"/>
            <w:vAlign w:val="center"/>
          </w:tcPr>
          <w:p w:rsidR="00463E31" w:rsidRDefault="00463E31" w:rsidP="00D72062">
            <w:pPr>
              <w:rPr>
                <w:b/>
                <w:sz w:val="24"/>
                <w:szCs w:val="24"/>
                <w:lang w:eastAsia="en-US"/>
              </w:rPr>
            </w:pPr>
            <w:bookmarkStart w:id="0" w:name="_Hlk517861583"/>
          </w:p>
          <w:p w:rsidR="00463E31" w:rsidRDefault="00463E31" w:rsidP="00D72062">
            <w:pPr>
              <w:rPr>
                <w:b/>
                <w:sz w:val="24"/>
                <w:szCs w:val="24"/>
                <w:lang w:eastAsia="en-US"/>
              </w:rPr>
            </w:pPr>
          </w:p>
          <w:p w:rsidR="00463E31" w:rsidRDefault="00463E31" w:rsidP="00D72062">
            <w:pPr>
              <w:rPr>
                <w:b/>
                <w:sz w:val="24"/>
                <w:szCs w:val="24"/>
                <w:lang w:eastAsia="en-US"/>
              </w:rPr>
            </w:pPr>
          </w:p>
          <w:p w:rsidR="00463E31" w:rsidRDefault="00463E31" w:rsidP="00D72062">
            <w:pPr>
              <w:rPr>
                <w:b/>
                <w:sz w:val="24"/>
                <w:szCs w:val="24"/>
                <w:lang w:eastAsia="en-US"/>
              </w:rPr>
            </w:pPr>
          </w:p>
          <w:p w:rsidR="00463E31" w:rsidRDefault="00463E31" w:rsidP="00D72062">
            <w:pPr>
              <w:rPr>
                <w:b/>
                <w:sz w:val="24"/>
                <w:szCs w:val="24"/>
                <w:lang w:eastAsia="en-US"/>
              </w:rPr>
            </w:pPr>
          </w:p>
          <w:p w:rsidR="00463E31" w:rsidRDefault="00463E31" w:rsidP="00D72062">
            <w:pPr>
              <w:rPr>
                <w:b/>
                <w:sz w:val="24"/>
                <w:szCs w:val="24"/>
                <w:lang w:eastAsia="en-US"/>
              </w:rPr>
            </w:pPr>
          </w:p>
          <w:p w:rsidR="00463E31" w:rsidRDefault="00463E31" w:rsidP="00D72062">
            <w:pPr>
              <w:rPr>
                <w:b/>
                <w:sz w:val="24"/>
                <w:szCs w:val="24"/>
                <w:lang w:eastAsia="en-US"/>
              </w:rPr>
            </w:pPr>
          </w:p>
          <w:p w:rsidR="00463E31" w:rsidRDefault="00463E31" w:rsidP="00D72062">
            <w:pPr>
              <w:rPr>
                <w:b/>
                <w:sz w:val="24"/>
                <w:szCs w:val="24"/>
                <w:lang w:eastAsia="en-US"/>
              </w:rPr>
            </w:pPr>
          </w:p>
          <w:p w:rsidR="00463E31" w:rsidRDefault="00463E31" w:rsidP="00D72062">
            <w:pPr>
              <w:rPr>
                <w:b/>
                <w:sz w:val="24"/>
                <w:szCs w:val="24"/>
                <w:lang w:eastAsia="en-US"/>
              </w:rPr>
            </w:pPr>
          </w:p>
          <w:p w:rsidR="00463E31" w:rsidRDefault="00463E31" w:rsidP="00D72062">
            <w:pPr>
              <w:rPr>
                <w:b/>
                <w:sz w:val="24"/>
                <w:szCs w:val="24"/>
                <w:lang w:eastAsia="en-US"/>
              </w:rPr>
            </w:pPr>
          </w:p>
          <w:p w:rsidR="00463E31" w:rsidRDefault="00463E31" w:rsidP="00D72062">
            <w:pPr>
              <w:rPr>
                <w:b/>
                <w:sz w:val="24"/>
                <w:szCs w:val="24"/>
                <w:lang w:eastAsia="en-US"/>
              </w:rPr>
            </w:pPr>
          </w:p>
          <w:p w:rsidR="00D72062" w:rsidRPr="00463E31" w:rsidRDefault="00005801" w:rsidP="00D72062">
            <w:pPr>
              <w:rPr>
                <w:b/>
                <w:sz w:val="24"/>
                <w:szCs w:val="24"/>
                <w:lang w:eastAsia="en-US"/>
              </w:rPr>
            </w:pPr>
            <w:r w:rsidRPr="00463E31">
              <w:rPr>
                <w:b/>
                <w:sz w:val="24"/>
                <w:szCs w:val="24"/>
                <w:lang w:eastAsia="en-US"/>
              </w:rPr>
              <w:t xml:space="preserve">Cuadro </w:t>
            </w:r>
            <w:r w:rsidR="00D72062" w:rsidRPr="00463E31">
              <w:rPr>
                <w:b/>
                <w:sz w:val="24"/>
                <w:szCs w:val="24"/>
                <w:lang w:eastAsia="en-US"/>
              </w:rPr>
              <w:t>3</w:t>
            </w:r>
          </w:p>
          <w:p w:rsidR="00005801" w:rsidRDefault="00005801" w:rsidP="00D72062">
            <w:pPr>
              <w:jc w:val="center"/>
              <w:rPr>
                <w:b/>
                <w:sz w:val="24"/>
                <w:szCs w:val="24"/>
                <w:lang w:eastAsia="en-US"/>
              </w:rPr>
            </w:pPr>
            <w:r w:rsidRPr="00463E31">
              <w:rPr>
                <w:b/>
                <w:sz w:val="24"/>
                <w:szCs w:val="24"/>
                <w:lang w:eastAsia="en-US"/>
              </w:rPr>
              <w:t>Evolución de los casos entrados, según el Tribunales Civiles, durante el 2016-2017</w:t>
            </w:r>
            <w:bookmarkEnd w:id="0"/>
          </w:p>
          <w:p w:rsidR="00463E31" w:rsidRPr="00463E31" w:rsidRDefault="00463E31" w:rsidP="00D72062">
            <w:pPr>
              <w:jc w:val="center"/>
              <w:rPr>
                <w:b/>
                <w:bCs/>
                <w:color w:val="000000"/>
                <w:sz w:val="24"/>
                <w:szCs w:val="24"/>
                <w:lang w:eastAsia="es-CR"/>
              </w:rPr>
            </w:pPr>
          </w:p>
        </w:tc>
      </w:tr>
      <w:tr w:rsidR="00005801" w:rsidRPr="00463E31" w:rsidTr="00A22C79">
        <w:trPr>
          <w:trHeight w:val="310"/>
          <w:jc w:val="center"/>
        </w:trPr>
        <w:tc>
          <w:tcPr>
            <w:tcW w:w="4220" w:type="dxa"/>
            <w:vMerge w:val="restart"/>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u w:val="single"/>
                <w:lang w:eastAsia="es-CR"/>
              </w:rPr>
            </w:pPr>
            <w:r w:rsidRPr="00463E31">
              <w:rPr>
                <w:b/>
                <w:bCs/>
                <w:color w:val="000000"/>
                <w:sz w:val="24"/>
                <w:szCs w:val="24"/>
                <w:u w:val="single"/>
                <w:lang w:eastAsia="es-CR"/>
              </w:rPr>
              <w:lastRenderedPageBreak/>
              <w:t>Tribunal</w:t>
            </w:r>
          </w:p>
        </w:tc>
        <w:tc>
          <w:tcPr>
            <w:tcW w:w="1400" w:type="dxa"/>
            <w:gridSpan w:val="2"/>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u w:val="single"/>
                <w:lang w:eastAsia="es-CR"/>
              </w:rPr>
            </w:pPr>
            <w:r w:rsidRPr="00463E31">
              <w:rPr>
                <w:b/>
                <w:bCs/>
                <w:color w:val="000000"/>
                <w:sz w:val="24"/>
                <w:szCs w:val="24"/>
                <w:u w:val="single"/>
                <w:lang w:eastAsia="es-CR"/>
              </w:rPr>
              <w:t>Año</w:t>
            </w:r>
          </w:p>
        </w:tc>
        <w:tc>
          <w:tcPr>
            <w:tcW w:w="2160" w:type="dxa"/>
            <w:gridSpan w:val="2"/>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u w:val="single"/>
                <w:lang w:eastAsia="es-CR"/>
              </w:rPr>
            </w:pPr>
            <w:r w:rsidRPr="00463E31">
              <w:rPr>
                <w:b/>
                <w:bCs/>
                <w:color w:val="000000"/>
                <w:sz w:val="24"/>
                <w:szCs w:val="24"/>
                <w:u w:val="single"/>
                <w:lang w:eastAsia="es-CR"/>
              </w:rPr>
              <w:t>Variación</w:t>
            </w:r>
          </w:p>
        </w:tc>
      </w:tr>
      <w:tr w:rsidR="00005801" w:rsidRPr="00463E31" w:rsidTr="00A22C79">
        <w:trPr>
          <w:trHeight w:val="310"/>
          <w:jc w:val="center"/>
        </w:trPr>
        <w:tc>
          <w:tcPr>
            <w:tcW w:w="4220" w:type="dxa"/>
            <w:vMerge/>
            <w:tcBorders>
              <w:top w:val="nil"/>
              <w:left w:val="nil"/>
              <w:bottom w:val="single" w:sz="4" w:space="0" w:color="auto"/>
              <w:right w:val="nil"/>
            </w:tcBorders>
            <w:vAlign w:val="center"/>
            <w:hideMark/>
          </w:tcPr>
          <w:p w:rsidR="00005801" w:rsidRPr="00463E31" w:rsidRDefault="00005801" w:rsidP="00A22C79">
            <w:pPr>
              <w:rPr>
                <w:b/>
                <w:bCs/>
                <w:color w:val="000000"/>
                <w:sz w:val="24"/>
                <w:szCs w:val="24"/>
                <w:u w:val="single"/>
                <w:lang w:eastAsia="es-CR"/>
              </w:rPr>
            </w:pPr>
          </w:p>
        </w:tc>
        <w:tc>
          <w:tcPr>
            <w:tcW w:w="700" w:type="dxa"/>
            <w:tcBorders>
              <w:top w:val="nil"/>
              <w:left w:val="nil"/>
              <w:bottom w:val="single" w:sz="4" w:space="0" w:color="auto"/>
              <w:right w:val="nil"/>
            </w:tcBorders>
            <w:shd w:val="clear" w:color="auto" w:fill="auto"/>
            <w:vAlign w:val="center"/>
            <w:hideMark/>
          </w:tcPr>
          <w:p w:rsidR="00005801" w:rsidRPr="00463E31" w:rsidRDefault="00005801" w:rsidP="00A22C79">
            <w:pPr>
              <w:jc w:val="both"/>
              <w:rPr>
                <w:b/>
                <w:bCs/>
                <w:color w:val="000000"/>
                <w:sz w:val="24"/>
                <w:szCs w:val="24"/>
                <w:u w:val="single"/>
                <w:lang w:eastAsia="es-CR"/>
              </w:rPr>
            </w:pPr>
            <w:r w:rsidRPr="00463E31">
              <w:rPr>
                <w:b/>
                <w:bCs/>
                <w:color w:val="000000"/>
                <w:sz w:val="24"/>
                <w:szCs w:val="24"/>
                <w:u w:val="single"/>
                <w:lang w:eastAsia="es-CR"/>
              </w:rPr>
              <w:t>2016</w:t>
            </w:r>
          </w:p>
        </w:tc>
        <w:tc>
          <w:tcPr>
            <w:tcW w:w="700" w:type="dxa"/>
            <w:tcBorders>
              <w:top w:val="nil"/>
              <w:left w:val="nil"/>
              <w:bottom w:val="single" w:sz="4" w:space="0" w:color="auto"/>
              <w:right w:val="nil"/>
            </w:tcBorders>
            <w:shd w:val="clear" w:color="auto" w:fill="auto"/>
            <w:vAlign w:val="center"/>
            <w:hideMark/>
          </w:tcPr>
          <w:p w:rsidR="00005801" w:rsidRPr="00463E31" w:rsidRDefault="00005801" w:rsidP="00A22C79">
            <w:pPr>
              <w:jc w:val="both"/>
              <w:rPr>
                <w:b/>
                <w:bCs/>
                <w:color w:val="000000"/>
                <w:sz w:val="24"/>
                <w:szCs w:val="24"/>
                <w:u w:val="single"/>
                <w:lang w:eastAsia="es-CR"/>
              </w:rPr>
            </w:pPr>
            <w:r w:rsidRPr="00463E31">
              <w:rPr>
                <w:b/>
                <w:bCs/>
                <w:color w:val="000000"/>
                <w:sz w:val="24"/>
                <w:szCs w:val="24"/>
                <w:u w:val="single"/>
                <w:lang w:eastAsia="es-CR"/>
              </w:rPr>
              <w:t>2017</w:t>
            </w:r>
          </w:p>
        </w:tc>
        <w:tc>
          <w:tcPr>
            <w:tcW w:w="1140" w:type="dxa"/>
            <w:tcBorders>
              <w:top w:val="nil"/>
              <w:left w:val="nil"/>
              <w:bottom w:val="single" w:sz="4" w:space="0" w:color="auto"/>
              <w:right w:val="nil"/>
            </w:tcBorders>
            <w:shd w:val="clear" w:color="auto" w:fill="auto"/>
            <w:vAlign w:val="center"/>
            <w:hideMark/>
          </w:tcPr>
          <w:p w:rsidR="00005801" w:rsidRPr="00463E31" w:rsidRDefault="00005801" w:rsidP="00A22C79">
            <w:pPr>
              <w:jc w:val="both"/>
              <w:rPr>
                <w:b/>
                <w:bCs/>
                <w:color w:val="000000"/>
                <w:sz w:val="24"/>
                <w:szCs w:val="24"/>
                <w:u w:val="single"/>
                <w:lang w:eastAsia="es-CR"/>
              </w:rPr>
            </w:pPr>
            <w:r w:rsidRPr="00463E31">
              <w:rPr>
                <w:b/>
                <w:bCs/>
                <w:color w:val="000000"/>
                <w:sz w:val="24"/>
                <w:szCs w:val="24"/>
                <w:u w:val="single"/>
                <w:lang w:eastAsia="es-CR"/>
              </w:rPr>
              <w:t>Absoluta</w:t>
            </w:r>
          </w:p>
        </w:tc>
        <w:tc>
          <w:tcPr>
            <w:tcW w:w="1020" w:type="dxa"/>
            <w:tcBorders>
              <w:top w:val="nil"/>
              <w:left w:val="nil"/>
              <w:bottom w:val="single" w:sz="4" w:space="0" w:color="auto"/>
              <w:right w:val="nil"/>
            </w:tcBorders>
            <w:shd w:val="clear" w:color="auto" w:fill="auto"/>
            <w:vAlign w:val="center"/>
            <w:hideMark/>
          </w:tcPr>
          <w:p w:rsidR="00005801" w:rsidRPr="00463E31" w:rsidRDefault="00005801" w:rsidP="00A22C79">
            <w:pPr>
              <w:jc w:val="both"/>
              <w:rPr>
                <w:b/>
                <w:bCs/>
                <w:color w:val="000000"/>
                <w:sz w:val="24"/>
                <w:szCs w:val="24"/>
                <w:u w:val="single"/>
                <w:lang w:eastAsia="es-CR"/>
              </w:rPr>
            </w:pPr>
            <w:r w:rsidRPr="00463E31">
              <w:rPr>
                <w:b/>
                <w:bCs/>
                <w:color w:val="000000"/>
                <w:sz w:val="24"/>
                <w:szCs w:val="24"/>
                <w:u w:val="single"/>
                <w:lang w:eastAsia="es-CR"/>
              </w:rPr>
              <w:t>Relativa</w:t>
            </w:r>
          </w:p>
        </w:tc>
      </w:tr>
      <w:tr w:rsidR="00005801" w:rsidRPr="00463E31" w:rsidTr="00A22C79">
        <w:trPr>
          <w:trHeight w:val="630"/>
          <w:jc w:val="center"/>
        </w:trPr>
        <w:tc>
          <w:tcPr>
            <w:tcW w:w="7780" w:type="dxa"/>
            <w:gridSpan w:val="5"/>
            <w:tcBorders>
              <w:top w:val="single" w:sz="4" w:space="0" w:color="auto"/>
              <w:left w:val="nil"/>
              <w:bottom w:val="nil"/>
              <w:right w:val="nil"/>
            </w:tcBorders>
            <w:shd w:val="clear" w:color="auto" w:fill="auto"/>
            <w:vAlign w:val="center"/>
            <w:hideMark/>
          </w:tcPr>
          <w:p w:rsidR="00005801" w:rsidRPr="00463E31" w:rsidRDefault="00005801" w:rsidP="00A22C79">
            <w:pPr>
              <w:jc w:val="center"/>
              <w:rPr>
                <w:color w:val="000000"/>
                <w:sz w:val="24"/>
                <w:szCs w:val="24"/>
                <w:u w:val="double"/>
                <w:lang w:eastAsia="es-CR"/>
              </w:rPr>
            </w:pPr>
            <w:r w:rsidRPr="00463E31">
              <w:rPr>
                <w:color w:val="000000"/>
                <w:sz w:val="24"/>
                <w:szCs w:val="24"/>
                <w:u w:val="double"/>
                <w:lang w:eastAsia="es-CR"/>
              </w:rPr>
              <w:t>Aumentos</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 xml:space="preserve">Del  I Circ. Jud. de Alajuela </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289</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537</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248</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86%</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Primero Civil</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1.199</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1.804</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605</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50%</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 xml:space="preserve">De Puntarenas                                    </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117</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176</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59</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50%</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Del I Circ. Jud. de Guanacaste</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112</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164</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52</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46%</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Del  I Circ. Jud. de la Zona Atlántica</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103</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140</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37</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36%</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Del I Circ. Jud. Zona Sur</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155</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190</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35</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23%</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 Heredia</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367</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387</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20</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w:t>
            </w:r>
          </w:p>
        </w:tc>
      </w:tr>
      <w:tr w:rsidR="00005801" w:rsidRPr="00463E31" w:rsidTr="00A22C79">
        <w:trPr>
          <w:trHeight w:val="610"/>
          <w:jc w:val="center"/>
        </w:trPr>
        <w:tc>
          <w:tcPr>
            <w:tcW w:w="7780" w:type="dxa"/>
            <w:gridSpan w:val="5"/>
            <w:tcBorders>
              <w:top w:val="nil"/>
              <w:left w:val="nil"/>
              <w:bottom w:val="nil"/>
              <w:right w:val="nil"/>
            </w:tcBorders>
            <w:shd w:val="clear" w:color="auto" w:fill="auto"/>
            <w:vAlign w:val="center"/>
            <w:hideMark/>
          </w:tcPr>
          <w:p w:rsidR="00005801" w:rsidRPr="00463E31" w:rsidRDefault="00005801" w:rsidP="00A22C79">
            <w:pPr>
              <w:jc w:val="center"/>
              <w:rPr>
                <w:color w:val="000000"/>
                <w:sz w:val="24"/>
                <w:szCs w:val="24"/>
                <w:u w:val="double"/>
                <w:lang w:eastAsia="es-CR"/>
              </w:rPr>
            </w:pPr>
            <w:r w:rsidRPr="00463E31">
              <w:rPr>
                <w:color w:val="000000"/>
                <w:sz w:val="24"/>
                <w:szCs w:val="24"/>
                <w:u w:val="double"/>
                <w:lang w:eastAsia="es-CR"/>
              </w:rPr>
              <w:t>Disminuciones</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Del II Circ. Jud. Zona Sur</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67</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35</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-32</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-48%</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Del II Circ. Jud. de Guanacaste</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106</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58</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-48</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-45%</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Del  II Circ. Jud. de la Zona Atlántica</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79</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47</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-32</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-41%</w:t>
            </w:r>
          </w:p>
        </w:tc>
      </w:tr>
      <w:tr w:rsidR="00005801" w:rsidRPr="00463E31" w:rsidTr="00A22C79">
        <w:trPr>
          <w:trHeight w:val="310"/>
          <w:jc w:val="center"/>
        </w:trPr>
        <w:tc>
          <w:tcPr>
            <w:tcW w:w="4220" w:type="dxa"/>
            <w:tcBorders>
              <w:top w:val="nil"/>
              <w:left w:val="nil"/>
              <w:bottom w:val="nil"/>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Del III Circ. Jud. de Alajuela (</w:t>
            </w:r>
            <w:proofErr w:type="spellStart"/>
            <w:r w:rsidRPr="00463E31">
              <w:rPr>
                <w:color w:val="000000"/>
                <w:sz w:val="24"/>
                <w:szCs w:val="24"/>
                <w:lang w:eastAsia="es-CR"/>
              </w:rPr>
              <w:t>S.Ramón</w:t>
            </w:r>
            <w:proofErr w:type="spellEnd"/>
            <w:r w:rsidRPr="00463E31">
              <w:rPr>
                <w:color w:val="000000"/>
                <w:sz w:val="24"/>
                <w:szCs w:val="24"/>
                <w:lang w:eastAsia="es-CR"/>
              </w:rPr>
              <w:t>)</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94</w:t>
            </w:r>
          </w:p>
        </w:tc>
        <w:tc>
          <w:tcPr>
            <w:tcW w:w="70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62</w:t>
            </w:r>
          </w:p>
        </w:tc>
        <w:tc>
          <w:tcPr>
            <w:tcW w:w="114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-32</w:t>
            </w:r>
          </w:p>
        </w:tc>
        <w:tc>
          <w:tcPr>
            <w:tcW w:w="1020"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-34%</w:t>
            </w:r>
          </w:p>
        </w:tc>
      </w:tr>
      <w:tr w:rsidR="00005801" w:rsidRPr="00463E31" w:rsidTr="00A22C79">
        <w:trPr>
          <w:trHeight w:val="310"/>
          <w:jc w:val="center"/>
        </w:trPr>
        <w:tc>
          <w:tcPr>
            <w:tcW w:w="4220" w:type="dxa"/>
            <w:tcBorders>
              <w:top w:val="nil"/>
              <w:left w:val="nil"/>
              <w:bottom w:val="single" w:sz="4" w:space="0" w:color="auto"/>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Del III Circ. Jud. de Alajuela (Grecia)</w:t>
            </w:r>
          </w:p>
        </w:tc>
        <w:tc>
          <w:tcPr>
            <w:tcW w:w="70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110</w:t>
            </w:r>
          </w:p>
        </w:tc>
        <w:tc>
          <w:tcPr>
            <w:tcW w:w="70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79</w:t>
            </w:r>
          </w:p>
        </w:tc>
        <w:tc>
          <w:tcPr>
            <w:tcW w:w="114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-31</w:t>
            </w:r>
          </w:p>
        </w:tc>
        <w:tc>
          <w:tcPr>
            <w:tcW w:w="102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-28%</w:t>
            </w:r>
          </w:p>
        </w:tc>
      </w:tr>
      <w:tr w:rsidR="00005801" w:rsidRPr="00463E31" w:rsidTr="00A22C79">
        <w:trPr>
          <w:trHeight w:val="310"/>
          <w:jc w:val="center"/>
        </w:trPr>
        <w:tc>
          <w:tcPr>
            <w:tcW w:w="4220" w:type="dxa"/>
            <w:tcBorders>
              <w:top w:val="single" w:sz="4" w:space="0" w:color="auto"/>
              <w:left w:val="single" w:sz="4" w:space="0" w:color="auto"/>
              <w:bottom w:val="single" w:sz="4" w:space="0" w:color="auto"/>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 Cartago</w:t>
            </w:r>
          </w:p>
        </w:tc>
        <w:tc>
          <w:tcPr>
            <w:tcW w:w="70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377</w:t>
            </w:r>
          </w:p>
        </w:tc>
        <w:tc>
          <w:tcPr>
            <w:tcW w:w="70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286</w:t>
            </w:r>
          </w:p>
        </w:tc>
        <w:tc>
          <w:tcPr>
            <w:tcW w:w="114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-91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-24%</w:t>
            </w:r>
          </w:p>
        </w:tc>
      </w:tr>
      <w:tr w:rsidR="00005801" w:rsidRPr="00463E31" w:rsidTr="00A22C79">
        <w:trPr>
          <w:trHeight w:val="310"/>
          <w:jc w:val="center"/>
        </w:trPr>
        <w:tc>
          <w:tcPr>
            <w:tcW w:w="422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Del  II Circ. Jud. de Alajuela</w:t>
            </w:r>
          </w:p>
        </w:tc>
        <w:tc>
          <w:tcPr>
            <w:tcW w:w="70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139</w:t>
            </w:r>
          </w:p>
        </w:tc>
        <w:tc>
          <w:tcPr>
            <w:tcW w:w="70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108</w:t>
            </w:r>
          </w:p>
        </w:tc>
        <w:tc>
          <w:tcPr>
            <w:tcW w:w="114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-31</w:t>
            </w:r>
          </w:p>
        </w:tc>
        <w:tc>
          <w:tcPr>
            <w:tcW w:w="102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-22%</w:t>
            </w:r>
          </w:p>
        </w:tc>
      </w:tr>
      <w:tr w:rsidR="00005801" w:rsidRPr="00463E31" w:rsidTr="00A22C79">
        <w:trPr>
          <w:trHeight w:val="310"/>
          <w:jc w:val="center"/>
        </w:trPr>
        <w:tc>
          <w:tcPr>
            <w:tcW w:w="4220" w:type="dxa"/>
            <w:tcBorders>
              <w:top w:val="single" w:sz="4" w:space="0" w:color="auto"/>
              <w:left w:val="single" w:sz="4" w:space="0" w:color="auto"/>
              <w:bottom w:val="single" w:sz="4" w:space="0" w:color="auto"/>
              <w:right w:val="nil"/>
            </w:tcBorders>
            <w:shd w:val="clear" w:color="auto" w:fill="auto"/>
            <w:vAlign w:val="center"/>
            <w:hideMark/>
          </w:tcPr>
          <w:p w:rsidR="00005801" w:rsidRPr="00463E31" w:rsidRDefault="00005801" w:rsidP="00A22C79">
            <w:pPr>
              <w:rPr>
                <w:color w:val="000000"/>
                <w:sz w:val="24"/>
                <w:szCs w:val="24"/>
                <w:lang w:eastAsia="es-CR"/>
              </w:rPr>
            </w:pPr>
            <w:r w:rsidRPr="00463E31">
              <w:rPr>
                <w:color w:val="000000"/>
                <w:sz w:val="24"/>
                <w:szCs w:val="24"/>
                <w:lang w:eastAsia="es-CR"/>
              </w:rPr>
              <w:t xml:space="preserve">Segundo Civil                   </w:t>
            </w:r>
          </w:p>
        </w:tc>
        <w:tc>
          <w:tcPr>
            <w:tcW w:w="70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765</w:t>
            </w:r>
          </w:p>
        </w:tc>
        <w:tc>
          <w:tcPr>
            <w:tcW w:w="70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756</w:t>
            </w:r>
          </w:p>
        </w:tc>
        <w:tc>
          <w:tcPr>
            <w:tcW w:w="1140" w:type="dxa"/>
            <w:tcBorders>
              <w:top w:val="single" w:sz="4" w:space="0" w:color="auto"/>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w:t>
            </w:r>
          </w:p>
        </w:tc>
      </w:tr>
    </w:tbl>
    <w:p w:rsidR="00005801" w:rsidRPr="00463E31" w:rsidRDefault="00005801" w:rsidP="00005801">
      <w:pPr>
        <w:spacing w:line="360" w:lineRule="auto"/>
        <w:jc w:val="both"/>
        <w:rPr>
          <w:sz w:val="24"/>
          <w:szCs w:val="24"/>
        </w:rPr>
      </w:pPr>
    </w:p>
    <w:p w:rsidR="00D72062" w:rsidRPr="00D72062" w:rsidRDefault="00D72062" w:rsidP="00005801">
      <w:pPr>
        <w:spacing w:line="360" w:lineRule="auto"/>
        <w:jc w:val="both"/>
        <w:rPr>
          <w:b/>
          <w:sz w:val="28"/>
          <w:szCs w:val="28"/>
        </w:rPr>
      </w:pPr>
    </w:p>
    <w:p w:rsidR="00005801" w:rsidRPr="00D72062" w:rsidRDefault="00005801" w:rsidP="00005801">
      <w:pPr>
        <w:widowControl w:val="0"/>
        <w:numPr>
          <w:ilvl w:val="0"/>
          <w:numId w:val="28"/>
        </w:numPr>
        <w:autoSpaceDE w:val="0"/>
        <w:autoSpaceDN w:val="0"/>
        <w:adjustRightInd w:val="0"/>
        <w:spacing w:line="360" w:lineRule="auto"/>
        <w:jc w:val="both"/>
        <w:rPr>
          <w:b/>
          <w:sz w:val="28"/>
          <w:szCs w:val="28"/>
        </w:rPr>
      </w:pPr>
      <w:r w:rsidRPr="00D72062">
        <w:rPr>
          <w:b/>
          <w:sz w:val="28"/>
          <w:szCs w:val="28"/>
        </w:rPr>
        <w:t>CASOS TERMINADOS</w:t>
      </w:r>
    </w:p>
    <w:p w:rsidR="00005801" w:rsidRPr="00D72062" w:rsidRDefault="00005801" w:rsidP="00005801">
      <w:pPr>
        <w:spacing w:line="360" w:lineRule="auto"/>
        <w:jc w:val="both"/>
        <w:rPr>
          <w:sz w:val="28"/>
          <w:szCs w:val="28"/>
        </w:rPr>
      </w:pPr>
    </w:p>
    <w:p w:rsidR="00005801" w:rsidRPr="00D72062" w:rsidRDefault="00005801" w:rsidP="00005801">
      <w:pPr>
        <w:spacing w:line="360" w:lineRule="auto"/>
        <w:jc w:val="both"/>
        <w:rPr>
          <w:sz w:val="28"/>
          <w:szCs w:val="28"/>
        </w:rPr>
      </w:pPr>
      <w:r w:rsidRPr="00D72062">
        <w:rPr>
          <w:sz w:val="28"/>
          <w:szCs w:val="28"/>
        </w:rPr>
        <w:t xml:space="preserve">Luego del fuerte incremento del nivel de finiquito acaecido durante el 2016 en este año se produce una leve disminución en los casos terminados. Durante el 2017 se lograron finiquitar </w:t>
      </w:r>
      <w:r w:rsidRPr="00D72062">
        <w:rPr>
          <w:b/>
          <w:sz w:val="28"/>
          <w:szCs w:val="28"/>
        </w:rPr>
        <w:t>4.740</w:t>
      </w:r>
      <w:r w:rsidRPr="00D72062">
        <w:rPr>
          <w:sz w:val="28"/>
          <w:szCs w:val="28"/>
        </w:rPr>
        <w:t xml:space="preserve"> expedientes: </w:t>
      </w:r>
      <w:r w:rsidRPr="00D72062">
        <w:rPr>
          <w:b/>
          <w:sz w:val="28"/>
          <w:szCs w:val="28"/>
        </w:rPr>
        <w:t>188</w:t>
      </w:r>
      <w:r w:rsidRPr="00D72062">
        <w:rPr>
          <w:sz w:val="28"/>
          <w:szCs w:val="28"/>
        </w:rPr>
        <w:t xml:space="preserve"> menos para una </w:t>
      </w:r>
      <w:r w:rsidRPr="00D72062">
        <w:rPr>
          <w:sz w:val="28"/>
          <w:szCs w:val="28"/>
        </w:rPr>
        <w:lastRenderedPageBreak/>
        <w:t xml:space="preserve">disminución relativa de casi el </w:t>
      </w:r>
      <w:r w:rsidRPr="00D72062">
        <w:rPr>
          <w:b/>
          <w:sz w:val="28"/>
          <w:szCs w:val="28"/>
        </w:rPr>
        <w:t>4%</w:t>
      </w:r>
      <w:r w:rsidRPr="00D72062">
        <w:rPr>
          <w:sz w:val="28"/>
          <w:szCs w:val="28"/>
        </w:rPr>
        <w:t xml:space="preserve"> a escala nacional. No obstante, el nivel alcanzado este año es superior a los reportados del 2015 para atrás. </w:t>
      </w:r>
    </w:p>
    <w:p w:rsidR="00005801" w:rsidRPr="002321ED" w:rsidRDefault="00005801" w:rsidP="00005801">
      <w:pPr>
        <w:spacing w:line="360" w:lineRule="auto"/>
        <w:jc w:val="both"/>
      </w:pPr>
    </w:p>
    <w:p w:rsidR="00005801" w:rsidRPr="002321ED" w:rsidRDefault="003C3BFC" w:rsidP="00005801">
      <w:pPr>
        <w:spacing w:line="360" w:lineRule="auto"/>
        <w:jc w:val="both"/>
      </w:pPr>
      <w:r>
        <w:rPr>
          <w:noProof/>
          <w:lang w:eastAsia="es-CR"/>
        </w:rPr>
        <w:drawing>
          <wp:inline distT="0" distB="0" distL="0" distR="0">
            <wp:extent cx="5303520" cy="3052445"/>
            <wp:effectExtent l="0" t="0" r="0" b="0"/>
            <wp:docPr id="23" name="Objet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5801" w:rsidRPr="002321ED" w:rsidRDefault="00005801" w:rsidP="00005801">
      <w:pPr>
        <w:spacing w:line="360" w:lineRule="auto"/>
        <w:jc w:val="both"/>
      </w:pPr>
    </w:p>
    <w:p w:rsidR="00005801" w:rsidRPr="00D72062" w:rsidRDefault="00005801" w:rsidP="00005801">
      <w:pPr>
        <w:spacing w:line="360" w:lineRule="auto"/>
        <w:jc w:val="both"/>
        <w:rPr>
          <w:sz w:val="28"/>
          <w:szCs w:val="28"/>
        </w:rPr>
      </w:pPr>
      <w:r w:rsidRPr="00D72062">
        <w:rPr>
          <w:sz w:val="28"/>
          <w:szCs w:val="28"/>
        </w:rPr>
        <w:t>La siguiente tabla muestra las variaciones ascendentes y descendentes presentadas en 2016 y respecto de 2015. Se aprecia que del subgrupo de tribunales donde creció el volumen de casos terminados, el Tribunal Civil del Primer Circuito de la Zona Atlántica ocupa el primer lugar con un aumento relativo de más del doble (</w:t>
      </w:r>
      <w:r w:rsidRPr="00D72062">
        <w:rPr>
          <w:b/>
          <w:sz w:val="28"/>
          <w:szCs w:val="28"/>
        </w:rPr>
        <w:t>141%</w:t>
      </w:r>
      <w:r w:rsidRPr="00D72062">
        <w:rPr>
          <w:sz w:val="28"/>
          <w:szCs w:val="28"/>
        </w:rPr>
        <w:t xml:space="preserve">) al pasar de </w:t>
      </w:r>
      <w:r w:rsidRPr="00D72062">
        <w:rPr>
          <w:b/>
          <w:sz w:val="28"/>
          <w:szCs w:val="28"/>
        </w:rPr>
        <w:t>64</w:t>
      </w:r>
      <w:r w:rsidRPr="00D72062">
        <w:rPr>
          <w:sz w:val="28"/>
          <w:szCs w:val="28"/>
        </w:rPr>
        <w:t xml:space="preserve"> casos terminados en el 2016 a </w:t>
      </w:r>
      <w:r w:rsidRPr="00D72062">
        <w:rPr>
          <w:b/>
          <w:sz w:val="28"/>
          <w:szCs w:val="28"/>
        </w:rPr>
        <w:t>154</w:t>
      </w:r>
      <w:r w:rsidRPr="00D72062">
        <w:rPr>
          <w:sz w:val="28"/>
          <w:szCs w:val="28"/>
        </w:rPr>
        <w:t xml:space="preserve"> doce meses después, en contraste dentro de este mismo subgrupo el Tribunal Segundo Civil, si bien reporta un valor absoluto de 104 casos de más estos solo representan el 11% debido a que reporta una base numérica mayor. </w:t>
      </w:r>
    </w:p>
    <w:tbl>
      <w:tblPr>
        <w:tblW w:w="7299" w:type="dxa"/>
        <w:jc w:val="center"/>
        <w:tblInd w:w="-338" w:type="dxa"/>
        <w:tblCellMar>
          <w:left w:w="70" w:type="dxa"/>
          <w:right w:w="70" w:type="dxa"/>
        </w:tblCellMar>
        <w:tblLook w:val="04A0"/>
      </w:tblPr>
      <w:tblGrid>
        <w:gridCol w:w="3868"/>
        <w:gridCol w:w="688"/>
        <w:gridCol w:w="688"/>
        <w:gridCol w:w="1061"/>
        <w:gridCol w:w="994"/>
      </w:tblGrid>
      <w:tr w:rsidR="00005801" w:rsidRPr="00463E31" w:rsidTr="00A22C79">
        <w:trPr>
          <w:trHeight w:val="310"/>
          <w:jc w:val="center"/>
        </w:trPr>
        <w:tc>
          <w:tcPr>
            <w:tcW w:w="7299" w:type="dxa"/>
            <w:gridSpan w:val="5"/>
            <w:tcBorders>
              <w:top w:val="nil"/>
              <w:left w:val="nil"/>
              <w:bottom w:val="single" w:sz="4" w:space="0" w:color="auto"/>
              <w:right w:val="nil"/>
            </w:tcBorders>
            <w:shd w:val="clear" w:color="auto" w:fill="auto"/>
            <w:vAlign w:val="center"/>
            <w:hideMark/>
          </w:tcPr>
          <w:p w:rsidR="00005801" w:rsidRPr="00463E31" w:rsidRDefault="00005801" w:rsidP="00A22C79">
            <w:pPr>
              <w:jc w:val="center"/>
              <w:rPr>
                <w:b/>
                <w:bCs/>
                <w:color w:val="000000"/>
                <w:sz w:val="24"/>
                <w:szCs w:val="24"/>
                <w:u w:val="single"/>
                <w:lang w:eastAsia="es-CR"/>
              </w:rPr>
            </w:pPr>
          </w:p>
          <w:p w:rsidR="00463E31" w:rsidRPr="00463E31" w:rsidRDefault="00463E31" w:rsidP="00A22C79">
            <w:pPr>
              <w:jc w:val="center"/>
              <w:rPr>
                <w:b/>
                <w:bCs/>
                <w:color w:val="000000"/>
                <w:sz w:val="24"/>
                <w:szCs w:val="24"/>
                <w:u w:val="single"/>
                <w:lang w:eastAsia="es-CR"/>
              </w:rPr>
            </w:pPr>
          </w:p>
          <w:p w:rsidR="00463E31" w:rsidRPr="00463E31" w:rsidRDefault="00463E31" w:rsidP="00A22C79">
            <w:pPr>
              <w:jc w:val="center"/>
              <w:rPr>
                <w:b/>
                <w:bCs/>
                <w:color w:val="000000"/>
                <w:sz w:val="24"/>
                <w:szCs w:val="24"/>
                <w:u w:val="single"/>
                <w:lang w:eastAsia="es-CR"/>
              </w:rPr>
            </w:pPr>
          </w:p>
          <w:p w:rsidR="00463E31" w:rsidRPr="00463E31" w:rsidRDefault="00463E31" w:rsidP="00A22C79">
            <w:pPr>
              <w:jc w:val="center"/>
              <w:rPr>
                <w:b/>
                <w:bCs/>
                <w:color w:val="000000"/>
                <w:sz w:val="24"/>
                <w:szCs w:val="24"/>
                <w:u w:val="single"/>
                <w:lang w:eastAsia="es-CR"/>
              </w:rPr>
            </w:pPr>
          </w:p>
          <w:p w:rsidR="00463E31" w:rsidRPr="00463E31" w:rsidRDefault="00463E31" w:rsidP="00A22C79">
            <w:pPr>
              <w:jc w:val="center"/>
              <w:rPr>
                <w:b/>
                <w:bCs/>
                <w:color w:val="000000"/>
                <w:sz w:val="24"/>
                <w:szCs w:val="24"/>
                <w:u w:val="single"/>
                <w:lang w:eastAsia="es-CR"/>
              </w:rPr>
            </w:pPr>
          </w:p>
          <w:p w:rsidR="00463E31" w:rsidRPr="00463E31" w:rsidRDefault="00463E31" w:rsidP="00A22C79">
            <w:pPr>
              <w:jc w:val="center"/>
              <w:rPr>
                <w:b/>
                <w:bCs/>
                <w:color w:val="000000"/>
                <w:sz w:val="24"/>
                <w:szCs w:val="24"/>
                <w:u w:val="single"/>
                <w:lang w:eastAsia="es-CR"/>
              </w:rPr>
            </w:pPr>
          </w:p>
          <w:p w:rsidR="00463E31" w:rsidRDefault="00463E31" w:rsidP="00A22C79">
            <w:pPr>
              <w:jc w:val="center"/>
              <w:rPr>
                <w:b/>
                <w:bCs/>
                <w:color w:val="000000"/>
                <w:sz w:val="24"/>
                <w:szCs w:val="24"/>
                <w:u w:val="single"/>
                <w:lang w:eastAsia="es-CR"/>
              </w:rPr>
            </w:pPr>
          </w:p>
          <w:p w:rsidR="00D72062" w:rsidRPr="00463E31" w:rsidRDefault="00005801" w:rsidP="00D72062">
            <w:pPr>
              <w:rPr>
                <w:b/>
                <w:sz w:val="24"/>
                <w:szCs w:val="24"/>
                <w:lang w:eastAsia="en-US"/>
              </w:rPr>
            </w:pPr>
            <w:r w:rsidRPr="00463E31">
              <w:rPr>
                <w:b/>
                <w:sz w:val="24"/>
                <w:szCs w:val="24"/>
                <w:lang w:eastAsia="en-US"/>
              </w:rPr>
              <w:t>Cuadro 4</w:t>
            </w:r>
          </w:p>
          <w:p w:rsidR="00005801" w:rsidRPr="00463E31" w:rsidRDefault="00005801" w:rsidP="00A22C79">
            <w:pPr>
              <w:jc w:val="center"/>
              <w:rPr>
                <w:b/>
                <w:sz w:val="24"/>
                <w:szCs w:val="24"/>
                <w:lang w:eastAsia="en-US"/>
              </w:rPr>
            </w:pPr>
            <w:r w:rsidRPr="00463E31">
              <w:rPr>
                <w:b/>
                <w:sz w:val="24"/>
                <w:szCs w:val="24"/>
                <w:lang w:eastAsia="en-US"/>
              </w:rPr>
              <w:t xml:space="preserve"> Evolución de los casos terminados y variación, según el Tribunales Civiles, durante el 2016-2017</w:t>
            </w:r>
          </w:p>
          <w:p w:rsidR="00005801" w:rsidRPr="00463E31" w:rsidRDefault="00005801" w:rsidP="00A22C79">
            <w:pPr>
              <w:jc w:val="center"/>
              <w:rPr>
                <w:b/>
                <w:bCs/>
                <w:color w:val="000000"/>
                <w:sz w:val="24"/>
                <w:szCs w:val="24"/>
                <w:u w:val="single"/>
                <w:lang w:eastAsia="es-CR"/>
              </w:rPr>
            </w:pPr>
          </w:p>
        </w:tc>
      </w:tr>
      <w:tr w:rsidR="00005801" w:rsidRPr="00463E31" w:rsidTr="00A22C79">
        <w:trPr>
          <w:trHeight w:val="310"/>
          <w:jc w:val="center"/>
        </w:trPr>
        <w:tc>
          <w:tcPr>
            <w:tcW w:w="3868" w:type="dxa"/>
            <w:vMerge w:val="restart"/>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u w:val="single"/>
                <w:lang w:eastAsia="es-CR"/>
              </w:rPr>
            </w:pPr>
            <w:r w:rsidRPr="00463E31">
              <w:rPr>
                <w:b/>
                <w:bCs/>
                <w:color w:val="000000"/>
                <w:sz w:val="24"/>
                <w:szCs w:val="24"/>
                <w:u w:val="single"/>
                <w:lang w:eastAsia="es-CR"/>
              </w:rPr>
              <w:lastRenderedPageBreak/>
              <w:t>Tribunal</w:t>
            </w:r>
          </w:p>
        </w:tc>
        <w:tc>
          <w:tcPr>
            <w:tcW w:w="1376" w:type="dxa"/>
            <w:gridSpan w:val="2"/>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u w:val="single"/>
                <w:lang w:eastAsia="es-CR"/>
              </w:rPr>
            </w:pPr>
            <w:r w:rsidRPr="00463E31">
              <w:rPr>
                <w:b/>
                <w:bCs/>
                <w:color w:val="000000"/>
                <w:sz w:val="24"/>
                <w:szCs w:val="24"/>
                <w:u w:val="single"/>
                <w:lang w:eastAsia="es-CR"/>
              </w:rPr>
              <w:t>Año</w:t>
            </w:r>
          </w:p>
        </w:tc>
        <w:tc>
          <w:tcPr>
            <w:tcW w:w="2055" w:type="dxa"/>
            <w:gridSpan w:val="2"/>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u w:val="single"/>
                <w:lang w:eastAsia="es-CR"/>
              </w:rPr>
            </w:pPr>
            <w:r w:rsidRPr="00463E31">
              <w:rPr>
                <w:b/>
                <w:bCs/>
                <w:color w:val="000000"/>
                <w:sz w:val="24"/>
                <w:szCs w:val="24"/>
                <w:u w:val="single"/>
                <w:lang w:eastAsia="es-CR"/>
              </w:rPr>
              <w:t>Variación</w:t>
            </w:r>
          </w:p>
        </w:tc>
      </w:tr>
      <w:tr w:rsidR="00005801" w:rsidRPr="00463E31" w:rsidTr="00A22C79">
        <w:trPr>
          <w:trHeight w:val="620"/>
          <w:jc w:val="center"/>
        </w:trPr>
        <w:tc>
          <w:tcPr>
            <w:tcW w:w="3868" w:type="dxa"/>
            <w:vMerge/>
            <w:tcBorders>
              <w:top w:val="nil"/>
              <w:left w:val="nil"/>
              <w:bottom w:val="single" w:sz="4" w:space="0" w:color="auto"/>
              <w:right w:val="nil"/>
            </w:tcBorders>
            <w:vAlign w:val="center"/>
            <w:hideMark/>
          </w:tcPr>
          <w:p w:rsidR="00005801" w:rsidRPr="00463E31" w:rsidRDefault="00005801" w:rsidP="00A22C79">
            <w:pPr>
              <w:rPr>
                <w:b/>
                <w:bCs/>
                <w:color w:val="000000"/>
                <w:sz w:val="24"/>
                <w:szCs w:val="24"/>
                <w:u w:val="single"/>
                <w:lang w:eastAsia="es-CR"/>
              </w:rPr>
            </w:pPr>
          </w:p>
        </w:tc>
        <w:tc>
          <w:tcPr>
            <w:tcW w:w="688"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b/>
                <w:bCs/>
                <w:color w:val="000000"/>
                <w:sz w:val="24"/>
                <w:szCs w:val="24"/>
                <w:u w:val="single"/>
                <w:lang w:eastAsia="es-CR"/>
              </w:rPr>
            </w:pPr>
            <w:r w:rsidRPr="00463E31">
              <w:rPr>
                <w:b/>
                <w:bCs/>
                <w:color w:val="000000"/>
                <w:sz w:val="24"/>
                <w:szCs w:val="24"/>
                <w:u w:val="single"/>
                <w:lang w:eastAsia="es-CR"/>
              </w:rPr>
              <w:t>2016</w:t>
            </w:r>
          </w:p>
        </w:tc>
        <w:tc>
          <w:tcPr>
            <w:tcW w:w="688"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b/>
                <w:bCs/>
                <w:color w:val="000000"/>
                <w:sz w:val="24"/>
                <w:szCs w:val="24"/>
                <w:u w:val="single"/>
                <w:lang w:eastAsia="es-CR"/>
              </w:rPr>
            </w:pPr>
            <w:r w:rsidRPr="00463E31">
              <w:rPr>
                <w:b/>
                <w:bCs/>
                <w:color w:val="000000"/>
                <w:sz w:val="24"/>
                <w:szCs w:val="24"/>
                <w:u w:val="single"/>
                <w:lang w:eastAsia="es-CR"/>
              </w:rPr>
              <w:t>2017</w:t>
            </w:r>
          </w:p>
        </w:tc>
        <w:tc>
          <w:tcPr>
            <w:tcW w:w="1061" w:type="dxa"/>
            <w:tcBorders>
              <w:top w:val="nil"/>
              <w:left w:val="nil"/>
              <w:bottom w:val="single" w:sz="4" w:space="0" w:color="auto"/>
              <w:right w:val="nil"/>
            </w:tcBorders>
            <w:shd w:val="clear" w:color="auto" w:fill="auto"/>
            <w:vAlign w:val="center"/>
            <w:hideMark/>
          </w:tcPr>
          <w:p w:rsidR="00005801" w:rsidRPr="00463E31" w:rsidRDefault="00005801" w:rsidP="00A22C79">
            <w:pPr>
              <w:rPr>
                <w:b/>
                <w:bCs/>
                <w:color w:val="000000"/>
                <w:sz w:val="24"/>
                <w:szCs w:val="24"/>
                <w:u w:val="single"/>
                <w:lang w:eastAsia="es-CR"/>
              </w:rPr>
            </w:pPr>
            <w:r w:rsidRPr="00463E31">
              <w:rPr>
                <w:b/>
                <w:bCs/>
                <w:color w:val="000000"/>
                <w:sz w:val="24"/>
                <w:szCs w:val="24"/>
                <w:u w:val="single"/>
                <w:lang w:eastAsia="es-CR"/>
              </w:rPr>
              <w:t>Absoluta</w:t>
            </w:r>
          </w:p>
        </w:tc>
        <w:tc>
          <w:tcPr>
            <w:tcW w:w="994" w:type="dxa"/>
            <w:tcBorders>
              <w:top w:val="nil"/>
              <w:left w:val="nil"/>
              <w:bottom w:val="single" w:sz="4" w:space="0" w:color="auto"/>
              <w:right w:val="nil"/>
            </w:tcBorders>
            <w:shd w:val="clear" w:color="auto" w:fill="auto"/>
            <w:vAlign w:val="center"/>
            <w:hideMark/>
          </w:tcPr>
          <w:p w:rsidR="00005801" w:rsidRPr="00463E31" w:rsidRDefault="00005801" w:rsidP="00A22C79">
            <w:pPr>
              <w:rPr>
                <w:b/>
                <w:bCs/>
                <w:color w:val="000000"/>
                <w:sz w:val="24"/>
                <w:szCs w:val="24"/>
                <w:u w:val="single"/>
                <w:lang w:eastAsia="es-CR"/>
              </w:rPr>
            </w:pPr>
            <w:r w:rsidRPr="00463E31">
              <w:rPr>
                <w:b/>
                <w:bCs/>
                <w:color w:val="000000"/>
                <w:sz w:val="24"/>
                <w:szCs w:val="24"/>
                <w:u w:val="single"/>
                <w:lang w:eastAsia="es-CR"/>
              </w:rPr>
              <w:t>Relativa</w:t>
            </w:r>
          </w:p>
        </w:tc>
      </w:tr>
      <w:tr w:rsidR="00005801" w:rsidRPr="00463E31" w:rsidTr="00A22C79">
        <w:trPr>
          <w:trHeight w:val="620"/>
          <w:jc w:val="center"/>
        </w:trPr>
        <w:tc>
          <w:tcPr>
            <w:tcW w:w="7299" w:type="dxa"/>
            <w:gridSpan w:val="5"/>
            <w:tcBorders>
              <w:top w:val="single" w:sz="4" w:space="0" w:color="auto"/>
              <w:left w:val="nil"/>
              <w:bottom w:val="nil"/>
              <w:right w:val="nil"/>
            </w:tcBorders>
            <w:shd w:val="clear" w:color="auto" w:fill="auto"/>
            <w:vAlign w:val="center"/>
            <w:hideMark/>
          </w:tcPr>
          <w:p w:rsidR="00005801" w:rsidRPr="00463E31" w:rsidRDefault="00005801" w:rsidP="00A22C79">
            <w:pPr>
              <w:jc w:val="center"/>
              <w:rPr>
                <w:color w:val="000000"/>
                <w:sz w:val="24"/>
                <w:szCs w:val="24"/>
                <w:u w:val="double"/>
                <w:lang w:eastAsia="es-CR"/>
              </w:rPr>
            </w:pPr>
            <w:r w:rsidRPr="00463E31">
              <w:rPr>
                <w:color w:val="000000"/>
                <w:sz w:val="24"/>
                <w:szCs w:val="24"/>
                <w:u w:val="double"/>
                <w:lang w:eastAsia="es-CR"/>
              </w:rPr>
              <w:t>Incrementos</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 Circ. Jud. de la Zona Atlántica</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64</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154</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90</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141%</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 xml:space="preserve">De Puntarenas                                   </w:t>
            </w:r>
            <w:r w:rsidRPr="00463E31">
              <w:rPr>
                <w:b/>
                <w:bCs/>
                <w:sz w:val="24"/>
                <w:szCs w:val="24"/>
                <w:lang w:eastAsia="es-CR"/>
              </w:rPr>
              <w:t xml:space="preserve"> </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93</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150</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57</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61%</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II Circ. Jud. de Alajuela</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112</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179</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67</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60%</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 Circ. Jud. de Guanacaste</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96</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153</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57</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59%</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II Circ. Jud. de la Zona Atlántica</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55</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83</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28</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51%</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 xml:space="preserve">Del III Circ. Jud. de Alajuela (S. Ramón)                                        </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96</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134</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38</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40%</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II Circ. Jud. de Guanacaste</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86</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117</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31</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36%</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 xml:space="preserve">Del  I Circ. Jud. de Alajuela </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435</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490</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55</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13%</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 xml:space="preserve">Segundo Civil                   </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976</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1.080</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104</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11%</w:t>
            </w:r>
          </w:p>
        </w:tc>
      </w:tr>
      <w:tr w:rsidR="00005801" w:rsidRPr="00463E31" w:rsidTr="00A22C79">
        <w:trPr>
          <w:trHeight w:val="620"/>
          <w:jc w:val="center"/>
        </w:trPr>
        <w:tc>
          <w:tcPr>
            <w:tcW w:w="7299" w:type="dxa"/>
            <w:gridSpan w:val="5"/>
            <w:tcBorders>
              <w:top w:val="nil"/>
              <w:left w:val="nil"/>
              <w:bottom w:val="nil"/>
              <w:right w:val="nil"/>
            </w:tcBorders>
            <w:shd w:val="clear" w:color="000000" w:fill="FFFFFF"/>
            <w:vAlign w:val="center"/>
            <w:hideMark/>
          </w:tcPr>
          <w:p w:rsidR="00005801" w:rsidRPr="00463E31" w:rsidRDefault="00005801" w:rsidP="00A22C79">
            <w:pPr>
              <w:jc w:val="center"/>
              <w:rPr>
                <w:sz w:val="24"/>
                <w:szCs w:val="24"/>
                <w:u w:val="double"/>
                <w:lang w:eastAsia="es-CR"/>
              </w:rPr>
            </w:pPr>
            <w:r w:rsidRPr="00463E31">
              <w:rPr>
                <w:sz w:val="24"/>
                <w:szCs w:val="24"/>
                <w:u w:val="double"/>
                <w:lang w:eastAsia="es-CR"/>
              </w:rPr>
              <w:t>Decrecimientos</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 xml:space="preserve">Del III Circ. Jud. de Alajuela (Grecia)                                        </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124</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84</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-40</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-32%</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Primero Civil</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1.914</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1.315</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-599</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-31%</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 Circ. Jud. Zona Sur</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170</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145</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-25</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-15%</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 Heredia</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323</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277</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-46</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-14%</w:t>
            </w:r>
          </w:p>
        </w:tc>
      </w:tr>
      <w:tr w:rsidR="00005801" w:rsidRPr="00463E31" w:rsidTr="00A22C79">
        <w:trPr>
          <w:trHeight w:val="310"/>
          <w:jc w:val="center"/>
        </w:trPr>
        <w:tc>
          <w:tcPr>
            <w:tcW w:w="386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II Circ. Jud. Zona Sur</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72</w:t>
            </w:r>
          </w:p>
        </w:tc>
        <w:tc>
          <w:tcPr>
            <w:tcW w:w="688"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69</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w:t>
            </w:r>
          </w:p>
        </w:tc>
        <w:tc>
          <w:tcPr>
            <w:tcW w:w="994"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-4%</w:t>
            </w:r>
          </w:p>
        </w:tc>
      </w:tr>
      <w:tr w:rsidR="00005801" w:rsidRPr="00463E31" w:rsidTr="00A22C79">
        <w:trPr>
          <w:trHeight w:val="310"/>
          <w:jc w:val="center"/>
        </w:trPr>
        <w:tc>
          <w:tcPr>
            <w:tcW w:w="3868" w:type="dxa"/>
            <w:tcBorders>
              <w:top w:val="nil"/>
              <w:left w:val="nil"/>
              <w:bottom w:val="single" w:sz="4" w:space="0" w:color="auto"/>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 Cartago</w:t>
            </w:r>
          </w:p>
        </w:tc>
        <w:tc>
          <w:tcPr>
            <w:tcW w:w="688" w:type="dxa"/>
            <w:tcBorders>
              <w:top w:val="nil"/>
              <w:left w:val="nil"/>
              <w:bottom w:val="single" w:sz="4" w:space="0" w:color="auto"/>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312</w:t>
            </w:r>
          </w:p>
        </w:tc>
        <w:tc>
          <w:tcPr>
            <w:tcW w:w="688" w:type="dxa"/>
            <w:tcBorders>
              <w:top w:val="nil"/>
              <w:left w:val="nil"/>
              <w:bottom w:val="single" w:sz="4" w:space="0" w:color="auto"/>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310</w:t>
            </w:r>
          </w:p>
        </w:tc>
        <w:tc>
          <w:tcPr>
            <w:tcW w:w="1061"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w:t>
            </w:r>
          </w:p>
        </w:tc>
        <w:tc>
          <w:tcPr>
            <w:tcW w:w="994"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w:t>
            </w:r>
          </w:p>
        </w:tc>
      </w:tr>
    </w:tbl>
    <w:p w:rsidR="00463E31" w:rsidRDefault="00463E31" w:rsidP="00005801">
      <w:pPr>
        <w:spacing w:line="360" w:lineRule="auto"/>
        <w:jc w:val="both"/>
        <w:rPr>
          <w:sz w:val="28"/>
          <w:szCs w:val="28"/>
        </w:rPr>
      </w:pPr>
    </w:p>
    <w:p w:rsidR="00005801" w:rsidRDefault="00005801" w:rsidP="00005801">
      <w:pPr>
        <w:spacing w:line="360" w:lineRule="auto"/>
        <w:jc w:val="both"/>
        <w:rPr>
          <w:sz w:val="28"/>
          <w:szCs w:val="28"/>
        </w:rPr>
      </w:pPr>
      <w:r w:rsidRPr="00D72062">
        <w:rPr>
          <w:sz w:val="28"/>
          <w:szCs w:val="28"/>
        </w:rPr>
        <w:t xml:space="preserve">También de la tabla anterior se tiene, que del subgrupo que reportan decrecimientos resalta especialmente el Tribunal Primero Civil de San José en donde se produjo una importante baja en el volumen de casos terminados del 31%. Este patrón es importante resaltarlo debido al peso relativo que tiene este despacho. </w:t>
      </w:r>
    </w:p>
    <w:p w:rsidR="00664B6B" w:rsidRDefault="00664B6B" w:rsidP="00005801">
      <w:pPr>
        <w:spacing w:line="360" w:lineRule="auto"/>
        <w:jc w:val="both"/>
        <w:rPr>
          <w:sz w:val="28"/>
          <w:szCs w:val="28"/>
        </w:rPr>
      </w:pPr>
    </w:p>
    <w:p w:rsidR="00664B6B" w:rsidRPr="00D72062" w:rsidRDefault="00664B6B" w:rsidP="00005801">
      <w:pPr>
        <w:spacing w:line="360" w:lineRule="auto"/>
        <w:jc w:val="both"/>
        <w:rPr>
          <w:b/>
          <w:sz w:val="28"/>
          <w:szCs w:val="28"/>
        </w:rPr>
      </w:pPr>
    </w:p>
    <w:p w:rsidR="00005801" w:rsidRPr="00D72062" w:rsidRDefault="00005801" w:rsidP="00005801">
      <w:pPr>
        <w:widowControl w:val="0"/>
        <w:numPr>
          <w:ilvl w:val="0"/>
          <w:numId w:val="28"/>
        </w:numPr>
        <w:autoSpaceDE w:val="0"/>
        <w:autoSpaceDN w:val="0"/>
        <w:adjustRightInd w:val="0"/>
        <w:spacing w:line="360" w:lineRule="auto"/>
        <w:jc w:val="both"/>
        <w:rPr>
          <w:sz w:val="28"/>
          <w:szCs w:val="28"/>
        </w:rPr>
      </w:pPr>
      <w:r w:rsidRPr="00D72062">
        <w:rPr>
          <w:b/>
          <w:sz w:val="28"/>
          <w:szCs w:val="28"/>
        </w:rPr>
        <w:t>CIRCULANTE AL FINALIZAR EL AÑO</w:t>
      </w:r>
    </w:p>
    <w:p w:rsidR="00005801" w:rsidRPr="00D72062" w:rsidRDefault="00005801" w:rsidP="00005801">
      <w:pPr>
        <w:spacing w:line="360" w:lineRule="auto"/>
        <w:jc w:val="both"/>
        <w:rPr>
          <w:sz w:val="28"/>
          <w:szCs w:val="28"/>
        </w:rPr>
      </w:pPr>
    </w:p>
    <w:p w:rsidR="00005801" w:rsidRPr="00D72062" w:rsidRDefault="00005801" w:rsidP="00005801">
      <w:pPr>
        <w:spacing w:line="360" w:lineRule="auto"/>
        <w:jc w:val="both"/>
        <w:rPr>
          <w:sz w:val="28"/>
          <w:szCs w:val="28"/>
        </w:rPr>
      </w:pPr>
      <w:r w:rsidRPr="00D72062">
        <w:rPr>
          <w:sz w:val="28"/>
          <w:szCs w:val="28"/>
        </w:rPr>
        <w:t xml:space="preserve">Como consecuencia de que el nivel de finiquito es menor al nuevo ingreso de causas, el circulante al finalizar 2017 aumentó a </w:t>
      </w:r>
      <w:r w:rsidRPr="00D72062">
        <w:rPr>
          <w:b/>
          <w:sz w:val="28"/>
          <w:szCs w:val="28"/>
        </w:rPr>
        <w:t>2.332</w:t>
      </w:r>
      <w:r w:rsidRPr="00D72062">
        <w:rPr>
          <w:sz w:val="28"/>
          <w:szCs w:val="28"/>
        </w:rPr>
        <w:t xml:space="preserve"> expedientes, acercándose al reporte del 2015. </w:t>
      </w:r>
    </w:p>
    <w:p w:rsidR="00005801" w:rsidRPr="002321ED" w:rsidRDefault="00005801" w:rsidP="00005801">
      <w:pPr>
        <w:spacing w:line="360" w:lineRule="auto"/>
        <w:jc w:val="both"/>
      </w:pPr>
    </w:p>
    <w:p w:rsidR="00005801" w:rsidRPr="002321ED" w:rsidRDefault="003C3BFC" w:rsidP="00005801">
      <w:pPr>
        <w:spacing w:line="360" w:lineRule="auto"/>
        <w:jc w:val="center"/>
      </w:pPr>
      <w:r>
        <w:rPr>
          <w:noProof/>
          <w:lang w:eastAsia="es-CR"/>
        </w:rPr>
        <w:drawing>
          <wp:inline distT="0" distB="0" distL="0" distR="0">
            <wp:extent cx="4712970" cy="3052445"/>
            <wp:effectExtent l="0" t="0" r="0" b="0"/>
            <wp:docPr id="25" name="Objeto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5801" w:rsidRPr="002321ED" w:rsidRDefault="00005801" w:rsidP="00005801">
      <w:pPr>
        <w:spacing w:line="360" w:lineRule="auto"/>
        <w:jc w:val="both"/>
      </w:pPr>
    </w:p>
    <w:p w:rsidR="00005801" w:rsidRPr="00D72062" w:rsidRDefault="00005801" w:rsidP="00005801">
      <w:pPr>
        <w:spacing w:line="360" w:lineRule="auto"/>
        <w:jc w:val="both"/>
        <w:rPr>
          <w:sz w:val="28"/>
          <w:szCs w:val="28"/>
        </w:rPr>
      </w:pPr>
    </w:p>
    <w:p w:rsidR="00005801" w:rsidRPr="00D72062" w:rsidRDefault="00005801" w:rsidP="00005801">
      <w:pPr>
        <w:spacing w:line="360" w:lineRule="auto"/>
        <w:jc w:val="both"/>
        <w:rPr>
          <w:sz w:val="28"/>
          <w:szCs w:val="28"/>
        </w:rPr>
      </w:pPr>
      <w:r w:rsidRPr="00D72062">
        <w:rPr>
          <w:sz w:val="28"/>
          <w:szCs w:val="28"/>
        </w:rPr>
        <w:t xml:space="preserve">En la siguiente tabla, se muestran los resultados de circulante al finalizar tanto el 2016 como el 2017 y la variación tanto absoluta como relativa de cada despacho. Es importante indicar que además de la relación entre casos terminados y casos entrados, en esta variable también influye el traslado de expedientes por la reorganización indicada. </w:t>
      </w:r>
    </w:p>
    <w:p w:rsidR="00005801" w:rsidRPr="00D72062" w:rsidRDefault="00005801" w:rsidP="00005801">
      <w:pPr>
        <w:spacing w:line="360" w:lineRule="auto"/>
        <w:jc w:val="both"/>
        <w:rPr>
          <w:sz w:val="28"/>
          <w:szCs w:val="28"/>
        </w:rPr>
      </w:pPr>
    </w:p>
    <w:p w:rsidR="00005801" w:rsidRPr="002321ED" w:rsidRDefault="00005801" w:rsidP="00005801">
      <w:pPr>
        <w:spacing w:line="360" w:lineRule="auto"/>
        <w:jc w:val="both"/>
      </w:pPr>
    </w:p>
    <w:tbl>
      <w:tblPr>
        <w:tblW w:w="7157" w:type="dxa"/>
        <w:jc w:val="center"/>
        <w:tblInd w:w="-96" w:type="dxa"/>
        <w:tblCellMar>
          <w:left w:w="70" w:type="dxa"/>
          <w:right w:w="70" w:type="dxa"/>
        </w:tblCellMar>
        <w:tblLook w:val="04A0"/>
      </w:tblPr>
      <w:tblGrid>
        <w:gridCol w:w="3818"/>
        <w:gridCol w:w="620"/>
        <w:gridCol w:w="620"/>
        <w:gridCol w:w="1061"/>
        <w:gridCol w:w="1038"/>
      </w:tblGrid>
      <w:tr w:rsidR="00005801" w:rsidRPr="00463E31" w:rsidTr="00A22C79">
        <w:trPr>
          <w:trHeight w:val="320"/>
          <w:jc w:val="center"/>
        </w:trPr>
        <w:tc>
          <w:tcPr>
            <w:tcW w:w="7157" w:type="dxa"/>
            <w:gridSpan w:val="5"/>
            <w:tcBorders>
              <w:top w:val="nil"/>
              <w:left w:val="nil"/>
              <w:bottom w:val="single" w:sz="4" w:space="0" w:color="auto"/>
              <w:right w:val="nil"/>
            </w:tcBorders>
            <w:shd w:val="clear" w:color="auto" w:fill="auto"/>
            <w:vAlign w:val="center"/>
            <w:hideMark/>
          </w:tcPr>
          <w:p w:rsidR="00005801" w:rsidRPr="00463E31" w:rsidRDefault="00005801" w:rsidP="00A22C79">
            <w:pPr>
              <w:rPr>
                <w:b/>
                <w:bCs/>
                <w:color w:val="000000"/>
                <w:sz w:val="24"/>
                <w:szCs w:val="24"/>
                <w:u w:val="single"/>
                <w:lang w:eastAsia="es-CR"/>
              </w:rPr>
            </w:pPr>
          </w:p>
          <w:p w:rsidR="00D72062" w:rsidRPr="00463E31" w:rsidRDefault="00005801" w:rsidP="00A22C79">
            <w:pPr>
              <w:rPr>
                <w:b/>
                <w:sz w:val="24"/>
                <w:szCs w:val="24"/>
                <w:lang w:eastAsia="en-US"/>
              </w:rPr>
            </w:pPr>
            <w:r w:rsidRPr="00463E31">
              <w:rPr>
                <w:b/>
                <w:sz w:val="24"/>
                <w:szCs w:val="24"/>
                <w:lang w:eastAsia="en-US"/>
              </w:rPr>
              <w:t xml:space="preserve">Cuadro 5 </w:t>
            </w:r>
          </w:p>
          <w:p w:rsidR="00005801" w:rsidRPr="00463E31" w:rsidRDefault="00005801" w:rsidP="00D72062">
            <w:pPr>
              <w:jc w:val="center"/>
              <w:rPr>
                <w:b/>
                <w:sz w:val="24"/>
                <w:szCs w:val="24"/>
                <w:lang w:eastAsia="en-US"/>
              </w:rPr>
            </w:pPr>
            <w:r w:rsidRPr="00463E31">
              <w:rPr>
                <w:b/>
                <w:sz w:val="24"/>
                <w:szCs w:val="24"/>
                <w:lang w:eastAsia="en-US"/>
              </w:rPr>
              <w:t>Evolución de los casos en trámite y variación, según el Tribunales Civiles, durante el 2016-2017</w:t>
            </w:r>
          </w:p>
          <w:p w:rsidR="00005801" w:rsidRPr="00463E31" w:rsidRDefault="00005801" w:rsidP="00A22C79">
            <w:pPr>
              <w:rPr>
                <w:b/>
                <w:bCs/>
                <w:color w:val="000000"/>
                <w:sz w:val="24"/>
                <w:szCs w:val="24"/>
                <w:u w:val="single"/>
                <w:lang w:eastAsia="es-CR"/>
              </w:rPr>
            </w:pPr>
          </w:p>
        </w:tc>
      </w:tr>
      <w:tr w:rsidR="00005801" w:rsidRPr="00463E31" w:rsidTr="00A22C79">
        <w:trPr>
          <w:trHeight w:val="320"/>
          <w:jc w:val="center"/>
        </w:trPr>
        <w:tc>
          <w:tcPr>
            <w:tcW w:w="3818" w:type="dxa"/>
            <w:vMerge w:val="restart"/>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Tribunal</w:t>
            </w:r>
          </w:p>
        </w:tc>
        <w:tc>
          <w:tcPr>
            <w:tcW w:w="1240" w:type="dxa"/>
            <w:gridSpan w:val="2"/>
            <w:tcBorders>
              <w:top w:val="single" w:sz="4" w:space="0" w:color="auto"/>
              <w:left w:val="nil"/>
              <w:bottom w:val="single" w:sz="8" w:space="0" w:color="auto"/>
              <w:right w:val="nil"/>
            </w:tcBorders>
            <w:shd w:val="clear" w:color="auto" w:fill="auto"/>
            <w:vAlign w:val="center"/>
            <w:hideMark/>
          </w:tcPr>
          <w:p w:rsidR="00005801" w:rsidRPr="00463E31" w:rsidRDefault="00005801" w:rsidP="00A22C79">
            <w:pPr>
              <w:jc w:val="center"/>
              <w:rPr>
                <w:b/>
                <w:bCs/>
                <w:color w:val="000000"/>
                <w:sz w:val="24"/>
                <w:szCs w:val="24"/>
                <w:lang w:eastAsia="es-CR"/>
              </w:rPr>
            </w:pPr>
            <w:r w:rsidRPr="00463E31">
              <w:rPr>
                <w:b/>
                <w:bCs/>
                <w:color w:val="000000"/>
                <w:sz w:val="24"/>
                <w:szCs w:val="24"/>
                <w:lang w:eastAsia="es-CR"/>
              </w:rPr>
              <w:t>Año</w:t>
            </w:r>
          </w:p>
        </w:tc>
        <w:tc>
          <w:tcPr>
            <w:tcW w:w="2099" w:type="dxa"/>
            <w:gridSpan w:val="2"/>
            <w:tcBorders>
              <w:top w:val="single" w:sz="4" w:space="0" w:color="auto"/>
              <w:left w:val="nil"/>
              <w:bottom w:val="nil"/>
              <w:right w:val="nil"/>
            </w:tcBorders>
            <w:shd w:val="clear" w:color="auto" w:fill="auto"/>
            <w:vAlign w:val="center"/>
            <w:hideMark/>
          </w:tcPr>
          <w:p w:rsidR="00005801" w:rsidRPr="00463E31" w:rsidRDefault="00005801" w:rsidP="00A22C79">
            <w:pPr>
              <w:jc w:val="center"/>
              <w:rPr>
                <w:b/>
                <w:bCs/>
                <w:color w:val="000000"/>
                <w:sz w:val="24"/>
                <w:szCs w:val="24"/>
                <w:u w:val="single"/>
                <w:lang w:eastAsia="es-CR"/>
              </w:rPr>
            </w:pPr>
            <w:r w:rsidRPr="00463E31">
              <w:rPr>
                <w:b/>
                <w:bCs/>
                <w:color w:val="000000"/>
                <w:sz w:val="24"/>
                <w:szCs w:val="24"/>
                <w:u w:val="single"/>
                <w:lang w:eastAsia="es-CR"/>
              </w:rPr>
              <w:t>Variación</w:t>
            </w:r>
          </w:p>
        </w:tc>
      </w:tr>
      <w:tr w:rsidR="00005801" w:rsidRPr="00463E31" w:rsidTr="00A22C79">
        <w:trPr>
          <w:trHeight w:val="310"/>
          <w:jc w:val="center"/>
        </w:trPr>
        <w:tc>
          <w:tcPr>
            <w:tcW w:w="3818" w:type="dxa"/>
            <w:vMerge/>
            <w:tcBorders>
              <w:top w:val="nil"/>
              <w:left w:val="nil"/>
              <w:bottom w:val="single" w:sz="4" w:space="0" w:color="auto"/>
              <w:right w:val="nil"/>
            </w:tcBorders>
            <w:vAlign w:val="center"/>
            <w:hideMark/>
          </w:tcPr>
          <w:p w:rsidR="00005801" w:rsidRPr="00463E31" w:rsidRDefault="00005801" w:rsidP="00A22C79">
            <w:pPr>
              <w:rPr>
                <w:b/>
                <w:bCs/>
                <w:color w:val="000000"/>
                <w:sz w:val="24"/>
                <w:szCs w:val="24"/>
                <w:lang w:eastAsia="es-CR"/>
              </w:rPr>
            </w:pPr>
          </w:p>
        </w:tc>
        <w:tc>
          <w:tcPr>
            <w:tcW w:w="62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b/>
                <w:bCs/>
                <w:color w:val="000000"/>
                <w:sz w:val="24"/>
                <w:szCs w:val="24"/>
                <w:lang w:eastAsia="es-CR"/>
              </w:rPr>
            </w:pPr>
            <w:r w:rsidRPr="00463E31">
              <w:rPr>
                <w:b/>
                <w:bCs/>
                <w:color w:val="000000"/>
                <w:sz w:val="24"/>
                <w:szCs w:val="24"/>
                <w:lang w:eastAsia="es-CR"/>
              </w:rPr>
              <w:t>2016</w:t>
            </w:r>
          </w:p>
        </w:tc>
        <w:tc>
          <w:tcPr>
            <w:tcW w:w="620"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b/>
                <w:bCs/>
                <w:color w:val="000000"/>
                <w:sz w:val="24"/>
                <w:szCs w:val="24"/>
                <w:lang w:eastAsia="es-CR"/>
              </w:rPr>
            </w:pPr>
            <w:r w:rsidRPr="00463E31">
              <w:rPr>
                <w:b/>
                <w:bCs/>
                <w:color w:val="000000"/>
                <w:sz w:val="24"/>
                <w:szCs w:val="24"/>
                <w:lang w:eastAsia="es-CR"/>
              </w:rPr>
              <w:t>2017</w:t>
            </w:r>
          </w:p>
        </w:tc>
        <w:tc>
          <w:tcPr>
            <w:tcW w:w="1061" w:type="dxa"/>
            <w:tcBorders>
              <w:top w:val="nil"/>
              <w:left w:val="nil"/>
              <w:bottom w:val="single" w:sz="4" w:space="0" w:color="auto"/>
              <w:right w:val="nil"/>
            </w:tcBorders>
            <w:shd w:val="clear" w:color="auto" w:fill="auto"/>
            <w:vAlign w:val="center"/>
            <w:hideMark/>
          </w:tcPr>
          <w:p w:rsidR="00005801" w:rsidRPr="00463E31" w:rsidRDefault="00005801" w:rsidP="00A22C79">
            <w:pPr>
              <w:rPr>
                <w:b/>
                <w:bCs/>
                <w:color w:val="000000"/>
                <w:sz w:val="24"/>
                <w:szCs w:val="24"/>
                <w:lang w:eastAsia="es-CR"/>
              </w:rPr>
            </w:pPr>
            <w:r w:rsidRPr="00463E31">
              <w:rPr>
                <w:b/>
                <w:bCs/>
                <w:color w:val="000000"/>
                <w:sz w:val="24"/>
                <w:szCs w:val="24"/>
                <w:lang w:eastAsia="es-CR"/>
              </w:rPr>
              <w:t>Absoluta</w:t>
            </w:r>
          </w:p>
        </w:tc>
        <w:tc>
          <w:tcPr>
            <w:tcW w:w="1038" w:type="dxa"/>
            <w:tcBorders>
              <w:top w:val="nil"/>
              <w:left w:val="nil"/>
              <w:bottom w:val="single" w:sz="4" w:space="0" w:color="auto"/>
              <w:right w:val="nil"/>
            </w:tcBorders>
            <w:shd w:val="clear" w:color="auto" w:fill="auto"/>
            <w:vAlign w:val="center"/>
            <w:hideMark/>
          </w:tcPr>
          <w:p w:rsidR="00005801" w:rsidRPr="00463E31" w:rsidRDefault="00005801" w:rsidP="00A22C79">
            <w:pPr>
              <w:rPr>
                <w:b/>
                <w:bCs/>
                <w:color w:val="000000"/>
                <w:sz w:val="24"/>
                <w:szCs w:val="24"/>
                <w:lang w:eastAsia="es-CR"/>
              </w:rPr>
            </w:pPr>
            <w:r w:rsidRPr="00463E31">
              <w:rPr>
                <w:b/>
                <w:bCs/>
                <w:color w:val="000000"/>
                <w:sz w:val="24"/>
                <w:szCs w:val="24"/>
                <w:lang w:eastAsia="es-CR"/>
              </w:rPr>
              <w:t>Relativa</w:t>
            </w:r>
          </w:p>
        </w:tc>
      </w:tr>
      <w:tr w:rsidR="00005801" w:rsidRPr="00463E31" w:rsidTr="00A22C79">
        <w:trPr>
          <w:trHeight w:val="310"/>
          <w:jc w:val="center"/>
        </w:trPr>
        <w:tc>
          <w:tcPr>
            <w:tcW w:w="3818" w:type="dxa"/>
            <w:tcBorders>
              <w:top w:val="single" w:sz="4" w:space="0" w:color="auto"/>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 Circ. Jud. Zona Sur</w:t>
            </w:r>
          </w:p>
        </w:tc>
        <w:tc>
          <w:tcPr>
            <w:tcW w:w="620" w:type="dxa"/>
            <w:tcBorders>
              <w:top w:val="single" w:sz="4" w:space="0" w:color="auto"/>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17</w:t>
            </w:r>
          </w:p>
        </w:tc>
        <w:tc>
          <w:tcPr>
            <w:tcW w:w="620" w:type="dxa"/>
            <w:tcBorders>
              <w:top w:val="single" w:sz="4" w:space="0" w:color="auto"/>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128</w:t>
            </w:r>
          </w:p>
        </w:tc>
        <w:tc>
          <w:tcPr>
            <w:tcW w:w="1061" w:type="dxa"/>
            <w:tcBorders>
              <w:top w:val="single" w:sz="4" w:space="0" w:color="auto"/>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111</w:t>
            </w:r>
          </w:p>
        </w:tc>
        <w:tc>
          <w:tcPr>
            <w:tcW w:w="1038" w:type="dxa"/>
            <w:tcBorders>
              <w:top w:val="single" w:sz="4" w:space="0" w:color="auto"/>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653%</w:t>
            </w:r>
          </w:p>
        </w:tc>
      </w:tr>
      <w:tr w:rsidR="00005801" w:rsidRPr="00463E31" w:rsidTr="00A22C79">
        <w:trPr>
          <w:trHeight w:val="310"/>
          <w:jc w:val="center"/>
        </w:trPr>
        <w:tc>
          <w:tcPr>
            <w:tcW w:w="381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 xml:space="preserve">De Puntarenas                                   </w:t>
            </w:r>
            <w:r w:rsidRPr="00463E31">
              <w:rPr>
                <w:b/>
                <w:bCs/>
                <w:sz w:val="24"/>
                <w:szCs w:val="24"/>
                <w:lang w:eastAsia="es-CR"/>
              </w:rPr>
              <w:t xml:space="preserve"> </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58</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202</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144</w:t>
            </w:r>
          </w:p>
        </w:tc>
        <w:tc>
          <w:tcPr>
            <w:tcW w:w="1038"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248%</w:t>
            </w:r>
          </w:p>
        </w:tc>
      </w:tr>
      <w:tr w:rsidR="00005801" w:rsidRPr="00463E31" w:rsidTr="00A22C79">
        <w:trPr>
          <w:trHeight w:val="310"/>
          <w:jc w:val="center"/>
        </w:trPr>
        <w:tc>
          <w:tcPr>
            <w:tcW w:w="381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 Circ. Jud. de Guanacaste</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27</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84</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57</w:t>
            </w:r>
          </w:p>
        </w:tc>
        <w:tc>
          <w:tcPr>
            <w:tcW w:w="1038"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211%</w:t>
            </w:r>
          </w:p>
        </w:tc>
      </w:tr>
      <w:tr w:rsidR="00005801" w:rsidRPr="00463E31" w:rsidTr="00A22C79">
        <w:trPr>
          <w:trHeight w:val="310"/>
          <w:jc w:val="center"/>
        </w:trPr>
        <w:tc>
          <w:tcPr>
            <w:tcW w:w="381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Primero Civil</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306</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807</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501</w:t>
            </w:r>
          </w:p>
        </w:tc>
        <w:tc>
          <w:tcPr>
            <w:tcW w:w="1038"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164%</w:t>
            </w:r>
          </w:p>
        </w:tc>
      </w:tr>
      <w:tr w:rsidR="00005801" w:rsidRPr="00463E31" w:rsidTr="00A22C79">
        <w:trPr>
          <w:trHeight w:val="310"/>
          <w:jc w:val="center"/>
        </w:trPr>
        <w:tc>
          <w:tcPr>
            <w:tcW w:w="381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 Heredia</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91</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203</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112</w:t>
            </w:r>
          </w:p>
        </w:tc>
        <w:tc>
          <w:tcPr>
            <w:tcW w:w="1038"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123%</w:t>
            </w:r>
          </w:p>
        </w:tc>
      </w:tr>
      <w:tr w:rsidR="00005801" w:rsidRPr="00463E31" w:rsidTr="00A22C79">
        <w:trPr>
          <w:trHeight w:val="310"/>
          <w:jc w:val="center"/>
        </w:trPr>
        <w:tc>
          <w:tcPr>
            <w:tcW w:w="381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Del  I Circ. Jud. de la Zona Atlántica</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49</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99</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50</w:t>
            </w:r>
          </w:p>
        </w:tc>
        <w:tc>
          <w:tcPr>
            <w:tcW w:w="1038"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102%</w:t>
            </w:r>
          </w:p>
        </w:tc>
      </w:tr>
      <w:tr w:rsidR="00005801" w:rsidRPr="00463E31" w:rsidTr="00A22C79">
        <w:trPr>
          <w:trHeight w:val="310"/>
          <w:jc w:val="center"/>
        </w:trPr>
        <w:tc>
          <w:tcPr>
            <w:tcW w:w="3818" w:type="dxa"/>
            <w:tcBorders>
              <w:top w:val="nil"/>
              <w:left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 xml:space="preserve">Del  I Circ. Jud. de Alajuela </w:t>
            </w:r>
          </w:p>
        </w:tc>
        <w:tc>
          <w:tcPr>
            <w:tcW w:w="620" w:type="dxa"/>
            <w:tcBorders>
              <w:top w:val="nil"/>
              <w:left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158</w:t>
            </w:r>
          </w:p>
        </w:tc>
        <w:tc>
          <w:tcPr>
            <w:tcW w:w="620" w:type="dxa"/>
            <w:tcBorders>
              <w:top w:val="nil"/>
              <w:left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299</w:t>
            </w:r>
          </w:p>
        </w:tc>
        <w:tc>
          <w:tcPr>
            <w:tcW w:w="1061" w:type="dxa"/>
            <w:tcBorders>
              <w:top w:val="nil"/>
              <w:left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141</w:t>
            </w:r>
          </w:p>
        </w:tc>
        <w:tc>
          <w:tcPr>
            <w:tcW w:w="1038" w:type="dxa"/>
            <w:tcBorders>
              <w:top w:val="nil"/>
              <w:left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89%</w:t>
            </w:r>
          </w:p>
        </w:tc>
      </w:tr>
      <w:tr w:rsidR="00005801" w:rsidRPr="00463E31" w:rsidTr="00A22C79">
        <w:trPr>
          <w:trHeight w:val="310"/>
          <w:jc w:val="center"/>
        </w:trPr>
        <w:tc>
          <w:tcPr>
            <w:tcW w:w="3818" w:type="dxa"/>
            <w:tcBorders>
              <w:top w:val="nil"/>
              <w:left w:val="nil"/>
              <w:bottom w:val="nil"/>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 xml:space="preserve">Segundo Civil                   </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560</w:t>
            </w:r>
          </w:p>
        </w:tc>
        <w:tc>
          <w:tcPr>
            <w:tcW w:w="620" w:type="dxa"/>
            <w:tcBorders>
              <w:top w:val="nil"/>
              <w:left w:val="nil"/>
              <w:bottom w:val="nil"/>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342</w:t>
            </w:r>
          </w:p>
        </w:tc>
        <w:tc>
          <w:tcPr>
            <w:tcW w:w="1061"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-218</w:t>
            </w:r>
          </w:p>
        </w:tc>
        <w:tc>
          <w:tcPr>
            <w:tcW w:w="1038" w:type="dxa"/>
            <w:tcBorders>
              <w:top w:val="nil"/>
              <w:left w:val="nil"/>
              <w:bottom w:val="nil"/>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-39%</w:t>
            </w:r>
          </w:p>
        </w:tc>
      </w:tr>
      <w:tr w:rsidR="00005801" w:rsidRPr="00463E31" w:rsidTr="00A22C79">
        <w:trPr>
          <w:trHeight w:val="310"/>
          <w:jc w:val="center"/>
        </w:trPr>
        <w:tc>
          <w:tcPr>
            <w:tcW w:w="3818" w:type="dxa"/>
            <w:tcBorders>
              <w:top w:val="nil"/>
              <w:left w:val="nil"/>
              <w:bottom w:val="single" w:sz="4" w:space="0" w:color="auto"/>
              <w:right w:val="nil"/>
            </w:tcBorders>
            <w:shd w:val="clear" w:color="000000" w:fill="FFFFFF"/>
            <w:vAlign w:val="center"/>
            <w:hideMark/>
          </w:tcPr>
          <w:p w:rsidR="00005801" w:rsidRPr="00463E31" w:rsidRDefault="00005801" w:rsidP="00A22C79">
            <w:pPr>
              <w:rPr>
                <w:sz w:val="24"/>
                <w:szCs w:val="24"/>
                <w:lang w:eastAsia="es-CR"/>
              </w:rPr>
            </w:pPr>
            <w:r w:rsidRPr="00463E31">
              <w:rPr>
                <w:sz w:val="24"/>
                <w:szCs w:val="24"/>
                <w:lang w:eastAsia="es-CR"/>
              </w:rPr>
              <w:t>De Cartago</w:t>
            </w:r>
          </w:p>
        </w:tc>
        <w:tc>
          <w:tcPr>
            <w:tcW w:w="620" w:type="dxa"/>
            <w:tcBorders>
              <w:top w:val="nil"/>
              <w:left w:val="nil"/>
              <w:bottom w:val="single" w:sz="4" w:space="0" w:color="auto"/>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188</w:t>
            </w:r>
          </w:p>
        </w:tc>
        <w:tc>
          <w:tcPr>
            <w:tcW w:w="620" w:type="dxa"/>
            <w:tcBorders>
              <w:top w:val="nil"/>
              <w:left w:val="nil"/>
              <w:bottom w:val="single" w:sz="4" w:space="0" w:color="auto"/>
              <w:right w:val="nil"/>
            </w:tcBorders>
            <w:shd w:val="clear" w:color="auto" w:fill="auto"/>
            <w:vAlign w:val="center"/>
            <w:hideMark/>
          </w:tcPr>
          <w:p w:rsidR="00005801" w:rsidRPr="00463E31" w:rsidRDefault="00005801" w:rsidP="00A22C79">
            <w:pPr>
              <w:jc w:val="center"/>
              <w:rPr>
                <w:sz w:val="24"/>
                <w:szCs w:val="24"/>
                <w:lang w:eastAsia="es-CR"/>
              </w:rPr>
            </w:pPr>
            <w:r w:rsidRPr="00463E31">
              <w:rPr>
                <w:sz w:val="24"/>
                <w:szCs w:val="24"/>
                <w:lang w:eastAsia="es-CR"/>
              </w:rPr>
              <w:t>168</w:t>
            </w:r>
          </w:p>
        </w:tc>
        <w:tc>
          <w:tcPr>
            <w:tcW w:w="1061"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-20</w:t>
            </w:r>
          </w:p>
        </w:tc>
        <w:tc>
          <w:tcPr>
            <w:tcW w:w="1038" w:type="dxa"/>
            <w:tcBorders>
              <w:top w:val="nil"/>
              <w:left w:val="nil"/>
              <w:bottom w:val="single" w:sz="4" w:space="0" w:color="auto"/>
              <w:right w:val="nil"/>
            </w:tcBorders>
            <w:shd w:val="clear" w:color="auto" w:fill="auto"/>
            <w:vAlign w:val="center"/>
            <w:hideMark/>
          </w:tcPr>
          <w:p w:rsidR="00005801" w:rsidRPr="00463E31" w:rsidRDefault="00005801" w:rsidP="00A22C79">
            <w:pPr>
              <w:jc w:val="right"/>
              <w:rPr>
                <w:color w:val="000000"/>
                <w:sz w:val="24"/>
                <w:szCs w:val="24"/>
                <w:lang w:eastAsia="es-CR"/>
              </w:rPr>
            </w:pPr>
            <w:r w:rsidRPr="00463E31">
              <w:rPr>
                <w:color w:val="000000"/>
                <w:sz w:val="24"/>
                <w:szCs w:val="24"/>
                <w:lang w:eastAsia="es-CR"/>
              </w:rPr>
              <w:t>-11%</w:t>
            </w:r>
          </w:p>
        </w:tc>
      </w:tr>
    </w:tbl>
    <w:p w:rsidR="00005801" w:rsidRPr="002321ED" w:rsidRDefault="00005801" w:rsidP="00005801">
      <w:pPr>
        <w:spacing w:line="360" w:lineRule="auto"/>
        <w:jc w:val="both"/>
      </w:pPr>
    </w:p>
    <w:p w:rsidR="00C13031" w:rsidRDefault="00C13031" w:rsidP="00005801">
      <w:pPr>
        <w:spacing w:line="360" w:lineRule="auto"/>
        <w:jc w:val="both"/>
        <w:rPr>
          <w:snapToGrid w:val="0"/>
          <w:sz w:val="28"/>
          <w:szCs w:val="28"/>
        </w:rPr>
      </w:pPr>
    </w:p>
    <w:p w:rsidR="00005801" w:rsidRPr="00D72062" w:rsidRDefault="00005801" w:rsidP="00005801">
      <w:pPr>
        <w:spacing w:line="360" w:lineRule="auto"/>
        <w:jc w:val="both"/>
        <w:rPr>
          <w:snapToGrid w:val="0"/>
          <w:sz w:val="28"/>
          <w:szCs w:val="28"/>
        </w:rPr>
      </w:pPr>
      <w:r w:rsidRPr="00D72062">
        <w:rPr>
          <w:snapToGrid w:val="0"/>
          <w:sz w:val="28"/>
          <w:szCs w:val="28"/>
        </w:rPr>
        <w:t xml:space="preserve">Se puede observar que en la mayoría de los despachos se dieron importantes aumentos en el circulante mientras que solo en los tribunales de Cartago y el Segundo Civil de San José se </w:t>
      </w:r>
      <w:proofErr w:type="gramStart"/>
      <w:r w:rsidRPr="00D72062">
        <w:rPr>
          <w:snapToGrid w:val="0"/>
          <w:sz w:val="28"/>
          <w:szCs w:val="28"/>
        </w:rPr>
        <w:t>dieron</w:t>
      </w:r>
      <w:proofErr w:type="gramEnd"/>
      <w:r w:rsidRPr="00D72062">
        <w:rPr>
          <w:snapToGrid w:val="0"/>
          <w:sz w:val="28"/>
          <w:szCs w:val="28"/>
        </w:rPr>
        <w:t xml:space="preserve"> decrecimientos en el circulante. Para el último tribunal mencionado el traslado de 113 causas a su homólogo de Puntarenas es la principal causa de la baja de casi dos quintas partes (39%) del circulante. </w:t>
      </w:r>
    </w:p>
    <w:p w:rsidR="00005801" w:rsidRPr="002321ED" w:rsidRDefault="00005801" w:rsidP="00005801">
      <w:pPr>
        <w:spacing w:line="360" w:lineRule="auto"/>
        <w:jc w:val="both"/>
      </w:pPr>
    </w:p>
    <w:p w:rsidR="00005801" w:rsidRDefault="00005801" w:rsidP="00005801">
      <w:pPr>
        <w:spacing w:line="360" w:lineRule="auto"/>
        <w:ind w:left="360"/>
        <w:jc w:val="both"/>
        <w:rPr>
          <w:color w:val="008000"/>
        </w:rPr>
      </w:pPr>
    </w:p>
    <w:p w:rsidR="00005801" w:rsidRPr="00DA4CD8" w:rsidRDefault="00005801" w:rsidP="00005801">
      <w:pPr>
        <w:spacing w:line="360" w:lineRule="auto"/>
        <w:ind w:left="360"/>
        <w:jc w:val="both"/>
        <w:rPr>
          <w:color w:val="008000"/>
        </w:rPr>
      </w:pPr>
    </w:p>
    <w:p w:rsidR="002D3850" w:rsidRPr="00C62FCB" w:rsidRDefault="002D3850" w:rsidP="002D3850">
      <w:pPr>
        <w:rPr>
          <w:rFonts w:ascii="Book Antiqua" w:hAnsi="Book Antiqua" w:cs="Book Antiqua"/>
          <w:sz w:val="24"/>
          <w:szCs w:val="24"/>
        </w:rPr>
      </w:pPr>
    </w:p>
    <w:sectPr w:rsidR="002D3850" w:rsidRPr="00C62FCB" w:rsidSect="00C13031">
      <w:headerReference w:type="default" r:id="rId13"/>
      <w:footerReference w:type="default" r:id="rId14"/>
      <w:pgSz w:w="12242" w:h="15842" w:code="1"/>
      <w:pgMar w:top="2268" w:right="170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A56" w:rsidRDefault="00540A56">
      <w:r>
        <w:separator/>
      </w:r>
    </w:p>
  </w:endnote>
  <w:endnote w:type="continuationSeparator" w:id="0">
    <w:p w:rsidR="00540A56" w:rsidRDefault="00540A5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DA" w:rsidRDefault="00DC50DA" w:rsidP="004129F5">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4B6C">
      <w:rPr>
        <w:rStyle w:val="Nmerodepgina"/>
        <w:noProof/>
      </w:rPr>
      <w:t>1</w:t>
    </w:r>
    <w:r>
      <w:rPr>
        <w:rStyle w:val="Nmerodepgina"/>
      </w:rPr>
      <w:fldChar w:fldCharType="end"/>
    </w:r>
  </w:p>
  <w:p w:rsidR="00DC50DA" w:rsidRPr="0036463A" w:rsidRDefault="00DC50DA" w:rsidP="0036463A">
    <w:pPr>
      <w:pBdr>
        <w:top w:val="single" w:sz="4" w:space="1" w:color="auto"/>
      </w:pBdr>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rsidR="00DC50DA" w:rsidRDefault="00DC50DA" w:rsidP="002F641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A56" w:rsidRDefault="00540A56">
      <w:r>
        <w:separator/>
      </w:r>
    </w:p>
  </w:footnote>
  <w:footnote w:type="continuationSeparator" w:id="0">
    <w:p w:rsidR="00540A56" w:rsidRDefault="00540A56">
      <w:r>
        <w:continuationSeparator/>
      </w:r>
    </w:p>
  </w:footnote>
  <w:footnote w:id="1">
    <w:p w:rsidR="00DC50DA" w:rsidRPr="006F4945" w:rsidRDefault="00DC50DA" w:rsidP="00A370A2">
      <w:pPr>
        <w:pStyle w:val="Textonotapie"/>
        <w:jc w:val="both"/>
      </w:pPr>
      <w:r w:rsidRPr="006D512B">
        <w:rPr>
          <w:rStyle w:val="Refdenotaalpie"/>
        </w:rPr>
        <w:footnoteRef/>
      </w:r>
      <w:r w:rsidRPr="006D512B">
        <w:t>La carga de trabajo es la cantidad de cantidad de asuntos a atender en un período determinado y está compuesta por la suma de la existencia al iniciar, el ingreso nuevo anual y los casos reentrados. Para est</w:t>
      </w:r>
      <w:r>
        <w:t>e</w:t>
      </w:r>
      <w:r w:rsidRPr="006D512B">
        <w:t xml:space="preserve"> año la carga de trabajo incluye los asuntos trasladados de un despacho al otro por reorganización establecida ante la entrada en vigencia del C</w:t>
      </w:r>
      <w:r>
        <w:t>ó</w:t>
      </w:r>
      <w:r w:rsidRPr="006D512B">
        <w:t>digo Procesal Civil.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DA" w:rsidRDefault="00DC50DA" w:rsidP="00BF0EE8">
    <w:pPr>
      <w:framePr w:w="640" w:hSpace="141" w:wrap="auto" w:vAnchor="text" w:hAnchor="margin" w:x="8456" w:y="-91"/>
    </w:pPr>
  </w:p>
  <w:p w:rsidR="00DC50DA" w:rsidRDefault="00DC50DA" w:rsidP="00BF0EE8">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Pr="003D5F63">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32pt" o:ole="">
          <v:imagedata r:id="rId1" o:title=""/>
        </v:shape>
        <o:OLEObject Type="Embed" ProgID="PBrush" ShapeID="_x0000_i1025" DrawAspect="Content" ObjectID="_1594453983" r:id="rId2"/>
      </w:object>
    </w:r>
  </w:p>
  <w:p w:rsidR="00DC50DA" w:rsidRDefault="00DC50DA" w:rsidP="00BF0EE8">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DC50DA" w:rsidRPr="005B3B0C" w:rsidRDefault="00DC50DA" w:rsidP="00BF0EE8">
    <w:pPr>
      <w:pStyle w:val="Encabezado"/>
      <w:jc w:val="center"/>
      <w:rPr>
        <w:lang w:val="en-US"/>
      </w:rPr>
    </w:pPr>
    <w:r w:rsidRPr="001018BE">
      <w:rPr>
        <w:rFonts w:ascii="Book Antiqua" w:hAnsi="Book Antiqua" w:cs="Book Antiqua"/>
        <w:i/>
        <w:iCs/>
        <w:sz w:val="18"/>
        <w:szCs w:val="18"/>
        <w:lang w:val="es-ES"/>
      </w:rPr>
      <w:t xml:space="preserve">Telf.   </w:t>
    </w:r>
    <w:r w:rsidRPr="005B3B0C">
      <w:rPr>
        <w:rFonts w:ascii="Book Antiqua" w:hAnsi="Book Antiqua" w:cs="Book Antiqua"/>
        <w:i/>
        <w:iCs/>
        <w:sz w:val="18"/>
        <w:szCs w:val="18"/>
        <w:lang w:val="en-US"/>
      </w:rPr>
      <w:t xml:space="preserve">2295-3600 / </w:t>
    </w:r>
    <w:proofErr w:type="gramStart"/>
    <w:r w:rsidRPr="005B3B0C">
      <w:rPr>
        <w:rFonts w:ascii="Book Antiqua" w:hAnsi="Book Antiqua" w:cs="Book Antiqua"/>
        <w:i/>
        <w:iCs/>
        <w:sz w:val="18"/>
        <w:szCs w:val="18"/>
        <w:lang w:val="en-US"/>
      </w:rPr>
      <w:t>3599  Fax</w:t>
    </w:r>
    <w:proofErr w:type="gramEnd"/>
    <w:r w:rsidRPr="005B3B0C">
      <w:rPr>
        <w:rFonts w:ascii="Book Antiqua" w:hAnsi="Book Antiqua" w:cs="Book Antiqua"/>
        <w:i/>
        <w:iCs/>
        <w:sz w:val="18"/>
        <w:szCs w:val="18"/>
        <w:lang w:val="en-US"/>
      </w:rPr>
      <w:t>. 22</w:t>
    </w:r>
    <w:r>
      <w:rPr>
        <w:rFonts w:ascii="Book Antiqua" w:hAnsi="Book Antiqua" w:cs="Book Antiqua"/>
        <w:i/>
        <w:iCs/>
        <w:sz w:val="18"/>
        <w:szCs w:val="18"/>
        <w:lang w:val="en-US"/>
      </w:rPr>
      <w:t>57-5633   / Apdo.  95-</w:t>
    </w:r>
    <w:proofErr w:type="gramStart"/>
    <w:r>
      <w:rPr>
        <w:rFonts w:ascii="Book Antiqua" w:hAnsi="Book Antiqua" w:cs="Book Antiqua"/>
        <w:i/>
        <w:iCs/>
        <w:sz w:val="18"/>
        <w:szCs w:val="18"/>
        <w:lang w:val="en-US"/>
      </w:rPr>
      <w:t>1003  /</w:t>
    </w:r>
    <w:proofErr w:type="gramEnd"/>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rsidR="00DC50DA" w:rsidRPr="005B3B0C" w:rsidRDefault="00DC50DA" w:rsidP="00BF0EE8">
    <w:pPr>
      <w:pBdr>
        <w:bottom w:val="single" w:sz="6" w:space="0" w:color="auto"/>
      </w:pBdr>
      <w:spacing w:after="2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3D500C1"/>
    <w:multiLevelType w:val="hybridMultilevel"/>
    <w:tmpl w:val="BB7AC0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5AA5578"/>
    <w:multiLevelType w:val="hybridMultilevel"/>
    <w:tmpl w:val="832CA518"/>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6">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7">
    <w:nsid w:val="1B0D6F72"/>
    <w:multiLevelType w:val="hybridMultilevel"/>
    <w:tmpl w:val="81004B6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894492B"/>
    <w:multiLevelType w:val="multilevel"/>
    <w:tmpl w:val="13C0F5C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3C31E0C"/>
    <w:multiLevelType w:val="hybridMultilevel"/>
    <w:tmpl w:val="3A6236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26">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7">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1"/>
  </w:num>
  <w:num w:numId="2">
    <w:abstractNumId w:val="28"/>
  </w:num>
  <w:num w:numId="3">
    <w:abstractNumId w:val="9"/>
  </w:num>
  <w:num w:numId="4">
    <w:abstractNumId w:val="24"/>
  </w:num>
  <w:num w:numId="5">
    <w:abstractNumId w:val="11"/>
  </w:num>
  <w:num w:numId="6">
    <w:abstractNumId w:val="17"/>
  </w:num>
  <w:num w:numId="7">
    <w:abstractNumId w:val="29"/>
  </w:num>
  <w:num w:numId="8">
    <w:abstractNumId w:val="22"/>
  </w:num>
  <w:num w:numId="9">
    <w:abstractNumId w:val="19"/>
  </w:num>
  <w:num w:numId="10">
    <w:abstractNumId w:val="12"/>
  </w:num>
  <w:num w:numId="11">
    <w:abstractNumId w:val="18"/>
  </w:num>
  <w:num w:numId="12">
    <w:abstractNumId w:val="26"/>
  </w:num>
  <w:num w:numId="13">
    <w:abstractNumId w:val="20"/>
  </w:num>
  <w:num w:numId="14">
    <w:abstractNumId w:val="16"/>
  </w:num>
  <w:num w:numId="15">
    <w:abstractNumId w:val="2"/>
  </w:num>
  <w:num w:numId="16">
    <w:abstractNumId w:val="23"/>
  </w:num>
  <w:num w:numId="17">
    <w:abstractNumId w:val="3"/>
  </w:num>
  <w:num w:numId="18">
    <w:abstractNumId w:val="25"/>
  </w:num>
  <w:num w:numId="19">
    <w:abstractNumId w:val="10"/>
  </w:num>
  <w:num w:numId="20">
    <w:abstractNumId w:val="6"/>
  </w:num>
  <w:num w:numId="21">
    <w:abstractNumId w:val="8"/>
  </w:num>
  <w:num w:numId="22">
    <w:abstractNumId w:val="21"/>
  </w:num>
  <w:num w:numId="23">
    <w:abstractNumId w:val="2"/>
  </w:num>
  <w:num w:numId="24">
    <w:abstractNumId w:val="2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7"/>
  </w:num>
  <w:num w:numId="28">
    <w:abstractNumId w:val="13"/>
  </w:num>
  <w:num w:numId="29">
    <w:abstractNumId w:val="4"/>
  </w:num>
  <w:num w:numId="30">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BF0EE8"/>
    <w:rsid w:val="00005801"/>
    <w:rsid w:val="000131C6"/>
    <w:rsid w:val="00023AC9"/>
    <w:rsid w:val="0003358A"/>
    <w:rsid w:val="00036D0A"/>
    <w:rsid w:val="00044B65"/>
    <w:rsid w:val="00054A79"/>
    <w:rsid w:val="000558D4"/>
    <w:rsid w:val="00057F01"/>
    <w:rsid w:val="000745D1"/>
    <w:rsid w:val="00077A41"/>
    <w:rsid w:val="00083A70"/>
    <w:rsid w:val="0008547D"/>
    <w:rsid w:val="000920EF"/>
    <w:rsid w:val="0009367A"/>
    <w:rsid w:val="000A326D"/>
    <w:rsid w:val="000A5E79"/>
    <w:rsid w:val="000B1F7E"/>
    <w:rsid w:val="000D5362"/>
    <w:rsid w:val="000E0040"/>
    <w:rsid w:val="000E1624"/>
    <w:rsid w:val="001018BE"/>
    <w:rsid w:val="001020D5"/>
    <w:rsid w:val="00132550"/>
    <w:rsid w:val="00135450"/>
    <w:rsid w:val="00140C56"/>
    <w:rsid w:val="00145106"/>
    <w:rsid w:val="001458F9"/>
    <w:rsid w:val="00170E9E"/>
    <w:rsid w:val="001739BF"/>
    <w:rsid w:val="001874A4"/>
    <w:rsid w:val="0019575A"/>
    <w:rsid w:val="001A233B"/>
    <w:rsid w:val="001C21DB"/>
    <w:rsid w:val="001D223B"/>
    <w:rsid w:val="001E0BF7"/>
    <w:rsid w:val="001E3252"/>
    <w:rsid w:val="001E517B"/>
    <w:rsid w:val="001F1A91"/>
    <w:rsid w:val="001F561E"/>
    <w:rsid w:val="0021051F"/>
    <w:rsid w:val="0022401C"/>
    <w:rsid w:val="002557CB"/>
    <w:rsid w:val="002727AA"/>
    <w:rsid w:val="00273333"/>
    <w:rsid w:val="00282497"/>
    <w:rsid w:val="0028385A"/>
    <w:rsid w:val="00283912"/>
    <w:rsid w:val="002A4E48"/>
    <w:rsid w:val="002B047F"/>
    <w:rsid w:val="002C4CD7"/>
    <w:rsid w:val="002C7CA1"/>
    <w:rsid w:val="002D3850"/>
    <w:rsid w:val="002D5A56"/>
    <w:rsid w:val="002D61DE"/>
    <w:rsid w:val="002E000C"/>
    <w:rsid w:val="002E35AC"/>
    <w:rsid w:val="002E37A8"/>
    <w:rsid w:val="002F6410"/>
    <w:rsid w:val="00300509"/>
    <w:rsid w:val="003014A8"/>
    <w:rsid w:val="003035BE"/>
    <w:rsid w:val="0031256C"/>
    <w:rsid w:val="00323785"/>
    <w:rsid w:val="00331C96"/>
    <w:rsid w:val="00344AEA"/>
    <w:rsid w:val="00362450"/>
    <w:rsid w:val="00363033"/>
    <w:rsid w:val="00364509"/>
    <w:rsid w:val="0036463A"/>
    <w:rsid w:val="00364898"/>
    <w:rsid w:val="003722A7"/>
    <w:rsid w:val="00372DAA"/>
    <w:rsid w:val="0038346A"/>
    <w:rsid w:val="003969A6"/>
    <w:rsid w:val="003A43CF"/>
    <w:rsid w:val="003B219A"/>
    <w:rsid w:val="003C3BFC"/>
    <w:rsid w:val="003D2F3D"/>
    <w:rsid w:val="003D5F63"/>
    <w:rsid w:val="003E3D38"/>
    <w:rsid w:val="003E724E"/>
    <w:rsid w:val="003F1345"/>
    <w:rsid w:val="00411F23"/>
    <w:rsid w:val="004129F5"/>
    <w:rsid w:val="00415C13"/>
    <w:rsid w:val="00430D8E"/>
    <w:rsid w:val="00447FE6"/>
    <w:rsid w:val="00463E31"/>
    <w:rsid w:val="00493F2D"/>
    <w:rsid w:val="004B616A"/>
    <w:rsid w:val="004D75FB"/>
    <w:rsid w:val="004E343C"/>
    <w:rsid w:val="0051132D"/>
    <w:rsid w:val="005212AB"/>
    <w:rsid w:val="00534174"/>
    <w:rsid w:val="005354B5"/>
    <w:rsid w:val="00540814"/>
    <w:rsid w:val="00540A56"/>
    <w:rsid w:val="00544065"/>
    <w:rsid w:val="005442E3"/>
    <w:rsid w:val="005523FD"/>
    <w:rsid w:val="00555F52"/>
    <w:rsid w:val="005729BE"/>
    <w:rsid w:val="00583731"/>
    <w:rsid w:val="00587A31"/>
    <w:rsid w:val="00592114"/>
    <w:rsid w:val="005B3B0C"/>
    <w:rsid w:val="005C5393"/>
    <w:rsid w:val="005C7E81"/>
    <w:rsid w:val="005D215B"/>
    <w:rsid w:val="005E0D5D"/>
    <w:rsid w:val="005E5F8F"/>
    <w:rsid w:val="0060020A"/>
    <w:rsid w:val="00617990"/>
    <w:rsid w:val="0062351B"/>
    <w:rsid w:val="00641214"/>
    <w:rsid w:val="00664B6B"/>
    <w:rsid w:val="00666A89"/>
    <w:rsid w:val="006756E4"/>
    <w:rsid w:val="00677280"/>
    <w:rsid w:val="00677737"/>
    <w:rsid w:val="00693F61"/>
    <w:rsid w:val="00693FE9"/>
    <w:rsid w:val="006968D2"/>
    <w:rsid w:val="006A7461"/>
    <w:rsid w:val="006B192A"/>
    <w:rsid w:val="006B1A77"/>
    <w:rsid w:val="006B3982"/>
    <w:rsid w:val="006B7CEA"/>
    <w:rsid w:val="006C42AF"/>
    <w:rsid w:val="006D2D82"/>
    <w:rsid w:val="006D6954"/>
    <w:rsid w:val="006E0146"/>
    <w:rsid w:val="006E3B1A"/>
    <w:rsid w:val="00703AA8"/>
    <w:rsid w:val="00707EB6"/>
    <w:rsid w:val="00710209"/>
    <w:rsid w:val="007323A3"/>
    <w:rsid w:val="00752F2E"/>
    <w:rsid w:val="007530F7"/>
    <w:rsid w:val="007552C6"/>
    <w:rsid w:val="00756F2C"/>
    <w:rsid w:val="007614EF"/>
    <w:rsid w:val="0076603E"/>
    <w:rsid w:val="00770E6A"/>
    <w:rsid w:val="0077233C"/>
    <w:rsid w:val="00776526"/>
    <w:rsid w:val="00794407"/>
    <w:rsid w:val="0079622F"/>
    <w:rsid w:val="007C0E0A"/>
    <w:rsid w:val="007C3294"/>
    <w:rsid w:val="007C6C79"/>
    <w:rsid w:val="007D24FD"/>
    <w:rsid w:val="007E300C"/>
    <w:rsid w:val="007F79C9"/>
    <w:rsid w:val="00822EE0"/>
    <w:rsid w:val="00823732"/>
    <w:rsid w:val="008344E6"/>
    <w:rsid w:val="00834B6C"/>
    <w:rsid w:val="00841DD1"/>
    <w:rsid w:val="00844B08"/>
    <w:rsid w:val="00845711"/>
    <w:rsid w:val="00853026"/>
    <w:rsid w:val="0086065C"/>
    <w:rsid w:val="008737C7"/>
    <w:rsid w:val="008A06D8"/>
    <w:rsid w:val="008A3B13"/>
    <w:rsid w:val="008A3EE3"/>
    <w:rsid w:val="008A634E"/>
    <w:rsid w:val="008B7460"/>
    <w:rsid w:val="008E281C"/>
    <w:rsid w:val="008F46FB"/>
    <w:rsid w:val="009102F7"/>
    <w:rsid w:val="00913C2E"/>
    <w:rsid w:val="00914A07"/>
    <w:rsid w:val="00924666"/>
    <w:rsid w:val="00951321"/>
    <w:rsid w:val="009533E7"/>
    <w:rsid w:val="00954BF3"/>
    <w:rsid w:val="00962E8C"/>
    <w:rsid w:val="00964019"/>
    <w:rsid w:val="00972E96"/>
    <w:rsid w:val="009772DD"/>
    <w:rsid w:val="00980FF9"/>
    <w:rsid w:val="009A7430"/>
    <w:rsid w:val="009C0A09"/>
    <w:rsid w:val="009C3901"/>
    <w:rsid w:val="009E4A9B"/>
    <w:rsid w:val="009E798F"/>
    <w:rsid w:val="00A108DA"/>
    <w:rsid w:val="00A1099D"/>
    <w:rsid w:val="00A1430C"/>
    <w:rsid w:val="00A2213D"/>
    <w:rsid w:val="00A22C79"/>
    <w:rsid w:val="00A36EF8"/>
    <w:rsid w:val="00A370A2"/>
    <w:rsid w:val="00A37E82"/>
    <w:rsid w:val="00A4283D"/>
    <w:rsid w:val="00A57D85"/>
    <w:rsid w:val="00A603DF"/>
    <w:rsid w:val="00A6538A"/>
    <w:rsid w:val="00A82381"/>
    <w:rsid w:val="00AA53CF"/>
    <w:rsid w:val="00AA72DF"/>
    <w:rsid w:val="00AB61B4"/>
    <w:rsid w:val="00AE2928"/>
    <w:rsid w:val="00AF32D3"/>
    <w:rsid w:val="00AF6104"/>
    <w:rsid w:val="00B00DDF"/>
    <w:rsid w:val="00B15CB4"/>
    <w:rsid w:val="00B216DB"/>
    <w:rsid w:val="00B32783"/>
    <w:rsid w:val="00B4039C"/>
    <w:rsid w:val="00B44293"/>
    <w:rsid w:val="00B5157C"/>
    <w:rsid w:val="00B521D2"/>
    <w:rsid w:val="00B53F3E"/>
    <w:rsid w:val="00B54D5A"/>
    <w:rsid w:val="00B65838"/>
    <w:rsid w:val="00B75314"/>
    <w:rsid w:val="00B7674C"/>
    <w:rsid w:val="00BA45C9"/>
    <w:rsid w:val="00BC1B05"/>
    <w:rsid w:val="00BC2295"/>
    <w:rsid w:val="00BD2A83"/>
    <w:rsid w:val="00BE43F8"/>
    <w:rsid w:val="00BF0EE8"/>
    <w:rsid w:val="00BF7474"/>
    <w:rsid w:val="00C00A2B"/>
    <w:rsid w:val="00C00EF0"/>
    <w:rsid w:val="00C03413"/>
    <w:rsid w:val="00C13031"/>
    <w:rsid w:val="00C148F1"/>
    <w:rsid w:val="00C22C27"/>
    <w:rsid w:val="00C24077"/>
    <w:rsid w:val="00C30095"/>
    <w:rsid w:val="00C340AA"/>
    <w:rsid w:val="00C34357"/>
    <w:rsid w:val="00C644CA"/>
    <w:rsid w:val="00C6557F"/>
    <w:rsid w:val="00C65CC2"/>
    <w:rsid w:val="00C65D37"/>
    <w:rsid w:val="00C6653B"/>
    <w:rsid w:val="00C7629D"/>
    <w:rsid w:val="00C96062"/>
    <w:rsid w:val="00CA5CA6"/>
    <w:rsid w:val="00CA6DFA"/>
    <w:rsid w:val="00CC695F"/>
    <w:rsid w:val="00CD1CC6"/>
    <w:rsid w:val="00CD5D96"/>
    <w:rsid w:val="00CE28FF"/>
    <w:rsid w:val="00CE6E5F"/>
    <w:rsid w:val="00D140B7"/>
    <w:rsid w:val="00D17253"/>
    <w:rsid w:val="00D32651"/>
    <w:rsid w:val="00D370B8"/>
    <w:rsid w:val="00D37EDE"/>
    <w:rsid w:val="00D434E4"/>
    <w:rsid w:val="00D51E66"/>
    <w:rsid w:val="00D61566"/>
    <w:rsid w:val="00D72062"/>
    <w:rsid w:val="00D733DB"/>
    <w:rsid w:val="00D84911"/>
    <w:rsid w:val="00D96461"/>
    <w:rsid w:val="00D9736B"/>
    <w:rsid w:val="00DB48C2"/>
    <w:rsid w:val="00DC3AD4"/>
    <w:rsid w:val="00DC50DA"/>
    <w:rsid w:val="00DE7517"/>
    <w:rsid w:val="00E043DC"/>
    <w:rsid w:val="00E108B2"/>
    <w:rsid w:val="00E12B71"/>
    <w:rsid w:val="00E148E1"/>
    <w:rsid w:val="00E2682D"/>
    <w:rsid w:val="00E32CA8"/>
    <w:rsid w:val="00E34864"/>
    <w:rsid w:val="00E417C5"/>
    <w:rsid w:val="00E43E6D"/>
    <w:rsid w:val="00E50978"/>
    <w:rsid w:val="00E70C34"/>
    <w:rsid w:val="00E713E7"/>
    <w:rsid w:val="00E751CA"/>
    <w:rsid w:val="00E800B5"/>
    <w:rsid w:val="00E806CF"/>
    <w:rsid w:val="00E814A8"/>
    <w:rsid w:val="00EA4E61"/>
    <w:rsid w:val="00EB5E80"/>
    <w:rsid w:val="00EB7D9B"/>
    <w:rsid w:val="00EC289E"/>
    <w:rsid w:val="00ED6EEF"/>
    <w:rsid w:val="00EE6E61"/>
    <w:rsid w:val="00EF4879"/>
    <w:rsid w:val="00EF7391"/>
    <w:rsid w:val="00F10B98"/>
    <w:rsid w:val="00F310CE"/>
    <w:rsid w:val="00F326F8"/>
    <w:rsid w:val="00F40A2F"/>
    <w:rsid w:val="00F42F3A"/>
    <w:rsid w:val="00F47EE8"/>
    <w:rsid w:val="00F51758"/>
    <w:rsid w:val="00F55EF4"/>
    <w:rsid w:val="00F75A7A"/>
    <w:rsid w:val="00F85365"/>
    <w:rsid w:val="00F87727"/>
    <w:rsid w:val="00F95301"/>
    <w:rsid w:val="00FC0FF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EE8"/>
    <w:rPr>
      <w:lang w:eastAsia="es-ES"/>
    </w:rPr>
  </w:style>
  <w:style w:type="paragraph" w:styleId="Ttulo1">
    <w:name w:val="heading 1"/>
    <w:aliases w:val="Título Principal"/>
    <w:basedOn w:val="Normal"/>
    <w:next w:val="Normal"/>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qFormat/>
    <w:rsid w:val="000131C6"/>
    <w:pPr>
      <w:keepNext/>
      <w:widowControl w:val="0"/>
      <w:autoSpaceDE w:val="0"/>
      <w:autoSpaceDN w:val="0"/>
      <w:adjustRightInd w:val="0"/>
      <w:spacing w:before="240" w:after="60"/>
      <w:outlineLvl w:val="1"/>
    </w:pPr>
    <w:rPr>
      <w:rFonts w:ascii="Arial" w:hAnsi="Arial" w:cs="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3D5F63"/>
    <w:rPr>
      <w:rFonts w:ascii="Tahoma" w:hAnsi="Tahoma" w:cs="Tahoma"/>
      <w:sz w:val="16"/>
      <w:szCs w:val="16"/>
      <w:lang w:val="es-ES"/>
    </w:rPr>
  </w:style>
  <w:style w:type="paragraph" w:styleId="Textoindependiente2">
    <w:name w:val="Body Text 2"/>
    <w:basedOn w:val="Normal"/>
    <w:rsid w:val="00BF0EE8"/>
    <w:pPr>
      <w:jc w:val="both"/>
    </w:pPr>
    <w:rPr>
      <w:rFonts w:ascii="Bookman Old Style" w:hAnsi="Bookman Old Style" w:cs="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B15CB4"/>
    <w:pPr>
      <w:spacing w:after="120"/>
    </w:pPr>
  </w:style>
  <w:style w:type="paragraph" w:styleId="Textonotapie">
    <w:name w:val="footnote text"/>
    <w:basedOn w:val="Normal"/>
    <w:link w:val="TextonotapieCar"/>
    <w:semiHidden/>
    <w:rsid w:val="00B15CB4"/>
    <w:rPr>
      <w:lang w:val="es-ES"/>
    </w:rPr>
  </w:style>
  <w:style w:type="character" w:customStyle="1" w:styleId="TextonotapieCar">
    <w:name w:val="Texto nota pie Car"/>
    <w:link w:val="Textonotapie"/>
    <w:semiHidden/>
    <w:locked/>
    <w:rsid w:val="000131C6"/>
    <w:rPr>
      <w:rFonts w:cs="Times New Roman"/>
      <w:lang w:val="es-ES" w:eastAsia="es-ES"/>
    </w:rPr>
  </w:style>
  <w:style w:type="character" w:styleId="Refdenotaalpie">
    <w:name w:val="footnote reference"/>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basedOn w:val="Normal"/>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Epgrafe">
    <w:name w:val="caption"/>
    <w:basedOn w:val="Normal"/>
    <w:next w:val="Normal"/>
    <w:qFormat/>
    <w:rsid w:val="00364509"/>
    <w:pPr>
      <w:widowControl w:val="0"/>
      <w:autoSpaceDE w:val="0"/>
      <w:autoSpaceDN w:val="0"/>
      <w:adjustRightInd w:val="0"/>
    </w:pPr>
    <w:rPr>
      <w:rFonts w:ascii="Arial" w:hAnsi="Arial" w:cs="Arial"/>
      <w:b/>
      <w:bCs/>
      <w:lang w:val="es-ES"/>
    </w:rPr>
  </w:style>
  <w:style w:type="character" w:customStyle="1" w:styleId="Ttulo4Car">
    <w:name w:val="Título 4 Car"/>
    <w:basedOn w:val="Fuentedeprrafopredeter"/>
    <w:link w:val="Ttulo4"/>
    <w:rsid w:val="00756F2C"/>
    <w:rPr>
      <w:rFonts w:ascii="Book Antiqua" w:hAnsi="Book Antiqua" w:cs="Book Antiqua"/>
      <w:b/>
      <w:bCs/>
      <w:sz w:val="24"/>
      <w:szCs w:val="24"/>
      <w:u w:color="000000"/>
      <w:lang w:val="es-ES" w:eastAsia="es-ES"/>
    </w:rPr>
  </w:style>
</w:styles>
</file>

<file path=word/webSettings.xml><?xml version="1.0" encoding="utf-8"?>
<w:webSettings xmlns:r="http://schemas.openxmlformats.org/officeDocument/2006/relationships" xmlns:w="http://schemas.openxmlformats.org/wordprocessingml/2006/main">
  <w:divs>
    <w:div w:id="718675758">
      <w:bodyDiv w:val="1"/>
      <w:marLeft w:val="0"/>
      <w:marRight w:val="0"/>
      <w:marTop w:val="0"/>
      <w:marBottom w:val="0"/>
      <w:divBdr>
        <w:top w:val="none" w:sz="0" w:space="0" w:color="auto"/>
        <w:left w:val="none" w:sz="0" w:space="0" w:color="auto"/>
        <w:bottom w:val="none" w:sz="0" w:space="0" w:color="auto"/>
        <w:right w:val="none" w:sz="0" w:space="0" w:color="auto"/>
      </w:divBdr>
    </w:div>
    <w:div w:id="16028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Hoja_de_c_lculo_de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1094" b="0" i="0" u="none" strike="noStrike" baseline="0">
                <a:solidFill>
                  <a:srgbClr val="000000"/>
                </a:solidFill>
                <a:latin typeface="Times New Roman"/>
                <a:ea typeface="Times New Roman"/>
                <a:cs typeface="Times New Roman"/>
              </a:defRPr>
            </a:pPr>
            <a:r>
              <a:rPr lang="es-CR" sz="1193" b="1" i="0" u="none" strike="noStrike" baseline="0">
                <a:solidFill>
                  <a:srgbClr val="000000"/>
                </a:solidFill>
                <a:latin typeface="Times New Roman"/>
                <a:cs typeface="Times New Roman"/>
              </a:rPr>
              <a:t>Gráfico N° 1 </a:t>
            </a:r>
          </a:p>
          <a:p>
            <a:pPr>
              <a:defRPr sz="1094" b="0" i="0" u="none" strike="noStrike" baseline="0">
                <a:solidFill>
                  <a:srgbClr val="000000"/>
                </a:solidFill>
                <a:latin typeface="Times New Roman"/>
                <a:ea typeface="Times New Roman"/>
                <a:cs typeface="Times New Roman"/>
              </a:defRPr>
            </a:pPr>
            <a:r>
              <a:rPr lang="es-CR" sz="1193" b="1" i="0" u="none" strike="noStrike" baseline="0">
                <a:solidFill>
                  <a:srgbClr val="000000"/>
                </a:solidFill>
                <a:latin typeface="Times New Roman"/>
                <a:cs typeface="Times New Roman"/>
              </a:rPr>
              <a:t>Tasa anual de congestión para el conjunto de los Tribunales Civiles de instancia superior desde el 2013</a:t>
            </a:r>
          </a:p>
          <a:p>
            <a:pPr>
              <a:defRPr sz="1094" b="0" i="0" u="none" strike="noStrike" baseline="0">
                <a:solidFill>
                  <a:srgbClr val="000000"/>
                </a:solidFill>
                <a:latin typeface="Times New Roman"/>
                <a:ea typeface="Times New Roman"/>
                <a:cs typeface="Times New Roman"/>
              </a:defRPr>
            </a:pPr>
            <a:r>
              <a:rPr lang="es-CR" sz="799" b="0" i="0" u="none" strike="noStrike" baseline="0">
                <a:solidFill>
                  <a:srgbClr val="000000"/>
                </a:solidFill>
                <a:latin typeface="Times New Roman"/>
                <a:cs typeface="Times New Roman"/>
              </a:rPr>
              <a:t>- Por cada 100 casos de la carga de trabajo-</a:t>
            </a:r>
          </a:p>
        </c:rich>
      </c:tx>
      <c:layout>
        <c:manualLayout>
          <c:xMode val="edge"/>
          <c:yMode val="edge"/>
          <c:x val="0.13153943027583578"/>
          <c:y val="2.0746876384952321E-2"/>
        </c:manualLayout>
      </c:layout>
      <c:spPr>
        <a:noFill/>
        <a:ln w="25310">
          <a:noFill/>
        </a:ln>
      </c:spPr>
    </c:title>
    <c:plotArea>
      <c:layout>
        <c:manualLayout>
          <c:layoutTarget val="inner"/>
          <c:xMode val="edge"/>
          <c:yMode val="edge"/>
          <c:x val="0.12115547321290722"/>
          <c:y val="0.25635219597550474"/>
          <c:w val="0.82218844984802431"/>
          <c:h val="0.51958145231846065"/>
        </c:manualLayout>
      </c:layout>
      <c:lineChart>
        <c:grouping val="standard"/>
        <c:ser>
          <c:idx val="0"/>
          <c:order val="0"/>
          <c:tx>
            <c:strRef>
              <c:f>indic!$B$5</c:f>
              <c:strCache>
                <c:ptCount val="1"/>
                <c:pt idx="0">
                  <c:v>Congestión</c:v>
                </c:pt>
              </c:strCache>
            </c:strRef>
          </c:tx>
          <c:spPr>
            <a:ln w="12655">
              <a:solidFill>
                <a:srgbClr val="000000"/>
              </a:solidFill>
              <a:prstDash val="solid"/>
            </a:ln>
          </c:spPr>
          <c:marker>
            <c:symbol val="diamond"/>
            <c:size val="2"/>
            <c:spPr>
              <a:solidFill>
                <a:srgbClr val="000000"/>
              </a:solidFill>
              <a:ln>
                <a:solidFill>
                  <a:srgbClr val="000000"/>
                </a:solidFill>
                <a:prstDash val="solid"/>
              </a:ln>
            </c:spPr>
          </c:marker>
          <c:dLbls>
            <c:numFmt formatCode="#,##0" sourceLinked="0"/>
            <c:spPr>
              <a:noFill/>
              <a:ln w="25359">
                <a:noFill/>
              </a:ln>
            </c:spPr>
            <c:txPr>
              <a:bodyPr/>
              <a:lstStyle/>
              <a:p>
                <a:pPr>
                  <a:defRPr sz="1098" b="0" i="0" u="none" strike="noStrike" baseline="0">
                    <a:solidFill>
                      <a:srgbClr val="000000"/>
                    </a:solidFill>
                    <a:latin typeface="Times New Roman"/>
                    <a:ea typeface="Times New Roman"/>
                    <a:cs typeface="Times New Roman"/>
                  </a:defRPr>
                </a:pPr>
                <a:endParaRPr lang="es-CR"/>
              </a:p>
            </c:txPr>
            <c:dLblPos val="b"/>
            <c:showVal val="1"/>
          </c:dLbls>
          <c:cat>
            <c:numRef>
              <c:f>indic!$A$9:$A$13</c:f>
              <c:numCache>
                <c:formatCode>General</c:formatCode>
                <c:ptCount val="5"/>
                <c:pt idx="0">
                  <c:v>2013</c:v>
                </c:pt>
                <c:pt idx="1">
                  <c:v>2014</c:v>
                </c:pt>
                <c:pt idx="2">
                  <c:v>2015</c:v>
                </c:pt>
                <c:pt idx="3">
                  <c:v>2016</c:v>
                </c:pt>
                <c:pt idx="4">
                  <c:v>2017</c:v>
                </c:pt>
              </c:numCache>
            </c:numRef>
          </c:cat>
          <c:val>
            <c:numRef>
              <c:f>indic!$B$9:$B$13</c:f>
              <c:numCache>
                <c:formatCode>0.0</c:formatCode>
                <c:ptCount val="5"/>
                <c:pt idx="0">
                  <c:v>145.0078822911191</c:v>
                </c:pt>
                <c:pt idx="1">
                  <c:v>147.22488038277521</c:v>
                </c:pt>
                <c:pt idx="2">
                  <c:v>161.68271667511422</c:v>
                </c:pt>
                <c:pt idx="3" formatCode="General">
                  <c:v>135</c:v>
                </c:pt>
                <c:pt idx="4" formatCode="General">
                  <c:v>149</c:v>
                </c:pt>
              </c:numCache>
            </c:numRef>
          </c:val>
        </c:ser>
        <c:marker val="1"/>
        <c:axId val="81707008"/>
        <c:axId val="112194304"/>
      </c:lineChart>
      <c:catAx>
        <c:axId val="81707008"/>
        <c:scaling>
          <c:orientation val="minMax"/>
        </c:scaling>
        <c:axPos val="b"/>
        <c:title>
          <c:tx>
            <c:rich>
              <a:bodyPr/>
              <a:lstStyle/>
              <a:p>
                <a:pPr>
                  <a:defRPr sz="1193"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0607904781247315"/>
              <c:y val="0.8568463668620625"/>
            </c:manualLayout>
          </c:layout>
          <c:spPr>
            <a:noFill/>
            <a:ln w="25310">
              <a:noFill/>
            </a:ln>
          </c:spPr>
        </c:title>
        <c:numFmt formatCode="General" sourceLinked="1"/>
        <c:tickLblPos val="nextTo"/>
        <c:spPr>
          <a:ln w="3164">
            <a:solidFill>
              <a:srgbClr val="000000"/>
            </a:solidFill>
            <a:prstDash val="solid"/>
          </a:ln>
        </c:spPr>
        <c:txPr>
          <a:bodyPr rot="0" vert="horz"/>
          <a:lstStyle/>
          <a:p>
            <a:pPr>
              <a:defRPr sz="1198" b="0" i="0" u="none" strike="noStrike" baseline="0">
                <a:solidFill>
                  <a:srgbClr val="000000"/>
                </a:solidFill>
                <a:latin typeface="Times New Roman"/>
                <a:ea typeface="Times New Roman"/>
                <a:cs typeface="Times New Roman"/>
              </a:defRPr>
            </a:pPr>
            <a:endParaRPr lang="es-CR"/>
          </a:p>
        </c:txPr>
        <c:crossAx val="112194304"/>
        <c:crosses val="autoZero"/>
        <c:auto val="1"/>
        <c:lblAlgn val="ctr"/>
        <c:lblOffset val="100"/>
        <c:tickLblSkip val="1"/>
        <c:tickMarkSkip val="1"/>
      </c:catAx>
      <c:valAx>
        <c:axId val="112194304"/>
        <c:scaling>
          <c:orientation val="minMax"/>
          <c:max val="200"/>
          <c:min val="0"/>
        </c:scaling>
        <c:axPos val="l"/>
        <c:majorGridlines>
          <c:spPr>
            <a:ln w="3164">
              <a:solidFill>
                <a:srgbClr val="000000"/>
              </a:solidFill>
              <a:prstDash val="solid"/>
            </a:ln>
          </c:spPr>
        </c:majorGridlines>
        <c:title>
          <c:tx>
            <c:rich>
              <a:bodyPr/>
              <a:lstStyle/>
              <a:p>
                <a:pPr>
                  <a:defRPr sz="1096" b="0" i="0" u="none" strike="noStrike" baseline="0">
                    <a:solidFill>
                      <a:srgbClr val="000000"/>
                    </a:solidFill>
                    <a:latin typeface="Times New Roman"/>
                    <a:ea typeface="Times New Roman"/>
                    <a:cs typeface="Times New Roman"/>
                  </a:defRPr>
                </a:pPr>
                <a:r>
                  <a:rPr lang="es-CR" sz="1193" b="1" i="0" u="none" strike="noStrike" baseline="0">
                    <a:solidFill>
                      <a:srgbClr val="000000"/>
                    </a:solidFill>
                    <a:latin typeface="Times New Roman"/>
                    <a:cs typeface="Times New Roman"/>
                  </a:rPr>
                  <a:t>Valores </a:t>
                </a:r>
              </a:p>
              <a:p>
                <a:pPr>
                  <a:defRPr sz="1096" b="0" i="0" u="none" strike="noStrike" baseline="0">
                    <a:solidFill>
                      <a:srgbClr val="000000"/>
                    </a:solidFill>
                    <a:latin typeface="Times New Roman"/>
                    <a:ea typeface="Times New Roman"/>
                    <a:cs typeface="Times New Roman"/>
                  </a:defRPr>
                </a:pPr>
                <a:r>
                  <a:rPr lang="es-CR" sz="1193" b="1" i="0" u="none" strike="noStrike" baseline="0">
                    <a:solidFill>
                      <a:srgbClr val="000000"/>
                    </a:solidFill>
                    <a:latin typeface="Times New Roman"/>
                    <a:cs typeface="Times New Roman"/>
                  </a:rPr>
                  <a:t>posibles</a:t>
                </a:r>
              </a:p>
            </c:rich>
          </c:tx>
          <c:layout>
            <c:manualLayout>
              <c:xMode val="edge"/>
              <c:yMode val="edge"/>
              <c:x val="1.8481413870522424E-2"/>
              <c:y val="0.30205443573960894"/>
            </c:manualLayout>
          </c:layout>
          <c:spPr>
            <a:noFill/>
            <a:ln w="25310">
              <a:noFill/>
            </a:ln>
          </c:spPr>
        </c:title>
        <c:numFmt formatCode="0" sourceLinked="0"/>
        <c:tickLblPos val="nextTo"/>
        <c:spPr>
          <a:ln w="3164">
            <a:solidFill>
              <a:srgbClr val="000000"/>
            </a:solidFill>
            <a:prstDash val="solid"/>
          </a:ln>
        </c:spPr>
        <c:txPr>
          <a:bodyPr rot="0" vert="horz"/>
          <a:lstStyle/>
          <a:p>
            <a:pPr>
              <a:defRPr sz="1198" b="0" i="0" u="none" strike="noStrike" baseline="0">
                <a:solidFill>
                  <a:srgbClr val="000000"/>
                </a:solidFill>
                <a:latin typeface="Times New Roman"/>
                <a:ea typeface="Times New Roman"/>
                <a:cs typeface="Times New Roman"/>
              </a:defRPr>
            </a:pPr>
            <a:endParaRPr lang="es-CR"/>
          </a:p>
        </c:txPr>
        <c:crossAx val="81707008"/>
        <c:crosses val="autoZero"/>
        <c:crossBetween val="between"/>
        <c:majorUnit val="100"/>
      </c:valAx>
      <c:spPr>
        <a:gradFill flip="none" rotWithShape="1">
          <a:gsLst>
            <a:gs pos="0">
              <a:srgbClr val="FFFFFF"/>
            </a:gs>
            <a:gs pos="7001">
              <a:srgbClr val="E6E6E6"/>
            </a:gs>
            <a:gs pos="32001">
              <a:srgbClr val="7D8496"/>
            </a:gs>
            <a:gs pos="47000">
              <a:srgbClr val="E6E6E6"/>
            </a:gs>
            <a:gs pos="85001">
              <a:srgbClr val="7D8496"/>
            </a:gs>
            <a:gs pos="100000">
              <a:srgbClr val="E6E6E6"/>
            </a:gs>
          </a:gsLst>
          <a:lin ang="5400000" scaled="0"/>
          <a:tileRect l="-100000" t="-100000"/>
        </a:gradFill>
        <a:ln w="12655">
          <a:solidFill>
            <a:srgbClr val="808080"/>
          </a:solidFill>
          <a:prstDash val="solid"/>
        </a:ln>
      </c:spPr>
    </c:plotArea>
    <c:plotVisOnly val="1"/>
    <c:dispBlanksAs val="gap"/>
  </c:chart>
  <c:spPr>
    <a:noFill/>
    <a:ln w="3164">
      <a:solidFill>
        <a:srgbClr val="000000"/>
      </a:solidFill>
      <a:prstDash val="solid"/>
    </a:ln>
  </c:spPr>
  <c:txPr>
    <a:bodyPr/>
    <a:lstStyle/>
    <a:p>
      <a:pPr>
        <a:defRPr sz="1098"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s-CR"/>
  <c:chart>
    <c:title>
      <c:tx>
        <c:rich>
          <a:bodyPr/>
          <a:lstStyle/>
          <a:p>
            <a:pPr>
              <a:defRPr sz="1094" b="0" i="0" u="none" strike="noStrike" baseline="0">
                <a:solidFill>
                  <a:srgbClr val="000000"/>
                </a:solidFill>
                <a:latin typeface="Times New Roman"/>
                <a:ea typeface="Times New Roman"/>
                <a:cs typeface="Times New Roman"/>
              </a:defRPr>
            </a:pPr>
            <a:r>
              <a:rPr lang="es-CR" sz="1193" b="1" i="0" u="none" strike="noStrike" baseline="0">
                <a:solidFill>
                  <a:srgbClr val="000000"/>
                </a:solidFill>
                <a:latin typeface="Times New Roman"/>
                <a:cs typeface="Times New Roman"/>
              </a:rPr>
              <a:t>Gráfico N° 2 </a:t>
            </a:r>
          </a:p>
          <a:p>
            <a:pPr>
              <a:defRPr sz="1094" b="0" i="0" u="none" strike="noStrike" baseline="0">
                <a:solidFill>
                  <a:srgbClr val="000000"/>
                </a:solidFill>
                <a:latin typeface="Times New Roman"/>
                <a:ea typeface="Times New Roman"/>
                <a:cs typeface="Times New Roman"/>
              </a:defRPr>
            </a:pPr>
            <a:r>
              <a:rPr lang="es-CR" sz="1193" b="1" i="0" u="none" strike="noStrike" baseline="0">
                <a:solidFill>
                  <a:srgbClr val="000000"/>
                </a:solidFill>
                <a:latin typeface="Times New Roman"/>
                <a:cs typeface="Times New Roman"/>
              </a:rPr>
              <a:t>Porcentajes anuales de pendencia y resolución para el conjunto de los Tribunales Civiles de instancia superior desde el 2013</a:t>
            </a:r>
          </a:p>
          <a:p>
            <a:pPr>
              <a:defRPr sz="1094" b="0" i="0" u="none" strike="noStrike" baseline="0">
                <a:solidFill>
                  <a:srgbClr val="000000"/>
                </a:solidFill>
                <a:latin typeface="Times New Roman"/>
                <a:ea typeface="Times New Roman"/>
                <a:cs typeface="Times New Roman"/>
              </a:defRPr>
            </a:pPr>
            <a:r>
              <a:rPr lang="es-CR" sz="799" b="0" i="0" u="none" strike="noStrike" baseline="0">
                <a:solidFill>
                  <a:srgbClr val="000000"/>
                </a:solidFill>
                <a:latin typeface="Times New Roman"/>
                <a:cs typeface="Times New Roman"/>
              </a:rPr>
              <a:t>- Por cada 100 casos de la carga de trabajo-</a:t>
            </a:r>
          </a:p>
        </c:rich>
      </c:tx>
      <c:layout>
        <c:manualLayout>
          <c:xMode val="edge"/>
          <c:yMode val="edge"/>
          <c:x val="0.1315395027819502"/>
          <c:y val="2.0746413552720291E-2"/>
        </c:manualLayout>
      </c:layout>
      <c:spPr>
        <a:noFill/>
        <a:ln w="25310">
          <a:noFill/>
        </a:ln>
      </c:spPr>
    </c:title>
    <c:plotArea>
      <c:layout>
        <c:manualLayout>
          <c:layoutTarget val="inner"/>
          <c:xMode val="edge"/>
          <c:yMode val="edge"/>
          <c:x val="0.11842581807451592"/>
          <c:y val="0.28192312947182985"/>
          <c:w val="0.82218844984802431"/>
          <c:h val="0.54149929888900872"/>
        </c:manualLayout>
      </c:layout>
      <c:lineChart>
        <c:grouping val="standard"/>
        <c:ser>
          <c:idx val="0"/>
          <c:order val="0"/>
          <c:tx>
            <c:strRef>
              <c:f>indic!$B$5</c:f>
              <c:strCache>
                <c:ptCount val="1"/>
                <c:pt idx="0">
                  <c:v>Tasa de pendencia</c:v>
                </c:pt>
              </c:strCache>
            </c:strRef>
          </c:tx>
          <c:spPr>
            <a:ln w="12655">
              <a:solidFill>
                <a:srgbClr val="000000"/>
              </a:solidFill>
              <a:prstDash val="solid"/>
            </a:ln>
          </c:spPr>
          <c:marker>
            <c:symbol val="diamond"/>
            <c:size val="2"/>
            <c:spPr>
              <a:solidFill>
                <a:srgbClr val="000000"/>
              </a:solidFill>
              <a:ln>
                <a:solidFill>
                  <a:srgbClr val="000000"/>
                </a:solidFill>
                <a:prstDash val="solid"/>
              </a:ln>
            </c:spPr>
          </c:marker>
          <c:dLbls>
            <c:numFmt formatCode="0%" sourceLinked="0"/>
            <c:spPr>
              <a:noFill/>
              <a:ln w="25359">
                <a:noFill/>
              </a:ln>
            </c:spPr>
            <c:txPr>
              <a:bodyPr/>
              <a:lstStyle/>
              <a:p>
                <a:pPr>
                  <a:defRPr sz="1098" b="0" i="0" u="none" strike="noStrike" baseline="0">
                    <a:solidFill>
                      <a:srgbClr val="000000"/>
                    </a:solidFill>
                    <a:latin typeface="Times New Roman"/>
                    <a:ea typeface="Times New Roman"/>
                    <a:cs typeface="Times New Roman"/>
                  </a:defRPr>
                </a:pPr>
                <a:endParaRPr lang="es-CR"/>
              </a:p>
            </c:txPr>
            <c:dLblPos val="b"/>
            <c:showVal val="1"/>
          </c:dLbls>
          <c:cat>
            <c:numRef>
              <c:f>indic!$A$9:$A$13</c:f>
              <c:numCache>
                <c:formatCode>General</c:formatCode>
                <c:ptCount val="5"/>
                <c:pt idx="0">
                  <c:v>2013</c:v>
                </c:pt>
                <c:pt idx="1">
                  <c:v>2014</c:v>
                </c:pt>
                <c:pt idx="2">
                  <c:v>2015</c:v>
                </c:pt>
                <c:pt idx="3">
                  <c:v>2016</c:v>
                </c:pt>
                <c:pt idx="4">
                  <c:v>2017</c:v>
                </c:pt>
              </c:numCache>
            </c:numRef>
          </c:cat>
          <c:val>
            <c:numRef>
              <c:f>indic!$B$9:$B$13</c:f>
              <c:numCache>
                <c:formatCode>0%</c:formatCode>
                <c:ptCount val="5"/>
                <c:pt idx="0">
                  <c:v>0.3103823156368915</c:v>
                </c:pt>
                <c:pt idx="1">
                  <c:v>0.32076698082548005</c:v>
                </c:pt>
                <c:pt idx="2">
                  <c:v>0.38150470219435811</c:v>
                </c:pt>
                <c:pt idx="3">
                  <c:v>0.26</c:v>
                </c:pt>
                <c:pt idx="4">
                  <c:v>0.33000000000000046</c:v>
                </c:pt>
              </c:numCache>
            </c:numRef>
          </c:val>
        </c:ser>
        <c:ser>
          <c:idx val="2"/>
          <c:order val="1"/>
          <c:tx>
            <c:strRef>
              <c:f>indic!$C$5</c:f>
              <c:strCache>
                <c:ptCount val="1"/>
                <c:pt idx="0">
                  <c:v>Tasa de resolución</c:v>
                </c:pt>
              </c:strCache>
            </c:strRef>
          </c:tx>
          <c:spPr>
            <a:ln w="12680">
              <a:solidFill>
                <a:srgbClr val="FF00FF"/>
              </a:solidFill>
              <a:prstDash val="solid"/>
            </a:ln>
          </c:spPr>
          <c:dLbls>
            <c:spPr>
              <a:noFill/>
              <a:ln w="25359">
                <a:noFill/>
              </a:ln>
            </c:spPr>
            <c:txPr>
              <a:bodyPr/>
              <a:lstStyle/>
              <a:p>
                <a:pPr>
                  <a:defRPr sz="1098" b="0" i="0" u="none" strike="noStrike" baseline="0">
                    <a:solidFill>
                      <a:srgbClr val="000000"/>
                    </a:solidFill>
                    <a:latin typeface="Times New Roman"/>
                    <a:ea typeface="Times New Roman"/>
                    <a:cs typeface="Times New Roman"/>
                  </a:defRPr>
                </a:pPr>
                <a:endParaRPr lang="es-CR"/>
              </a:p>
            </c:txPr>
            <c:dLblPos val="t"/>
            <c:showVal val="1"/>
          </c:dLbls>
          <c:cat>
            <c:numRef>
              <c:f>indic!$A$9:$A$13</c:f>
              <c:numCache>
                <c:formatCode>General</c:formatCode>
                <c:ptCount val="5"/>
                <c:pt idx="0">
                  <c:v>2013</c:v>
                </c:pt>
                <c:pt idx="1">
                  <c:v>2014</c:v>
                </c:pt>
                <c:pt idx="2">
                  <c:v>2015</c:v>
                </c:pt>
                <c:pt idx="3">
                  <c:v>2016</c:v>
                </c:pt>
                <c:pt idx="4">
                  <c:v>2017</c:v>
                </c:pt>
              </c:numCache>
            </c:numRef>
          </c:cat>
          <c:val>
            <c:numRef>
              <c:f>indic!$C$9:$C$13</c:f>
              <c:numCache>
                <c:formatCode>0%</c:formatCode>
                <c:ptCount val="5"/>
                <c:pt idx="0">
                  <c:v>0.68961768436310988</c:v>
                </c:pt>
                <c:pt idx="1">
                  <c:v>0.6792330191745215</c:v>
                </c:pt>
                <c:pt idx="2">
                  <c:v>0.61849529780564261</c:v>
                </c:pt>
                <c:pt idx="3">
                  <c:v>0.74000000000000066</c:v>
                </c:pt>
                <c:pt idx="4">
                  <c:v>0.67000000000000093</c:v>
                </c:pt>
              </c:numCache>
            </c:numRef>
          </c:val>
        </c:ser>
        <c:marker val="1"/>
        <c:axId val="85023744"/>
        <c:axId val="67892352"/>
      </c:lineChart>
      <c:catAx>
        <c:axId val="85023744"/>
        <c:scaling>
          <c:orientation val="minMax"/>
        </c:scaling>
        <c:axPos val="b"/>
        <c:title>
          <c:tx>
            <c:rich>
              <a:bodyPr/>
              <a:lstStyle/>
              <a:p>
                <a:pPr>
                  <a:defRPr sz="1193"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49555962711516188"/>
              <c:y val="0.87876422598975534"/>
            </c:manualLayout>
          </c:layout>
          <c:spPr>
            <a:noFill/>
            <a:ln w="25310">
              <a:noFill/>
            </a:ln>
          </c:spPr>
        </c:title>
        <c:numFmt formatCode="General" sourceLinked="1"/>
        <c:tickLblPos val="nextTo"/>
        <c:spPr>
          <a:ln w="3164">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s-CR"/>
          </a:p>
        </c:txPr>
        <c:crossAx val="67892352"/>
        <c:crosses val="autoZero"/>
        <c:auto val="1"/>
        <c:lblAlgn val="ctr"/>
        <c:lblOffset val="100"/>
        <c:tickLblSkip val="1"/>
        <c:tickMarkSkip val="1"/>
      </c:catAx>
      <c:valAx>
        <c:axId val="67892352"/>
        <c:scaling>
          <c:orientation val="minMax"/>
          <c:max val="1"/>
          <c:min val="0"/>
        </c:scaling>
        <c:axPos val="l"/>
        <c:majorGridlines>
          <c:spPr>
            <a:ln w="3164">
              <a:solidFill>
                <a:srgbClr val="000000"/>
              </a:solidFill>
              <a:prstDash val="solid"/>
            </a:ln>
          </c:spPr>
        </c:majorGridlines>
        <c:title>
          <c:tx>
            <c:rich>
              <a:bodyPr/>
              <a:lstStyle/>
              <a:p>
                <a:pPr>
                  <a:defRPr sz="1193" b="1" i="0" u="none" strike="noStrike" baseline="0">
                    <a:solidFill>
                      <a:srgbClr val="000000"/>
                    </a:solidFill>
                    <a:latin typeface="Times New Roman"/>
                    <a:ea typeface="Times New Roman"/>
                    <a:cs typeface="Times New Roman"/>
                  </a:defRPr>
                </a:pPr>
                <a:r>
                  <a:rPr lang="es-CR"/>
                  <a:t>Porcentaje</a:t>
                </a:r>
              </a:p>
            </c:rich>
          </c:tx>
          <c:layout>
            <c:manualLayout>
              <c:xMode val="edge"/>
              <c:yMode val="edge"/>
              <c:x val="1.0638329456291092E-2"/>
              <c:y val="0.43360988127602462"/>
            </c:manualLayout>
          </c:layout>
          <c:spPr>
            <a:noFill/>
            <a:ln w="25310">
              <a:noFill/>
            </a:ln>
          </c:spPr>
        </c:title>
        <c:numFmt formatCode="0%" sourceLinked="0"/>
        <c:tickLblPos val="nextTo"/>
        <c:spPr>
          <a:ln w="3164">
            <a:solidFill>
              <a:srgbClr val="000000"/>
            </a:solidFill>
            <a:prstDash val="solid"/>
          </a:ln>
        </c:spPr>
        <c:txPr>
          <a:bodyPr rot="0" vert="horz"/>
          <a:lstStyle/>
          <a:p>
            <a:pPr>
              <a:defRPr sz="1198" b="0" i="0" u="none" strike="noStrike" baseline="0">
                <a:solidFill>
                  <a:srgbClr val="000000"/>
                </a:solidFill>
                <a:latin typeface="Times New Roman"/>
                <a:ea typeface="Times New Roman"/>
                <a:cs typeface="Times New Roman"/>
              </a:defRPr>
            </a:pPr>
            <a:endParaRPr lang="es-CR"/>
          </a:p>
        </c:txPr>
        <c:crossAx val="85023744"/>
        <c:crosses val="autoZero"/>
        <c:crossBetween val="between"/>
        <c:majorUnit val="1"/>
      </c:valAx>
      <c:spPr>
        <a:gradFill flip="none" rotWithShape="1">
          <a:gsLst>
            <a:gs pos="0">
              <a:srgbClr val="FFFFFF"/>
            </a:gs>
            <a:gs pos="7001">
              <a:srgbClr val="E6E6E6"/>
            </a:gs>
            <a:gs pos="32001">
              <a:srgbClr val="7D8496"/>
            </a:gs>
            <a:gs pos="47000">
              <a:srgbClr val="E6E6E6"/>
            </a:gs>
            <a:gs pos="85001">
              <a:srgbClr val="7D8496"/>
            </a:gs>
            <a:gs pos="100000">
              <a:srgbClr val="E6E6E6"/>
            </a:gs>
          </a:gsLst>
          <a:lin ang="5400000" scaled="0"/>
          <a:tileRect l="-100000" t="-100000"/>
        </a:gradFill>
        <a:ln w="12655">
          <a:solidFill>
            <a:srgbClr val="808080"/>
          </a:solidFill>
          <a:prstDash val="solid"/>
        </a:ln>
      </c:spPr>
    </c:plotArea>
    <c:plotVisOnly val="1"/>
    <c:dispBlanksAs val="gap"/>
  </c:chart>
  <c:spPr>
    <a:noFill/>
    <a:ln w="3164">
      <a:solidFill>
        <a:srgbClr val="000000"/>
      </a:solidFill>
      <a:prstDash val="solid"/>
    </a:ln>
  </c:spPr>
  <c:txPr>
    <a:bodyPr/>
    <a:lstStyle/>
    <a:p>
      <a:pPr>
        <a:defRPr sz="1098"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1197" b="1" i="0" u="none" strike="noStrike" baseline="0">
                <a:solidFill>
                  <a:srgbClr val="000000"/>
                </a:solidFill>
                <a:latin typeface="Times New Roman"/>
                <a:ea typeface="Times New Roman"/>
                <a:cs typeface="Times New Roman"/>
              </a:defRPr>
            </a:pPr>
            <a:r>
              <a:rPr lang="es-CR"/>
              <a:t>Gráfico N° 3
Ingreso nuevo anual de casos a los tribunales competentes en materia Civil de alzada desde 2012</a:t>
            </a:r>
          </a:p>
        </c:rich>
      </c:tx>
      <c:layout>
        <c:manualLayout>
          <c:xMode val="edge"/>
          <c:yMode val="edge"/>
          <c:x val="0.12827580986504089"/>
          <c:y val="1.3973176654724548E-3"/>
        </c:manualLayout>
      </c:layout>
      <c:spPr>
        <a:noFill/>
        <a:ln w="25333">
          <a:noFill/>
        </a:ln>
      </c:spPr>
    </c:title>
    <c:plotArea>
      <c:layout>
        <c:manualLayout>
          <c:layoutTarget val="inner"/>
          <c:xMode val="edge"/>
          <c:yMode val="edge"/>
          <c:x val="0.12009838652290271"/>
          <c:y val="0.19579383787217708"/>
          <c:w val="0.74869109947644585"/>
          <c:h val="0.62396375612284161"/>
        </c:manualLayout>
      </c:layout>
      <c:lineChart>
        <c:grouping val="standard"/>
        <c:ser>
          <c:idx val="0"/>
          <c:order val="0"/>
          <c:tx>
            <c:strRef>
              <c:f>ent!$B$4</c:f>
              <c:strCache>
                <c:ptCount val="1"/>
                <c:pt idx="0">
                  <c:v>Entrados</c:v>
                </c:pt>
              </c:strCache>
            </c:strRef>
          </c:tx>
          <c:spPr>
            <a:ln w="12667">
              <a:solidFill>
                <a:srgbClr val="333333"/>
              </a:solidFill>
              <a:prstDash val="solid"/>
            </a:ln>
          </c:spPr>
          <c:marker>
            <c:symbol val="diamond"/>
            <c:size val="2"/>
            <c:spPr>
              <a:solidFill>
                <a:srgbClr val="333333"/>
              </a:solidFill>
              <a:ln>
                <a:solidFill>
                  <a:srgbClr val="333333"/>
                </a:solidFill>
                <a:prstDash val="solid"/>
              </a:ln>
            </c:spPr>
          </c:marker>
          <c:dLbls>
            <c:numFmt formatCode="#,##0" sourceLinked="0"/>
            <c:spPr>
              <a:noFill/>
              <a:ln w="25334">
                <a:noFill/>
              </a:ln>
            </c:spPr>
            <c:txPr>
              <a:bodyPr/>
              <a:lstStyle/>
              <a:p>
                <a:pPr>
                  <a:defRPr sz="997" b="0" i="0" u="none" strike="noStrike" baseline="0">
                    <a:solidFill>
                      <a:srgbClr val="000000"/>
                    </a:solidFill>
                    <a:latin typeface="Times New Roman"/>
                    <a:ea typeface="Times New Roman"/>
                    <a:cs typeface="Times New Roman"/>
                  </a:defRPr>
                </a:pPr>
                <a:endParaRPr lang="es-CR"/>
              </a:p>
            </c:txPr>
            <c:dLblPos val="b"/>
            <c:showVal val="1"/>
          </c:dLbls>
          <c:cat>
            <c:numRef>
              <c:f>ent!$A$10:$A$15</c:f>
              <c:numCache>
                <c:formatCode>General</c:formatCode>
                <c:ptCount val="6"/>
                <c:pt idx="0">
                  <c:v>2012</c:v>
                </c:pt>
                <c:pt idx="1">
                  <c:v>2013</c:v>
                </c:pt>
                <c:pt idx="2">
                  <c:v>2014</c:v>
                </c:pt>
                <c:pt idx="3">
                  <c:v>2015</c:v>
                </c:pt>
                <c:pt idx="4">
                  <c:v>2016</c:v>
                </c:pt>
                <c:pt idx="5">
                  <c:v>2017</c:v>
                </c:pt>
              </c:numCache>
            </c:numRef>
          </c:cat>
          <c:val>
            <c:numRef>
              <c:f>ent!$B$10:$B$15</c:f>
              <c:numCache>
                <c:formatCode>#,##0</c:formatCode>
                <c:ptCount val="6"/>
                <c:pt idx="0">
                  <c:v>3737</c:v>
                </c:pt>
                <c:pt idx="1">
                  <c:v>4240</c:v>
                </c:pt>
                <c:pt idx="2">
                  <c:v>4282</c:v>
                </c:pt>
                <c:pt idx="3" formatCode="General">
                  <c:v>4135</c:v>
                </c:pt>
                <c:pt idx="4" formatCode="General">
                  <c:v>4079</c:v>
                </c:pt>
                <c:pt idx="5" formatCode="General">
                  <c:v>4829</c:v>
                </c:pt>
              </c:numCache>
            </c:numRef>
          </c:val>
          <c:smooth val="1"/>
        </c:ser>
        <c:marker val="1"/>
        <c:axId val="90482176"/>
        <c:axId val="90484096"/>
      </c:lineChart>
      <c:catAx>
        <c:axId val="90482176"/>
        <c:scaling>
          <c:orientation val="minMax"/>
        </c:scaling>
        <c:axPos val="b"/>
        <c:title>
          <c:tx>
            <c:rich>
              <a:bodyPr/>
              <a:lstStyle/>
              <a:p>
                <a:pPr>
                  <a:defRPr sz="997"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47057054049877156"/>
              <c:y val="0.88319461878420824"/>
            </c:manualLayout>
          </c:layout>
          <c:spPr>
            <a:noFill/>
            <a:ln w="25333">
              <a:noFill/>
            </a:ln>
          </c:spPr>
        </c:title>
        <c:numFmt formatCode="General" sourceLinked="1"/>
        <c:tickLblPos val="nextTo"/>
        <c:spPr>
          <a:ln w="3167">
            <a:solidFill>
              <a:srgbClr val="000000"/>
            </a:solidFill>
            <a:prstDash val="solid"/>
          </a:ln>
        </c:spPr>
        <c:txPr>
          <a:bodyPr rot="0" vert="horz"/>
          <a:lstStyle/>
          <a:p>
            <a:pPr>
              <a:defRPr sz="997" b="0" i="0" u="none" strike="noStrike" baseline="0">
                <a:solidFill>
                  <a:srgbClr val="000000"/>
                </a:solidFill>
                <a:latin typeface="Times New Roman"/>
                <a:ea typeface="Times New Roman"/>
                <a:cs typeface="Times New Roman"/>
              </a:defRPr>
            </a:pPr>
            <a:endParaRPr lang="es-CR"/>
          </a:p>
        </c:txPr>
        <c:crossAx val="90484096"/>
        <c:crosses val="autoZero"/>
        <c:auto val="1"/>
        <c:lblAlgn val="ctr"/>
        <c:lblOffset val="100"/>
        <c:tickLblSkip val="1"/>
        <c:tickMarkSkip val="1"/>
      </c:catAx>
      <c:valAx>
        <c:axId val="90484096"/>
        <c:scaling>
          <c:orientation val="minMax"/>
          <c:max val="10000"/>
          <c:min val="0"/>
        </c:scaling>
        <c:axPos val="l"/>
        <c:majorGridlines>
          <c:spPr>
            <a:ln w="3167">
              <a:solidFill>
                <a:srgbClr val="000000"/>
              </a:solidFill>
              <a:prstDash val="solid"/>
            </a:ln>
          </c:spPr>
        </c:majorGridlines>
        <c:title>
          <c:tx>
            <c:rich>
              <a:bodyPr/>
              <a:lstStyle/>
              <a:p>
                <a:pPr>
                  <a:defRPr sz="997" b="1" i="0" u="none" strike="noStrike" baseline="0">
                    <a:solidFill>
                      <a:srgbClr val="000000"/>
                    </a:solidFill>
                    <a:latin typeface="Times New Roman"/>
                    <a:ea typeface="Times New Roman"/>
                    <a:cs typeface="Times New Roman"/>
                  </a:defRPr>
                </a:pPr>
                <a:r>
                  <a:rPr lang="es-CR"/>
                  <a:t>Volumen del nuevo ingreso</a:t>
                </a:r>
              </a:p>
            </c:rich>
          </c:tx>
          <c:layout>
            <c:manualLayout>
              <c:xMode val="edge"/>
              <c:yMode val="edge"/>
              <c:x val="1.4403667771613482E-2"/>
              <c:y val="0.24781179578885551"/>
            </c:manualLayout>
          </c:layout>
          <c:spPr>
            <a:noFill/>
            <a:ln w="25333">
              <a:noFill/>
            </a:ln>
          </c:spPr>
        </c:title>
        <c:numFmt formatCode="#,##0" sourceLinked="1"/>
        <c:tickLblPos val="nextTo"/>
        <c:spPr>
          <a:ln w="3167">
            <a:solidFill>
              <a:srgbClr val="000000"/>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es-CR"/>
          </a:p>
        </c:txPr>
        <c:crossAx val="90482176"/>
        <c:crosses val="autoZero"/>
        <c:crossBetween val="between"/>
        <c:majorUnit val="5000"/>
        <c:minorUnit val="300"/>
      </c:valAx>
      <c:spPr>
        <a:gradFill flip="none" rotWithShape="1">
          <a:gsLst>
            <a:gs pos="0">
              <a:srgbClr val="FFEFD1"/>
            </a:gs>
            <a:gs pos="64999">
              <a:srgbClr val="F0EBD5"/>
            </a:gs>
            <a:gs pos="100000">
              <a:srgbClr val="D1C39F"/>
            </a:gs>
          </a:gsLst>
          <a:path path="circle">
            <a:fillToRect l="100000" b="100000"/>
          </a:path>
          <a:tileRect t="-100000" r="-100000"/>
        </a:gradFill>
        <a:ln w="12667">
          <a:solidFill>
            <a:srgbClr val="808080"/>
          </a:solidFill>
          <a:prstDash val="solid"/>
        </a:ln>
      </c:spPr>
    </c:plotArea>
    <c:plotVisOnly val="1"/>
    <c:dispBlanksAs val="gap"/>
  </c:chart>
  <c:spPr>
    <a:noFill/>
    <a:ln w="3167">
      <a:solidFill>
        <a:srgbClr val="000000"/>
      </a:solidFill>
      <a:prstDash val="solid"/>
    </a:ln>
  </c:spPr>
  <c:txPr>
    <a:bodyPr/>
    <a:lstStyle/>
    <a:p>
      <a:pPr>
        <a:defRPr sz="798"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lang="es-ES" sz="1195" b="1" i="0" u="none" strike="noStrike" baseline="0">
                <a:solidFill>
                  <a:srgbClr val="000000"/>
                </a:solidFill>
                <a:latin typeface="Times New Roman"/>
                <a:ea typeface="Times New Roman"/>
                <a:cs typeface="Times New Roman"/>
              </a:defRPr>
            </a:pPr>
            <a:r>
              <a:rPr lang="es-CR"/>
              <a:t>Gráfico N° 4 
Volumenes anuales de casos terminados en los Tribunales Civiles de instancia superior desde 2012</a:t>
            </a:r>
          </a:p>
        </c:rich>
      </c:tx>
      <c:layout>
        <c:manualLayout>
          <c:xMode val="edge"/>
          <c:yMode val="edge"/>
          <c:x val="0.14901218713605874"/>
          <c:y val="2.0689416602879589E-2"/>
        </c:manualLayout>
      </c:layout>
      <c:spPr>
        <a:noFill/>
        <a:ln w="25296">
          <a:noFill/>
        </a:ln>
      </c:spPr>
    </c:title>
    <c:plotArea>
      <c:layout>
        <c:manualLayout>
          <c:layoutTarget val="inner"/>
          <c:xMode val="edge"/>
          <c:yMode val="edge"/>
          <c:x val="0.16770220068645308"/>
          <c:y val="0.22620274235632107"/>
          <c:w val="0.7722687260246317"/>
          <c:h val="0.56025487964446963"/>
        </c:manualLayout>
      </c:layout>
      <c:lineChart>
        <c:grouping val="standard"/>
        <c:ser>
          <c:idx val="0"/>
          <c:order val="0"/>
          <c:tx>
            <c:strRef>
              <c:f>term!$B$4</c:f>
              <c:strCache>
                <c:ptCount val="1"/>
                <c:pt idx="0">
                  <c:v>Terminados</c:v>
                </c:pt>
              </c:strCache>
            </c:strRef>
          </c:tx>
          <c:spPr>
            <a:ln w="12648">
              <a:solidFill>
                <a:srgbClr val="333333"/>
              </a:solidFill>
              <a:prstDash val="solid"/>
            </a:ln>
          </c:spPr>
          <c:marker>
            <c:symbol val="diamond"/>
            <c:size val="2"/>
            <c:spPr>
              <a:solidFill>
                <a:srgbClr val="333333"/>
              </a:solidFill>
              <a:ln>
                <a:solidFill>
                  <a:srgbClr val="333333"/>
                </a:solidFill>
                <a:prstDash val="solid"/>
              </a:ln>
            </c:spPr>
          </c:marker>
          <c:dLbls>
            <c:spPr>
              <a:noFill/>
              <a:ln w="25345">
                <a:noFill/>
              </a:ln>
            </c:spPr>
            <c:txPr>
              <a:bodyPr/>
              <a:lstStyle/>
              <a:p>
                <a:pPr>
                  <a:defRPr lang="es-ES"/>
                </a:pPr>
                <a:endParaRPr lang="es-CR"/>
              </a:p>
            </c:txPr>
            <c:dLblPos val="b"/>
            <c:showVal val="1"/>
          </c:dLbls>
          <c:cat>
            <c:strRef>
              <c:f>term!$A$7:$A$12</c:f>
              <c:strCache>
                <c:ptCount val="6"/>
                <c:pt idx="0">
                  <c:v>2012</c:v>
                </c:pt>
                <c:pt idx="1">
                  <c:v>2013</c:v>
                </c:pt>
                <c:pt idx="2">
                  <c:v>2014</c:v>
                </c:pt>
                <c:pt idx="3">
                  <c:v>2015</c:v>
                </c:pt>
                <c:pt idx="4">
                  <c:v>2016</c:v>
                </c:pt>
                <c:pt idx="5">
                  <c:v>2017</c:v>
                </c:pt>
              </c:strCache>
            </c:strRef>
          </c:cat>
          <c:val>
            <c:numRef>
              <c:f>term!$B$7:$B$12</c:f>
              <c:numCache>
                <c:formatCode>#,##0</c:formatCode>
                <c:ptCount val="6"/>
                <c:pt idx="0">
                  <c:v>3780</c:v>
                </c:pt>
                <c:pt idx="1">
                  <c:v>3806</c:v>
                </c:pt>
                <c:pt idx="2">
                  <c:v>4180</c:v>
                </c:pt>
                <c:pt idx="3" formatCode="General">
                  <c:v>3946</c:v>
                </c:pt>
                <c:pt idx="4" formatCode="General">
                  <c:v>4928</c:v>
                </c:pt>
                <c:pt idx="5" formatCode="General">
                  <c:v>4740</c:v>
                </c:pt>
              </c:numCache>
            </c:numRef>
          </c:val>
        </c:ser>
        <c:marker val="1"/>
        <c:axId val="81678336"/>
        <c:axId val="94382720"/>
      </c:lineChart>
      <c:catAx>
        <c:axId val="81678336"/>
        <c:scaling>
          <c:orientation val="minMax"/>
        </c:scaling>
        <c:axPos val="b"/>
        <c:title>
          <c:tx>
            <c:rich>
              <a:bodyPr/>
              <a:lstStyle/>
              <a:p>
                <a:pPr>
                  <a:defRPr sz="1192"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0968706083870907"/>
              <c:y val="0.88397919154421634"/>
            </c:manualLayout>
          </c:layout>
          <c:spPr>
            <a:noFill/>
            <a:ln w="25296">
              <a:noFill/>
            </a:ln>
          </c:spPr>
        </c:title>
        <c:numFmt formatCode="General" sourceLinked="1"/>
        <c:tickLblPos val="nextTo"/>
        <c:spPr>
          <a:ln w="3162">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es-CR"/>
          </a:p>
        </c:txPr>
        <c:crossAx val="94382720"/>
        <c:crosses val="autoZero"/>
        <c:auto val="1"/>
        <c:lblAlgn val="ctr"/>
        <c:lblOffset val="100"/>
        <c:tickLblSkip val="1"/>
        <c:tickMarkSkip val="1"/>
      </c:catAx>
      <c:valAx>
        <c:axId val="94382720"/>
        <c:scaling>
          <c:orientation val="minMax"/>
          <c:max val="5500"/>
          <c:min val="0"/>
        </c:scaling>
        <c:axPos val="l"/>
        <c:majorGridlines>
          <c:spPr>
            <a:ln w="3162">
              <a:solidFill>
                <a:srgbClr val="000000"/>
              </a:solidFill>
              <a:prstDash val="solid"/>
            </a:ln>
          </c:spPr>
        </c:majorGridlines>
        <c:title>
          <c:tx>
            <c:rich>
              <a:bodyPr/>
              <a:lstStyle/>
              <a:p>
                <a:pPr>
                  <a:defRPr sz="1192" b="1" i="0" u="none" strike="noStrike" baseline="0">
                    <a:solidFill>
                      <a:srgbClr val="000000"/>
                    </a:solidFill>
                    <a:latin typeface="Times New Roman"/>
                    <a:ea typeface="Times New Roman"/>
                    <a:cs typeface="Times New Roman"/>
                  </a:defRPr>
                </a:pPr>
                <a:r>
                  <a:rPr lang="es-CR"/>
                  <a:t>Terminados</a:t>
                </a:r>
              </a:p>
            </c:rich>
          </c:tx>
          <c:layout>
            <c:manualLayout>
              <c:xMode val="edge"/>
              <c:yMode val="edge"/>
              <c:x val="8.9416664446805051E-3"/>
              <c:y val="0.37471261872971323"/>
            </c:manualLayout>
          </c:layout>
          <c:spPr>
            <a:noFill/>
            <a:ln w="25296">
              <a:noFill/>
            </a:ln>
          </c:spPr>
        </c:title>
        <c:numFmt formatCode="#,##0" sourceLinked="1"/>
        <c:tickLblPos val="nextTo"/>
        <c:spPr>
          <a:ln w="3162">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es-CR"/>
          </a:p>
        </c:txPr>
        <c:crossAx val="81678336"/>
        <c:crosses val="autoZero"/>
        <c:crossBetween val="between"/>
        <c:majorUnit val="5500"/>
        <c:minorUnit val="500"/>
      </c:valAx>
      <c:spPr>
        <a:gradFill flip="none" rotWithShape="1">
          <a:gsLst>
            <a:gs pos="0">
              <a:srgbClr val="FFFFFF"/>
            </a:gs>
            <a:gs pos="100000">
              <a:srgbClr val="FFFFFF">
                <a:gamma/>
                <a:shade val="46275"/>
                <a:invGamma/>
              </a:srgbClr>
            </a:gs>
          </a:gsLst>
          <a:lin ang="5400000" scaled="1"/>
          <a:tileRect/>
        </a:gradFill>
        <a:ln w="12648">
          <a:solidFill>
            <a:srgbClr val="808080"/>
          </a:solidFill>
          <a:prstDash val="solid"/>
        </a:ln>
      </c:spPr>
    </c:plotArea>
    <c:plotVisOnly val="1"/>
    <c:dispBlanksAs val="gap"/>
  </c:chart>
  <c:spPr>
    <a:noFill/>
    <a:ln w="3162">
      <a:solidFill>
        <a:srgbClr val="000000"/>
      </a:solidFill>
      <a:prstDash val="solid"/>
    </a:ln>
  </c:spPr>
  <c:txPr>
    <a:bodyPr/>
    <a:lstStyle/>
    <a:p>
      <a:pPr>
        <a:defRPr sz="1148"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1192" b="1" i="0" u="none" strike="noStrike" baseline="0">
                <a:solidFill>
                  <a:srgbClr val="000000"/>
                </a:solidFill>
                <a:latin typeface="Times New Roman"/>
                <a:ea typeface="Times New Roman"/>
                <a:cs typeface="Times New Roman"/>
              </a:defRPr>
            </a:pPr>
            <a:r>
              <a:rPr lang="es-CR"/>
              <a:t>Gráfico N° 5 
Circulante al finalizar el año en los Tribunales Civiles de instancia superior desde el 2013</a:t>
            </a:r>
          </a:p>
        </c:rich>
      </c:tx>
      <c:layout>
        <c:manualLayout>
          <c:xMode val="edge"/>
          <c:yMode val="edge"/>
          <c:x val="0.11620894373443053"/>
          <c:y val="2.0501192257094802E-2"/>
        </c:manualLayout>
      </c:layout>
      <c:spPr>
        <a:noFill/>
        <a:ln w="25288">
          <a:noFill/>
        </a:ln>
      </c:spPr>
    </c:title>
    <c:plotArea>
      <c:layout>
        <c:manualLayout>
          <c:layoutTarget val="inner"/>
          <c:xMode val="edge"/>
          <c:yMode val="edge"/>
          <c:x val="0.12859304084720283"/>
          <c:y val="0.23195100612423494"/>
          <c:w val="0.80786686838123956"/>
          <c:h val="0.5551515709659095"/>
        </c:manualLayout>
      </c:layout>
      <c:lineChart>
        <c:grouping val="standard"/>
        <c:ser>
          <c:idx val="0"/>
          <c:order val="0"/>
          <c:tx>
            <c:strRef>
              <c:f>circ!$B$4</c:f>
              <c:strCache>
                <c:ptCount val="1"/>
                <c:pt idx="0">
                  <c:v>Circulante</c:v>
                </c:pt>
              </c:strCache>
            </c:strRef>
          </c:tx>
          <c:spPr>
            <a:ln w="12644">
              <a:solidFill>
                <a:srgbClr val="333333"/>
              </a:solidFill>
              <a:prstDash val="solid"/>
            </a:ln>
          </c:spPr>
          <c:marker>
            <c:symbol val="diamond"/>
            <c:size val="2"/>
            <c:spPr>
              <a:solidFill>
                <a:srgbClr val="333333"/>
              </a:solidFill>
              <a:ln>
                <a:solidFill>
                  <a:srgbClr val="333333"/>
                </a:solidFill>
                <a:prstDash val="solid"/>
              </a:ln>
            </c:spPr>
          </c:marker>
          <c:dLbls>
            <c:spPr>
              <a:noFill/>
              <a:ln w="25338">
                <a:noFill/>
              </a:ln>
            </c:spPr>
            <c:txPr>
              <a:bodyPr/>
              <a:lstStyle/>
              <a:p>
                <a:pPr>
                  <a:defRPr sz="1147" b="0" i="0" u="none" strike="noStrike" baseline="0">
                    <a:solidFill>
                      <a:srgbClr val="000000"/>
                    </a:solidFill>
                    <a:latin typeface="Times New Roman"/>
                    <a:ea typeface="Times New Roman"/>
                    <a:cs typeface="Times New Roman"/>
                  </a:defRPr>
                </a:pPr>
                <a:endParaRPr lang="es-CR"/>
              </a:p>
            </c:txPr>
            <c:dLblPos val="b"/>
            <c:showVal val="1"/>
          </c:dLbls>
          <c:cat>
            <c:strRef>
              <c:f>circ!$A$8:$A$12</c:f>
              <c:strCache>
                <c:ptCount val="5"/>
                <c:pt idx="0">
                  <c:v>2013</c:v>
                </c:pt>
                <c:pt idx="1">
                  <c:v>2014</c:v>
                </c:pt>
                <c:pt idx="2">
                  <c:v>2015</c:v>
                </c:pt>
                <c:pt idx="3">
                  <c:v>2016</c:v>
                </c:pt>
                <c:pt idx="4">
                  <c:v>2017</c:v>
                </c:pt>
              </c:strCache>
            </c:strRef>
          </c:cat>
          <c:val>
            <c:numRef>
              <c:f>circ!$B$8:$B$12</c:f>
              <c:numCache>
                <c:formatCode>#,##0</c:formatCode>
                <c:ptCount val="5"/>
                <c:pt idx="0">
                  <c:v>1713</c:v>
                </c:pt>
                <c:pt idx="1">
                  <c:v>1974</c:v>
                </c:pt>
                <c:pt idx="2" formatCode="General">
                  <c:v>2434</c:v>
                </c:pt>
                <c:pt idx="3" formatCode="General">
                  <c:v>1725</c:v>
                </c:pt>
                <c:pt idx="4" formatCode="General">
                  <c:v>2332</c:v>
                </c:pt>
              </c:numCache>
            </c:numRef>
          </c:val>
          <c:smooth val="1"/>
        </c:ser>
        <c:marker val="1"/>
        <c:axId val="78566912"/>
        <c:axId val="78568832"/>
      </c:lineChart>
      <c:catAx>
        <c:axId val="78566912"/>
        <c:scaling>
          <c:orientation val="minMax"/>
        </c:scaling>
        <c:axPos val="b"/>
        <c:title>
          <c:tx>
            <c:rich>
              <a:bodyPr/>
              <a:lstStyle/>
              <a:p>
                <a:pPr>
                  <a:defRPr sz="1192"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49941682008861976"/>
              <c:y val="0.87489796036029266"/>
            </c:manualLayout>
          </c:layout>
          <c:spPr>
            <a:noFill/>
            <a:ln w="25288">
              <a:noFill/>
            </a:ln>
          </c:spPr>
        </c:title>
        <c:numFmt formatCode="General" sourceLinked="1"/>
        <c:tickLblPos val="nextTo"/>
        <c:spPr>
          <a:ln w="3161">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es-CR"/>
          </a:p>
        </c:txPr>
        <c:crossAx val="78568832"/>
        <c:crosses val="autoZero"/>
        <c:auto val="1"/>
        <c:lblAlgn val="ctr"/>
        <c:lblOffset val="100"/>
        <c:tickLblSkip val="1"/>
        <c:tickMarkSkip val="1"/>
      </c:catAx>
      <c:valAx>
        <c:axId val="78568832"/>
        <c:scaling>
          <c:orientation val="minMax"/>
          <c:max val="3000"/>
          <c:min val="0"/>
        </c:scaling>
        <c:axPos val="l"/>
        <c:majorGridlines>
          <c:spPr>
            <a:ln w="3161">
              <a:solidFill>
                <a:srgbClr val="000000"/>
              </a:solidFill>
              <a:prstDash val="solid"/>
            </a:ln>
          </c:spPr>
        </c:majorGridlines>
        <c:title>
          <c:tx>
            <c:rich>
              <a:bodyPr/>
              <a:lstStyle/>
              <a:p>
                <a:pPr>
                  <a:defRPr sz="1192" b="1" i="0" u="none" strike="noStrike" baseline="0">
                    <a:solidFill>
                      <a:srgbClr val="000000"/>
                    </a:solidFill>
                    <a:latin typeface="Times New Roman"/>
                    <a:ea typeface="Times New Roman"/>
                    <a:cs typeface="Times New Roman"/>
                  </a:defRPr>
                </a:pPr>
                <a:r>
                  <a:rPr lang="es-CR"/>
                  <a:t>Cantidad de casos</a:t>
                </a:r>
              </a:p>
            </c:rich>
          </c:tx>
          <c:layout>
            <c:manualLayout>
              <c:xMode val="edge"/>
              <c:yMode val="edge"/>
              <c:x val="3.3778835096776316E-2"/>
              <c:y val="0.30085270715785084"/>
            </c:manualLayout>
          </c:layout>
          <c:spPr>
            <a:noFill/>
            <a:ln w="25288">
              <a:noFill/>
            </a:ln>
          </c:spPr>
        </c:title>
        <c:numFmt formatCode="#,##0" sourceLinked="1"/>
        <c:tickLblPos val="nextTo"/>
        <c:spPr>
          <a:ln w="3161">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es-CR"/>
          </a:p>
        </c:txPr>
        <c:crossAx val="78566912"/>
        <c:crosses val="autoZero"/>
        <c:crossBetween val="between"/>
        <c:majorUnit val="3000"/>
        <c:minorUnit val="500"/>
      </c:valAx>
      <c:spPr>
        <a:gradFill rotWithShape="0">
          <a:gsLst>
            <a:gs pos="0">
              <a:srgbClr val="FFFFFF"/>
            </a:gs>
            <a:gs pos="100000">
              <a:srgbClr val="FFFFFF">
                <a:gamma/>
                <a:shade val="46275"/>
                <a:invGamma/>
              </a:srgbClr>
            </a:gs>
          </a:gsLst>
          <a:lin ang="2700000" scaled="1"/>
        </a:gradFill>
        <a:ln w="12644">
          <a:solidFill>
            <a:srgbClr val="808080"/>
          </a:solidFill>
          <a:prstDash val="solid"/>
        </a:ln>
      </c:spPr>
    </c:plotArea>
    <c:plotVisOnly val="1"/>
    <c:dispBlanksAs val="gap"/>
  </c:chart>
  <c:spPr>
    <a:gradFill rotWithShape="0">
      <a:gsLst>
        <a:gs pos="0">
          <a:srgbClr val="99CCFF"/>
        </a:gs>
        <a:gs pos="100000">
          <a:srgbClr val="FFFF99"/>
        </a:gs>
      </a:gsLst>
      <a:lin ang="2700000" scaled="1"/>
    </a:gradFill>
    <a:ln w="3161">
      <a:solidFill>
        <a:srgbClr val="000000"/>
      </a:solidFill>
      <a:prstDash val="solid"/>
    </a:ln>
  </c:spPr>
  <c:txPr>
    <a:bodyPr/>
    <a:lstStyle/>
    <a:p>
      <a:pPr>
        <a:defRPr sz="1147"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0.95237</cdr:y>
    </cdr:from>
    <cdr:to>
      <cdr:x>0.58754</cdr:x>
      <cdr:y>0.99937</cdr:y>
    </cdr:to>
    <cdr:sp macro="" textlink="">
      <cdr:nvSpPr>
        <cdr:cNvPr id="4097" name="Text Box 1"/>
        <cdr:cNvSpPr txBox="1">
          <a:spLocks xmlns:a="http://schemas.openxmlformats.org/drawingml/2006/main" noChangeArrowheads="1"/>
        </cdr:cNvSpPr>
      </cdr:nvSpPr>
      <cdr:spPr bwMode="auto">
        <a:xfrm xmlns:a="http://schemas.openxmlformats.org/drawingml/2006/main">
          <a:off x="-54948" y="3396385"/>
          <a:ext cx="2844413" cy="1741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s-CR" sz="800" b="0" i="0" strike="noStrike">
              <a:solidFill>
                <a:srgbClr val="000000"/>
              </a:solidFill>
              <a:latin typeface="Times New Roman"/>
              <a:cs typeface="Times New Roman"/>
            </a:rPr>
            <a:t>Elaborado por: Subproceso de Estadística, Dirección de Planificación. </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0.969</cdr:y>
    </cdr:from>
    <cdr:to>
      <cdr:x>0</cdr:x>
      <cdr:y>0.9695</cdr:y>
    </cdr:to>
    <cdr:sp macro="" textlink="">
      <cdr:nvSpPr>
        <cdr:cNvPr id="2" name="Text Box 1"/>
        <cdr:cNvSpPr txBox="1">
          <a:spLocks xmlns:a="http://schemas.openxmlformats.org/drawingml/2006/main" noChangeArrowheads="1"/>
        </cdr:cNvSpPr>
      </cdr:nvSpPr>
      <cdr:spPr bwMode="auto">
        <a:xfrm xmlns:a="http://schemas.openxmlformats.org/drawingml/2006/main">
          <a:off x="-54948" y="3396385"/>
          <a:ext cx="2844413" cy="1741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s-CR" sz="800" b="0" i="0"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0.16558</cdr:x>
      <cdr:y>0.53935</cdr:y>
    </cdr:from>
    <cdr:to>
      <cdr:x>0.46603</cdr:x>
      <cdr:y>0.56182</cdr:y>
    </cdr:to>
    <cdr:sp macro="" textlink="">
      <cdr:nvSpPr>
        <cdr:cNvPr id="3" name="2 CuadroTexto"/>
        <cdr:cNvSpPr txBox="1"/>
      </cdr:nvSpPr>
      <cdr:spPr>
        <a:xfrm xmlns:a="http://schemas.openxmlformats.org/drawingml/2006/main">
          <a:off x="710286" y="1650442"/>
          <a:ext cx="1583672" cy="13275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1100">
              <a:latin typeface="Times New Roman" pitchFamily="18" charset="0"/>
              <a:cs typeface="Times New Roman" pitchFamily="18" charset="0"/>
            </a:rPr>
            <a:t>Porcentaje de resolución</a:t>
          </a:r>
        </a:p>
      </cdr:txBody>
    </cdr:sp>
  </cdr:relSizeAnchor>
  <cdr:relSizeAnchor xmlns:cdr="http://schemas.openxmlformats.org/drawingml/2006/chartDrawing">
    <cdr:from>
      <cdr:x>0.44882</cdr:x>
      <cdr:y>0.53461</cdr:y>
    </cdr:from>
    <cdr:to>
      <cdr:x>0.4743</cdr:x>
      <cdr:y>0.56393</cdr:y>
    </cdr:to>
    <cdr:sp macro="" textlink="">
      <cdr:nvSpPr>
        <cdr:cNvPr id="5" name="4 Conector recto de flecha"/>
        <cdr:cNvSpPr/>
      </cdr:nvSpPr>
      <cdr:spPr>
        <a:xfrm xmlns:a="http://schemas.openxmlformats.org/drawingml/2006/main" flipV="1">
          <a:off x="2203175" y="1623389"/>
          <a:ext cx="132522" cy="1711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0.6143</cdr:x>
      <cdr:y>0.56062</cdr:y>
    </cdr:from>
    <cdr:to>
      <cdr:x>0.921</cdr:x>
      <cdr:y>0.58309</cdr:y>
    </cdr:to>
    <cdr:sp macro="" textlink="">
      <cdr:nvSpPr>
        <cdr:cNvPr id="6" name="1 CuadroTexto"/>
        <cdr:cNvSpPr txBox="1"/>
      </cdr:nvSpPr>
      <cdr:spPr>
        <a:xfrm xmlns:a="http://schemas.openxmlformats.org/drawingml/2006/main">
          <a:off x="3074621" y="1774889"/>
          <a:ext cx="1583672" cy="13106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1100">
              <a:latin typeface="Times New Roman" pitchFamily="18" charset="0"/>
              <a:cs typeface="Times New Roman" pitchFamily="18" charset="0"/>
            </a:rPr>
            <a:t>Porcentaje de Pendencia</a:t>
          </a:r>
        </a:p>
      </cdr:txBody>
    </cdr:sp>
  </cdr:relSizeAnchor>
  <cdr:relSizeAnchor xmlns:cdr="http://schemas.openxmlformats.org/drawingml/2006/chartDrawing">
    <cdr:from>
      <cdr:x>0.75032</cdr:x>
      <cdr:y>0.59703</cdr:y>
    </cdr:from>
    <cdr:to>
      <cdr:x>0.76318</cdr:x>
      <cdr:y>0.64749</cdr:y>
    </cdr:to>
    <cdr:sp macro="" textlink="">
      <cdr:nvSpPr>
        <cdr:cNvPr id="8" name="7 Conector recto de flecha"/>
        <cdr:cNvSpPr/>
      </cdr:nvSpPr>
      <cdr:spPr>
        <a:xfrm xmlns:a="http://schemas.openxmlformats.org/drawingml/2006/main" flipH="1">
          <a:off x="3793434" y="1987826"/>
          <a:ext cx="66261" cy="292652"/>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0.00756</cdr:x>
      <cdr:y>0.93464</cdr:y>
    </cdr:from>
    <cdr:to>
      <cdr:x>0.60253</cdr:x>
      <cdr:y>0.99393</cdr:y>
    </cdr:to>
    <cdr:sp macro="" textlink="">
      <cdr:nvSpPr>
        <cdr:cNvPr id="7" name="Text Box 1"/>
        <cdr:cNvSpPr txBox="1">
          <a:spLocks xmlns:a="http://schemas.openxmlformats.org/drawingml/2006/main" noChangeArrowheads="1"/>
        </cdr:cNvSpPr>
      </cdr:nvSpPr>
      <cdr:spPr bwMode="auto">
        <a:xfrm xmlns:a="http://schemas.openxmlformats.org/drawingml/2006/main">
          <a:off x="33130" y="3180522"/>
          <a:ext cx="2995906" cy="1845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s-CR" sz="800" b="0" i="0" strike="noStrike">
              <a:solidFill>
                <a:srgbClr val="000000"/>
              </a:solidFill>
              <a:latin typeface="Times New Roman"/>
              <a:cs typeface="Times New Roman"/>
            </a:rPr>
            <a:t>Elaborado por: Subproceso de Estadística, Dirección de Planificación. </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1</cdr:y>
    </cdr:from>
    <cdr:to>
      <cdr:x>0</cdr:x>
      <cdr:y>1</cdr:y>
    </cdr:to>
    <cdr:sp macro="" textlink="">
      <cdr:nvSpPr>
        <cdr:cNvPr id="4097" name="Text Box 1"/>
        <cdr:cNvSpPr txBox="1">
          <a:spLocks xmlns:a="http://schemas.openxmlformats.org/drawingml/2006/main" noChangeArrowheads="1"/>
        </cdr:cNvSpPr>
      </cdr:nvSpPr>
      <cdr:spPr bwMode="auto">
        <a:xfrm xmlns:a="http://schemas.openxmlformats.org/drawingml/2006/main">
          <a:off x="-34834" y="3586510"/>
          <a:ext cx="2979664" cy="16253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CR" sz="800" b="0" i="0"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0.00277</cdr:x>
      <cdr:y>0.9472</cdr:y>
    </cdr:from>
    <cdr:to>
      <cdr:x>0.57463</cdr:x>
      <cdr:y>0.99629</cdr:y>
    </cdr:to>
    <cdr:sp macro="" textlink="">
      <cdr:nvSpPr>
        <cdr:cNvPr id="5" name="Text Box 1"/>
        <cdr:cNvSpPr txBox="1">
          <a:spLocks xmlns:a="http://schemas.openxmlformats.org/drawingml/2006/main" noChangeArrowheads="1"/>
        </cdr:cNvSpPr>
      </cdr:nvSpPr>
      <cdr:spPr bwMode="auto">
        <a:xfrm xmlns:a="http://schemas.openxmlformats.org/drawingml/2006/main">
          <a:off x="16565" y="2766392"/>
          <a:ext cx="2977323" cy="16981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7432"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s-CR" sz="800" b="0" i="0" strike="noStrike">
              <a:solidFill>
                <a:srgbClr val="000000"/>
              </a:solidFill>
              <a:latin typeface="Times New Roman"/>
              <a:cs typeface="Times New Roman"/>
            </a:rPr>
            <a:t>Elaborado por: Subproceso de Estadística, Dirección de Planificación. </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0.96107</cdr:y>
    </cdr:from>
    <cdr:to>
      <cdr:x>0.42096</cdr:x>
      <cdr:y>0.99925</cdr:y>
    </cdr:to>
    <cdr:sp macro="" textlink="">
      <cdr:nvSpPr>
        <cdr:cNvPr id="4097" name="Text Box 1"/>
        <cdr:cNvSpPr txBox="1">
          <a:spLocks xmlns:a="http://schemas.openxmlformats.org/drawingml/2006/main" noChangeArrowheads="1"/>
        </cdr:cNvSpPr>
      </cdr:nvSpPr>
      <cdr:spPr bwMode="auto">
        <a:xfrm xmlns:a="http://schemas.openxmlformats.org/drawingml/2006/main">
          <a:off x="0" y="3123445"/>
          <a:ext cx="1963659" cy="10553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s-CR" sz="500" b="0" i="0" strike="noStrike">
              <a:solidFill>
                <a:srgbClr val="000000"/>
              </a:solidFill>
              <a:latin typeface="Times New Roman"/>
              <a:cs typeface="Times New Roman"/>
            </a:rPr>
            <a:t>Elaborado por: Subproceso de Estadística, Dirección de Planificación. </a:t>
          </a:r>
        </a:p>
      </cdr:txBody>
    </cdr:sp>
  </cdr:relSizeAnchor>
</c:userShapes>
</file>

<file path=word/drawings/drawing5.xml><?xml version="1.0" encoding="utf-8"?>
<c:userShapes xmlns:c="http://schemas.openxmlformats.org/drawingml/2006/chart">
  <cdr:relSizeAnchor xmlns:cdr="http://schemas.openxmlformats.org/drawingml/2006/chartDrawing">
    <cdr:from>
      <cdr:x>0.00289</cdr:x>
      <cdr:y>0.94959</cdr:y>
    </cdr:from>
    <cdr:to>
      <cdr:x>0.43973</cdr:x>
      <cdr:y>1</cdr:y>
    </cdr:to>
    <cdr:sp macro="" textlink="">
      <cdr:nvSpPr>
        <cdr:cNvPr id="3073" name="Text Box 1"/>
        <cdr:cNvSpPr txBox="1">
          <a:spLocks xmlns:a="http://schemas.openxmlformats.org/drawingml/2006/main" noChangeArrowheads="1"/>
        </cdr:cNvSpPr>
      </cdr:nvSpPr>
      <cdr:spPr bwMode="auto">
        <a:xfrm xmlns:a="http://schemas.openxmlformats.org/drawingml/2006/main">
          <a:off x="11045" y="2822800"/>
          <a:ext cx="1987826" cy="13685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0" bIns="0" anchor="t" upright="1"/>
        <a:lstStyle xmlns:a="http://schemas.openxmlformats.org/drawingml/2006/main"/>
        <a:p xmlns:a="http://schemas.openxmlformats.org/drawingml/2006/main">
          <a:pPr algn="l" rtl="0">
            <a:defRPr sz="1000"/>
          </a:pPr>
          <a:r>
            <a:rPr lang="es-CR" sz="500" b="0" i="0" strike="noStrike">
              <a:solidFill>
                <a:srgbClr val="000000"/>
              </a:solidFill>
              <a:latin typeface="Times New Roman"/>
              <a:cs typeface="Times New Roman"/>
            </a:rPr>
            <a:t>Elaborado por: Subproceso de Estadística, Dirección de Planificación.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2018</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13095</CharactersWithSpaces>
  <SharedDoc>false</SharedDoc>
  <HLinks>
    <vt:vector size="6" baseType="variant">
      <vt:variant>
        <vt:i4>6094966</vt:i4>
      </vt:variant>
      <vt:variant>
        <vt:i4>0</vt:i4>
      </vt:variant>
      <vt:variant>
        <vt:i4>0</vt:i4>
      </vt:variant>
      <vt:variant>
        <vt:i4>5</vt:i4>
      </vt:variant>
      <vt:variant>
        <vt:lpwstr>mailto:planificacion@poder-judicial.go.cr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pvargasv</cp:lastModifiedBy>
  <cp:revision>9</cp:revision>
  <dcterms:created xsi:type="dcterms:W3CDTF">2018-07-05T21:52:00Z</dcterms:created>
  <dcterms:modified xsi:type="dcterms:W3CDTF">2018-07-30T17:07:00Z</dcterms:modified>
</cp:coreProperties>
</file>