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3DBDC0" w14:textId="61AAAC10" w:rsidR="0029216A" w:rsidRPr="00A71608" w:rsidRDefault="006312AE" w:rsidP="00A71608">
      <w:pPr>
        <w:pStyle w:val="Ttulo7"/>
        <w:tabs>
          <w:tab w:val="clear" w:pos="0"/>
          <w:tab w:val="left" w:pos="4280"/>
        </w:tabs>
        <w:ind w:left="4248"/>
        <w:jc w:val="both"/>
        <w:rPr>
          <w:rFonts w:ascii="Times New Roman" w:hAnsi="Times New Roman"/>
          <w:bCs w:val="0"/>
          <w:color w:val="000000" w:themeColor="text1"/>
          <w:u w:val="none"/>
          <w:lang w:val="es-ES_tradnl"/>
        </w:rPr>
      </w:pPr>
      <w:bookmarkStart w:id="0" w:name="_Hlk90391727"/>
      <w:r w:rsidRPr="00A71608">
        <w:rPr>
          <w:rFonts w:ascii="Times New Roman" w:hAnsi="Times New Roman"/>
          <w:bCs w:val="0"/>
          <w:color w:val="000000" w:themeColor="text1"/>
          <w:u w:val="none"/>
          <w:lang w:val="es-ES_tradnl"/>
        </w:rPr>
        <w:t>San José,</w:t>
      </w:r>
      <w:r w:rsidR="00D93E61" w:rsidRPr="00A71608">
        <w:rPr>
          <w:rFonts w:ascii="Times New Roman" w:hAnsi="Times New Roman"/>
          <w:bCs w:val="0"/>
          <w:color w:val="000000" w:themeColor="text1"/>
          <w:u w:val="none"/>
          <w:lang w:val="es-ES_tradnl"/>
        </w:rPr>
        <w:t xml:space="preserve"> </w:t>
      </w:r>
      <w:r w:rsidR="00E003ED" w:rsidRPr="00A71608">
        <w:rPr>
          <w:rFonts w:ascii="Times New Roman" w:hAnsi="Times New Roman"/>
          <w:bCs w:val="0"/>
          <w:color w:val="000000" w:themeColor="text1"/>
          <w:u w:val="none"/>
          <w:lang w:val="es-ES_tradnl"/>
        </w:rPr>
        <w:t>1</w:t>
      </w:r>
      <w:r w:rsidR="00EC6786" w:rsidRPr="00A71608">
        <w:rPr>
          <w:rFonts w:ascii="Times New Roman" w:hAnsi="Times New Roman"/>
          <w:bCs w:val="0"/>
          <w:color w:val="000000" w:themeColor="text1"/>
          <w:u w:val="none"/>
          <w:lang w:val="es-ES_tradnl"/>
        </w:rPr>
        <w:t>6</w:t>
      </w:r>
      <w:r w:rsidR="00474806" w:rsidRPr="00A71608">
        <w:rPr>
          <w:rFonts w:ascii="Times New Roman" w:hAnsi="Times New Roman"/>
          <w:bCs w:val="0"/>
          <w:color w:val="000000" w:themeColor="text1"/>
          <w:u w:val="none"/>
          <w:lang w:val="es-ES_tradnl"/>
        </w:rPr>
        <w:t xml:space="preserve"> d</w:t>
      </w:r>
      <w:r w:rsidR="006A694A" w:rsidRPr="00A71608">
        <w:rPr>
          <w:rFonts w:ascii="Times New Roman" w:hAnsi="Times New Roman"/>
          <w:bCs w:val="0"/>
          <w:color w:val="000000" w:themeColor="text1"/>
          <w:u w:val="none"/>
          <w:lang w:val="es-ES_tradnl"/>
        </w:rPr>
        <w:t xml:space="preserve">e </w:t>
      </w:r>
      <w:r w:rsidR="008246F8" w:rsidRPr="00A71608">
        <w:rPr>
          <w:rFonts w:ascii="Times New Roman" w:hAnsi="Times New Roman"/>
          <w:bCs w:val="0"/>
          <w:color w:val="000000" w:themeColor="text1"/>
          <w:u w:val="none"/>
          <w:lang w:val="es-ES_tradnl"/>
        </w:rPr>
        <w:t>diciembre</w:t>
      </w:r>
      <w:r w:rsidR="00860FA5" w:rsidRPr="00A71608">
        <w:rPr>
          <w:rFonts w:ascii="Times New Roman" w:hAnsi="Times New Roman"/>
          <w:bCs w:val="0"/>
          <w:color w:val="000000" w:themeColor="text1"/>
          <w:u w:val="none"/>
          <w:lang w:val="es-ES_tradnl"/>
        </w:rPr>
        <w:t xml:space="preserve"> de 20</w:t>
      </w:r>
      <w:r w:rsidR="00041CB5" w:rsidRPr="00A71608">
        <w:rPr>
          <w:rFonts w:ascii="Times New Roman" w:hAnsi="Times New Roman"/>
          <w:bCs w:val="0"/>
          <w:color w:val="000000" w:themeColor="text1"/>
          <w:u w:val="none"/>
          <w:lang w:val="es-ES_tradnl"/>
        </w:rPr>
        <w:t>2</w:t>
      </w:r>
      <w:r w:rsidR="00474806" w:rsidRPr="00A71608">
        <w:rPr>
          <w:rFonts w:ascii="Times New Roman" w:hAnsi="Times New Roman"/>
          <w:bCs w:val="0"/>
          <w:color w:val="000000" w:themeColor="text1"/>
          <w:u w:val="none"/>
          <w:lang w:val="es-ES_tradnl"/>
        </w:rPr>
        <w:t>1</w:t>
      </w:r>
    </w:p>
    <w:p w14:paraId="54A54810" w14:textId="5D838F4D" w:rsidR="0029216A" w:rsidRPr="00A71608" w:rsidRDefault="00860FA5" w:rsidP="00A71608">
      <w:pPr>
        <w:pStyle w:val="Ttulo7"/>
        <w:tabs>
          <w:tab w:val="clear" w:pos="0"/>
          <w:tab w:val="left" w:pos="4280"/>
        </w:tabs>
        <w:ind w:left="4248"/>
        <w:jc w:val="both"/>
        <w:rPr>
          <w:rFonts w:ascii="Times New Roman" w:hAnsi="Times New Roman"/>
          <w:color w:val="000000" w:themeColor="text1"/>
          <w:u w:val="none"/>
          <w:lang w:val="es-ES_tradnl"/>
        </w:rPr>
      </w:pPr>
      <w:proofErr w:type="spellStart"/>
      <w:r w:rsidRPr="00A71608">
        <w:rPr>
          <w:rFonts w:ascii="Times New Roman" w:hAnsi="Times New Roman"/>
          <w:color w:val="000000" w:themeColor="text1"/>
          <w:u w:val="none"/>
          <w:lang w:val="es-ES_tradnl"/>
        </w:rPr>
        <w:t>N°</w:t>
      </w:r>
      <w:proofErr w:type="spellEnd"/>
      <w:r w:rsidRPr="00A71608">
        <w:rPr>
          <w:rFonts w:ascii="Times New Roman" w:hAnsi="Times New Roman"/>
          <w:color w:val="000000" w:themeColor="text1"/>
          <w:u w:val="none"/>
          <w:lang w:val="es-ES_tradnl"/>
        </w:rPr>
        <w:t xml:space="preserve"> </w:t>
      </w:r>
      <w:r w:rsidR="00474806" w:rsidRPr="00A71608">
        <w:rPr>
          <w:rFonts w:ascii="Times New Roman" w:hAnsi="Times New Roman"/>
          <w:color w:val="000000" w:themeColor="text1"/>
          <w:u w:val="none"/>
          <w:lang w:val="es-ES_tradnl"/>
        </w:rPr>
        <w:t>1</w:t>
      </w:r>
      <w:r w:rsidR="00EC6786" w:rsidRPr="00A71608">
        <w:rPr>
          <w:rFonts w:ascii="Times New Roman" w:hAnsi="Times New Roman"/>
          <w:color w:val="000000" w:themeColor="text1"/>
          <w:u w:val="none"/>
          <w:lang w:val="es-ES_tradnl"/>
        </w:rPr>
        <w:t>13</w:t>
      </w:r>
      <w:r w:rsidR="002B6569" w:rsidRPr="00A71608">
        <w:rPr>
          <w:rFonts w:ascii="Times New Roman" w:hAnsi="Times New Roman"/>
          <w:color w:val="000000" w:themeColor="text1"/>
          <w:u w:val="none"/>
          <w:lang w:val="es-ES_tradnl"/>
        </w:rPr>
        <w:t>8</w:t>
      </w:r>
      <w:r w:rsidR="00A71608" w:rsidRPr="00A71608">
        <w:rPr>
          <w:rFonts w:ascii="Times New Roman" w:hAnsi="Times New Roman"/>
          <w:color w:val="000000" w:themeColor="text1"/>
          <w:u w:val="none"/>
          <w:lang w:val="es-ES_tradnl"/>
        </w:rPr>
        <w:t>9</w:t>
      </w:r>
      <w:r w:rsidR="00474806" w:rsidRPr="00A71608">
        <w:rPr>
          <w:rFonts w:ascii="Times New Roman" w:hAnsi="Times New Roman"/>
          <w:color w:val="000000" w:themeColor="text1"/>
          <w:u w:val="none"/>
          <w:lang w:val="es-ES_tradnl"/>
        </w:rPr>
        <w:t>-2021</w:t>
      </w:r>
    </w:p>
    <w:p w14:paraId="63CA7B6E" w14:textId="77777777" w:rsidR="0029216A" w:rsidRPr="00A71608" w:rsidRDefault="0029216A" w:rsidP="00A71608">
      <w:pPr>
        <w:pStyle w:val="Ttulo7"/>
        <w:tabs>
          <w:tab w:val="clear" w:pos="0"/>
          <w:tab w:val="left" w:pos="4280"/>
        </w:tabs>
        <w:ind w:left="4248"/>
        <w:jc w:val="both"/>
        <w:rPr>
          <w:rFonts w:ascii="Times New Roman" w:hAnsi="Times New Roman"/>
          <w:color w:val="000000" w:themeColor="text1"/>
          <w:u w:val="none"/>
          <w:lang w:val="es-CR"/>
        </w:rPr>
      </w:pPr>
      <w:r w:rsidRPr="00A71608">
        <w:rPr>
          <w:rFonts w:ascii="Times New Roman" w:hAnsi="Times New Roman"/>
          <w:color w:val="000000" w:themeColor="text1"/>
          <w:u w:val="none"/>
          <w:lang w:val="es-CR"/>
        </w:rPr>
        <w:t>Al contestar refiérase a este # de oficio</w:t>
      </w:r>
    </w:p>
    <w:p w14:paraId="78176D7C" w14:textId="77777777" w:rsidR="000359FE" w:rsidRPr="00A71608" w:rsidRDefault="000359FE" w:rsidP="00A71608">
      <w:pPr>
        <w:jc w:val="both"/>
        <w:rPr>
          <w:b/>
          <w:bCs/>
          <w:color w:val="000000" w:themeColor="text1"/>
        </w:rPr>
      </w:pPr>
    </w:p>
    <w:p w14:paraId="13863726" w14:textId="1603EBC1" w:rsidR="0019168D" w:rsidRPr="00A71608" w:rsidRDefault="0019168D" w:rsidP="00A71608">
      <w:pPr>
        <w:autoSpaceDE w:val="0"/>
        <w:snapToGrid w:val="0"/>
        <w:jc w:val="both"/>
        <w:rPr>
          <w:b/>
          <w:bCs/>
        </w:rPr>
      </w:pPr>
      <w:bookmarkStart w:id="1" w:name="_Hlk58245584"/>
      <w:bookmarkStart w:id="2" w:name="_Hlk66867197"/>
      <w:r w:rsidRPr="00A71608">
        <w:rPr>
          <w:b/>
          <w:bCs/>
        </w:rPr>
        <w:t>Señor</w:t>
      </w:r>
    </w:p>
    <w:p w14:paraId="6036499D" w14:textId="77777777" w:rsidR="00A46E36" w:rsidRPr="00A46E36" w:rsidRDefault="00A46E36" w:rsidP="00A71608">
      <w:pPr>
        <w:autoSpaceDE w:val="0"/>
        <w:snapToGrid w:val="0"/>
        <w:jc w:val="both"/>
        <w:rPr>
          <w:b/>
          <w:bCs/>
        </w:rPr>
      </w:pPr>
      <w:proofErr w:type="spellStart"/>
      <w:r>
        <w:rPr>
          <w:b/>
          <w:bCs/>
        </w:rPr>
        <w:t>MSc</w:t>
      </w:r>
      <w:proofErr w:type="spellEnd"/>
      <w:r>
        <w:rPr>
          <w:b/>
          <w:bCs/>
        </w:rPr>
        <w:t xml:space="preserve">. </w:t>
      </w:r>
      <w:r w:rsidRPr="00A46E36">
        <w:rPr>
          <w:b/>
          <w:bCs/>
        </w:rPr>
        <w:t xml:space="preserve">Mauricio Chacón Hernández, </w:t>
      </w:r>
      <w:proofErr w:type="gramStart"/>
      <w:r w:rsidRPr="00A46E36">
        <w:rPr>
          <w:b/>
          <w:bCs/>
        </w:rPr>
        <w:t>Jefe</w:t>
      </w:r>
      <w:proofErr w:type="gramEnd"/>
      <w:r w:rsidRPr="00A46E36">
        <w:rPr>
          <w:b/>
          <w:bCs/>
        </w:rPr>
        <w:t xml:space="preserve"> </w:t>
      </w:r>
    </w:p>
    <w:p w14:paraId="1EFD04A0" w14:textId="1DB2E49A" w:rsidR="0019168D" w:rsidRPr="00A46E36" w:rsidRDefault="00A46E36" w:rsidP="00A71608">
      <w:pPr>
        <w:autoSpaceDE w:val="0"/>
        <w:snapToGrid w:val="0"/>
        <w:jc w:val="both"/>
        <w:rPr>
          <w:b/>
          <w:bCs/>
        </w:rPr>
      </w:pPr>
      <w:r w:rsidRPr="00A46E36">
        <w:rPr>
          <w:b/>
          <w:bCs/>
        </w:rPr>
        <w:t>Departamento de Laboratorio de Ciencias Forenses</w:t>
      </w:r>
    </w:p>
    <w:p w14:paraId="6BA72CD6" w14:textId="77777777" w:rsidR="0019168D" w:rsidRPr="00A71608" w:rsidRDefault="0019168D" w:rsidP="00A71608">
      <w:pPr>
        <w:ind w:left="360"/>
        <w:rPr>
          <w:b/>
          <w:bCs/>
        </w:rPr>
      </w:pPr>
    </w:p>
    <w:p w14:paraId="07700F39" w14:textId="443A921B" w:rsidR="0019168D" w:rsidRPr="00A71608" w:rsidRDefault="0019168D" w:rsidP="00A71608">
      <w:pPr>
        <w:autoSpaceDE w:val="0"/>
        <w:snapToGrid w:val="0"/>
        <w:rPr>
          <w:b/>
          <w:bCs/>
        </w:rPr>
      </w:pPr>
      <w:r w:rsidRPr="00A71608">
        <w:rPr>
          <w:b/>
          <w:bCs/>
        </w:rPr>
        <w:t>Estimad</w:t>
      </w:r>
      <w:r w:rsidR="00A46E36">
        <w:rPr>
          <w:b/>
          <w:bCs/>
        </w:rPr>
        <w:t>o</w:t>
      </w:r>
      <w:r w:rsidRPr="00A71608">
        <w:rPr>
          <w:b/>
          <w:bCs/>
        </w:rPr>
        <w:t xml:space="preserve"> señor:</w:t>
      </w:r>
      <w:bookmarkEnd w:id="1"/>
    </w:p>
    <w:bookmarkEnd w:id="2"/>
    <w:p w14:paraId="19D5094A" w14:textId="23E0619C" w:rsidR="009C666D" w:rsidRPr="00A71608" w:rsidRDefault="009C666D" w:rsidP="00A71608">
      <w:pPr>
        <w:jc w:val="both"/>
        <w:rPr>
          <w:b/>
          <w:bCs/>
          <w:color w:val="000000" w:themeColor="text1"/>
          <w:lang w:val="es-CR"/>
        </w:rPr>
      </w:pPr>
    </w:p>
    <w:p w14:paraId="720D5AA9" w14:textId="77777777" w:rsidR="00474806" w:rsidRPr="00A71608" w:rsidRDefault="00474806" w:rsidP="00A71608">
      <w:pPr>
        <w:jc w:val="both"/>
        <w:rPr>
          <w:b/>
          <w:bCs/>
          <w:color w:val="000000" w:themeColor="text1"/>
          <w:lang w:val="es-CR"/>
        </w:rPr>
      </w:pPr>
    </w:p>
    <w:p w14:paraId="1CD21F2C" w14:textId="5E38B9BB" w:rsidR="0029216A" w:rsidRPr="00A71608" w:rsidRDefault="0029216A" w:rsidP="00A71608">
      <w:pPr>
        <w:ind w:firstLine="708"/>
        <w:jc w:val="both"/>
        <w:rPr>
          <w:color w:val="000000" w:themeColor="text1"/>
        </w:rPr>
      </w:pPr>
      <w:r w:rsidRPr="00A71608">
        <w:rPr>
          <w:color w:val="000000" w:themeColor="text1"/>
        </w:rPr>
        <w:t xml:space="preserve">Para su estimable conocimiento y fines consiguientes, le transcribo el acuerdo tomado por el Consejo Superior del Poder Judicial, en sesión </w:t>
      </w:r>
      <w:proofErr w:type="spellStart"/>
      <w:r w:rsidR="0087670A" w:rsidRPr="00A71608">
        <w:rPr>
          <w:b/>
          <w:bCs/>
          <w:color w:val="000000" w:themeColor="text1"/>
        </w:rPr>
        <w:t>N°</w:t>
      </w:r>
      <w:proofErr w:type="spellEnd"/>
      <w:r w:rsidR="009F45D2" w:rsidRPr="00A71608">
        <w:rPr>
          <w:b/>
          <w:bCs/>
          <w:color w:val="000000" w:themeColor="text1"/>
        </w:rPr>
        <w:t xml:space="preserve"> </w:t>
      </w:r>
      <w:r w:rsidR="00F94424" w:rsidRPr="00A71608">
        <w:rPr>
          <w:b/>
          <w:bCs/>
          <w:color w:val="000000" w:themeColor="text1"/>
        </w:rPr>
        <w:t>10</w:t>
      </w:r>
      <w:r w:rsidR="00F85644" w:rsidRPr="00A71608">
        <w:rPr>
          <w:b/>
          <w:bCs/>
          <w:color w:val="000000" w:themeColor="text1"/>
        </w:rPr>
        <w:t>7</w:t>
      </w:r>
      <w:r w:rsidR="00474806" w:rsidRPr="00A71608">
        <w:rPr>
          <w:b/>
          <w:bCs/>
          <w:color w:val="000000" w:themeColor="text1"/>
        </w:rPr>
        <w:t>-2021</w:t>
      </w:r>
      <w:r w:rsidR="00D930B6" w:rsidRPr="00A71608">
        <w:rPr>
          <w:b/>
          <w:bCs/>
          <w:color w:val="000000" w:themeColor="text1"/>
        </w:rPr>
        <w:t xml:space="preserve"> </w:t>
      </w:r>
      <w:r w:rsidR="00D930B6" w:rsidRPr="00A71608">
        <w:rPr>
          <w:bCs/>
          <w:color w:val="000000" w:themeColor="text1"/>
        </w:rPr>
        <w:t>c</w:t>
      </w:r>
      <w:r w:rsidRPr="00A71608">
        <w:rPr>
          <w:color w:val="000000" w:themeColor="text1"/>
        </w:rPr>
        <w:t>elebrada el</w:t>
      </w:r>
      <w:r w:rsidR="004C65F3" w:rsidRPr="00A71608">
        <w:rPr>
          <w:color w:val="000000" w:themeColor="text1"/>
        </w:rPr>
        <w:t xml:space="preserve"> </w:t>
      </w:r>
      <w:r w:rsidR="00E003ED" w:rsidRPr="00A71608">
        <w:rPr>
          <w:b/>
          <w:color w:val="000000" w:themeColor="text1"/>
        </w:rPr>
        <w:t>14</w:t>
      </w:r>
      <w:r w:rsidR="00E02368" w:rsidRPr="00A71608">
        <w:rPr>
          <w:b/>
          <w:color w:val="000000" w:themeColor="text1"/>
        </w:rPr>
        <w:t xml:space="preserve"> de </w:t>
      </w:r>
      <w:r w:rsidR="00F94424" w:rsidRPr="00A71608">
        <w:rPr>
          <w:b/>
          <w:color w:val="000000" w:themeColor="text1"/>
        </w:rPr>
        <w:t>diciembre</w:t>
      </w:r>
      <w:r w:rsidR="006F5DA1" w:rsidRPr="00A71608">
        <w:rPr>
          <w:b/>
          <w:bCs/>
          <w:color w:val="000000" w:themeColor="text1"/>
        </w:rPr>
        <w:t xml:space="preserve"> </w:t>
      </w:r>
      <w:r w:rsidR="003011FF" w:rsidRPr="00A71608">
        <w:rPr>
          <w:b/>
          <w:bCs/>
          <w:color w:val="000000" w:themeColor="text1"/>
        </w:rPr>
        <w:t xml:space="preserve">del </w:t>
      </w:r>
      <w:r w:rsidR="00474806" w:rsidRPr="00A71608">
        <w:rPr>
          <w:b/>
          <w:bCs/>
          <w:color w:val="000000" w:themeColor="text1"/>
        </w:rPr>
        <w:t>2021</w:t>
      </w:r>
      <w:r w:rsidR="00B43F30" w:rsidRPr="00A71608">
        <w:rPr>
          <w:b/>
          <w:bCs/>
          <w:color w:val="000000" w:themeColor="text1"/>
        </w:rPr>
        <w:t>,</w:t>
      </w:r>
      <w:r w:rsidRPr="00A71608">
        <w:rPr>
          <w:color w:val="000000" w:themeColor="text1"/>
        </w:rPr>
        <w:t xml:space="preserve"> que literalmente dice:</w:t>
      </w:r>
    </w:p>
    <w:p w14:paraId="440292CE" w14:textId="32179B2B" w:rsidR="0029216A" w:rsidRPr="00A71608" w:rsidRDefault="0029216A" w:rsidP="00A71608">
      <w:pPr>
        <w:ind w:firstLine="15"/>
        <w:jc w:val="both"/>
        <w:rPr>
          <w:color w:val="000000" w:themeColor="text1"/>
        </w:rPr>
      </w:pPr>
    </w:p>
    <w:p w14:paraId="401B774B" w14:textId="5A25F925" w:rsidR="00A71608" w:rsidRPr="00A71608" w:rsidRDefault="00294863" w:rsidP="00A71608">
      <w:pPr>
        <w:keepNext/>
        <w:tabs>
          <w:tab w:val="num" w:pos="0"/>
        </w:tabs>
        <w:spacing w:before="120" w:after="120"/>
        <w:jc w:val="center"/>
        <w:outlineLvl w:val="1"/>
        <w:rPr>
          <w:b/>
          <w:bCs/>
          <w:color w:val="FF0000"/>
          <w:u w:val="single"/>
        </w:rPr>
      </w:pPr>
      <w:r w:rsidRPr="00A71608">
        <w:rPr>
          <w:color w:val="000000" w:themeColor="text1"/>
        </w:rPr>
        <w:t>“</w:t>
      </w:r>
      <w:bookmarkStart w:id="3" w:name="_Toc90387989"/>
      <w:r w:rsidR="00A71608" w:rsidRPr="00A71608">
        <w:rPr>
          <w:b/>
          <w:bCs/>
          <w:u w:val="single"/>
        </w:rPr>
        <w:t>ARTÍCULO XLIII</w:t>
      </w:r>
      <w:bookmarkEnd w:id="3"/>
    </w:p>
    <w:p w14:paraId="6B584B27" w14:textId="77777777" w:rsidR="00A71608" w:rsidRPr="00A71608" w:rsidRDefault="00A71608" w:rsidP="00A71608">
      <w:pPr>
        <w:suppressAutoHyphens w:val="0"/>
        <w:rPr>
          <w:rFonts w:eastAsiaTheme="minorHAnsi"/>
          <w:color w:val="FF0000"/>
          <w:lang w:val="es-CR" w:eastAsia="en-US"/>
        </w:rPr>
      </w:pPr>
    </w:p>
    <w:p w14:paraId="05611DCC" w14:textId="77777777" w:rsidR="00A71608" w:rsidRPr="00A71608" w:rsidRDefault="00A71608" w:rsidP="00A71608">
      <w:pPr>
        <w:autoSpaceDE w:val="0"/>
        <w:autoSpaceDN w:val="0"/>
        <w:rPr>
          <w:b/>
          <w:bCs/>
          <w:color w:val="00B050"/>
        </w:rPr>
      </w:pPr>
      <w:r w:rsidRPr="00A71608">
        <w:rPr>
          <w:b/>
          <w:bCs/>
        </w:rPr>
        <w:t xml:space="preserve">DOCUMENTO </w:t>
      </w:r>
      <w:proofErr w:type="spellStart"/>
      <w:r w:rsidRPr="00A71608">
        <w:rPr>
          <w:b/>
          <w:bCs/>
        </w:rPr>
        <w:t>N°</w:t>
      </w:r>
      <w:proofErr w:type="spellEnd"/>
      <w:r w:rsidRPr="00A71608">
        <w:rPr>
          <w:b/>
          <w:bCs/>
        </w:rPr>
        <w:t xml:space="preserve"> </w:t>
      </w:r>
      <w:r w:rsidRPr="00A46E36">
        <w:rPr>
          <w:b/>
          <w:bCs/>
          <w:color w:val="000000" w:themeColor="text1"/>
        </w:rPr>
        <w:t>13159-2021</w:t>
      </w:r>
    </w:p>
    <w:p w14:paraId="79C0C837" w14:textId="77777777" w:rsidR="00A71608" w:rsidRPr="00A71608" w:rsidRDefault="00A71608" w:rsidP="00A71608">
      <w:pPr>
        <w:autoSpaceDE w:val="0"/>
        <w:autoSpaceDN w:val="0"/>
        <w:rPr>
          <w:b/>
          <w:bCs/>
          <w:color w:val="00B050"/>
        </w:rPr>
      </w:pPr>
    </w:p>
    <w:p w14:paraId="73CDCD27" w14:textId="77777777" w:rsidR="00A71608" w:rsidRPr="00A71608" w:rsidRDefault="00A71608" w:rsidP="00A71608">
      <w:pPr>
        <w:ind w:firstLine="709"/>
        <w:jc w:val="both"/>
        <w:rPr>
          <w:lang w:val="es-CR"/>
        </w:rPr>
      </w:pPr>
      <w:r w:rsidRPr="00A71608">
        <w:rPr>
          <w:lang w:eastAsia="en-US"/>
        </w:rPr>
        <w:t xml:space="preserve">Mediante oficio </w:t>
      </w:r>
      <w:proofErr w:type="spellStart"/>
      <w:r w:rsidRPr="00A71608">
        <w:rPr>
          <w:lang w:eastAsia="en-US"/>
        </w:rPr>
        <w:t>Nº</w:t>
      </w:r>
      <w:proofErr w:type="spellEnd"/>
      <w:r w:rsidRPr="00A71608">
        <w:rPr>
          <w:lang w:eastAsia="en-US"/>
        </w:rPr>
        <w:t xml:space="preserve"> 1331-PLA-ES-AP-2021 del 25 de noviembre de 2021,</w:t>
      </w:r>
      <w:r w:rsidRPr="00A71608">
        <w:rPr>
          <w:lang w:val="es-CR"/>
        </w:rPr>
        <w:t xml:space="preserve"> el ingeniero Dixon Li Morales, Jefe interino del Proceso Ejecución de las Operaciones de la Dirección de Planificación, </w:t>
      </w:r>
      <w:r w:rsidRPr="00A71608">
        <w:t xml:space="preserve">remite el informe suscrito por la licenciada Ana Ericka Rodríguez Araya, Jefa del Subproceso de Estadística, relacionado con el análisis y cuadros estadísticos sobre los movimientos de trabajo para cada una de las secciones que conforman el Departamento de Ciencias Forenses del Organismo de Investigación Judicial durante el 2020; </w:t>
      </w:r>
      <w:r w:rsidRPr="00A71608">
        <w:rPr>
          <w:lang w:val="es-CR"/>
        </w:rPr>
        <w:t>que literalmente dice:</w:t>
      </w:r>
    </w:p>
    <w:p w14:paraId="39445604" w14:textId="77777777" w:rsidR="00A71608" w:rsidRPr="00A71608" w:rsidRDefault="00A71608" w:rsidP="00A71608">
      <w:pPr>
        <w:ind w:left="851" w:right="851" w:firstLine="709"/>
        <w:jc w:val="both"/>
      </w:pPr>
      <w:r w:rsidRPr="00A71608">
        <w:t>“(…)</w:t>
      </w:r>
    </w:p>
    <w:p w14:paraId="0DA4B33E" w14:textId="77777777" w:rsidR="00A71608" w:rsidRPr="00A71608" w:rsidRDefault="00A71608" w:rsidP="00A71608">
      <w:pPr>
        <w:ind w:left="851" w:right="851" w:firstLine="709"/>
        <w:jc w:val="both"/>
      </w:pPr>
    </w:p>
    <w:p w14:paraId="027D188F" w14:textId="77777777" w:rsidR="00A71608" w:rsidRPr="00A71608" w:rsidRDefault="00A71608" w:rsidP="00A71608">
      <w:pPr>
        <w:ind w:left="851" w:right="851" w:firstLine="709"/>
        <w:jc w:val="both"/>
      </w:pPr>
      <w:r w:rsidRPr="00A71608">
        <w:t xml:space="preserve">Le remito el informe suscrito por la Licda. Ana Ericka Rodríguez Araya, </w:t>
      </w:r>
      <w:proofErr w:type="gramStart"/>
      <w:r w:rsidRPr="00A71608">
        <w:t>Jefa</w:t>
      </w:r>
      <w:proofErr w:type="gramEnd"/>
      <w:r w:rsidRPr="00A71608">
        <w:t xml:space="preserve"> del Subproceso de Estadística, relacionado con el análisis y cuadros estadísticos sobre los movimientos de trabajo para cada una de las secciones que conforman el Departamento de Ciencias Forenses del Organismo de Investigación Judicial durante el 2020.</w:t>
      </w:r>
    </w:p>
    <w:p w14:paraId="1423E0EC" w14:textId="77777777" w:rsidR="00A71608" w:rsidRPr="00A71608" w:rsidRDefault="00A71608" w:rsidP="00A71608">
      <w:pPr>
        <w:ind w:left="851" w:right="851" w:firstLine="709"/>
        <w:jc w:val="both"/>
      </w:pPr>
    </w:p>
    <w:p w14:paraId="3F786F57" w14:textId="77777777" w:rsidR="00A71608" w:rsidRPr="00A71608" w:rsidRDefault="00A71608" w:rsidP="00A71608">
      <w:pPr>
        <w:ind w:left="851" w:right="851" w:firstLine="709"/>
        <w:jc w:val="both"/>
      </w:pPr>
      <w:r w:rsidRPr="00A71608">
        <w:t xml:space="preserve">Mediante oficio 1250-PLA-ES-AP-2021 del 3 de noviembre del 2021, el preliminar de este documento se puso en conocimiento de los Máster Walter Espinoza </w:t>
      </w:r>
      <w:proofErr w:type="spellStart"/>
      <w:r w:rsidRPr="00A71608">
        <w:t>Espinoza</w:t>
      </w:r>
      <w:proofErr w:type="spellEnd"/>
      <w:r w:rsidRPr="00A71608">
        <w:t xml:space="preserve">, Director General del Organismo de Investigación Judicial y Mauricio Chacón Hernández, </w:t>
      </w:r>
      <w:proofErr w:type="gramStart"/>
      <w:r w:rsidRPr="00A71608">
        <w:t>Jefe</w:t>
      </w:r>
      <w:proofErr w:type="gramEnd"/>
      <w:r w:rsidRPr="00A71608">
        <w:t xml:space="preserve"> del Departamento de Laboratorio de Ciencias Forenses. Como respuesta fue recibido el oficio 901-DG-2021 por parte del Máster Espinoza </w:t>
      </w:r>
      <w:proofErr w:type="spellStart"/>
      <w:r w:rsidRPr="00A71608">
        <w:t>Espinoza</w:t>
      </w:r>
      <w:proofErr w:type="spellEnd"/>
      <w:r w:rsidRPr="00A71608">
        <w:t xml:space="preserve">, donde se realizaba una única observación </w:t>
      </w:r>
      <w:r w:rsidRPr="00A71608">
        <w:lastRenderedPageBreak/>
        <w:t>a una manifestación plasmada en la página 11 del informe preliminar, y la cual fue solventada en el presente oficio.</w:t>
      </w:r>
    </w:p>
    <w:p w14:paraId="0A543087" w14:textId="77777777" w:rsidR="00A71608" w:rsidRPr="00A71608" w:rsidRDefault="00A71608" w:rsidP="00A71608">
      <w:pPr>
        <w:ind w:left="851" w:right="851" w:firstLine="709"/>
        <w:jc w:val="both"/>
      </w:pPr>
    </w:p>
    <w:p w14:paraId="5AD66F4D" w14:textId="77777777" w:rsidR="00A71608" w:rsidRPr="00A71608" w:rsidRDefault="00A71608" w:rsidP="00A71608">
      <w:pPr>
        <w:ind w:left="851" w:right="851" w:firstLine="709"/>
        <w:jc w:val="both"/>
      </w:pPr>
      <w:r w:rsidRPr="00A71608">
        <w:t xml:space="preserve"> (…)”.</w:t>
      </w:r>
    </w:p>
    <w:p w14:paraId="6F78C904" w14:textId="77777777" w:rsidR="00A71608" w:rsidRPr="00A71608" w:rsidRDefault="00A71608" w:rsidP="00A71608">
      <w:pPr>
        <w:ind w:left="851" w:right="851" w:firstLine="709"/>
        <w:jc w:val="both"/>
      </w:pPr>
    </w:p>
    <w:p w14:paraId="07C49BD0" w14:textId="77777777" w:rsidR="00A71608" w:rsidRPr="00A71608" w:rsidRDefault="00A71608" w:rsidP="00A71608">
      <w:pPr>
        <w:ind w:left="851" w:right="851" w:firstLine="709"/>
        <w:jc w:val="center"/>
      </w:pPr>
      <w:r w:rsidRPr="00A71608">
        <w:t>-0-</w:t>
      </w:r>
    </w:p>
    <w:p w14:paraId="1C9A29B2" w14:textId="77777777" w:rsidR="00A71608" w:rsidRPr="00A71608" w:rsidRDefault="00A71608" w:rsidP="00A71608">
      <w:pPr>
        <w:ind w:left="851" w:right="851" w:firstLine="709"/>
        <w:jc w:val="both"/>
        <w:rPr>
          <w:lang w:val="pt-BR"/>
        </w:rPr>
      </w:pPr>
    </w:p>
    <w:p w14:paraId="613E4ECE" w14:textId="77777777" w:rsidR="00A71608" w:rsidRPr="00A71608" w:rsidRDefault="00A71608" w:rsidP="00A71608">
      <w:pPr>
        <w:ind w:left="851" w:right="851" w:firstLine="709"/>
        <w:jc w:val="both"/>
        <w:rPr>
          <w:lang w:eastAsia="en-US"/>
        </w:rPr>
      </w:pPr>
      <w:r w:rsidRPr="00A71608">
        <w:rPr>
          <w:lang w:eastAsia="en-US"/>
        </w:rPr>
        <w:t>“[…]</w:t>
      </w:r>
    </w:p>
    <w:p w14:paraId="2E621711" w14:textId="77777777" w:rsidR="00A71608" w:rsidRPr="00A71608" w:rsidRDefault="00A71608" w:rsidP="00A71608">
      <w:pPr>
        <w:ind w:left="851" w:right="851" w:firstLine="709"/>
        <w:jc w:val="both"/>
        <w:rPr>
          <w:lang w:eastAsia="en-US"/>
        </w:rPr>
      </w:pPr>
    </w:p>
    <w:p w14:paraId="041BC60A" w14:textId="77777777" w:rsidR="00A71608" w:rsidRPr="00A71608" w:rsidRDefault="00A71608" w:rsidP="00A71608">
      <w:pPr>
        <w:ind w:left="851" w:right="851" w:firstLine="709"/>
        <w:jc w:val="both"/>
      </w:pPr>
      <w:r w:rsidRPr="00A71608">
        <w:t>Por este medio remito análisis y cuadros estadísticos, sobre los movimientos de trabajo para cada una de las secciones que conforman el Departamento de Ciencias Forenses del Organismo de Investigación Judicial durante el 2020. La información analizada, permite a la persona usuaria tener un panorama sobre la gestión realizada en estas oficinas, de manera retrospectiva durante los últimos años. Que en conjunto con los datos más recientes coadyuven en la definición de estrategias y políticas públicas en beneficio de la ciudadanía y la toma de decisiones.</w:t>
      </w:r>
    </w:p>
    <w:p w14:paraId="38891F76" w14:textId="77777777" w:rsidR="00A71608" w:rsidRPr="00A71608" w:rsidRDefault="00A71608" w:rsidP="00A71608">
      <w:pPr>
        <w:ind w:left="851" w:right="851" w:firstLine="709"/>
        <w:jc w:val="both"/>
      </w:pPr>
    </w:p>
    <w:p w14:paraId="7F88C3AF" w14:textId="77777777" w:rsidR="00A71608" w:rsidRPr="00A71608" w:rsidRDefault="00A71608" w:rsidP="00A71608">
      <w:pPr>
        <w:ind w:left="851" w:right="851" w:firstLine="709"/>
        <w:jc w:val="both"/>
      </w:pPr>
      <w:r w:rsidRPr="00A71608">
        <w:t xml:space="preserve">Mediante oficio 1250-PLA-ES-AP-2021 del 03 de noviembre de 2021, se puso en conocimiento el preliminar de este documento al Máster Walter Espinoza </w:t>
      </w:r>
      <w:proofErr w:type="spellStart"/>
      <w:r w:rsidRPr="00A71608">
        <w:t>Espinoza</w:t>
      </w:r>
      <w:proofErr w:type="spellEnd"/>
      <w:r w:rsidRPr="00A71608">
        <w:t xml:space="preserve">, director general del Organismo de Investigación Judicial y al Máster Chacón Hernández, </w:t>
      </w:r>
      <w:proofErr w:type="gramStart"/>
      <w:r w:rsidRPr="00A71608">
        <w:t>Jefe</w:t>
      </w:r>
      <w:proofErr w:type="gramEnd"/>
      <w:r w:rsidRPr="00A71608">
        <w:t xml:space="preserve"> del Departamento de Laboratorio de Ciencias Forense. Como respuesta fue recibido el pasado 8 de noviembre el oficio 901-DG-2021 remitido por parte del Máster Walter Espinoza </w:t>
      </w:r>
      <w:proofErr w:type="spellStart"/>
      <w:r w:rsidRPr="00A71608">
        <w:t>Espinoza</w:t>
      </w:r>
      <w:proofErr w:type="spellEnd"/>
      <w:r w:rsidRPr="00A71608">
        <w:t>, director general del Organismo de Investigación Judicial donde se realizaba una única observación a una manifestación plasmada en la página 11 del informe preliminar, y la cual fue solventada en el presente oficio.</w:t>
      </w:r>
    </w:p>
    <w:p w14:paraId="3CC81E44" w14:textId="77777777" w:rsidR="00A71608" w:rsidRPr="00A71608" w:rsidRDefault="00A71608" w:rsidP="00A71608">
      <w:pPr>
        <w:ind w:left="851" w:right="851" w:firstLine="709"/>
        <w:jc w:val="both"/>
      </w:pPr>
    </w:p>
    <w:p w14:paraId="643DDCC2" w14:textId="77777777" w:rsidR="00A71608" w:rsidRPr="00A71608" w:rsidRDefault="00A71608" w:rsidP="00A71608">
      <w:pPr>
        <w:ind w:left="851" w:right="851" w:firstLine="709"/>
        <w:jc w:val="both"/>
      </w:pPr>
      <w:r w:rsidRPr="00A71608">
        <w:t>Este análisis fue elaborado por el Máster Juan Pablo León Cerdas, Profesional 2 del Subproceso de Estadística.</w:t>
      </w:r>
    </w:p>
    <w:p w14:paraId="344AF850" w14:textId="77777777" w:rsidR="00A71608" w:rsidRPr="00A71608" w:rsidRDefault="00A71608" w:rsidP="00A71608">
      <w:pPr>
        <w:ind w:left="851" w:right="851" w:firstLine="709"/>
        <w:jc w:val="both"/>
      </w:pPr>
    </w:p>
    <w:p w14:paraId="3B24D5E0" w14:textId="77777777" w:rsidR="00A71608" w:rsidRPr="00A71608" w:rsidRDefault="00A71608" w:rsidP="00A71608">
      <w:pPr>
        <w:ind w:left="851" w:right="851" w:firstLine="709"/>
        <w:jc w:val="both"/>
        <w:rPr>
          <w:rFonts w:eastAsia="Calibri"/>
          <w:b/>
        </w:rPr>
      </w:pPr>
      <w:r w:rsidRPr="00A71608">
        <w:rPr>
          <w:rFonts w:eastAsia="Calibri"/>
          <w:b/>
        </w:rPr>
        <w:t>(…)</w:t>
      </w:r>
    </w:p>
    <w:p w14:paraId="0F2DD0CA" w14:textId="77777777" w:rsidR="00A71608" w:rsidRPr="00A71608" w:rsidRDefault="00A71608" w:rsidP="00A71608">
      <w:pPr>
        <w:ind w:left="851" w:right="851" w:firstLine="709"/>
        <w:jc w:val="both"/>
      </w:pPr>
    </w:p>
    <w:p w14:paraId="6BAF83C3"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4" w:name="_Toc85467970"/>
      <w:r w:rsidRPr="00A71608">
        <w:rPr>
          <w:rFonts w:eastAsia="Calibri"/>
          <w:b/>
          <w:bCs/>
        </w:rPr>
        <w:t>Antecedentes</w:t>
      </w:r>
      <w:bookmarkEnd w:id="4"/>
    </w:p>
    <w:p w14:paraId="475EBA63" w14:textId="77777777" w:rsidR="00A71608" w:rsidRPr="00A71608" w:rsidRDefault="00A71608" w:rsidP="00A71608">
      <w:pPr>
        <w:ind w:left="1560" w:right="851"/>
        <w:contextualSpacing/>
        <w:jc w:val="both"/>
        <w:rPr>
          <w:rFonts w:eastAsia="Calibri"/>
          <w:b/>
          <w:bCs/>
        </w:rPr>
      </w:pPr>
    </w:p>
    <w:p w14:paraId="18214D32" w14:textId="77777777" w:rsidR="00A71608" w:rsidRPr="00A71608" w:rsidRDefault="00A71608" w:rsidP="00A71608">
      <w:pPr>
        <w:ind w:left="851" w:right="851" w:firstLine="709"/>
        <w:jc w:val="both"/>
        <w:rPr>
          <w:rFonts w:eastAsia="Calibri"/>
        </w:rPr>
      </w:pPr>
      <w:r w:rsidRPr="00A71608">
        <w:rPr>
          <w:rFonts w:eastAsia="Calibri"/>
        </w:rPr>
        <w:t xml:space="preserve">Mediante oficio 149-PLA-ES-2021 del 02 de febrero de 2021, la Dirección de Planificación presentó el informe relacionado con el análisis e información estadística sobre los movimientos de trabajo para cada una de las secciones que conforman el Departamento de Ciencias Forenses del Organismo de Investigación Judicial durante el 2019. El informe preliminar fue sometido a conocimiento tanto del Máster Walter Espinoza </w:t>
      </w:r>
      <w:proofErr w:type="spellStart"/>
      <w:r w:rsidRPr="00A71608">
        <w:rPr>
          <w:rFonts w:eastAsia="Calibri"/>
        </w:rPr>
        <w:t>Espinoza</w:t>
      </w:r>
      <w:proofErr w:type="spellEnd"/>
      <w:r w:rsidRPr="00A71608">
        <w:rPr>
          <w:rFonts w:eastAsia="Calibri"/>
        </w:rPr>
        <w:t xml:space="preserve">, director del </w:t>
      </w:r>
      <w:r w:rsidRPr="00A71608">
        <w:rPr>
          <w:rFonts w:eastAsia="Calibri"/>
        </w:rPr>
        <w:lastRenderedPageBreak/>
        <w:t xml:space="preserve">Organismo de Investigación Judicial mediante el oficio 30-PLA-ES-2021 del pasado 11 de enero, con copia al </w:t>
      </w:r>
      <w:r w:rsidRPr="00A71608">
        <w:t>Máster Mauricio Chacón Hernández, jefe del Departamento de Laboratorio de Ciencias Forenses, donde al cumplirse el lapso de ley no se recibieron observaciones por parte de los involucrados.</w:t>
      </w:r>
      <w:r w:rsidRPr="00A71608">
        <w:rPr>
          <w:rFonts w:eastAsia="Calibri"/>
        </w:rPr>
        <w:t xml:space="preserve"> </w:t>
      </w:r>
    </w:p>
    <w:p w14:paraId="509B39D9" w14:textId="77777777" w:rsidR="00A71608" w:rsidRPr="00A71608" w:rsidRDefault="00A71608" w:rsidP="00A71608">
      <w:pPr>
        <w:ind w:left="851" w:right="851" w:firstLine="709"/>
        <w:jc w:val="both"/>
        <w:rPr>
          <w:rFonts w:eastAsia="Calibri"/>
        </w:rPr>
      </w:pPr>
    </w:p>
    <w:p w14:paraId="6E072CFF" w14:textId="77777777" w:rsidR="00A71608" w:rsidRPr="00A71608" w:rsidRDefault="00A71608" w:rsidP="00A71608">
      <w:pPr>
        <w:ind w:left="851" w:right="851" w:firstLine="709"/>
        <w:jc w:val="both"/>
        <w:rPr>
          <w:rFonts w:eastAsia="Calibri"/>
        </w:rPr>
      </w:pPr>
      <w:r w:rsidRPr="00A71608">
        <w:rPr>
          <w:rFonts w:eastAsia="Calibri"/>
        </w:rPr>
        <w:t xml:space="preserve">Finalmente, este informe fue conocido por el Consejo Superior, en sesión 13-21 celebrada el 16 de febrero del 2021. </w:t>
      </w:r>
    </w:p>
    <w:p w14:paraId="24561372" w14:textId="77777777" w:rsidR="00A71608" w:rsidRPr="00A71608" w:rsidRDefault="00A71608" w:rsidP="00A71608">
      <w:pPr>
        <w:ind w:left="851" w:right="851" w:firstLine="709"/>
        <w:jc w:val="both"/>
        <w:rPr>
          <w:rFonts w:eastAsia="Calibri"/>
        </w:rPr>
      </w:pPr>
    </w:p>
    <w:p w14:paraId="1534C9F8"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5" w:name="_Toc85467971"/>
      <w:r w:rsidRPr="00A71608">
        <w:rPr>
          <w:rFonts w:eastAsia="Calibri"/>
          <w:b/>
          <w:bCs/>
        </w:rPr>
        <w:t>Introducción</w:t>
      </w:r>
      <w:bookmarkEnd w:id="5"/>
    </w:p>
    <w:p w14:paraId="2534E27F" w14:textId="77777777" w:rsidR="00A71608" w:rsidRPr="00A71608" w:rsidRDefault="00A71608" w:rsidP="00A71608">
      <w:pPr>
        <w:ind w:left="1560" w:right="851"/>
        <w:contextualSpacing/>
        <w:jc w:val="both"/>
        <w:rPr>
          <w:rFonts w:eastAsia="Calibri"/>
          <w:b/>
          <w:bCs/>
        </w:rPr>
      </w:pPr>
    </w:p>
    <w:p w14:paraId="78E1ECD6" w14:textId="77777777" w:rsidR="00A71608" w:rsidRPr="00A71608" w:rsidRDefault="00A71608" w:rsidP="00A71608">
      <w:pPr>
        <w:ind w:left="851" w:right="851" w:firstLine="709"/>
        <w:jc w:val="both"/>
        <w:rPr>
          <w:rFonts w:eastAsia="Calibri"/>
        </w:rPr>
      </w:pPr>
      <w:r w:rsidRPr="00A71608">
        <w:rPr>
          <w:rFonts w:eastAsia="Calibri"/>
        </w:rPr>
        <w:t xml:space="preserve">Como parte de la mejora en cuanto a la visualización de información tanto a nivel gráfico como de cuadros estadísticos, por parte del Subproceso de Estadística se trabaja en tableros estructurados mediante la plataforma </w:t>
      </w:r>
      <w:proofErr w:type="spellStart"/>
      <w:r w:rsidRPr="00A71608">
        <w:rPr>
          <w:rFonts w:eastAsia="Calibri"/>
        </w:rPr>
        <w:t>Power</w:t>
      </w:r>
      <w:proofErr w:type="spellEnd"/>
      <w:r w:rsidRPr="00A71608">
        <w:rPr>
          <w:rFonts w:eastAsia="Calibri"/>
        </w:rPr>
        <w:t xml:space="preserve"> BI, y que forma parte de lo planteado en los acuerdos del oficio 578-PLA-ES-2021 del 26 de mayo de 2021, relacionado con las valoraciones finales respecto a cómo se procedería en obtener la información relevante para la conformación de cuadros y análisis de índole estadístico para el Departamento del Ciencias Forenses para el año 2022.</w:t>
      </w:r>
    </w:p>
    <w:p w14:paraId="0E47D19F" w14:textId="77777777" w:rsidR="00A71608" w:rsidRPr="00A71608" w:rsidRDefault="00A71608" w:rsidP="00A71608">
      <w:pPr>
        <w:ind w:left="851" w:right="851" w:firstLine="709"/>
        <w:jc w:val="both"/>
        <w:rPr>
          <w:rFonts w:eastAsia="Calibri"/>
        </w:rPr>
      </w:pPr>
    </w:p>
    <w:p w14:paraId="7441683F"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6" w:name="_Toc85467972"/>
      <w:r w:rsidRPr="00A71608">
        <w:rPr>
          <w:rFonts w:eastAsia="Calibri"/>
          <w:b/>
          <w:bCs/>
        </w:rPr>
        <w:t>Análisis de la carga de trabajo</w:t>
      </w:r>
      <w:bookmarkEnd w:id="6"/>
    </w:p>
    <w:p w14:paraId="0C492E87" w14:textId="77777777" w:rsidR="00A71608" w:rsidRPr="00A71608" w:rsidRDefault="00A71608" w:rsidP="00A71608">
      <w:pPr>
        <w:ind w:left="1560" w:right="851"/>
        <w:contextualSpacing/>
        <w:jc w:val="both"/>
        <w:rPr>
          <w:rFonts w:eastAsia="Calibri"/>
          <w:b/>
          <w:bCs/>
        </w:rPr>
      </w:pPr>
    </w:p>
    <w:p w14:paraId="6E8AAB69" w14:textId="77777777" w:rsidR="00A71608" w:rsidRPr="00A71608" w:rsidRDefault="00A71608" w:rsidP="00A71608">
      <w:pPr>
        <w:ind w:left="851" w:right="851" w:firstLine="709"/>
        <w:jc w:val="both"/>
        <w:rPr>
          <w:rFonts w:eastAsia="Calibri"/>
        </w:rPr>
      </w:pPr>
      <w:r w:rsidRPr="00A71608">
        <w:rPr>
          <w:rFonts w:eastAsia="Calibri"/>
        </w:rPr>
        <w:t>Tomando en consideración la información de los últimos 3 años presentados a continuación, se desglosan los hechos considerados como más relevantes comparativamente hablando para el periodo bajo análisis.</w:t>
      </w:r>
    </w:p>
    <w:p w14:paraId="58DEC817" w14:textId="77777777" w:rsidR="00A71608" w:rsidRPr="00A71608" w:rsidRDefault="00A71608" w:rsidP="00A71608">
      <w:pPr>
        <w:ind w:left="851" w:right="851" w:firstLine="709"/>
        <w:jc w:val="both"/>
        <w:rPr>
          <w:rFonts w:eastAsia="Calibri"/>
        </w:rPr>
      </w:pPr>
    </w:p>
    <w:p w14:paraId="75AEF863" w14:textId="77777777" w:rsidR="00A71608" w:rsidRPr="00A71608" w:rsidRDefault="00A71608" w:rsidP="00A71608">
      <w:pPr>
        <w:jc w:val="center"/>
        <w:rPr>
          <w:rFonts w:eastAsia="Calibri"/>
          <w:b/>
          <w:bCs/>
        </w:rPr>
      </w:pPr>
      <w:r w:rsidRPr="00A71608">
        <w:rPr>
          <w:rFonts w:eastAsia="Calibri"/>
          <w:b/>
          <w:bCs/>
        </w:rPr>
        <w:t>Cuadro 3.1</w:t>
      </w:r>
    </w:p>
    <w:p w14:paraId="547BEC98" w14:textId="77777777" w:rsidR="00A71608" w:rsidRPr="00A71608" w:rsidRDefault="00A71608" w:rsidP="00A71608">
      <w:pPr>
        <w:jc w:val="center"/>
        <w:rPr>
          <w:rFonts w:eastAsia="Calibri"/>
          <w:b/>
          <w:bCs/>
        </w:rPr>
      </w:pPr>
      <w:r w:rsidRPr="00A71608">
        <w:rPr>
          <w:rFonts w:eastAsia="Calibri"/>
          <w:b/>
          <w:bCs/>
        </w:rPr>
        <w:t>Balance general de carga de trabajo en el Departamento de Ciencias Forenses</w:t>
      </w:r>
    </w:p>
    <w:p w14:paraId="31305C29" w14:textId="77777777" w:rsidR="00A71608" w:rsidRPr="00A71608" w:rsidRDefault="00A71608" w:rsidP="00A71608">
      <w:pPr>
        <w:jc w:val="center"/>
        <w:rPr>
          <w:rFonts w:eastAsia="Calibri"/>
          <w:b/>
          <w:bCs/>
        </w:rPr>
      </w:pPr>
      <w:r w:rsidRPr="00A71608">
        <w:rPr>
          <w:rFonts w:eastAsia="Calibri"/>
          <w:b/>
          <w:bCs/>
        </w:rPr>
        <w:t>Periodo 2018 – 2020</w:t>
      </w:r>
    </w:p>
    <w:p w14:paraId="274C5BAD" w14:textId="77777777" w:rsidR="00A71608" w:rsidRPr="00A71608" w:rsidRDefault="00A71608" w:rsidP="00A71608">
      <w:pPr>
        <w:jc w:val="center"/>
        <w:rPr>
          <w:rFonts w:eastAsia="Calibri"/>
          <w:b/>
          <w:bCs/>
        </w:rPr>
      </w:pPr>
    </w:p>
    <w:tbl>
      <w:tblPr>
        <w:tblW w:w="5000" w:type="pct"/>
        <w:jc w:val="center"/>
        <w:tblCellMar>
          <w:left w:w="70" w:type="dxa"/>
          <w:right w:w="70" w:type="dxa"/>
        </w:tblCellMar>
        <w:tblLook w:val="04A0" w:firstRow="1" w:lastRow="0" w:firstColumn="1" w:lastColumn="0" w:noHBand="0" w:noVBand="1"/>
      </w:tblPr>
      <w:tblGrid>
        <w:gridCol w:w="3270"/>
        <w:gridCol w:w="1636"/>
        <w:gridCol w:w="1635"/>
        <w:gridCol w:w="771"/>
        <w:gridCol w:w="1021"/>
        <w:gridCol w:w="1212"/>
      </w:tblGrid>
      <w:tr w:rsidR="00A71608" w:rsidRPr="00A71608" w14:paraId="15DFFD04" w14:textId="77777777" w:rsidTr="00A71608">
        <w:trPr>
          <w:trHeight w:val="300"/>
          <w:jc w:val="center"/>
        </w:trPr>
        <w:tc>
          <w:tcPr>
            <w:tcW w:w="1429" w:type="pct"/>
            <w:tcBorders>
              <w:top w:val="single" w:sz="4" w:space="0" w:color="auto"/>
              <w:left w:val="nil"/>
              <w:bottom w:val="nil"/>
              <w:right w:val="nil"/>
            </w:tcBorders>
            <w:shd w:val="clear" w:color="000000" w:fill="FFFFFF"/>
            <w:noWrap/>
            <w:vAlign w:val="center"/>
            <w:hideMark/>
          </w:tcPr>
          <w:p w14:paraId="3765B9F7" w14:textId="77777777" w:rsidR="00A71608" w:rsidRPr="00A71608" w:rsidRDefault="00A71608" w:rsidP="00A71608">
            <w:pPr>
              <w:jc w:val="center"/>
              <w:rPr>
                <w:b/>
                <w:bCs/>
                <w:lang w:eastAsia="es-CR"/>
              </w:rPr>
            </w:pPr>
            <w:r w:rsidRPr="00A71608">
              <w:rPr>
                <w:rFonts w:eastAsia="Calibri"/>
                <w:b/>
                <w:bCs/>
              </w:rPr>
              <w:t>Balance General</w:t>
            </w:r>
          </w:p>
        </w:tc>
        <w:tc>
          <w:tcPr>
            <w:tcW w:w="2143" w:type="pct"/>
            <w:gridSpan w:val="3"/>
            <w:tcBorders>
              <w:top w:val="single" w:sz="4" w:space="0" w:color="auto"/>
              <w:left w:val="nil"/>
              <w:bottom w:val="single" w:sz="4" w:space="0" w:color="auto"/>
              <w:right w:val="nil"/>
            </w:tcBorders>
            <w:shd w:val="clear" w:color="000000" w:fill="FFFFFF"/>
            <w:noWrap/>
            <w:vAlign w:val="center"/>
            <w:hideMark/>
          </w:tcPr>
          <w:p w14:paraId="549C0275" w14:textId="77777777" w:rsidR="00A71608" w:rsidRPr="00A71608" w:rsidRDefault="00A71608" w:rsidP="00A71608">
            <w:pPr>
              <w:jc w:val="center"/>
              <w:rPr>
                <w:b/>
                <w:bCs/>
                <w:lang w:eastAsia="es-CR"/>
              </w:rPr>
            </w:pPr>
            <w:r w:rsidRPr="00A71608">
              <w:rPr>
                <w:rFonts w:eastAsia="Calibri"/>
                <w:b/>
                <w:bCs/>
              </w:rPr>
              <w:t>Año</w:t>
            </w:r>
          </w:p>
        </w:tc>
        <w:tc>
          <w:tcPr>
            <w:tcW w:w="1429" w:type="pct"/>
            <w:gridSpan w:val="2"/>
            <w:tcBorders>
              <w:top w:val="single" w:sz="4" w:space="0" w:color="auto"/>
              <w:left w:val="nil"/>
              <w:bottom w:val="single" w:sz="4" w:space="0" w:color="auto"/>
              <w:right w:val="nil"/>
            </w:tcBorders>
            <w:shd w:val="clear" w:color="000000" w:fill="FFFFFF"/>
            <w:vAlign w:val="center"/>
            <w:hideMark/>
          </w:tcPr>
          <w:p w14:paraId="00173885" w14:textId="77777777" w:rsidR="00A71608" w:rsidRPr="00A71608" w:rsidRDefault="00A71608" w:rsidP="00A71608">
            <w:pPr>
              <w:jc w:val="center"/>
              <w:rPr>
                <w:b/>
                <w:bCs/>
                <w:lang w:eastAsia="es-CR"/>
              </w:rPr>
            </w:pPr>
            <w:r w:rsidRPr="00A71608">
              <w:rPr>
                <w:b/>
                <w:bCs/>
                <w:lang w:eastAsia="es-CR"/>
              </w:rPr>
              <w:t>Variación 2019 - 2020</w:t>
            </w:r>
          </w:p>
        </w:tc>
      </w:tr>
      <w:tr w:rsidR="00A71608" w:rsidRPr="00A71608" w14:paraId="50AC47AF" w14:textId="77777777" w:rsidTr="00A71608">
        <w:trPr>
          <w:trHeight w:val="310"/>
          <w:jc w:val="center"/>
        </w:trPr>
        <w:tc>
          <w:tcPr>
            <w:tcW w:w="1429" w:type="pct"/>
            <w:tcBorders>
              <w:top w:val="nil"/>
              <w:left w:val="nil"/>
              <w:bottom w:val="single" w:sz="8" w:space="0" w:color="auto"/>
              <w:right w:val="nil"/>
            </w:tcBorders>
            <w:shd w:val="clear" w:color="000000" w:fill="FFFFFF"/>
            <w:noWrap/>
            <w:vAlign w:val="center"/>
            <w:hideMark/>
          </w:tcPr>
          <w:p w14:paraId="4CFA4CDC" w14:textId="77777777" w:rsidR="00A71608" w:rsidRPr="00A71608" w:rsidRDefault="00A71608" w:rsidP="00A71608">
            <w:pPr>
              <w:jc w:val="center"/>
              <w:rPr>
                <w:b/>
                <w:bCs/>
                <w:lang w:eastAsia="es-CR"/>
              </w:rPr>
            </w:pPr>
            <w:r w:rsidRPr="00A71608">
              <w:rPr>
                <w:rFonts w:eastAsia="Calibri"/>
                <w:b/>
                <w:bCs/>
              </w:rPr>
              <w:t>Variables</w:t>
            </w:r>
          </w:p>
        </w:tc>
        <w:tc>
          <w:tcPr>
            <w:tcW w:w="714" w:type="pct"/>
            <w:tcBorders>
              <w:top w:val="nil"/>
              <w:left w:val="nil"/>
              <w:bottom w:val="single" w:sz="8" w:space="0" w:color="auto"/>
              <w:right w:val="nil"/>
            </w:tcBorders>
            <w:shd w:val="clear" w:color="000000" w:fill="FFFFFF"/>
            <w:noWrap/>
            <w:vAlign w:val="center"/>
            <w:hideMark/>
          </w:tcPr>
          <w:p w14:paraId="39636337" w14:textId="77777777" w:rsidR="00A71608" w:rsidRPr="00A71608" w:rsidRDefault="00A71608" w:rsidP="00A71608">
            <w:pPr>
              <w:jc w:val="center"/>
              <w:rPr>
                <w:b/>
                <w:bCs/>
                <w:lang w:eastAsia="es-CR"/>
              </w:rPr>
            </w:pPr>
            <w:r w:rsidRPr="00A71608">
              <w:rPr>
                <w:rFonts w:eastAsia="Calibri"/>
                <w:b/>
                <w:bCs/>
              </w:rPr>
              <w:t>2018</w:t>
            </w:r>
          </w:p>
        </w:tc>
        <w:tc>
          <w:tcPr>
            <w:tcW w:w="714" w:type="pct"/>
            <w:tcBorders>
              <w:top w:val="nil"/>
              <w:left w:val="nil"/>
              <w:bottom w:val="single" w:sz="8" w:space="0" w:color="auto"/>
              <w:right w:val="nil"/>
            </w:tcBorders>
            <w:shd w:val="clear" w:color="000000" w:fill="FFFFFF"/>
            <w:noWrap/>
            <w:vAlign w:val="center"/>
            <w:hideMark/>
          </w:tcPr>
          <w:p w14:paraId="34E20DB2" w14:textId="77777777" w:rsidR="00A71608" w:rsidRPr="00A71608" w:rsidRDefault="00A71608" w:rsidP="00A71608">
            <w:pPr>
              <w:jc w:val="center"/>
              <w:rPr>
                <w:b/>
                <w:bCs/>
                <w:lang w:eastAsia="es-CR"/>
              </w:rPr>
            </w:pPr>
            <w:r w:rsidRPr="00A71608">
              <w:rPr>
                <w:rFonts w:eastAsia="Calibri"/>
                <w:b/>
                <w:bCs/>
              </w:rPr>
              <w:t>2019</w:t>
            </w:r>
          </w:p>
        </w:tc>
        <w:tc>
          <w:tcPr>
            <w:tcW w:w="714" w:type="pct"/>
            <w:tcBorders>
              <w:top w:val="nil"/>
              <w:left w:val="nil"/>
              <w:bottom w:val="single" w:sz="8" w:space="0" w:color="auto"/>
              <w:right w:val="nil"/>
            </w:tcBorders>
            <w:shd w:val="clear" w:color="000000" w:fill="FFFFFF"/>
            <w:noWrap/>
            <w:vAlign w:val="center"/>
            <w:hideMark/>
          </w:tcPr>
          <w:p w14:paraId="5F3441E6" w14:textId="77777777" w:rsidR="00A71608" w:rsidRPr="00A71608" w:rsidRDefault="00A71608" w:rsidP="00A71608">
            <w:pPr>
              <w:jc w:val="center"/>
              <w:rPr>
                <w:b/>
                <w:bCs/>
                <w:lang w:eastAsia="es-CR"/>
              </w:rPr>
            </w:pPr>
            <w:r w:rsidRPr="00A71608">
              <w:rPr>
                <w:b/>
                <w:bCs/>
                <w:lang w:eastAsia="es-CR"/>
              </w:rPr>
              <w:t>2020</w:t>
            </w:r>
          </w:p>
        </w:tc>
        <w:tc>
          <w:tcPr>
            <w:tcW w:w="647" w:type="pct"/>
            <w:tcBorders>
              <w:top w:val="nil"/>
              <w:left w:val="nil"/>
              <w:bottom w:val="single" w:sz="8" w:space="0" w:color="auto"/>
              <w:right w:val="nil"/>
            </w:tcBorders>
            <w:shd w:val="clear" w:color="000000" w:fill="FFFFFF"/>
            <w:noWrap/>
            <w:vAlign w:val="center"/>
            <w:hideMark/>
          </w:tcPr>
          <w:p w14:paraId="72D10565" w14:textId="77777777" w:rsidR="00A71608" w:rsidRPr="00A71608" w:rsidRDefault="00A71608" w:rsidP="00A71608">
            <w:pPr>
              <w:jc w:val="center"/>
              <w:rPr>
                <w:b/>
                <w:bCs/>
                <w:lang w:eastAsia="es-CR"/>
              </w:rPr>
            </w:pPr>
            <w:r w:rsidRPr="00A71608">
              <w:rPr>
                <w:b/>
                <w:bCs/>
                <w:lang w:eastAsia="es-CR"/>
              </w:rPr>
              <w:t>Absoluta</w:t>
            </w:r>
          </w:p>
        </w:tc>
        <w:tc>
          <w:tcPr>
            <w:tcW w:w="782" w:type="pct"/>
            <w:tcBorders>
              <w:top w:val="nil"/>
              <w:left w:val="nil"/>
              <w:bottom w:val="single" w:sz="8" w:space="0" w:color="auto"/>
              <w:right w:val="nil"/>
            </w:tcBorders>
            <w:shd w:val="clear" w:color="000000" w:fill="FFFFFF"/>
            <w:noWrap/>
            <w:vAlign w:val="center"/>
            <w:hideMark/>
          </w:tcPr>
          <w:p w14:paraId="57C8E2A9" w14:textId="77777777" w:rsidR="00A71608" w:rsidRPr="00A71608" w:rsidRDefault="00A71608" w:rsidP="00A71608">
            <w:pPr>
              <w:jc w:val="center"/>
              <w:rPr>
                <w:b/>
                <w:bCs/>
                <w:lang w:eastAsia="es-CR"/>
              </w:rPr>
            </w:pPr>
            <w:r w:rsidRPr="00A71608">
              <w:rPr>
                <w:b/>
                <w:bCs/>
                <w:lang w:eastAsia="es-CR"/>
              </w:rPr>
              <w:t>Porcentual</w:t>
            </w:r>
          </w:p>
        </w:tc>
      </w:tr>
      <w:tr w:rsidR="00A71608" w:rsidRPr="00A71608" w14:paraId="250C6E3D" w14:textId="77777777" w:rsidTr="00A71608">
        <w:trPr>
          <w:trHeight w:val="300"/>
          <w:jc w:val="center"/>
        </w:trPr>
        <w:tc>
          <w:tcPr>
            <w:tcW w:w="1429" w:type="pct"/>
            <w:tcBorders>
              <w:top w:val="nil"/>
              <w:left w:val="nil"/>
              <w:bottom w:val="nil"/>
              <w:right w:val="nil"/>
            </w:tcBorders>
            <w:shd w:val="clear" w:color="000000" w:fill="FFFFFF"/>
            <w:noWrap/>
            <w:vAlign w:val="center"/>
            <w:hideMark/>
          </w:tcPr>
          <w:p w14:paraId="7C46D9B0" w14:textId="77777777" w:rsidR="00A71608" w:rsidRPr="00A71608" w:rsidRDefault="00A71608" w:rsidP="00A71608">
            <w:pPr>
              <w:jc w:val="center"/>
              <w:rPr>
                <w:b/>
                <w:bCs/>
                <w:lang w:eastAsia="es-CR"/>
              </w:rPr>
            </w:pPr>
            <w:r w:rsidRPr="00A71608">
              <w:rPr>
                <w:b/>
                <w:bCs/>
                <w:lang w:eastAsia="es-CR"/>
              </w:rPr>
              <w:t> </w:t>
            </w:r>
          </w:p>
        </w:tc>
        <w:tc>
          <w:tcPr>
            <w:tcW w:w="714" w:type="pct"/>
            <w:tcBorders>
              <w:top w:val="nil"/>
              <w:left w:val="nil"/>
              <w:bottom w:val="nil"/>
              <w:right w:val="nil"/>
            </w:tcBorders>
            <w:shd w:val="clear" w:color="000000" w:fill="FFFFFF"/>
            <w:noWrap/>
            <w:vAlign w:val="center"/>
            <w:hideMark/>
          </w:tcPr>
          <w:p w14:paraId="451A4254" w14:textId="77777777" w:rsidR="00A71608" w:rsidRPr="00A71608" w:rsidRDefault="00A71608" w:rsidP="00A71608">
            <w:pPr>
              <w:jc w:val="center"/>
              <w:rPr>
                <w:b/>
                <w:bCs/>
                <w:lang w:eastAsia="es-CR"/>
              </w:rPr>
            </w:pPr>
            <w:r w:rsidRPr="00A71608">
              <w:rPr>
                <w:b/>
                <w:bCs/>
                <w:lang w:eastAsia="es-CR"/>
              </w:rPr>
              <w:t> </w:t>
            </w:r>
          </w:p>
        </w:tc>
        <w:tc>
          <w:tcPr>
            <w:tcW w:w="714" w:type="pct"/>
            <w:tcBorders>
              <w:top w:val="nil"/>
              <w:left w:val="nil"/>
              <w:bottom w:val="nil"/>
              <w:right w:val="nil"/>
            </w:tcBorders>
            <w:shd w:val="clear" w:color="000000" w:fill="FFFFFF"/>
            <w:noWrap/>
            <w:vAlign w:val="center"/>
            <w:hideMark/>
          </w:tcPr>
          <w:p w14:paraId="1B6F6111" w14:textId="77777777" w:rsidR="00A71608" w:rsidRPr="00A71608" w:rsidRDefault="00A71608" w:rsidP="00A71608">
            <w:pPr>
              <w:jc w:val="center"/>
              <w:rPr>
                <w:b/>
                <w:bCs/>
                <w:lang w:eastAsia="es-CR"/>
              </w:rPr>
            </w:pPr>
            <w:r w:rsidRPr="00A71608">
              <w:rPr>
                <w:b/>
                <w:bCs/>
                <w:lang w:eastAsia="es-CR"/>
              </w:rPr>
              <w:t> </w:t>
            </w:r>
          </w:p>
        </w:tc>
        <w:tc>
          <w:tcPr>
            <w:tcW w:w="714" w:type="pct"/>
            <w:tcBorders>
              <w:top w:val="nil"/>
              <w:left w:val="nil"/>
              <w:bottom w:val="nil"/>
              <w:right w:val="nil"/>
            </w:tcBorders>
            <w:shd w:val="clear" w:color="000000" w:fill="FFFFFF"/>
            <w:noWrap/>
            <w:vAlign w:val="center"/>
            <w:hideMark/>
          </w:tcPr>
          <w:p w14:paraId="1AEB86C5" w14:textId="77777777" w:rsidR="00A71608" w:rsidRPr="00A71608" w:rsidRDefault="00A71608" w:rsidP="00A71608">
            <w:pPr>
              <w:jc w:val="center"/>
              <w:rPr>
                <w:b/>
                <w:bCs/>
                <w:lang w:eastAsia="es-CR"/>
              </w:rPr>
            </w:pPr>
            <w:r w:rsidRPr="00A71608">
              <w:rPr>
                <w:b/>
                <w:bCs/>
                <w:lang w:eastAsia="es-CR"/>
              </w:rPr>
              <w:t> </w:t>
            </w:r>
          </w:p>
        </w:tc>
        <w:tc>
          <w:tcPr>
            <w:tcW w:w="647" w:type="pct"/>
            <w:tcBorders>
              <w:top w:val="nil"/>
              <w:left w:val="dashed" w:sz="8" w:space="0" w:color="auto"/>
              <w:bottom w:val="nil"/>
              <w:right w:val="nil"/>
            </w:tcBorders>
            <w:shd w:val="clear" w:color="000000" w:fill="FFFFFF"/>
            <w:noWrap/>
            <w:vAlign w:val="center"/>
            <w:hideMark/>
          </w:tcPr>
          <w:p w14:paraId="589DF2E1" w14:textId="77777777" w:rsidR="00A71608" w:rsidRPr="00A71608" w:rsidRDefault="00A71608" w:rsidP="00A71608">
            <w:pPr>
              <w:jc w:val="center"/>
              <w:rPr>
                <w:b/>
                <w:bCs/>
                <w:lang w:eastAsia="es-CR"/>
              </w:rPr>
            </w:pPr>
            <w:r w:rsidRPr="00A71608">
              <w:rPr>
                <w:b/>
                <w:bCs/>
                <w:lang w:eastAsia="es-CR"/>
              </w:rPr>
              <w:t> </w:t>
            </w:r>
          </w:p>
        </w:tc>
        <w:tc>
          <w:tcPr>
            <w:tcW w:w="782" w:type="pct"/>
            <w:tcBorders>
              <w:top w:val="nil"/>
              <w:left w:val="nil"/>
              <w:bottom w:val="nil"/>
              <w:right w:val="nil"/>
            </w:tcBorders>
            <w:shd w:val="clear" w:color="000000" w:fill="FFFFFF"/>
            <w:noWrap/>
            <w:vAlign w:val="center"/>
            <w:hideMark/>
          </w:tcPr>
          <w:p w14:paraId="3E7B8E3C" w14:textId="77777777" w:rsidR="00A71608" w:rsidRPr="00A71608" w:rsidRDefault="00A71608" w:rsidP="00A71608">
            <w:pPr>
              <w:jc w:val="center"/>
              <w:rPr>
                <w:b/>
                <w:bCs/>
                <w:lang w:eastAsia="es-CR"/>
              </w:rPr>
            </w:pPr>
            <w:r w:rsidRPr="00A71608">
              <w:rPr>
                <w:b/>
                <w:bCs/>
                <w:lang w:eastAsia="es-CR"/>
              </w:rPr>
              <w:t> </w:t>
            </w:r>
          </w:p>
        </w:tc>
      </w:tr>
      <w:tr w:rsidR="00A71608" w:rsidRPr="00A71608" w14:paraId="7EC7E03C"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68EDD6DA" w14:textId="77777777" w:rsidR="00A71608" w:rsidRPr="00A71608" w:rsidRDefault="00A71608" w:rsidP="00A71608">
            <w:pPr>
              <w:rPr>
                <w:lang w:eastAsia="es-CR"/>
              </w:rPr>
            </w:pPr>
            <w:r w:rsidRPr="00A71608">
              <w:rPr>
                <w:rFonts w:eastAsia="Calibri"/>
              </w:rPr>
              <w:t>Circulante Inicial</w:t>
            </w:r>
          </w:p>
        </w:tc>
        <w:tc>
          <w:tcPr>
            <w:tcW w:w="714" w:type="pct"/>
            <w:tcBorders>
              <w:top w:val="nil"/>
              <w:left w:val="nil"/>
              <w:bottom w:val="nil"/>
              <w:right w:val="nil"/>
            </w:tcBorders>
            <w:shd w:val="clear" w:color="000000" w:fill="FFFFFF"/>
            <w:noWrap/>
            <w:vAlign w:val="center"/>
            <w:hideMark/>
          </w:tcPr>
          <w:p w14:paraId="075847FC" w14:textId="77777777" w:rsidR="00A71608" w:rsidRPr="00A71608" w:rsidRDefault="00A71608" w:rsidP="00A71608">
            <w:pPr>
              <w:jc w:val="right"/>
              <w:rPr>
                <w:lang w:eastAsia="es-CR"/>
              </w:rPr>
            </w:pPr>
            <w:r w:rsidRPr="00A71608">
              <w:rPr>
                <w:rFonts w:eastAsia="Calibri"/>
              </w:rPr>
              <w:t>10 734</w:t>
            </w:r>
          </w:p>
        </w:tc>
        <w:tc>
          <w:tcPr>
            <w:tcW w:w="714" w:type="pct"/>
            <w:tcBorders>
              <w:top w:val="nil"/>
              <w:left w:val="nil"/>
              <w:bottom w:val="nil"/>
              <w:right w:val="nil"/>
            </w:tcBorders>
            <w:shd w:val="clear" w:color="000000" w:fill="FFFFFF"/>
            <w:noWrap/>
            <w:vAlign w:val="center"/>
            <w:hideMark/>
          </w:tcPr>
          <w:p w14:paraId="60CE3967" w14:textId="77777777" w:rsidR="00A71608" w:rsidRPr="00A71608" w:rsidRDefault="00A71608" w:rsidP="00A71608">
            <w:pPr>
              <w:jc w:val="right"/>
              <w:rPr>
                <w:lang w:eastAsia="es-CR"/>
              </w:rPr>
            </w:pPr>
            <w:r w:rsidRPr="00A71608">
              <w:rPr>
                <w:rFonts w:eastAsia="Calibri"/>
              </w:rPr>
              <w:t>6 740</w:t>
            </w:r>
          </w:p>
        </w:tc>
        <w:tc>
          <w:tcPr>
            <w:tcW w:w="714" w:type="pct"/>
            <w:tcBorders>
              <w:top w:val="nil"/>
              <w:left w:val="nil"/>
              <w:bottom w:val="nil"/>
              <w:right w:val="nil"/>
            </w:tcBorders>
            <w:shd w:val="clear" w:color="000000" w:fill="FFFFFF"/>
            <w:noWrap/>
            <w:vAlign w:val="center"/>
            <w:hideMark/>
          </w:tcPr>
          <w:p w14:paraId="627D20B9" w14:textId="77777777" w:rsidR="00A71608" w:rsidRPr="00A71608" w:rsidRDefault="00A71608" w:rsidP="00A71608">
            <w:pPr>
              <w:jc w:val="right"/>
              <w:rPr>
                <w:lang w:eastAsia="es-CR"/>
              </w:rPr>
            </w:pPr>
            <w:r w:rsidRPr="00A71608">
              <w:rPr>
                <w:lang w:eastAsia="es-CR"/>
              </w:rPr>
              <w:t>5 057</w:t>
            </w:r>
          </w:p>
        </w:tc>
        <w:tc>
          <w:tcPr>
            <w:tcW w:w="647" w:type="pct"/>
            <w:tcBorders>
              <w:top w:val="nil"/>
              <w:left w:val="dashed" w:sz="8" w:space="0" w:color="auto"/>
              <w:bottom w:val="nil"/>
              <w:right w:val="nil"/>
            </w:tcBorders>
            <w:shd w:val="clear" w:color="000000" w:fill="FFFFFF"/>
            <w:noWrap/>
            <w:vAlign w:val="center"/>
            <w:hideMark/>
          </w:tcPr>
          <w:p w14:paraId="755D4028" w14:textId="77777777" w:rsidR="00A71608" w:rsidRPr="00A71608" w:rsidRDefault="00A71608" w:rsidP="00A71608">
            <w:pPr>
              <w:jc w:val="right"/>
              <w:rPr>
                <w:lang w:eastAsia="es-CR"/>
              </w:rPr>
            </w:pPr>
            <w:r w:rsidRPr="00A71608">
              <w:rPr>
                <w:lang w:eastAsia="es-CR"/>
              </w:rPr>
              <w:t>-1 683</w:t>
            </w:r>
          </w:p>
        </w:tc>
        <w:tc>
          <w:tcPr>
            <w:tcW w:w="782" w:type="pct"/>
            <w:tcBorders>
              <w:top w:val="nil"/>
              <w:left w:val="nil"/>
              <w:bottom w:val="nil"/>
              <w:right w:val="nil"/>
            </w:tcBorders>
            <w:shd w:val="clear" w:color="000000" w:fill="FFFFFF"/>
            <w:noWrap/>
            <w:vAlign w:val="center"/>
            <w:hideMark/>
          </w:tcPr>
          <w:p w14:paraId="15732E67" w14:textId="77777777" w:rsidR="00A71608" w:rsidRPr="00A71608" w:rsidRDefault="00A71608" w:rsidP="00A71608">
            <w:pPr>
              <w:jc w:val="right"/>
              <w:rPr>
                <w:lang w:eastAsia="es-CR"/>
              </w:rPr>
            </w:pPr>
            <w:r w:rsidRPr="00A71608">
              <w:rPr>
                <w:lang w:eastAsia="es-CR"/>
              </w:rPr>
              <w:t>-25,0</w:t>
            </w:r>
          </w:p>
        </w:tc>
      </w:tr>
      <w:tr w:rsidR="00A71608" w:rsidRPr="00A71608" w14:paraId="4E5C760F"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54F24E30" w14:textId="77777777" w:rsidR="00A71608" w:rsidRPr="00A71608" w:rsidRDefault="00A71608" w:rsidP="00A71608">
            <w:pPr>
              <w:rPr>
                <w:lang w:eastAsia="es-CR"/>
              </w:rPr>
            </w:pPr>
            <w:r w:rsidRPr="00A71608">
              <w:rPr>
                <w:rFonts w:eastAsia="Calibri"/>
              </w:rPr>
              <w:t>Casos Entrados</w:t>
            </w:r>
          </w:p>
        </w:tc>
        <w:tc>
          <w:tcPr>
            <w:tcW w:w="714" w:type="pct"/>
            <w:tcBorders>
              <w:top w:val="nil"/>
              <w:left w:val="nil"/>
              <w:bottom w:val="nil"/>
              <w:right w:val="nil"/>
            </w:tcBorders>
            <w:shd w:val="clear" w:color="000000" w:fill="FFFFFF"/>
            <w:noWrap/>
            <w:vAlign w:val="center"/>
            <w:hideMark/>
          </w:tcPr>
          <w:p w14:paraId="6EAE72F5" w14:textId="77777777" w:rsidR="00A71608" w:rsidRPr="00A71608" w:rsidRDefault="00A71608" w:rsidP="00A71608">
            <w:pPr>
              <w:jc w:val="right"/>
              <w:rPr>
                <w:lang w:eastAsia="es-CR"/>
              </w:rPr>
            </w:pPr>
            <w:r w:rsidRPr="00A71608">
              <w:rPr>
                <w:rFonts w:eastAsia="Calibri"/>
              </w:rPr>
              <w:t>38 008</w:t>
            </w:r>
          </w:p>
        </w:tc>
        <w:tc>
          <w:tcPr>
            <w:tcW w:w="714" w:type="pct"/>
            <w:tcBorders>
              <w:top w:val="nil"/>
              <w:left w:val="nil"/>
              <w:bottom w:val="nil"/>
              <w:right w:val="nil"/>
            </w:tcBorders>
            <w:shd w:val="clear" w:color="000000" w:fill="FFFFFF"/>
            <w:noWrap/>
            <w:vAlign w:val="center"/>
            <w:hideMark/>
          </w:tcPr>
          <w:p w14:paraId="357D13F2" w14:textId="77777777" w:rsidR="00A71608" w:rsidRPr="00A71608" w:rsidRDefault="00A71608" w:rsidP="00A71608">
            <w:pPr>
              <w:jc w:val="right"/>
              <w:rPr>
                <w:lang w:eastAsia="es-CR"/>
              </w:rPr>
            </w:pPr>
            <w:r w:rsidRPr="00A71608">
              <w:rPr>
                <w:rFonts w:eastAsia="Calibri"/>
              </w:rPr>
              <w:t>35 435</w:t>
            </w:r>
          </w:p>
        </w:tc>
        <w:tc>
          <w:tcPr>
            <w:tcW w:w="714" w:type="pct"/>
            <w:tcBorders>
              <w:top w:val="nil"/>
              <w:left w:val="nil"/>
              <w:bottom w:val="nil"/>
              <w:right w:val="nil"/>
            </w:tcBorders>
            <w:shd w:val="clear" w:color="000000" w:fill="FFFFFF"/>
            <w:noWrap/>
            <w:vAlign w:val="center"/>
            <w:hideMark/>
          </w:tcPr>
          <w:p w14:paraId="1A72F6F8" w14:textId="77777777" w:rsidR="00A71608" w:rsidRPr="00A71608" w:rsidRDefault="00A71608" w:rsidP="00A71608">
            <w:pPr>
              <w:jc w:val="right"/>
              <w:rPr>
                <w:lang w:eastAsia="es-CR"/>
              </w:rPr>
            </w:pPr>
            <w:r w:rsidRPr="00A71608">
              <w:rPr>
                <w:lang w:eastAsia="es-CR"/>
              </w:rPr>
              <w:t>30 910</w:t>
            </w:r>
          </w:p>
        </w:tc>
        <w:tc>
          <w:tcPr>
            <w:tcW w:w="647" w:type="pct"/>
            <w:tcBorders>
              <w:top w:val="nil"/>
              <w:left w:val="dashed" w:sz="8" w:space="0" w:color="auto"/>
              <w:bottom w:val="nil"/>
              <w:right w:val="nil"/>
            </w:tcBorders>
            <w:shd w:val="clear" w:color="000000" w:fill="FFFFFF"/>
            <w:noWrap/>
            <w:vAlign w:val="center"/>
            <w:hideMark/>
          </w:tcPr>
          <w:p w14:paraId="47794995" w14:textId="77777777" w:rsidR="00A71608" w:rsidRPr="00A71608" w:rsidRDefault="00A71608" w:rsidP="00A71608">
            <w:pPr>
              <w:jc w:val="right"/>
              <w:rPr>
                <w:lang w:eastAsia="es-CR"/>
              </w:rPr>
            </w:pPr>
            <w:r w:rsidRPr="00A71608">
              <w:rPr>
                <w:lang w:eastAsia="es-CR"/>
              </w:rPr>
              <w:t>-4 525</w:t>
            </w:r>
          </w:p>
        </w:tc>
        <w:tc>
          <w:tcPr>
            <w:tcW w:w="782" w:type="pct"/>
            <w:tcBorders>
              <w:top w:val="nil"/>
              <w:left w:val="nil"/>
              <w:bottom w:val="nil"/>
              <w:right w:val="nil"/>
            </w:tcBorders>
            <w:shd w:val="clear" w:color="000000" w:fill="FFFFFF"/>
            <w:noWrap/>
            <w:vAlign w:val="center"/>
            <w:hideMark/>
          </w:tcPr>
          <w:p w14:paraId="1308A988" w14:textId="77777777" w:rsidR="00A71608" w:rsidRPr="00A71608" w:rsidRDefault="00A71608" w:rsidP="00A71608">
            <w:pPr>
              <w:jc w:val="right"/>
              <w:rPr>
                <w:lang w:eastAsia="es-CR"/>
              </w:rPr>
            </w:pPr>
            <w:r w:rsidRPr="00A71608">
              <w:rPr>
                <w:lang w:eastAsia="es-CR"/>
              </w:rPr>
              <w:t>-12,8</w:t>
            </w:r>
          </w:p>
        </w:tc>
      </w:tr>
      <w:tr w:rsidR="00A71608" w:rsidRPr="00A71608" w14:paraId="0375F02B"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4C2A0B5E" w14:textId="77777777" w:rsidR="00A71608" w:rsidRPr="00A71608" w:rsidRDefault="00A71608" w:rsidP="00A71608">
            <w:pPr>
              <w:rPr>
                <w:lang w:eastAsia="es-CR"/>
              </w:rPr>
            </w:pPr>
            <w:r w:rsidRPr="00A71608">
              <w:rPr>
                <w:rFonts w:eastAsia="Calibri"/>
              </w:rPr>
              <w:t>Casos Terminados</w:t>
            </w:r>
          </w:p>
        </w:tc>
        <w:tc>
          <w:tcPr>
            <w:tcW w:w="714" w:type="pct"/>
            <w:tcBorders>
              <w:top w:val="nil"/>
              <w:left w:val="nil"/>
              <w:bottom w:val="nil"/>
              <w:right w:val="nil"/>
            </w:tcBorders>
            <w:shd w:val="clear" w:color="000000" w:fill="FFFFFF"/>
            <w:noWrap/>
            <w:vAlign w:val="center"/>
            <w:hideMark/>
          </w:tcPr>
          <w:p w14:paraId="040300E6" w14:textId="77777777" w:rsidR="00A71608" w:rsidRPr="00A71608" w:rsidRDefault="00A71608" w:rsidP="00A71608">
            <w:pPr>
              <w:jc w:val="right"/>
              <w:rPr>
                <w:lang w:eastAsia="es-CR"/>
              </w:rPr>
            </w:pPr>
            <w:r w:rsidRPr="00A71608">
              <w:rPr>
                <w:rFonts w:eastAsia="Calibri"/>
              </w:rPr>
              <w:t>42 010</w:t>
            </w:r>
          </w:p>
        </w:tc>
        <w:tc>
          <w:tcPr>
            <w:tcW w:w="714" w:type="pct"/>
            <w:tcBorders>
              <w:top w:val="nil"/>
              <w:left w:val="nil"/>
              <w:bottom w:val="nil"/>
              <w:right w:val="nil"/>
            </w:tcBorders>
            <w:shd w:val="clear" w:color="000000" w:fill="FFFFFF"/>
            <w:noWrap/>
            <w:vAlign w:val="center"/>
            <w:hideMark/>
          </w:tcPr>
          <w:p w14:paraId="024632AD" w14:textId="77777777" w:rsidR="00A71608" w:rsidRPr="00A71608" w:rsidRDefault="00A71608" w:rsidP="00A71608">
            <w:pPr>
              <w:jc w:val="right"/>
              <w:rPr>
                <w:lang w:eastAsia="es-CR"/>
              </w:rPr>
            </w:pPr>
            <w:r w:rsidRPr="00A71608">
              <w:rPr>
                <w:rFonts w:eastAsia="Calibri"/>
              </w:rPr>
              <w:t>37 122</w:t>
            </w:r>
          </w:p>
        </w:tc>
        <w:tc>
          <w:tcPr>
            <w:tcW w:w="714" w:type="pct"/>
            <w:tcBorders>
              <w:top w:val="nil"/>
              <w:left w:val="nil"/>
              <w:bottom w:val="nil"/>
              <w:right w:val="nil"/>
            </w:tcBorders>
            <w:shd w:val="clear" w:color="000000" w:fill="FFFFFF"/>
            <w:noWrap/>
            <w:vAlign w:val="center"/>
            <w:hideMark/>
          </w:tcPr>
          <w:p w14:paraId="5A12D663" w14:textId="77777777" w:rsidR="00A71608" w:rsidRPr="00A71608" w:rsidRDefault="00A71608" w:rsidP="00A71608">
            <w:pPr>
              <w:jc w:val="right"/>
              <w:rPr>
                <w:lang w:eastAsia="es-CR"/>
              </w:rPr>
            </w:pPr>
            <w:r w:rsidRPr="00A71608">
              <w:rPr>
                <w:lang w:eastAsia="es-CR"/>
              </w:rPr>
              <w:t>32 665</w:t>
            </w:r>
          </w:p>
        </w:tc>
        <w:tc>
          <w:tcPr>
            <w:tcW w:w="647" w:type="pct"/>
            <w:tcBorders>
              <w:top w:val="nil"/>
              <w:left w:val="dashed" w:sz="8" w:space="0" w:color="auto"/>
              <w:bottom w:val="nil"/>
              <w:right w:val="nil"/>
            </w:tcBorders>
            <w:shd w:val="clear" w:color="000000" w:fill="FFFFFF"/>
            <w:noWrap/>
            <w:vAlign w:val="center"/>
            <w:hideMark/>
          </w:tcPr>
          <w:p w14:paraId="1FB76F02" w14:textId="77777777" w:rsidR="00A71608" w:rsidRPr="00A71608" w:rsidRDefault="00A71608" w:rsidP="00A71608">
            <w:pPr>
              <w:jc w:val="right"/>
              <w:rPr>
                <w:lang w:eastAsia="es-CR"/>
              </w:rPr>
            </w:pPr>
            <w:r w:rsidRPr="00A71608">
              <w:rPr>
                <w:lang w:eastAsia="es-CR"/>
              </w:rPr>
              <w:t>-4 457</w:t>
            </w:r>
          </w:p>
        </w:tc>
        <w:tc>
          <w:tcPr>
            <w:tcW w:w="782" w:type="pct"/>
            <w:tcBorders>
              <w:top w:val="nil"/>
              <w:left w:val="nil"/>
              <w:bottom w:val="nil"/>
              <w:right w:val="nil"/>
            </w:tcBorders>
            <w:shd w:val="clear" w:color="000000" w:fill="FFFFFF"/>
            <w:noWrap/>
            <w:vAlign w:val="center"/>
            <w:hideMark/>
          </w:tcPr>
          <w:p w14:paraId="5B2A5E71" w14:textId="77777777" w:rsidR="00A71608" w:rsidRPr="00A71608" w:rsidRDefault="00A71608" w:rsidP="00A71608">
            <w:pPr>
              <w:jc w:val="right"/>
              <w:rPr>
                <w:lang w:eastAsia="es-CR"/>
              </w:rPr>
            </w:pPr>
            <w:r w:rsidRPr="00A71608">
              <w:rPr>
                <w:lang w:eastAsia="es-CR"/>
              </w:rPr>
              <w:t>-12,0</w:t>
            </w:r>
          </w:p>
        </w:tc>
      </w:tr>
      <w:tr w:rsidR="00A71608" w:rsidRPr="00A71608" w14:paraId="795F9DCC"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5E8B504D" w14:textId="77777777" w:rsidR="00A71608" w:rsidRPr="00A71608" w:rsidRDefault="00A71608" w:rsidP="00A71608">
            <w:pPr>
              <w:rPr>
                <w:i/>
                <w:iCs/>
                <w:lang w:eastAsia="es-CR"/>
              </w:rPr>
            </w:pPr>
            <w:r w:rsidRPr="00A71608">
              <w:rPr>
                <w:rFonts w:eastAsia="Calibri"/>
                <w:i/>
                <w:iCs/>
              </w:rPr>
              <w:t xml:space="preserve">  Ampliación</w:t>
            </w:r>
          </w:p>
        </w:tc>
        <w:tc>
          <w:tcPr>
            <w:tcW w:w="714" w:type="pct"/>
            <w:tcBorders>
              <w:top w:val="nil"/>
              <w:left w:val="nil"/>
              <w:bottom w:val="nil"/>
              <w:right w:val="nil"/>
            </w:tcBorders>
            <w:shd w:val="clear" w:color="000000" w:fill="FFFFFF"/>
            <w:noWrap/>
            <w:vAlign w:val="center"/>
            <w:hideMark/>
          </w:tcPr>
          <w:p w14:paraId="21947A08" w14:textId="77777777" w:rsidR="00A71608" w:rsidRPr="00A71608" w:rsidRDefault="00A71608" w:rsidP="00A71608">
            <w:pPr>
              <w:jc w:val="right"/>
              <w:rPr>
                <w:lang w:eastAsia="es-CR"/>
              </w:rPr>
            </w:pPr>
            <w:r w:rsidRPr="00A71608">
              <w:rPr>
                <w:rFonts w:eastAsia="Calibri"/>
              </w:rPr>
              <w:t>414</w:t>
            </w:r>
          </w:p>
        </w:tc>
        <w:tc>
          <w:tcPr>
            <w:tcW w:w="714" w:type="pct"/>
            <w:tcBorders>
              <w:top w:val="nil"/>
              <w:left w:val="nil"/>
              <w:bottom w:val="nil"/>
              <w:right w:val="nil"/>
            </w:tcBorders>
            <w:shd w:val="clear" w:color="000000" w:fill="FFFFFF"/>
            <w:noWrap/>
            <w:vAlign w:val="center"/>
            <w:hideMark/>
          </w:tcPr>
          <w:p w14:paraId="581A5980" w14:textId="77777777" w:rsidR="00A71608" w:rsidRPr="00A71608" w:rsidRDefault="00A71608" w:rsidP="00A71608">
            <w:pPr>
              <w:jc w:val="right"/>
              <w:rPr>
                <w:lang w:eastAsia="es-CR"/>
              </w:rPr>
            </w:pPr>
            <w:r w:rsidRPr="00A71608">
              <w:rPr>
                <w:rFonts w:eastAsia="Calibri"/>
              </w:rPr>
              <w:t>304</w:t>
            </w:r>
          </w:p>
        </w:tc>
        <w:tc>
          <w:tcPr>
            <w:tcW w:w="714" w:type="pct"/>
            <w:tcBorders>
              <w:top w:val="nil"/>
              <w:left w:val="nil"/>
              <w:bottom w:val="nil"/>
              <w:right w:val="nil"/>
            </w:tcBorders>
            <w:shd w:val="clear" w:color="000000" w:fill="FFFFFF"/>
            <w:noWrap/>
            <w:vAlign w:val="center"/>
            <w:hideMark/>
          </w:tcPr>
          <w:p w14:paraId="05E8601E" w14:textId="77777777" w:rsidR="00A71608" w:rsidRPr="00A71608" w:rsidRDefault="00A71608" w:rsidP="00A71608">
            <w:pPr>
              <w:jc w:val="right"/>
              <w:rPr>
                <w:lang w:eastAsia="es-CR"/>
              </w:rPr>
            </w:pPr>
            <w:r w:rsidRPr="00A71608">
              <w:rPr>
                <w:lang w:eastAsia="es-CR"/>
              </w:rPr>
              <w:t>271</w:t>
            </w:r>
          </w:p>
        </w:tc>
        <w:tc>
          <w:tcPr>
            <w:tcW w:w="647" w:type="pct"/>
            <w:tcBorders>
              <w:top w:val="nil"/>
              <w:left w:val="dashed" w:sz="8" w:space="0" w:color="auto"/>
              <w:bottom w:val="nil"/>
              <w:right w:val="nil"/>
            </w:tcBorders>
            <w:shd w:val="clear" w:color="000000" w:fill="FFFFFF"/>
            <w:noWrap/>
            <w:vAlign w:val="center"/>
            <w:hideMark/>
          </w:tcPr>
          <w:p w14:paraId="3EBBFF7E" w14:textId="77777777" w:rsidR="00A71608" w:rsidRPr="00A71608" w:rsidRDefault="00A71608" w:rsidP="00A71608">
            <w:pPr>
              <w:jc w:val="right"/>
              <w:rPr>
                <w:lang w:eastAsia="es-CR"/>
              </w:rPr>
            </w:pPr>
            <w:r w:rsidRPr="00A71608">
              <w:rPr>
                <w:lang w:eastAsia="es-CR"/>
              </w:rPr>
              <w:t>-33</w:t>
            </w:r>
          </w:p>
        </w:tc>
        <w:tc>
          <w:tcPr>
            <w:tcW w:w="782" w:type="pct"/>
            <w:tcBorders>
              <w:top w:val="nil"/>
              <w:left w:val="nil"/>
              <w:bottom w:val="nil"/>
              <w:right w:val="nil"/>
            </w:tcBorders>
            <w:shd w:val="clear" w:color="000000" w:fill="FFFFFF"/>
            <w:noWrap/>
            <w:vAlign w:val="center"/>
            <w:hideMark/>
          </w:tcPr>
          <w:p w14:paraId="4D455F23" w14:textId="77777777" w:rsidR="00A71608" w:rsidRPr="00A71608" w:rsidRDefault="00A71608" w:rsidP="00A71608">
            <w:pPr>
              <w:jc w:val="right"/>
              <w:rPr>
                <w:lang w:eastAsia="es-CR"/>
              </w:rPr>
            </w:pPr>
            <w:r w:rsidRPr="00A71608">
              <w:rPr>
                <w:lang w:eastAsia="es-CR"/>
              </w:rPr>
              <w:t>-10,9</w:t>
            </w:r>
          </w:p>
        </w:tc>
      </w:tr>
      <w:tr w:rsidR="00A71608" w:rsidRPr="00A71608" w14:paraId="273D65E5"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6435A460" w14:textId="77777777" w:rsidR="00A71608" w:rsidRPr="00A71608" w:rsidRDefault="00A71608" w:rsidP="00A71608">
            <w:pPr>
              <w:rPr>
                <w:i/>
                <w:iCs/>
                <w:lang w:eastAsia="es-CR"/>
              </w:rPr>
            </w:pPr>
            <w:r w:rsidRPr="00A71608">
              <w:rPr>
                <w:rFonts w:eastAsia="Calibri"/>
                <w:i/>
                <w:iCs/>
              </w:rPr>
              <w:lastRenderedPageBreak/>
              <w:t xml:space="preserve">  Consumido Finalizado</w:t>
            </w:r>
          </w:p>
        </w:tc>
        <w:tc>
          <w:tcPr>
            <w:tcW w:w="714" w:type="pct"/>
            <w:tcBorders>
              <w:top w:val="nil"/>
              <w:left w:val="nil"/>
              <w:bottom w:val="nil"/>
              <w:right w:val="nil"/>
            </w:tcBorders>
            <w:shd w:val="clear" w:color="000000" w:fill="FFFFFF"/>
            <w:noWrap/>
            <w:vAlign w:val="center"/>
            <w:hideMark/>
          </w:tcPr>
          <w:p w14:paraId="78EFEE15" w14:textId="77777777" w:rsidR="00A71608" w:rsidRPr="00A71608" w:rsidRDefault="00A71608" w:rsidP="00A71608">
            <w:pPr>
              <w:jc w:val="right"/>
              <w:rPr>
                <w:lang w:eastAsia="es-CR"/>
              </w:rPr>
            </w:pPr>
            <w:r w:rsidRPr="00A71608">
              <w:rPr>
                <w:rFonts w:eastAsia="Calibri"/>
              </w:rPr>
              <w:t>1 826</w:t>
            </w:r>
          </w:p>
        </w:tc>
        <w:tc>
          <w:tcPr>
            <w:tcW w:w="714" w:type="pct"/>
            <w:tcBorders>
              <w:top w:val="nil"/>
              <w:left w:val="nil"/>
              <w:bottom w:val="nil"/>
              <w:right w:val="nil"/>
            </w:tcBorders>
            <w:shd w:val="clear" w:color="000000" w:fill="FFFFFF"/>
            <w:noWrap/>
            <w:vAlign w:val="center"/>
            <w:hideMark/>
          </w:tcPr>
          <w:p w14:paraId="278D9B75" w14:textId="77777777" w:rsidR="00A71608" w:rsidRPr="00A71608" w:rsidRDefault="00A71608" w:rsidP="00A71608">
            <w:pPr>
              <w:jc w:val="right"/>
              <w:rPr>
                <w:lang w:eastAsia="es-CR"/>
              </w:rPr>
            </w:pPr>
            <w:r w:rsidRPr="00A71608">
              <w:rPr>
                <w:rFonts w:eastAsia="Calibri"/>
              </w:rPr>
              <w:t>1 612</w:t>
            </w:r>
          </w:p>
        </w:tc>
        <w:tc>
          <w:tcPr>
            <w:tcW w:w="714" w:type="pct"/>
            <w:tcBorders>
              <w:top w:val="nil"/>
              <w:left w:val="nil"/>
              <w:bottom w:val="nil"/>
              <w:right w:val="nil"/>
            </w:tcBorders>
            <w:shd w:val="clear" w:color="000000" w:fill="FFFFFF"/>
            <w:noWrap/>
            <w:vAlign w:val="center"/>
            <w:hideMark/>
          </w:tcPr>
          <w:p w14:paraId="7E91ACD8" w14:textId="77777777" w:rsidR="00A71608" w:rsidRPr="00A71608" w:rsidRDefault="00A71608" w:rsidP="00A71608">
            <w:pPr>
              <w:jc w:val="right"/>
              <w:rPr>
                <w:lang w:eastAsia="es-CR"/>
              </w:rPr>
            </w:pPr>
            <w:r w:rsidRPr="00A71608">
              <w:rPr>
                <w:lang w:eastAsia="es-CR"/>
              </w:rPr>
              <w:t>1 346</w:t>
            </w:r>
          </w:p>
        </w:tc>
        <w:tc>
          <w:tcPr>
            <w:tcW w:w="647" w:type="pct"/>
            <w:tcBorders>
              <w:top w:val="nil"/>
              <w:left w:val="dashed" w:sz="8" w:space="0" w:color="auto"/>
              <w:bottom w:val="nil"/>
              <w:right w:val="nil"/>
            </w:tcBorders>
            <w:shd w:val="clear" w:color="000000" w:fill="FFFFFF"/>
            <w:noWrap/>
            <w:vAlign w:val="center"/>
            <w:hideMark/>
          </w:tcPr>
          <w:p w14:paraId="35A0D667" w14:textId="77777777" w:rsidR="00A71608" w:rsidRPr="00A71608" w:rsidRDefault="00A71608" w:rsidP="00A71608">
            <w:pPr>
              <w:jc w:val="right"/>
              <w:rPr>
                <w:lang w:eastAsia="es-CR"/>
              </w:rPr>
            </w:pPr>
            <w:r w:rsidRPr="00A71608">
              <w:rPr>
                <w:lang w:eastAsia="es-CR"/>
              </w:rPr>
              <w:t>-266</w:t>
            </w:r>
          </w:p>
        </w:tc>
        <w:tc>
          <w:tcPr>
            <w:tcW w:w="782" w:type="pct"/>
            <w:tcBorders>
              <w:top w:val="nil"/>
              <w:left w:val="nil"/>
              <w:bottom w:val="nil"/>
              <w:right w:val="nil"/>
            </w:tcBorders>
            <w:shd w:val="clear" w:color="000000" w:fill="FFFFFF"/>
            <w:noWrap/>
            <w:vAlign w:val="center"/>
            <w:hideMark/>
          </w:tcPr>
          <w:p w14:paraId="764DF1AD" w14:textId="77777777" w:rsidR="00A71608" w:rsidRPr="00A71608" w:rsidRDefault="00A71608" w:rsidP="00A71608">
            <w:pPr>
              <w:jc w:val="right"/>
              <w:rPr>
                <w:lang w:eastAsia="es-CR"/>
              </w:rPr>
            </w:pPr>
            <w:r w:rsidRPr="00A71608">
              <w:rPr>
                <w:lang w:eastAsia="es-CR"/>
              </w:rPr>
              <w:t>-16,5</w:t>
            </w:r>
          </w:p>
        </w:tc>
      </w:tr>
      <w:tr w:rsidR="00A71608" w:rsidRPr="00A71608" w14:paraId="4D69BE39"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797AD954" w14:textId="77777777" w:rsidR="00A71608" w:rsidRPr="00A71608" w:rsidRDefault="00A71608" w:rsidP="00A71608">
            <w:pPr>
              <w:rPr>
                <w:i/>
                <w:iCs/>
                <w:lang w:eastAsia="es-CR"/>
              </w:rPr>
            </w:pPr>
            <w:r w:rsidRPr="00A71608">
              <w:rPr>
                <w:rFonts w:eastAsia="Calibri"/>
                <w:i/>
                <w:iCs/>
              </w:rPr>
              <w:t xml:space="preserve">  Desestimado</w:t>
            </w:r>
          </w:p>
        </w:tc>
        <w:tc>
          <w:tcPr>
            <w:tcW w:w="714" w:type="pct"/>
            <w:tcBorders>
              <w:top w:val="nil"/>
              <w:left w:val="nil"/>
              <w:bottom w:val="nil"/>
              <w:right w:val="nil"/>
            </w:tcBorders>
            <w:shd w:val="clear" w:color="000000" w:fill="FFFFFF"/>
            <w:noWrap/>
            <w:vAlign w:val="center"/>
            <w:hideMark/>
          </w:tcPr>
          <w:p w14:paraId="78F0753B" w14:textId="77777777" w:rsidR="00A71608" w:rsidRPr="00A71608" w:rsidRDefault="00A71608" w:rsidP="00A71608">
            <w:pPr>
              <w:jc w:val="right"/>
              <w:rPr>
                <w:lang w:eastAsia="es-CR"/>
              </w:rPr>
            </w:pPr>
            <w:r w:rsidRPr="00A71608">
              <w:rPr>
                <w:rFonts w:eastAsia="Calibri"/>
              </w:rPr>
              <w:t>318</w:t>
            </w:r>
          </w:p>
        </w:tc>
        <w:tc>
          <w:tcPr>
            <w:tcW w:w="714" w:type="pct"/>
            <w:tcBorders>
              <w:top w:val="nil"/>
              <w:left w:val="nil"/>
              <w:bottom w:val="nil"/>
              <w:right w:val="nil"/>
            </w:tcBorders>
            <w:shd w:val="clear" w:color="000000" w:fill="FFFFFF"/>
            <w:noWrap/>
            <w:vAlign w:val="center"/>
            <w:hideMark/>
          </w:tcPr>
          <w:p w14:paraId="3BCE533E" w14:textId="77777777" w:rsidR="00A71608" w:rsidRPr="00A71608" w:rsidRDefault="00A71608" w:rsidP="00A71608">
            <w:pPr>
              <w:jc w:val="right"/>
              <w:rPr>
                <w:lang w:eastAsia="es-CR"/>
              </w:rPr>
            </w:pPr>
            <w:r w:rsidRPr="00A71608">
              <w:rPr>
                <w:rFonts w:eastAsia="Calibri"/>
              </w:rPr>
              <w:t>59</w:t>
            </w:r>
          </w:p>
        </w:tc>
        <w:tc>
          <w:tcPr>
            <w:tcW w:w="714" w:type="pct"/>
            <w:tcBorders>
              <w:top w:val="nil"/>
              <w:left w:val="nil"/>
              <w:bottom w:val="nil"/>
              <w:right w:val="nil"/>
            </w:tcBorders>
            <w:shd w:val="clear" w:color="000000" w:fill="FFFFFF"/>
            <w:noWrap/>
            <w:vAlign w:val="center"/>
            <w:hideMark/>
          </w:tcPr>
          <w:p w14:paraId="755C4045" w14:textId="77777777" w:rsidR="00A71608" w:rsidRPr="00A71608" w:rsidRDefault="00A71608" w:rsidP="00A71608">
            <w:pPr>
              <w:jc w:val="right"/>
              <w:rPr>
                <w:lang w:eastAsia="es-CR"/>
              </w:rPr>
            </w:pPr>
            <w:r w:rsidRPr="00A71608">
              <w:rPr>
                <w:lang w:eastAsia="es-CR"/>
              </w:rPr>
              <w:t>59</w:t>
            </w:r>
          </w:p>
        </w:tc>
        <w:tc>
          <w:tcPr>
            <w:tcW w:w="647" w:type="pct"/>
            <w:tcBorders>
              <w:top w:val="nil"/>
              <w:left w:val="dashed" w:sz="8" w:space="0" w:color="auto"/>
              <w:bottom w:val="nil"/>
              <w:right w:val="nil"/>
            </w:tcBorders>
            <w:shd w:val="clear" w:color="000000" w:fill="FFFFFF"/>
            <w:noWrap/>
            <w:vAlign w:val="center"/>
            <w:hideMark/>
          </w:tcPr>
          <w:p w14:paraId="6F1A9398" w14:textId="77777777" w:rsidR="00A71608" w:rsidRPr="00A71608" w:rsidRDefault="00A71608" w:rsidP="00A71608">
            <w:pPr>
              <w:jc w:val="right"/>
              <w:rPr>
                <w:lang w:eastAsia="es-CR"/>
              </w:rPr>
            </w:pPr>
            <w:r w:rsidRPr="00A71608">
              <w:rPr>
                <w:lang w:eastAsia="es-CR"/>
              </w:rPr>
              <w:t>0</w:t>
            </w:r>
          </w:p>
        </w:tc>
        <w:tc>
          <w:tcPr>
            <w:tcW w:w="782" w:type="pct"/>
            <w:tcBorders>
              <w:top w:val="nil"/>
              <w:left w:val="nil"/>
              <w:bottom w:val="nil"/>
              <w:right w:val="nil"/>
            </w:tcBorders>
            <w:shd w:val="clear" w:color="000000" w:fill="FFFFFF"/>
            <w:noWrap/>
            <w:vAlign w:val="center"/>
            <w:hideMark/>
          </w:tcPr>
          <w:p w14:paraId="699D2A39" w14:textId="77777777" w:rsidR="00A71608" w:rsidRPr="00A71608" w:rsidRDefault="00A71608" w:rsidP="00A71608">
            <w:pPr>
              <w:jc w:val="right"/>
              <w:rPr>
                <w:lang w:eastAsia="es-CR"/>
              </w:rPr>
            </w:pPr>
            <w:r w:rsidRPr="00A71608">
              <w:rPr>
                <w:lang w:eastAsia="es-CR"/>
              </w:rPr>
              <w:t>0,0</w:t>
            </w:r>
          </w:p>
        </w:tc>
      </w:tr>
      <w:tr w:rsidR="00A71608" w:rsidRPr="00A71608" w14:paraId="2DFA55F6"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6CB371A9" w14:textId="77777777" w:rsidR="00A71608" w:rsidRPr="00A71608" w:rsidRDefault="00A71608" w:rsidP="00A71608">
            <w:pPr>
              <w:rPr>
                <w:i/>
                <w:iCs/>
                <w:lang w:eastAsia="es-CR"/>
              </w:rPr>
            </w:pPr>
            <w:r w:rsidRPr="00A71608">
              <w:rPr>
                <w:rFonts w:eastAsia="Calibri"/>
                <w:i/>
                <w:iCs/>
              </w:rPr>
              <w:t xml:space="preserve">  Dictámenes Criminalísticos</w:t>
            </w:r>
          </w:p>
        </w:tc>
        <w:tc>
          <w:tcPr>
            <w:tcW w:w="714" w:type="pct"/>
            <w:tcBorders>
              <w:top w:val="nil"/>
              <w:left w:val="nil"/>
              <w:bottom w:val="nil"/>
              <w:right w:val="nil"/>
            </w:tcBorders>
            <w:shd w:val="clear" w:color="000000" w:fill="FFFFFF"/>
            <w:noWrap/>
            <w:vAlign w:val="center"/>
            <w:hideMark/>
          </w:tcPr>
          <w:p w14:paraId="3B1C623F" w14:textId="77777777" w:rsidR="00A71608" w:rsidRPr="00A71608" w:rsidRDefault="00A71608" w:rsidP="00A71608">
            <w:pPr>
              <w:jc w:val="right"/>
              <w:rPr>
                <w:lang w:eastAsia="es-CR"/>
              </w:rPr>
            </w:pPr>
            <w:r w:rsidRPr="00A71608">
              <w:rPr>
                <w:rFonts w:eastAsia="Calibri"/>
              </w:rPr>
              <w:t>24 788</w:t>
            </w:r>
          </w:p>
        </w:tc>
        <w:tc>
          <w:tcPr>
            <w:tcW w:w="714" w:type="pct"/>
            <w:tcBorders>
              <w:top w:val="nil"/>
              <w:left w:val="nil"/>
              <w:bottom w:val="nil"/>
              <w:right w:val="nil"/>
            </w:tcBorders>
            <w:shd w:val="clear" w:color="000000" w:fill="FFFFFF"/>
            <w:noWrap/>
            <w:vAlign w:val="center"/>
            <w:hideMark/>
          </w:tcPr>
          <w:p w14:paraId="4AF1DC7C" w14:textId="77777777" w:rsidR="00A71608" w:rsidRPr="00A71608" w:rsidRDefault="00A71608" w:rsidP="00A71608">
            <w:pPr>
              <w:jc w:val="right"/>
              <w:rPr>
                <w:lang w:eastAsia="es-CR"/>
              </w:rPr>
            </w:pPr>
            <w:r w:rsidRPr="00A71608">
              <w:rPr>
                <w:rFonts w:eastAsia="Calibri"/>
              </w:rPr>
              <w:t>23 777</w:t>
            </w:r>
          </w:p>
        </w:tc>
        <w:tc>
          <w:tcPr>
            <w:tcW w:w="714" w:type="pct"/>
            <w:tcBorders>
              <w:top w:val="nil"/>
              <w:left w:val="nil"/>
              <w:bottom w:val="nil"/>
              <w:right w:val="nil"/>
            </w:tcBorders>
            <w:shd w:val="clear" w:color="000000" w:fill="FFFFFF"/>
            <w:noWrap/>
            <w:vAlign w:val="center"/>
            <w:hideMark/>
          </w:tcPr>
          <w:p w14:paraId="3BA45378" w14:textId="77777777" w:rsidR="00A71608" w:rsidRPr="00A71608" w:rsidRDefault="00A71608" w:rsidP="00A71608">
            <w:pPr>
              <w:jc w:val="right"/>
              <w:rPr>
                <w:lang w:eastAsia="es-CR"/>
              </w:rPr>
            </w:pPr>
            <w:r w:rsidRPr="00A71608">
              <w:rPr>
                <w:lang w:eastAsia="es-CR"/>
              </w:rPr>
              <w:t>21 168</w:t>
            </w:r>
          </w:p>
        </w:tc>
        <w:tc>
          <w:tcPr>
            <w:tcW w:w="647" w:type="pct"/>
            <w:tcBorders>
              <w:top w:val="nil"/>
              <w:left w:val="dashed" w:sz="8" w:space="0" w:color="auto"/>
              <w:bottom w:val="nil"/>
              <w:right w:val="nil"/>
            </w:tcBorders>
            <w:shd w:val="clear" w:color="000000" w:fill="FFFFFF"/>
            <w:noWrap/>
            <w:vAlign w:val="center"/>
            <w:hideMark/>
          </w:tcPr>
          <w:p w14:paraId="2A22F4F1" w14:textId="77777777" w:rsidR="00A71608" w:rsidRPr="00A71608" w:rsidRDefault="00A71608" w:rsidP="00A71608">
            <w:pPr>
              <w:jc w:val="right"/>
              <w:rPr>
                <w:lang w:eastAsia="es-CR"/>
              </w:rPr>
            </w:pPr>
            <w:r w:rsidRPr="00A71608">
              <w:rPr>
                <w:lang w:eastAsia="es-CR"/>
              </w:rPr>
              <w:t>-2 609</w:t>
            </w:r>
          </w:p>
        </w:tc>
        <w:tc>
          <w:tcPr>
            <w:tcW w:w="782" w:type="pct"/>
            <w:tcBorders>
              <w:top w:val="nil"/>
              <w:left w:val="nil"/>
              <w:bottom w:val="nil"/>
              <w:right w:val="nil"/>
            </w:tcBorders>
            <w:shd w:val="clear" w:color="000000" w:fill="FFFFFF"/>
            <w:noWrap/>
            <w:vAlign w:val="center"/>
            <w:hideMark/>
          </w:tcPr>
          <w:p w14:paraId="1A1B8CEE" w14:textId="77777777" w:rsidR="00A71608" w:rsidRPr="00A71608" w:rsidRDefault="00A71608" w:rsidP="00A71608">
            <w:pPr>
              <w:jc w:val="right"/>
              <w:rPr>
                <w:lang w:eastAsia="es-CR"/>
              </w:rPr>
            </w:pPr>
            <w:r w:rsidRPr="00A71608">
              <w:rPr>
                <w:lang w:eastAsia="es-CR"/>
              </w:rPr>
              <w:t>-11,0</w:t>
            </w:r>
          </w:p>
        </w:tc>
      </w:tr>
      <w:tr w:rsidR="00A71608" w:rsidRPr="00A71608" w14:paraId="6EDF76B3"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77C08D7D" w14:textId="77777777" w:rsidR="00A71608" w:rsidRPr="00A71608" w:rsidRDefault="00A71608" w:rsidP="00A71608">
            <w:pPr>
              <w:rPr>
                <w:i/>
                <w:iCs/>
                <w:lang w:eastAsia="es-CR"/>
              </w:rPr>
            </w:pPr>
            <w:r w:rsidRPr="00A71608">
              <w:rPr>
                <w:rFonts w:eastAsia="Calibri"/>
                <w:i/>
                <w:iCs/>
              </w:rPr>
              <w:t xml:space="preserve">  Finalizado Sin Análisis</w:t>
            </w:r>
          </w:p>
        </w:tc>
        <w:tc>
          <w:tcPr>
            <w:tcW w:w="714" w:type="pct"/>
            <w:tcBorders>
              <w:top w:val="nil"/>
              <w:left w:val="nil"/>
              <w:bottom w:val="nil"/>
              <w:right w:val="nil"/>
            </w:tcBorders>
            <w:shd w:val="clear" w:color="000000" w:fill="FFFFFF"/>
            <w:noWrap/>
            <w:vAlign w:val="center"/>
            <w:hideMark/>
          </w:tcPr>
          <w:p w14:paraId="3100ED6C" w14:textId="77777777" w:rsidR="00A71608" w:rsidRPr="00A71608" w:rsidRDefault="00A71608" w:rsidP="00A71608">
            <w:pPr>
              <w:jc w:val="right"/>
              <w:rPr>
                <w:lang w:eastAsia="es-CR"/>
              </w:rPr>
            </w:pPr>
            <w:r w:rsidRPr="00A71608">
              <w:rPr>
                <w:rFonts w:eastAsia="Calibri"/>
              </w:rPr>
              <w:t>7 368</w:t>
            </w:r>
          </w:p>
        </w:tc>
        <w:tc>
          <w:tcPr>
            <w:tcW w:w="714" w:type="pct"/>
            <w:tcBorders>
              <w:top w:val="nil"/>
              <w:left w:val="nil"/>
              <w:bottom w:val="nil"/>
              <w:right w:val="nil"/>
            </w:tcBorders>
            <w:shd w:val="clear" w:color="000000" w:fill="FFFFFF"/>
            <w:noWrap/>
            <w:vAlign w:val="center"/>
            <w:hideMark/>
          </w:tcPr>
          <w:p w14:paraId="0BA10933" w14:textId="77777777" w:rsidR="00A71608" w:rsidRPr="00A71608" w:rsidRDefault="00A71608" w:rsidP="00A71608">
            <w:pPr>
              <w:jc w:val="right"/>
              <w:rPr>
                <w:lang w:eastAsia="es-CR"/>
              </w:rPr>
            </w:pPr>
            <w:r w:rsidRPr="00A71608">
              <w:rPr>
                <w:rFonts w:eastAsia="Calibri"/>
              </w:rPr>
              <w:t>6 687</w:t>
            </w:r>
          </w:p>
        </w:tc>
        <w:tc>
          <w:tcPr>
            <w:tcW w:w="714" w:type="pct"/>
            <w:tcBorders>
              <w:top w:val="nil"/>
              <w:left w:val="nil"/>
              <w:bottom w:val="nil"/>
              <w:right w:val="nil"/>
            </w:tcBorders>
            <w:shd w:val="clear" w:color="000000" w:fill="FFFFFF"/>
            <w:noWrap/>
            <w:vAlign w:val="center"/>
            <w:hideMark/>
          </w:tcPr>
          <w:p w14:paraId="3BEAAF83" w14:textId="77777777" w:rsidR="00A71608" w:rsidRPr="00A71608" w:rsidRDefault="00A71608" w:rsidP="00A71608">
            <w:pPr>
              <w:jc w:val="right"/>
              <w:rPr>
                <w:lang w:eastAsia="es-CR"/>
              </w:rPr>
            </w:pPr>
            <w:r w:rsidRPr="00A71608">
              <w:rPr>
                <w:lang w:eastAsia="es-CR"/>
              </w:rPr>
              <w:t>6 423</w:t>
            </w:r>
          </w:p>
        </w:tc>
        <w:tc>
          <w:tcPr>
            <w:tcW w:w="647" w:type="pct"/>
            <w:tcBorders>
              <w:top w:val="nil"/>
              <w:left w:val="dashed" w:sz="8" w:space="0" w:color="auto"/>
              <w:bottom w:val="nil"/>
              <w:right w:val="nil"/>
            </w:tcBorders>
            <w:shd w:val="clear" w:color="000000" w:fill="FFFFFF"/>
            <w:noWrap/>
            <w:vAlign w:val="center"/>
            <w:hideMark/>
          </w:tcPr>
          <w:p w14:paraId="355C0118" w14:textId="77777777" w:rsidR="00A71608" w:rsidRPr="00A71608" w:rsidRDefault="00A71608" w:rsidP="00A71608">
            <w:pPr>
              <w:jc w:val="right"/>
              <w:rPr>
                <w:lang w:eastAsia="es-CR"/>
              </w:rPr>
            </w:pPr>
            <w:r w:rsidRPr="00A71608">
              <w:rPr>
                <w:lang w:eastAsia="es-CR"/>
              </w:rPr>
              <w:t>-264</w:t>
            </w:r>
          </w:p>
        </w:tc>
        <w:tc>
          <w:tcPr>
            <w:tcW w:w="782" w:type="pct"/>
            <w:tcBorders>
              <w:top w:val="nil"/>
              <w:left w:val="nil"/>
              <w:bottom w:val="nil"/>
              <w:right w:val="nil"/>
            </w:tcBorders>
            <w:shd w:val="clear" w:color="000000" w:fill="FFFFFF"/>
            <w:noWrap/>
            <w:vAlign w:val="center"/>
            <w:hideMark/>
          </w:tcPr>
          <w:p w14:paraId="25A2BAA8" w14:textId="77777777" w:rsidR="00A71608" w:rsidRPr="00A71608" w:rsidRDefault="00A71608" w:rsidP="00A71608">
            <w:pPr>
              <w:jc w:val="right"/>
              <w:rPr>
                <w:lang w:eastAsia="es-CR"/>
              </w:rPr>
            </w:pPr>
            <w:r w:rsidRPr="00A71608">
              <w:rPr>
                <w:lang w:eastAsia="es-CR"/>
              </w:rPr>
              <w:t>-3,9</w:t>
            </w:r>
          </w:p>
        </w:tc>
      </w:tr>
      <w:tr w:rsidR="00A71608" w:rsidRPr="00A71608" w14:paraId="7C6DA9FB"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0DD9AFA9" w14:textId="77777777" w:rsidR="00A71608" w:rsidRPr="00A71608" w:rsidRDefault="00A71608" w:rsidP="00A71608">
            <w:pPr>
              <w:rPr>
                <w:i/>
                <w:iCs/>
                <w:lang w:eastAsia="es-CR"/>
              </w:rPr>
            </w:pPr>
            <w:r w:rsidRPr="00A71608">
              <w:rPr>
                <w:rFonts w:eastAsia="Calibri"/>
                <w:i/>
                <w:iCs/>
              </w:rPr>
              <w:t xml:space="preserve">  Informe Criminalístico</w:t>
            </w:r>
          </w:p>
        </w:tc>
        <w:tc>
          <w:tcPr>
            <w:tcW w:w="714" w:type="pct"/>
            <w:tcBorders>
              <w:top w:val="nil"/>
              <w:left w:val="nil"/>
              <w:bottom w:val="nil"/>
              <w:right w:val="nil"/>
            </w:tcBorders>
            <w:shd w:val="clear" w:color="000000" w:fill="FFFFFF"/>
            <w:noWrap/>
            <w:vAlign w:val="center"/>
            <w:hideMark/>
          </w:tcPr>
          <w:p w14:paraId="733498F8" w14:textId="77777777" w:rsidR="00A71608" w:rsidRPr="00A71608" w:rsidRDefault="00A71608" w:rsidP="00A71608">
            <w:pPr>
              <w:jc w:val="right"/>
              <w:rPr>
                <w:lang w:eastAsia="es-CR"/>
              </w:rPr>
            </w:pPr>
            <w:r w:rsidRPr="00A71608">
              <w:rPr>
                <w:rFonts w:eastAsia="Calibri"/>
              </w:rPr>
              <w:t>4 946</w:t>
            </w:r>
          </w:p>
        </w:tc>
        <w:tc>
          <w:tcPr>
            <w:tcW w:w="714" w:type="pct"/>
            <w:tcBorders>
              <w:top w:val="nil"/>
              <w:left w:val="nil"/>
              <w:bottom w:val="nil"/>
              <w:right w:val="nil"/>
            </w:tcBorders>
            <w:shd w:val="clear" w:color="000000" w:fill="FFFFFF"/>
            <w:noWrap/>
            <w:vAlign w:val="center"/>
            <w:hideMark/>
          </w:tcPr>
          <w:p w14:paraId="43DD533C" w14:textId="77777777" w:rsidR="00A71608" w:rsidRPr="00A71608" w:rsidRDefault="00A71608" w:rsidP="00A71608">
            <w:pPr>
              <w:jc w:val="right"/>
              <w:rPr>
                <w:lang w:eastAsia="es-CR"/>
              </w:rPr>
            </w:pPr>
            <w:r w:rsidRPr="00A71608">
              <w:rPr>
                <w:rFonts w:eastAsia="Calibri"/>
              </w:rPr>
              <w:t>3 028</w:t>
            </w:r>
          </w:p>
        </w:tc>
        <w:tc>
          <w:tcPr>
            <w:tcW w:w="714" w:type="pct"/>
            <w:tcBorders>
              <w:top w:val="nil"/>
              <w:left w:val="nil"/>
              <w:bottom w:val="nil"/>
              <w:right w:val="nil"/>
            </w:tcBorders>
            <w:shd w:val="clear" w:color="000000" w:fill="FFFFFF"/>
            <w:noWrap/>
            <w:vAlign w:val="center"/>
            <w:hideMark/>
          </w:tcPr>
          <w:p w14:paraId="1CCF096E" w14:textId="77777777" w:rsidR="00A71608" w:rsidRPr="00A71608" w:rsidRDefault="00A71608" w:rsidP="00A71608">
            <w:pPr>
              <w:jc w:val="right"/>
              <w:rPr>
                <w:lang w:eastAsia="es-CR"/>
              </w:rPr>
            </w:pPr>
            <w:r w:rsidRPr="00A71608">
              <w:rPr>
                <w:lang w:eastAsia="es-CR"/>
              </w:rPr>
              <w:t>2 112</w:t>
            </w:r>
          </w:p>
        </w:tc>
        <w:tc>
          <w:tcPr>
            <w:tcW w:w="647" w:type="pct"/>
            <w:tcBorders>
              <w:top w:val="nil"/>
              <w:left w:val="dashed" w:sz="8" w:space="0" w:color="auto"/>
              <w:bottom w:val="nil"/>
              <w:right w:val="nil"/>
            </w:tcBorders>
            <w:shd w:val="clear" w:color="000000" w:fill="FFFFFF"/>
            <w:noWrap/>
            <w:vAlign w:val="center"/>
            <w:hideMark/>
          </w:tcPr>
          <w:p w14:paraId="4DA97243" w14:textId="77777777" w:rsidR="00A71608" w:rsidRPr="00A71608" w:rsidRDefault="00A71608" w:rsidP="00A71608">
            <w:pPr>
              <w:jc w:val="right"/>
              <w:rPr>
                <w:lang w:eastAsia="es-CR"/>
              </w:rPr>
            </w:pPr>
            <w:r w:rsidRPr="00A71608">
              <w:rPr>
                <w:lang w:eastAsia="es-CR"/>
              </w:rPr>
              <w:t>-916</w:t>
            </w:r>
          </w:p>
        </w:tc>
        <w:tc>
          <w:tcPr>
            <w:tcW w:w="782" w:type="pct"/>
            <w:tcBorders>
              <w:top w:val="nil"/>
              <w:left w:val="nil"/>
              <w:bottom w:val="nil"/>
              <w:right w:val="nil"/>
            </w:tcBorders>
            <w:shd w:val="clear" w:color="000000" w:fill="FFFFFF"/>
            <w:noWrap/>
            <w:vAlign w:val="center"/>
            <w:hideMark/>
          </w:tcPr>
          <w:p w14:paraId="7891621B" w14:textId="77777777" w:rsidR="00A71608" w:rsidRPr="00A71608" w:rsidRDefault="00A71608" w:rsidP="00A71608">
            <w:pPr>
              <w:jc w:val="right"/>
              <w:rPr>
                <w:lang w:eastAsia="es-CR"/>
              </w:rPr>
            </w:pPr>
            <w:r w:rsidRPr="00A71608">
              <w:rPr>
                <w:lang w:eastAsia="es-CR"/>
              </w:rPr>
              <w:t>-30,3</w:t>
            </w:r>
          </w:p>
        </w:tc>
      </w:tr>
      <w:tr w:rsidR="00A71608" w:rsidRPr="00A71608" w14:paraId="344EC87C"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161EEBE9" w14:textId="77777777" w:rsidR="00A71608" w:rsidRPr="00A71608" w:rsidRDefault="00A71608" w:rsidP="00A71608">
            <w:pPr>
              <w:rPr>
                <w:i/>
                <w:iCs/>
                <w:lang w:eastAsia="es-CR"/>
              </w:rPr>
            </w:pPr>
            <w:r w:rsidRPr="00A71608">
              <w:rPr>
                <w:rFonts w:eastAsia="Calibri"/>
                <w:i/>
                <w:iCs/>
              </w:rPr>
              <w:t xml:space="preserve">  Servicio Finalizado</w:t>
            </w:r>
          </w:p>
        </w:tc>
        <w:tc>
          <w:tcPr>
            <w:tcW w:w="714" w:type="pct"/>
            <w:tcBorders>
              <w:top w:val="nil"/>
              <w:left w:val="nil"/>
              <w:bottom w:val="nil"/>
              <w:right w:val="nil"/>
            </w:tcBorders>
            <w:shd w:val="clear" w:color="000000" w:fill="FFFFFF"/>
            <w:noWrap/>
            <w:vAlign w:val="center"/>
            <w:hideMark/>
          </w:tcPr>
          <w:p w14:paraId="3B4D0883" w14:textId="77777777" w:rsidR="00A71608" w:rsidRPr="00A71608" w:rsidRDefault="00A71608" w:rsidP="00A71608">
            <w:pPr>
              <w:jc w:val="right"/>
              <w:rPr>
                <w:lang w:eastAsia="es-CR"/>
              </w:rPr>
            </w:pPr>
            <w:r w:rsidRPr="00A71608">
              <w:rPr>
                <w:rFonts w:eastAsia="Calibri"/>
              </w:rPr>
              <w:t>2 350</w:t>
            </w:r>
          </w:p>
        </w:tc>
        <w:tc>
          <w:tcPr>
            <w:tcW w:w="714" w:type="pct"/>
            <w:tcBorders>
              <w:top w:val="nil"/>
              <w:left w:val="nil"/>
              <w:bottom w:val="nil"/>
              <w:right w:val="nil"/>
            </w:tcBorders>
            <w:shd w:val="clear" w:color="000000" w:fill="FFFFFF"/>
            <w:noWrap/>
            <w:vAlign w:val="center"/>
            <w:hideMark/>
          </w:tcPr>
          <w:p w14:paraId="154C4C47" w14:textId="77777777" w:rsidR="00A71608" w:rsidRPr="00A71608" w:rsidRDefault="00A71608" w:rsidP="00A71608">
            <w:pPr>
              <w:jc w:val="right"/>
              <w:rPr>
                <w:lang w:eastAsia="es-CR"/>
              </w:rPr>
            </w:pPr>
            <w:r w:rsidRPr="00A71608">
              <w:rPr>
                <w:rFonts w:eastAsia="Calibri"/>
              </w:rPr>
              <w:t>1 655</w:t>
            </w:r>
          </w:p>
        </w:tc>
        <w:tc>
          <w:tcPr>
            <w:tcW w:w="714" w:type="pct"/>
            <w:tcBorders>
              <w:top w:val="nil"/>
              <w:left w:val="nil"/>
              <w:bottom w:val="nil"/>
              <w:right w:val="nil"/>
            </w:tcBorders>
            <w:shd w:val="clear" w:color="000000" w:fill="FFFFFF"/>
            <w:noWrap/>
            <w:vAlign w:val="center"/>
            <w:hideMark/>
          </w:tcPr>
          <w:p w14:paraId="2B170C99" w14:textId="77777777" w:rsidR="00A71608" w:rsidRPr="00A71608" w:rsidRDefault="00A71608" w:rsidP="00A71608">
            <w:pPr>
              <w:jc w:val="right"/>
              <w:rPr>
                <w:lang w:eastAsia="es-CR"/>
              </w:rPr>
            </w:pPr>
            <w:r w:rsidRPr="00A71608">
              <w:rPr>
                <w:lang w:eastAsia="es-CR"/>
              </w:rPr>
              <w:t>1 286</w:t>
            </w:r>
          </w:p>
        </w:tc>
        <w:tc>
          <w:tcPr>
            <w:tcW w:w="647" w:type="pct"/>
            <w:tcBorders>
              <w:top w:val="nil"/>
              <w:left w:val="dashed" w:sz="8" w:space="0" w:color="auto"/>
              <w:bottom w:val="nil"/>
              <w:right w:val="nil"/>
            </w:tcBorders>
            <w:shd w:val="clear" w:color="000000" w:fill="FFFFFF"/>
            <w:noWrap/>
            <w:vAlign w:val="center"/>
            <w:hideMark/>
          </w:tcPr>
          <w:p w14:paraId="2E4B0407" w14:textId="77777777" w:rsidR="00A71608" w:rsidRPr="00A71608" w:rsidRDefault="00A71608" w:rsidP="00A71608">
            <w:pPr>
              <w:jc w:val="right"/>
              <w:rPr>
                <w:lang w:eastAsia="es-CR"/>
              </w:rPr>
            </w:pPr>
            <w:r w:rsidRPr="00A71608">
              <w:rPr>
                <w:lang w:eastAsia="es-CR"/>
              </w:rPr>
              <w:t>-369</w:t>
            </w:r>
          </w:p>
        </w:tc>
        <w:tc>
          <w:tcPr>
            <w:tcW w:w="782" w:type="pct"/>
            <w:tcBorders>
              <w:top w:val="nil"/>
              <w:left w:val="nil"/>
              <w:bottom w:val="nil"/>
              <w:right w:val="nil"/>
            </w:tcBorders>
            <w:shd w:val="clear" w:color="000000" w:fill="FFFFFF"/>
            <w:noWrap/>
            <w:vAlign w:val="center"/>
            <w:hideMark/>
          </w:tcPr>
          <w:p w14:paraId="0EE64E19" w14:textId="77777777" w:rsidR="00A71608" w:rsidRPr="00A71608" w:rsidRDefault="00A71608" w:rsidP="00A71608">
            <w:pPr>
              <w:jc w:val="right"/>
              <w:rPr>
                <w:lang w:eastAsia="es-CR"/>
              </w:rPr>
            </w:pPr>
            <w:r w:rsidRPr="00A71608">
              <w:rPr>
                <w:lang w:eastAsia="es-CR"/>
              </w:rPr>
              <w:t>-22,3</w:t>
            </w:r>
          </w:p>
        </w:tc>
      </w:tr>
      <w:tr w:rsidR="00A71608" w:rsidRPr="00A71608" w14:paraId="57BB1536" w14:textId="77777777" w:rsidTr="00A71608">
        <w:trPr>
          <w:trHeight w:val="310"/>
          <w:jc w:val="center"/>
        </w:trPr>
        <w:tc>
          <w:tcPr>
            <w:tcW w:w="1429" w:type="pct"/>
            <w:tcBorders>
              <w:top w:val="nil"/>
              <w:left w:val="nil"/>
              <w:bottom w:val="nil"/>
              <w:right w:val="nil"/>
            </w:tcBorders>
            <w:shd w:val="clear" w:color="000000" w:fill="FFFFFF"/>
            <w:noWrap/>
            <w:vAlign w:val="center"/>
            <w:hideMark/>
          </w:tcPr>
          <w:p w14:paraId="4D6E07C0" w14:textId="77777777" w:rsidR="00A71608" w:rsidRPr="00A71608" w:rsidRDefault="00A71608" w:rsidP="00A71608">
            <w:pPr>
              <w:rPr>
                <w:i/>
                <w:iCs/>
                <w:lang w:eastAsia="es-CR"/>
              </w:rPr>
            </w:pPr>
            <w:r w:rsidRPr="00A71608">
              <w:rPr>
                <w:rFonts w:eastAsia="Calibri"/>
                <w:i/>
                <w:iCs/>
              </w:rPr>
              <w:t>Circulante al Finalizar</w:t>
            </w:r>
          </w:p>
        </w:tc>
        <w:tc>
          <w:tcPr>
            <w:tcW w:w="714" w:type="pct"/>
            <w:tcBorders>
              <w:top w:val="nil"/>
              <w:left w:val="nil"/>
              <w:bottom w:val="nil"/>
              <w:right w:val="nil"/>
            </w:tcBorders>
            <w:shd w:val="clear" w:color="000000" w:fill="FFFFFF"/>
            <w:noWrap/>
            <w:vAlign w:val="center"/>
            <w:hideMark/>
          </w:tcPr>
          <w:p w14:paraId="112C2E44" w14:textId="77777777" w:rsidR="00A71608" w:rsidRPr="00A71608" w:rsidRDefault="00A71608" w:rsidP="00A71608">
            <w:pPr>
              <w:jc w:val="right"/>
              <w:rPr>
                <w:lang w:eastAsia="es-CR"/>
              </w:rPr>
            </w:pPr>
            <w:r w:rsidRPr="00A71608">
              <w:rPr>
                <w:rFonts w:eastAsia="Calibri"/>
              </w:rPr>
              <w:t>6 732</w:t>
            </w:r>
          </w:p>
        </w:tc>
        <w:tc>
          <w:tcPr>
            <w:tcW w:w="714" w:type="pct"/>
            <w:tcBorders>
              <w:top w:val="nil"/>
              <w:left w:val="nil"/>
              <w:bottom w:val="nil"/>
              <w:right w:val="nil"/>
            </w:tcBorders>
            <w:shd w:val="clear" w:color="000000" w:fill="FFFFFF"/>
            <w:noWrap/>
            <w:vAlign w:val="center"/>
            <w:hideMark/>
          </w:tcPr>
          <w:p w14:paraId="66F78E30" w14:textId="77777777" w:rsidR="00A71608" w:rsidRPr="00A71608" w:rsidRDefault="00A71608" w:rsidP="00A71608">
            <w:pPr>
              <w:jc w:val="right"/>
              <w:rPr>
                <w:lang w:eastAsia="es-CR"/>
              </w:rPr>
            </w:pPr>
            <w:r w:rsidRPr="00A71608">
              <w:rPr>
                <w:rFonts w:eastAsia="Calibri"/>
              </w:rPr>
              <w:t>5 053</w:t>
            </w:r>
          </w:p>
        </w:tc>
        <w:tc>
          <w:tcPr>
            <w:tcW w:w="714" w:type="pct"/>
            <w:tcBorders>
              <w:top w:val="nil"/>
              <w:left w:val="nil"/>
              <w:bottom w:val="nil"/>
              <w:right w:val="nil"/>
            </w:tcBorders>
            <w:shd w:val="clear" w:color="000000" w:fill="FFFFFF"/>
            <w:noWrap/>
            <w:vAlign w:val="center"/>
            <w:hideMark/>
          </w:tcPr>
          <w:p w14:paraId="4216BD13" w14:textId="77777777" w:rsidR="00A71608" w:rsidRPr="00A71608" w:rsidRDefault="00A71608" w:rsidP="00A71608">
            <w:pPr>
              <w:jc w:val="right"/>
              <w:rPr>
                <w:lang w:eastAsia="es-CR"/>
              </w:rPr>
            </w:pPr>
            <w:r w:rsidRPr="00A71608">
              <w:rPr>
                <w:rFonts w:eastAsia="Calibri"/>
              </w:rPr>
              <w:t>3 302</w:t>
            </w:r>
          </w:p>
        </w:tc>
        <w:tc>
          <w:tcPr>
            <w:tcW w:w="647" w:type="pct"/>
            <w:tcBorders>
              <w:top w:val="nil"/>
              <w:left w:val="dashed" w:sz="8" w:space="0" w:color="auto"/>
              <w:bottom w:val="nil"/>
              <w:right w:val="nil"/>
            </w:tcBorders>
            <w:shd w:val="clear" w:color="000000" w:fill="FFFFFF"/>
            <w:noWrap/>
            <w:vAlign w:val="center"/>
            <w:hideMark/>
          </w:tcPr>
          <w:p w14:paraId="7D60627B" w14:textId="77777777" w:rsidR="00A71608" w:rsidRPr="00A71608" w:rsidRDefault="00A71608" w:rsidP="00A71608">
            <w:pPr>
              <w:jc w:val="right"/>
              <w:rPr>
                <w:lang w:eastAsia="es-CR"/>
              </w:rPr>
            </w:pPr>
            <w:r w:rsidRPr="00A71608">
              <w:rPr>
                <w:lang w:eastAsia="es-CR"/>
              </w:rPr>
              <w:t>-1 751</w:t>
            </w:r>
          </w:p>
        </w:tc>
        <w:tc>
          <w:tcPr>
            <w:tcW w:w="782" w:type="pct"/>
            <w:tcBorders>
              <w:top w:val="nil"/>
              <w:left w:val="nil"/>
              <w:bottom w:val="nil"/>
              <w:right w:val="nil"/>
            </w:tcBorders>
            <w:shd w:val="clear" w:color="000000" w:fill="FFFFFF"/>
            <w:noWrap/>
            <w:vAlign w:val="center"/>
            <w:hideMark/>
          </w:tcPr>
          <w:p w14:paraId="75AF0E0E" w14:textId="77777777" w:rsidR="00A71608" w:rsidRPr="00A71608" w:rsidRDefault="00A71608" w:rsidP="00A71608">
            <w:pPr>
              <w:jc w:val="right"/>
              <w:rPr>
                <w:lang w:eastAsia="es-CR"/>
              </w:rPr>
            </w:pPr>
            <w:r w:rsidRPr="00A71608">
              <w:rPr>
                <w:lang w:eastAsia="es-CR"/>
              </w:rPr>
              <w:t>-34,7</w:t>
            </w:r>
          </w:p>
        </w:tc>
      </w:tr>
      <w:tr w:rsidR="00A71608" w:rsidRPr="00A71608" w14:paraId="40A89364" w14:textId="77777777" w:rsidTr="00A71608">
        <w:trPr>
          <w:trHeight w:val="320"/>
          <w:jc w:val="center"/>
        </w:trPr>
        <w:tc>
          <w:tcPr>
            <w:tcW w:w="1429" w:type="pct"/>
            <w:tcBorders>
              <w:top w:val="nil"/>
              <w:left w:val="nil"/>
              <w:bottom w:val="single" w:sz="8" w:space="0" w:color="auto"/>
              <w:right w:val="nil"/>
            </w:tcBorders>
            <w:shd w:val="clear" w:color="000000" w:fill="FFFFFF"/>
            <w:noWrap/>
            <w:vAlign w:val="center"/>
            <w:hideMark/>
          </w:tcPr>
          <w:p w14:paraId="3F29A8A3" w14:textId="77777777" w:rsidR="00A71608" w:rsidRPr="00A71608" w:rsidRDefault="00A71608" w:rsidP="00A71608">
            <w:pPr>
              <w:rPr>
                <w:lang w:eastAsia="es-CR"/>
              </w:rPr>
            </w:pPr>
            <w:r w:rsidRPr="00A71608">
              <w:rPr>
                <w:lang w:eastAsia="es-CR"/>
              </w:rPr>
              <w:t> </w:t>
            </w:r>
          </w:p>
        </w:tc>
        <w:tc>
          <w:tcPr>
            <w:tcW w:w="714" w:type="pct"/>
            <w:tcBorders>
              <w:top w:val="nil"/>
              <w:left w:val="nil"/>
              <w:bottom w:val="single" w:sz="8" w:space="0" w:color="auto"/>
              <w:right w:val="nil"/>
            </w:tcBorders>
            <w:shd w:val="clear" w:color="000000" w:fill="FFFFFF"/>
            <w:noWrap/>
            <w:vAlign w:val="center"/>
            <w:hideMark/>
          </w:tcPr>
          <w:p w14:paraId="3C373DE5" w14:textId="77777777" w:rsidR="00A71608" w:rsidRPr="00A71608" w:rsidRDefault="00A71608" w:rsidP="00A71608">
            <w:pPr>
              <w:jc w:val="center"/>
              <w:rPr>
                <w:lang w:eastAsia="es-CR"/>
              </w:rPr>
            </w:pPr>
            <w:r w:rsidRPr="00A71608">
              <w:rPr>
                <w:lang w:eastAsia="es-CR"/>
              </w:rPr>
              <w:t> </w:t>
            </w:r>
          </w:p>
        </w:tc>
        <w:tc>
          <w:tcPr>
            <w:tcW w:w="714" w:type="pct"/>
            <w:tcBorders>
              <w:top w:val="nil"/>
              <w:left w:val="nil"/>
              <w:bottom w:val="single" w:sz="8" w:space="0" w:color="auto"/>
              <w:right w:val="nil"/>
            </w:tcBorders>
            <w:shd w:val="clear" w:color="000000" w:fill="FFFFFF"/>
            <w:noWrap/>
            <w:vAlign w:val="center"/>
            <w:hideMark/>
          </w:tcPr>
          <w:p w14:paraId="2E4E5B60" w14:textId="77777777" w:rsidR="00A71608" w:rsidRPr="00A71608" w:rsidRDefault="00A71608" w:rsidP="00A71608">
            <w:pPr>
              <w:jc w:val="center"/>
              <w:rPr>
                <w:lang w:eastAsia="es-CR"/>
              </w:rPr>
            </w:pPr>
            <w:r w:rsidRPr="00A71608">
              <w:rPr>
                <w:lang w:eastAsia="es-CR"/>
              </w:rPr>
              <w:t> </w:t>
            </w:r>
          </w:p>
        </w:tc>
        <w:tc>
          <w:tcPr>
            <w:tcW w:w="714" w:type="pct"/>
            <w:tcBorders>
              <w:top w:val="nil"/>
              <w:left w:val="nil"/>
              <w:bottom w:val="single" w:sz="8" w:space="0" w:color="auto"/>
              <w:right w:val="nil"/>
            </w:tcBorders>
            <w:shd w:val="clear" w:color="000000" w:fill="FFFFFF"/>
            <w:noWrap/>
            <w:vAlign w:val="center"/>
            <w:hideMark/>
          </w:tcPr>
          <w:p w14:paraId="0F143BE8" w14:textId="77777777" w:rsidR="00A71608" w:rsidRPr="00A71608" w:rsidRDefault="00A71608" w:rsidP="00A71608">
            <w:pPr>
              <w:jc w:val="center"/>
              <w:rPr>
                <w:lang w:eastAsia="es-CR"/>
              </w:rPr>
            </w:pPr>
            <w:r w:rsidRPr="00A71608">
              <w:rPr>
                <w:lang w:eastAsia="es-CR"/>
              </w:rPr>
              <w:t> </w:t>
            </w:r>
          </w:p>
        </w:tc>
        <w:tc>
          <w:tcPr>
            <w:tcW w:w="647" w:type="pct"/>
            <w:tcBorders>
              <w:top w:val="nil"/>
              <w:left w:val="dashed" w:sz="8" w:space="0" w:color="auto"/>
              <w:bottom w:val="single" w:sz="8" w:space="0" w:color="auto"/>
              <w:right w:val="nil"/>
            </w:tcBorders>
            <w:shd w:val="clear" w:color="000000" w:fill="FFFFFF"/>
            <w:noWrap/>
            <w:vAlign w:val="center"/>
            <w:hideMark/>
          </w:tcPr>
          <w:p w14:paraId="164AF871" w14:textId="77777777" w:rsidR="00A71608" w:rsidRPr="00A71608" w:rsidRDefault="00A71608" w:rsidP="00A71608">
            <w:pPr>
              <w:jc w:val="center"/>
              <w:rPr>
                <w:lang w:eastAsia="es-CR"/>
              </w:rPr>
            </w:pPr>
            <w:r w:rsidRPr="00A71608">
              <w:rPr>
                <w:lang w:eastAsia="es-CR"/>
              </w:rPr>
              <w:t> </w:t>
            </w:r>
          </w:p>
        </w:tc>
        <w:tc>
          <w:tcPr>
            <w:tcW w:w="782" w:type="pct"/>
            <w:tcBorders>
              <w:top w:val="nil"/>
              <w:left w:val="nil"/>
              <w:bottom w:val="single" w:sz="8" w:space="0" w:color="auto"/>
              <w:right w:val="nil"/>
            </w:tcBorders>
            <w:shd w:val="clear" w:color="000000" w:fill="FFFFFF"/>
            <w:noWrap/>
            <w:vAlign w:val="center"/>
            <w:hideMark/>
          </w:tcPr>
          <w:p w14:paraId="5529D3A0" w14:textId="77777777" w:rsidR="00A71608" w:rsidRPr="00A71608" w:rsidRDefault="00A71608" w:rsidP="00A71608">
            <w:pPr>
              <w:jc w:val="center"/>
              <w:rPr>
                <w:lang w:eastAsia="es-CR"/>
              </w:rPr>
            </w:pPr>
            <w:r w:rsidRPr="00A71608">
              <w:rPr>
                <w:lang w:eastAsia="es-CR"/>
              </w:rPr>
              <w:t> </w:t>
            </w:r>
          </w:p>
        </w:tc>
      </w:tr>
      <w:tr w:rsidR="00A71608" w:rsidRPr="00A71608" w14:paraId="70C422E9" w14:textId="77777777" w:rsidTr="00A71608">
        <w:trPr>
          <w:trHeight w:val="260"/>
          <w:jc w:val="center"/>
        </w:trPr>
        <w:tc>
          <w:tcPr>
            <w:tcW w:w="2857" w:type="pct"/>
            <w:gridSpan w:val="3"/>
            <w:tcBorders>
              <w:top w:val="nil"/>
              <w:left w:val="nil"/>
              <w:bottom w:val="nil"/>
              <w:right w:val="nil"/>
            </w:tcBorders>
            <w:shd w:val="clear" w:color="000000" w:fill="FFFFFF"/>
            <w:noWrap/>
            <w:vAlign w:val="bottom"/>
            <w:hideMark/>
          </w:tcPr>
          <w:p w14:paraId="1E2B3D3F" w14:textId="77777777" w:rsidR="00A71608" w:rsidRPr="00A71608" w:rsidRDefault="00A71608" w:rsidP="00A71608">
            <w:pPr>
              <w:rPr>
                <w:lang w:eastAsia="es-CR"/>
              </w:rPr>
            </w:pPr>
            <w:r w:rsidRPr="00A71608">
              <w:rPr>
                <w:lang w:eastAsia="es-CR"/>
              </w:rPr>
              <w:t>Elaborado por: Subproceso de Estadística, Dirección de Planificación</w:t>
            </w:r>
          </w:p>
        </w:tc>
        <w:tc>
          <w:tcPr>
            <w:tcW w:w="714" w:type="pct"/>
            <w:tcBorders>
              <w:top w:val="nil"/>
              <w:left w:val="nil"/>
              <w:bottom w:val="nil"/>
              <w:right w:val="nil"/>
            </w:tcBorders>
            <w:shd w:val="clear" w:color="000000" w:fill="FFFFFF"/>
            <w:noWrap/>
            <w:vAlign w:val="center"/>
            <w:hideMark/>
          </w:tcPr>
          <w:p w14:paraId="7BD94C29" w14:textId="77777777" w:rsidR="00A71608" w:rsidRPr="00A71608" w:rsidRDefault="00A71608" w:rsidP="00A71608">
            <w:pPr>
              <w:jc w:val="center"/>
              <w:rPr>
                <w:lang w:eastAsia="es-CR"/>
              </w:rPr>
            </w:pPr>
            <w:r w:rsidRPr="00A71608">
              <w:rPr>
                <w:lang w:eastAsia="es-CR"/>
              </w:rPr>
              <w:t> </w:t>
            </w:r>
          </w:p>
        </w:tc>
        <w:tc>
          <w:tcPr>
            <w:tcW w:w="647" w:type="pct"/>
            <w:tcBorders>
              <w:top w:val="nil"/>
              <w:left w:val="nil"/>
              <w:bottom w:val="nil"/>
              <w:right w:val="nil"/>
            </w:tcBorders>
            <w:shd w:val="clear" w:color="000000" w:fill="FFFFFF"/>
            <w:noWrap/>
            <w:vAlign w:val="center"/>
            <w:hideMark/>
          </w:tcPr>
          <w:p w14:paraId="5A4BBC86" w14:textId="77777777" w:rsidR="00A71608" w:rsidRPr="00A71608" w:rsidRDefault="00A71608" w:rsidP="00A71608">
            <w:pPr>
              <w:jc w:val="center"/>
              <w:rPr>
                <w:lang w:eastAsia="es-CR"/>
              </w:rPr>
            </w:pPr>
            <w:r w:rsidRPr="00A71608">
              <w:rPr>
                <w:lang w:eastAsia="es-CR"/>
              </w:rPr>
              <w:t> </w:t>
            </w:r>
          </w:p>
        </w:tc>
        <w:tc>
          <w:tcPr>
            <w:tcW w:w="782" w:type="pct"/>
            <w:tcBorders>
              <w:top w:val="nil"/>
              <w:left w:val="nil"/>
              <w:bottom w:val="nil"/>
              <w:right w:val="nil"/>
            </w:tcBorders>
            <w:shd w:val="clear" w:color="000000" w:fill="FFFFFF"/>
            <w:noWrap/>
            <w:vAlign w:val="center"/>
            <w:hideMark/>
          </w:tcPr>
          <w:p w14:paraId="268C55CB" w14:textId="77777777" w:rsidR="00A71608" w:rsidRPr="00A71608" w:rsidRDefault="00A71608" w:rsidP="00A71608">
            <w:pPr>
              <w:jc w:val="center"/>
              <w:rPr>
                <w:lang w:eastAsia="es-CR"/>
              </w:rPr>
            </w:pPr>
            <w:r w:rsidRPr="00A71608">
              <w:rPr>
                <w:lang w:eastAsia="es-CR"/>
              </w:rPr>
              <w:t> </w:t>
            </w:r>
          </w:p>
        </w:tc>
      </w:tr>
    </w:tbl>
    <w:p w14:paraId="2F7C4081" w14:textId="77777777" w:rsidR="00A71608" w:rsidRPr="00A71608" w:rsidRDefault="00A71608" w:rsidP="00A71608">
      <w:pPr>
        <w:spacing w:after="160"/>
        <w:rPr>
          <w:rFonts w:eastAsia="Calibri"/>
          <w:b/>
          <w:bCs/>
        </w:rPr>
      </w:pPr>
    </w:p>
    <w:p w14:paraId="4CC35214" w14:textId="77777777" w:rsidR="00A71608" w:rsidRPr="00A71608" w:rsidRDefault="00A71608" w:rsidP="00A71608">
      <w:pPr>
        <w:numPr>
          <w:ilvl w:val="0"/>
          <w:numId w:val="42"/>
        </w:numPr>
        <w:suppressAutoHyphens w:val="0"/>
        <w:spacing w:after="160"/>
        <w:ind w:left="851" w:right="851" w:firstLine="709"/>
        <w:contextualSpacing/>
        <w:jc w:val="both"/>
        <w:rPr>
          <w:rFonts w:eastAsia="Calibri"/>
        </w:rPr>
      </w:pPr>
      <w:r w:rsidRPr="00A71608">
        <w:rPr>
          <w:rFonts w:eastAsia="Calibri"/>
        </w:rPr>
        <w:t xml:space="preserve">Primeramente, resulta necesario contextualizar que el comportamiento decreciente para cada una de las variables bajo análisis es atribuible principalmente a todo lo acontecido desde marzo de 2020 a nivel nacional motivo del virus </w:t>
      </w:r>
      <w:r w:rsidRPr="00A71608">
        <w:rPr>
          <w:rFonts w:eastAsia="Calibri"/>
          <w:i/>
          <w:iCs/>
        </w:rPr>
        <w:t>SARS-COV-2</w:t>
      </w:r>
      <w:r w:rsidRPr="00A71608">
        <w:rPr>
          <w:rFonts w:eastAsia="Calibri"/>
        </w:rPr>
        <w:t xml:space="preserve"> responsable del nuevo coronavirus </w:t>
      </w:r>
      <w:r w:rsidRPr="00A71608">
        <w:rPr>
          <w:rFonts w:eastAsia="Calibri"/>
          <w:i/>
          <w:iCs/>
        </w:rPr>
        <w:t>COVID-19</w:t>
      </w:r>
      <w:r w:rsidRPr="00A71608">
        <w:rPr>
          <w:rFonts w:eastAsia="Calibri"/>
        </w:rPr>
        <w:t>, donde como resultado de las restricciones sanitarias de movilización tanto individual como vehicular impuestas por el Gobierno de Costa Rica, así como de la aplicación a nivel de las Instituciones Estatales de la cultura del Teletrabajo a partir del II Trimestre del año 2020 como medida de contención, derivaron en un periodo de acondicionamiento a la reactivación de la prestación de los servicios históricamente brindados.</w:t>
      </w:r>
    </w:p>
    <w:p w14:paraId="7C30B276" w14:textId="77777777" w:rsidR="00A71608" w:rsidRPr="00A71608" w:rsidRDefault="00A71608" w:rsidP="00A71608">
      <w:pPr>
        <w:ind w:left="1560" w:right="851"/>
        <w:contextualSpacing/>
        <w:jc w:val="both"/>
        <w:rPr>
          <w:rFonts w:eastAsia="Calibri"/>
        </w:rPr>
      </w:pPr>
    </w:p>
    <w:p w14:paraId="733B59F7" w14:textId="77777777" w:rsidR="00A71608" w:rsidRPr="00A71608" w:rsidRDefault="00A71608" w:rsidP="00A71608">
      <w:pPr>
        <w:numPr>
          <w:ilvl w:val="0"/>
          <w:numId w:val="42"/>
        </w:numPr>
        <w:suppressAutoHyphens w:val="0"/>
        <w:spacing w:after="160"/>
        <w:ind w:left="851" w:right="851" w:firstLine="709"/>
        <w:contextualSpacing/>
        <w:jc w:val="both"/>
        <w:rPr>
          <w:rFonts w:eastAsia="Calibri"/>
          <w:b/>
          <w:bCs/>
        </w:rPr>
      </w:pPr>
      <w:r w:rsidRPr="00A71608">
        <w:rPr>
          <w:rFonts w:eastAsia="Calibri"/>
        </w:rPr>
        <w:t xml:space="preserve">El año 2020 registra las magnitudes más bajas de </w:t>
      </w:r>
      <w:r w:rsidRPr="00A71608">
        <w:rPr>
          <w:rFonts w:eastAsia="Calibri"/>
          <w:i/>
          <w:iCs/>
        </w:rPr>
        <w:t>casos entrados</w:t>
      </w:r>
      <w:r w:rsidRPr="00A71608">
        <w:rPr>
          <w:rFonts w:eastAsia="Calibri"/>
        </w:rPr>
        <w:t xml:space="preserve">, </w:t>
      </w:r>
      <w:r w:rsidRPr="00A71608">
        <w:rPr>
          <w:rFonts w:eastAsia="Calibri"/>
          <w:i/>
          <w:iCs/>
        </w:rPr>
        <w:t>terminados</w:t>
      </w:r>
      <w:r w:rsidRPr="00A71608">
        <w:rPr>
          <w:rFonts w:eastAsia="Calibri"/>
        </w:rPr>
        <w:t xml:space="preserve"> y por ende </w:t>
      </w:r>
      <w:r w:rsidRPr="00A71608">
        <w:rPr>
          <w:rFonts w:eastAsia="Calibri"/>
          <w:i/>
          <w:iCs/>
        </w:rPr>
        <w:t>casos activos al finalizar</w:t>
      </w:r>
      <w:r w:rsidRPr="00A71608">
        <w:rPr>
          <w:rFonts w:eastAsia="Calibri"/>
        </w:rPr>
        <w:t xml:space="preserve"> para los últimos 3 años, siendo estas disminuciones del 12,8% (4.525 casos), 12,0% (4.457 casos) y 34,5% (1.751 casos) respectivamente en relación con un año antes.</w:t>
      </w:r>
    </w:p>
    <w:p w14:paraId="46F757BC" w14:textId="77777777" w:rsidR="00A71608" w:rsidRPr="00A71608" w:rsidRDefault="00A71608" w:rsidP="00A71608">
      <w:pPr>
        <w:ind w:right="851"/>
        <w:contextualSpacing/>
        <w:jc w:val="both"/>
        <w:rPr>
          <w:rFonts w:eastAsia="Calibri"/>
          <w:b/>
          <w:bCs/>
        </w:rPr>
      </w:pPr>
    </w:p>
    <w:p w14:paraId="19ED9CA5" w14:textId="77777777" w:rsidR="00A71608" w:rsidRPr="00A71608" w:rsidRDefault="00A71608" w:rsidP="00A71608">
      <w:pPr>
        <w:numPr>
          <w:ilvl w:val="0"/>
          <w:numId w:val="42"/>
        </w:numPr>
        <w:suppressAutoHyphens w:val="0"/>
        <w:spacing w:after="160"/>
        <w:ind w:left="851" w:right="851" w:firstLine="709"/>
        <w:contextualSpacing/>
        <w:jc w:val="both"/>
        <w:rPr>
          <w:rFonts w:eastAsia="Calibri"/>
          <w:b/>
          <w:bCs/>
          <w:i/>
          <w:iCs/>
        </w:rPr>
      </w:pPr>
      <w:r w:rsidRPr="00A71608">
        <w:rPr>
          <w:rFonts w:eastAsia="Calibri"/>
        </w:rPr>
        <w:t xml:space="preserve">El motivo de termino que mayor disminución reporta para el bienio 2019 – 2020 son los </w:t>
      </w:r>
      <w:r w:rsidRPr="00A71608">
        <w:rPr>
          <w:rFonts w:eastAsia="Calibri"/>
          <w:i/>
          <w:iCs/>
        </w:rPr>
        <w:t xml:space="preserve">Dictámenes Criminalísticos </w:t>
      </w:r>
      <w:r w:rsidRPr="00A71608">
        <w:rPr>
          <w:rFonts w:eastAsia="Calibri"/>
        </w:rPr>
        <w:t xml:space="preserve">con un 11,0% (2.609 casos), lo cual resulta consecuente tomando en consideración las magnitudes con las que este estado es utilizado y que representa para el año 2020 el 64,8% de la totalidad de casos fenecidos, seguido del </w:t>
      </w:r>
      <w:r w:rsidRPr="00A71608">
        <w:rPr>
          <w:rFonts w:eastAsia="Calibri"/>
          <w:i/>
          <w:iCs/>
        </w:rPr>
        <w:t>Finalizado Sin Análisis</w:t>
      </w:r>
      <w:r w:rsidRPr="00A71608">
        <w:rPr>
          <w:rFonts w:eastAsia="Calibri"/>
        </w:rPr>
        <w:t xml:space="preserve"> el cual acapara el 19,7% y cuya disminución para el último año no fue tan significativa, siendo esta del 3,9% (264 casos). </w:t>
      </w:r>
    </w:p>
    <w:p w14:paraId="4B9F1525" w14:textId="77777777" w:rsidR="00A71608" w:rsidRPr="00A71608" w:rsidRDefault="00A71608" w:rsidP="00A71608">
      <w:pPr>
        <w:ind w:right="851"/>
        <w:contextualSpacing/>
        <w:jc w:val="both"/>
        <w:rPr>
          <w:rFonts w:eastAsia="Calibri"/>
          <w:b/>
          <w:bCs/>
          <w:i/>
          <w:iCs/>
        </w:rPr>
      </w:pPr>
    </w:p>
    <w:p w14:paraId="30FB16EA" w14:textId="77777777" w:rsidR="00A71608" w:rsidRPr="00A71608" w:rsidRDefault="00A71608" w:rsidP="00A71608">
      <w:pPr>
        <w:numPr>
          <w:ilvl w:val="0"/>
          <w:numId w:val="42"/>
        </w:numPr>
        <w:suppressAutoHyphens w:val="0"/>
        <w:spacing w:after="160"/>
        <w:ind w:left="851" w:right="851" w:firstLine="709"/>
        <w:contextualSpacing/>
        <w:jc w:val="both"/>
        <w:rPr>
          <w:rFonts w:eastAsia="Calibri"/>
          <w:b/>
          <w:bCs/>
          <w:i/>
          <w:iCs/>
        </w:rPr>
      </w:pPr>
      <w:r w:rsidRPr="00A71608">
        <w:rPr>
          <w:rFonts w:eastAsia="Calibri"/>
        </w:rPr>
        <w:t xml:space="preserve">El </w:t>
      </w:r>
      <w:r w:rsidRPr="00A71608">
        <w:rPr>
          <w:rFonts w:eastAsia="Calibri"/>
          <w:i/>
          <w:iCs/>
        </w:rPr>
        <w:t>Desestimado</w:t>
      </w:r>
      <w:r w:rsidRPr="00A71608">
        <w:rPr>
          <w:rFonts w:eastAsia="Calibri"/>
        </w:rPr>
        <w:t xml:space="preserve"> fue el único motivo de finiquito que no mostró variación, registrando magnitudes de 59 casos para cada periodo 2019-2020.</w:t>
      </w:r>
    </w:p>
    <w:p w14:paraId="2BAAED1F" w14:textId="77777777" w:rsidR="00A71608" w:rsidRPr="00A71608" w:rsidRDefault="00A71608" w:rsidP="00A71608">
      <w:pPr>
        <w:ind w:right="851"/>
        <w:contextualSpacing/>
        <w:jc w:val="both"/>
        <w:rPr>
          <w:rFonts w:eastAsia="Calibri"/>
          <w:b/>
          <w:bCs/>
          <w:i/>
          <w:iCs/>
        </w:rPr>
      </w:pPr>
    </w:p>
    <w:p w14:paraId="57577722" w14:textId="77777777" w:rsidR="00A71608" w:rsidRPr="00A71608" w:rsidRDefault="00A71608" w:rsidP="00A71608">
      <w:pPr>
        <w:numPr>
          <w:ilvl w:val="0"/>
          <w:numId w:val="42"/>
        </w:numPr>
        <w:suppressAutoHyphens w:val="0"/>
        <w:spacing w:after="160"/>
        <w:ind w:left="851" w:right="851" w:firstLine="709"/>
        <w:contextualSpacing/>
        <w:jc w:val="both"/>
        <w:rPr>
          <w:rFonts w:eastAsia="Calibri"/>
          <w:b/>
          <w:bCs/>
          <w:i/>
          <w:iCs/>
        </w:rPr>
      </w:pPr>
      <w:r w:rsidRPr="00A71608">
        <w:rPr>
          <w:rFonts w:eastAsia="Calibri"/>
        </w:rPr>
        <w:lastRenderedPageBreak/>
        <w:t>La tendencia en la disminución de los casos activos para el periodo 2019-2020 puede considerarse como constante dado lo reportado anteriormente durante el bienio 2018-2020, donde en términos absolutos para el primero fue de 1.751 casos y para el segundo de 1.679 casos.</w:t>
      </w:r>
    </w:p>
    <w:p w14:paraId="51822805" w14:textId="77777777" w:rsidR="00A71608" w:rsidRPr="00A71608" w:rsidRDefault="00A71608" w:rsidP="00A71608">
      <w:pPr>
        <w:ind w:left="851" w:right="851" w:firstLine="709"/>
        <w:jc w:val="both"/>
        <w:rPr>
          <w:rFonts w:eastAsia="Calibri"/>
        </w:rPr>
      </w:pPr>
    </w:p>
    <w:p w14:paraId="09462B66"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7" w:name="_Toc85467973"/>
      <w:r w:rsidRPr="00A71608">
        <w:rPr>
          <w:rFonts w:eastAsia="Calibri"/>
          <w:b/>
          <w:bCs/>
        </w:rPr>
        <w:t>Casos entrados</w:t>
      </w:r>
      <w:bookmarkEnd w:id="7"/>
    </w:p>
    <w:p w14:paraId="63FBAAE4" w14:textId="77777777" w:rsidR="00A71608" w:rsidRPr="00A71608" w:rsidRDefault="00A71608" w:rsidP="00A71608">
      <w:pPr>
        <w:ind w:left="1560" w:right="851"/>
        <w:contextualSpacing/>
        <w:jc w:val="both"/>
        <w:rPr>
          <w:rFonts w:eastAsia="Calibri"/>
          <w:b/>
          <w:bCs/>
        </w:rPr>
      </w:pPr>
    </w:p>
    <w:p w14:paraId="48D7C791" w14:textId="77777777" w:rsidR="00A71608" w:rsidRPr="00A71608" w:rsidRDefault="00A71608" w:rsidP="00A71608">
      <w:pPr>
        <w:ind w:left="851" w:right="851" w:firstLine="709"/>
        <w:jc w:val="both"/>
        <w:rPr>
          <w:rFonts w:eastAsia="Calibri"/>
        </w:rPr>
      </w:pPr>
      <w:r w:rsidRPr="00A71608">
        <w:rPr>
          <w:rFonts w:eastAsia="Calibri"/>
        </w:rPr>
        <w:t>En este apartado se realiza un abordaje de la cantidad de entrados según sección del Departamento de Ciencias Forenses, no siendo la finalidad realizar comparaciones entre éstas dado que de plano se conoce que ejercen labores diferenciadas y especializadas de índole científico en cada una de ellas y que marcan la diferencia en la “demanda” de funciones de apoyo relacionadas con los procesos judiciales.</w:t>
      </w:r>
    </w:p>
    <w:p w14:paraId="190FDE3E" w14:textId="77777777" w:rsidR="00A71608" w:rsidRPr="00A71608" w:rsidRDefault="00A71608" w:rsidP="00A71608">
      <w:pPr>
        <w:ind w:left="851" w:right="851" w:firstLine="709"/>
        <w:jc w:val="both"/>
        <w:rPr>
          <w:rFonts w:eastAsia="Calibri"/>
        </w:rPr>
      </w:pPr>
    </w:p>
    <w:p w14:paraId="10CDBED4" w14:textId="77777777" w:rsidR="00A71608" w:rsidRPr="00A71608" w:rsidRDefault="00A71608" w:rsidP="00A71608">
      <w:pPr>
        <w:ind w:left="851" w:right="851" w:firstLine="709"/>
        <w:jc w:val="center"/>
        <w:rPr>
          <w:rFonts w:eastAsia="Calibri"/>
          <w:b/>
          <w:bCs/>
        </w:rPr>
      </w:pPr>
      <w:r w:rsidRPr="00A71608">
        <w:rPr>
          <w:rFonts w:eastAsia="Calibri"/>
          <w:b/>
          <w:bCs/>
        </w:rPr>
        <w:t>Cuadro 4.1</w:t>
      </w:r>
    </w:p>
    <w:p w14:paraId="401E7760" w14:textId="77777777" w:rsidR="00A71608" w:rsidRPr="00A71608" w:rsidRDefault="00A71608" w:rsidP="00A71608">
      <w:pPr>
        <w:ind w:left="851" w:right="851" w:firstLine="709"/>
        <w:jc w:val="center"/>
        <w:rPr>
          <w:rFonts w:eastAsia="Calibri"/>
          <w:b/>
          <w:bCs/>
        </w:rPr>
      </w:pPr>
      <w:r w:rsidRPr="00A71608">
        <w:rPr>
          <w:rFonts w:eastAsia="Calibri"/>
          <w:b/>
          <w:bCs/>
        </w:rPr>
        <w:t>Cantidad de casos entrados en el Departamento de Ciencias Forenses por sección</w:t>
      </w:r>
    </w:p>
    <w:p w14:paraId="6BD665BB" w14:textId="77777777" w:rsidR="00A71608" w:rsidRPr="00A71608" w:rsidRDefault="00A71608" w:rsidP="00A71608">
      <w:pPr>
        <w:ind w:left="851" w:right="851" w:firstLine="709"/>
        <w:jc w:val="center"/>
        <w:rPr>
          <w:rFonts w:eastAsia="Calibri"/>
          <w:b/>
          <w:bCs/>
        </w:rPr>
      </w:pPr>
      <w:r w:rsidRPr="00A71608">
        <w:rPr>
          <w:rFonts w:eastAsia="Calibri"/>
          <w:b/>
          <w:bCs/>
        </w:rPr>
        <w:t>Periodo 2018 – 2020</w:t>
      </w:r>
    </w:p>
    <w:p w14:paraId="1B099831" w14:textId="77777777" w:rsidR="00A71608" w:rsidRPr="00A71608" w:rsidRDefault="00A71608" w:rsidP="00A71608">
      <w:pPr>
        <w:jc w:val="center"/>
        <w:rPr>
          <w:rFonts w:eastAsia="Calibri"/>
          <w:b/>
          <w:bCs/>
        </w:rPr>
      </w:pPr>
    </w:p>
    <w:tbl>
      <w:tblPr>
        <w:tblW w:w="5000" w:type="pct"/>
        <w:tblCellMar>
          <w:left w:w="70" w:type="dxa"/>
          <w:right w:w="70" w:type="dxa"/>
        </w:tblCellMar>
        <w:tblLook w:val="04A0" w:firstRow="1" w:lastRow="0" w:firstColumn="1" w:lastColumn="0" w:noHBand="0" w:noVBand="1"/>
      </w:tblPr>
      <w:tblGrid>
        <w:gridCol w:w="2722"/>
        <w:gridCol w:w="1910"/>
        <w:gridCol w:w="1909"/>
        <w:gridCol w:w="771"/>
        <w:gridCol w:w="1021"/>
        <w:gridCol w:w="1212"/>
      </w:tblGrid>
      <w:tr w:rsidR="00A71608" w:rsidRPr="00A71608" w14:paraId="2EEF1449" w14:textId="77777777" w:rsidTr="00A71608">
        <w:trPr>
          <w:trHeight w:val="300"/>
        </w:trPr>
        <w:tc>
          <w:tcPr>
            <w:tcW w:w="1110" w:type="pct"/>
            <w:vMerge w:val="restart"/>
            <w:tcBorders>
              <w:top w:val="single" w:sz="4" w:space="0" w:color="auto"/>
              <w:left w:val="nil"/>
              <w:bottom w:val="single" w:sz="8" w:space="0" w:color="000000"/>
              <w:right w:val="nil"/>
            </w:tcBorders>
            <w:shd w:val="clear" w:color="000000" w:fill="FFFFFF"/>
            <w:noWrap/>
            <w:vAlign w:val="center"/>
            <w:hideMark/>
          </w:tcPr>
          <w:p w14:paraId="5A2060F2" w14:textId="77777777" w:rsidR="00A71608" w:rsidRPr="00A71608" w:rsidRDefault="00A71608" w:rsidP="00A71608">
            <w:pPr>
              <w:jc w:val="center"/>
              <w:rPr>
                <w:b/>
                <w:bCs/>
                <w:lang w:eastAsia="es-CR"/>
              </w:rPr>
            </w:pPr>
            <w:r w:rsidRPr="00A71608">
              <w:rPr>
                <w:rFonts w:eastAsia="Calibri"/>
                <w:b/>
                <w:bCs/>
              </w:rPr>
              <w:t>Sección</w:t>
            </w:r>
          </w:p>
        </w:tc>
        <w:tc>
          <w:tcPr>
            <w:tcW w:w="2334" w:type="pct"/>
            <w:gridSpan w:val="3"/>
            <w:tcBorders>
              <w:top w:val="single" w:sz="4" w:space="0" w:color="auto"/>
              <w:left w:val="nil"/>
              <w:bottom w:val="single" w:sz="4" w:space="0" w:color="auto"/>
              <w:right w:val="nil"/>
            </w:tcBorders>
            <w:shd w:val="clear" w:color="000000" w:fill="FFFFFF"/>
            <w:noWrap/>
            <w:vAlign w:val="center"/>
            <w:hideMark/>
          </w:tcPr>
          <w:p w14:paraId="27341941" w14:textId="77777777" w:rsidR="00A71608" w:rsidRPr="00A71608" w:rsidRDefault="00A71608" w:rsidP="00A71608">
            <w:pPr>
              <w:jc w:val="center"/>
              <w:rPr>
                <w:b/>
                <w:bCs/>
                <w:lang w:eastAsia="es-CR"/>
              </w:rPr>
            </w:pPr>
            <w:r w:rsidRPr="00A71608">
              <w:rPr>
                <w:rFonts w:eastAsia="Calibri"/>
                <w:b/>
                <w:bCs/>
              </w:rPr>
              <w:t>Años</w:t>
            </w:r>
          </w:p>
        </w:tc>
        <w:tc>
          <w:tcPr>
            <w:tcW w:w="1556" w:type="pct"/>
            <w:gridSpan w:val="2"/>
            <w:tcBorders>
              <w:top w:val="single" w:sz="4" w:space="0" w:color="auto"/>
              <w:left w:val="nil"/>
              <w:bottom w:val="single" w:sz="4" w:space="0" w:color="auto"/>
              <w:right w:val="nil"/>
            </w:tcBorders>
            <w:shd w:val="clear" w:color="000000" w:fill="FFFFFF"/>
            <w:vAlign w:val="center"/>
            <w:hideMark/>
          </w:tcPr>
          <w:p w14:paraId="14B99753" w14:textId="77777777" w:rsidR="00A71608" w:rsidRPr="00A71608" w:rsidRDefault="00A71608" w:rsidP="00A71608">
            <w:pPr>
              <w:jc w:val="center"/>
              <w:rPr>
                <w:b/>
                <w:bCs/>
                <w:lang w:eastAsia="es-CR"/>
              </w:rPr>
            </w:pPr>
            <w:r w:rsidRPr="00A71608">
              <w:rPr>
                <w:b/>
                <w:bCs/>
                <w:lang w:eastAsia="es-CR"/>
              </w:rPr>
              <w:t>Variación 2019 - 2020</w:t>
            </w:r>
          </w:p>
        </w:tc>
      </w:tr>
      <w:tr w:rsidR="00A71608" w:rsidRPr="00A71608" w14:paraId="4A50F664" w14:textId="77777777" w:rsidTr="00A71608">
        <w:trPr>
          <w:trHeight w:val="320"/>
        </w:trPr>
        <w:tc>
          <w:tcPr>
            <w:tcW w:w="1110" w:type="pct"/>
            <w:vMerge/>
            <w:tcBorders>
              <w:top w:val="single" w:sz="4" w:space="0" w:color="auto"/>
              <w:left w:val="nil"/>
              <w:bottom w:val="single" w:sz="8" w:space="0" w:color="000000"/>
              <w:right w:val="nil"/>
            </w:tcBorders>
            <w:vAlign w:val="center"/>
            <w:hideMark/>
          </w:tcPr>
          <w:p w14:paraId="24E9F2C9" w14:textId="77777777" w:rsidR="00A71608" w:rsidRPr="00A71608" w:rsidRDefault="00A71608" w:rsidP="00A71608">
            <w:pPr>
              <w:rPr>
                <w:b/>
                <w:bCs/>
                <w:lang w:eastAsia="es-CR"/>
              </w:rPr>
            </w:pPr>
          </w:p>
        </w:tc>
        <w:tc>
          <w:tcPr>
            <w:tcW w:w="778" w:type="pct"/>
            <w:tcBorders>
              <w:top w:val="nil"/>
              <w:left w:val="nil"/>
              <w:bottom w:val="single" w:sz="8" w:space="0" w:color="auto"/>
              <w:right w:val="nil"/>
            </w:tcBorders>
            <w:shd w:val="clear" w:color="000000" w:fill="FFFFFF"/>
            <w:noWrap/>
            <w:vAlign w:val="center"/>
            <w:hideMark/>
          </w:tcPr>
          <w:p w14:paraId="3E13E0B0" w14:textId="77777777" w:rsidR="00A71608" w:rsidRPr="00A71608" w:rsidRDefault="00A71608" w:rsidP="00A71608">
            <w:pPr>
              <w:jc w:val="center"/>
              <w:rPr>
                <w:b/>
                <w:bCs/>
                <w:lang w:eastAsia="es-CR"/>
              </w:rPr>
            </w:pPr>
            <w:r w:rsidRPr="00A71608">
              <w:rPr>
                <w:rFonts w:eastAsia="Calibri"/>
                <w:b/>
                <w:bCs/>
              </w:rPr>
              <w:t>2018</w:t>
            </w:r>
          </w:p>
        </w:tc>
        <w:tc>
          <w:tcPr>
            <w:tcW w:w="778" w:type="pct"/>
            <w:tcBorders>
              <w:top w:val="nil"/>
              <w:left w:val="nil"/>
              <w:bottom w:val="single" w:sz="8" w:space="0" w:color="auto"/>
              <w:right w:val="nil"/>
            </w:tcBorders>
            <w:shd w:val="clear" w:color="000000" w:fill="FFFFFF"/>
            <w:noWrap/>
            <w:vAlign w:val="center"/>
            <w:hideMark/>
          </w:tcPr>
          <w:p w14:paraId="1B9F8759" w14:textId="77777777" w:rsidR="00A71608" w:rsidRPr="00A71608" w:rsidRDefault="00A71608" w:rsidP="00A71608">
            <w:pPr>
              <w:jc w:val="center"/>
              <w:rPr>
                <w:b/>
                <w:bCs/>
                <w:lang w:eastAsia="es-CR"/>
              </w:rPr>
            </w:pPr>
            <w:r w:rsidRPr="00A71608">
              <w:rPr>
                <w:rFonts w:eastAsia="Calibri"/>
                <w:b/>
                <w:bCs/>
              </w:rPr>
              <w:t>2019</w:t>
            </w:r>
          </w:p>
        </w:tc>
        <w:tc>
          <w:tcPr>
            <w:tcW w:w="778" w:type="pct"/>
            <w:tcBorders>
              <w:top w:val="nil"/>
              <w:left w:val="nil"/>
              <w:bottom w:val="single" w:sz="8" w:space="0" w:color="auto"/>
              <w:right w:val="nil"/>
            </w:tcBorders>
            <w:shd w:val="clear" w:color="000000" w:fill="FFFFFF"/>
            <w:noWrap/>
            <w:vAlign w:val="center"/>
            <w:hideMark/>
          </w:tcPr>
          <w:p w14:paraId="521818C7" w14:textId="77777777" w:rsidR="00A71608" w:rsidRPr="00A71608" w:rsidRDefault="00A71608" w:rsidP="00A71608">
            <w:pPr>
              <w:jc w:val="center"/>
              <w:rPr>
                <w:b/>
                <w:bCs/>
                <w:lang w:eastAsia="es-CR"/>
              </w:rPr>
            </w:pPr>
            <w:r w:rsidRPr="00A71608">
              <w:rPr>
                <w:rFonts w:eastAsia="Calibri"/>
                <w:b/>
                <w:bCs/>
              </w:rPr>
              <w:t>2020</w:t>
            </w:r>
          </w:p>
        </w:tc>
        <w:tc>
          <w:tcPr>
            <w:tcW w:w="704" w:type="pct"/>
            <w:tcBorders>
              <w:top w:val="nil"/>
              <w:left w:val="nil"/>
              <w:bottom w:val="single" w:sz="8" w:space="0" w:color="auto"/>
              <w:right w:val="nil"/>
            </w:tcBorders>
            <w:shd w:val="clear" w:color="000000" w:fill="FFFFFF"/>
            <w:noWrap/>
            <w:vAlign w:val="center"/>
            <w:hideMark/>
          </w:tcPr>
          <w:p w14:paraId="017B7405" w14:textId="77777777" w:rsidR="00A71608" w:rsidRPr="00A71608" w:rsidRDefault="00A71608" w:rsidP="00A71608">
            <w:pPr>
              <w:jc w:val="center"/>
              <w:rPr>
                <w:b/>
                <w:bCs/>
                <w:lang w:eastAsia="es-CR"/>
              </w:rPr>
            </w:pPr>
            <w:r w:rsidRPr="00A71608">
              <w:rPr>
                <w:b/>
                <w:bCs/>
                <w:lang w:eastAsia="es-CR"/>
              </w:rPr>
              <w:t>Absoluta</w:t>
            </w:r>
          </w:p>
        </w:tc>
        <w:tc>
          <w:tcPr>
            <w:tcW w:w="852" w:type="pct"/>
            <w:tcBorders>
              <w:top w:val="nil"/>
              <w:left w:val="nil"/>
              <w:bottom w:val="single" w:sz="8" w:space="0" w:color="auto"/>
              <w:right w:val="nil"/>
            </w:tcBorders>
            <w:shd w:val="clear" w:color="000000" w:fill="FFFFFF"/>
            <w:noWrap/>
            <w:vAlign w:val="center"/>
            <w:hideMark/>
          </w:tcPr>
          <w:p w14:paraId="781EA29A" w14:textId="77777777" w:rsidR="00A71608" w:rsidRPr="00A71608" w:rsidRDefault="00A71608" w:rsidP="00A71608">
            <w:pPr>
              <w:jc w:val="center"/>
              <w:rPr>
                <w:b/>
                <w:bCs/>
                <w:lang w:eastAsia="es-CR"/>
              </w:rPr>
            </w:pPr>
            <w:r w:rsidRPr="00A71608">
              <w:rPr>
                <w:b/>
                <w:bCs/>
                <w:lang w:eastAsia="es-CR"/>
              </w:rPr>
              <w:t>Porcentual</w:t>
            </w:r>
          </w:p>
        </w:tc>
      </w:tr>
      <w:tr w:rsidR="00A71608" w:rsidRPr="00A71608" w14:paraId="5B5E1601" w14:textId="77777777" w:rsidTr="00A71608">
        <w:trPr>
          <w:trHeight w:val="320"/>
        </w:trPr>
        <w:tc>
          <w:tcPr>
            <w:tcW w:w="1110" w:type="pct"/>
            <w:tcBorders>
              <w:top w:val="nil"/>
              <w:left w:val="nil"/>
              <w:bottom w:val="nil"/>
              <w:right w:val="nil"/>
            </w:tcBorders>
            <w:shd w:val="clear" w:color="000000" w:fill="FFFFFF"/>
            <w:noWrap/>
            <w:vAlign w:val="center"/>
            <w:hideMark/>
          </w:tcPr>
          <w:p w14:paraId="1F0936DE" w14:textId="77777777" w:rsidR="00A71608" w:rsidRPr="00A71608" w:rsidRDefault="00A71608" w:rsidP="00A71608">
            <w:pPr>
              <w:jc w:val="center"/>
              <w:rPr>
                <w:b/>
                <w:bCs/>
                <w:lang w:eastAsia="es-CR"/>
              </w:rPr>
            </w:pPr>
            <w:r w:rsidRPr="00A71608">
              <w:rPr>
                <w:b/>
                <w:bCs/>
                <w:lang w:eastAsia="es-CR"/>
              </w:rPr>
              <w:t> </w:t>
            </w:r>
          </w:p>
        </w:tc>
        <w:tc>
          <w:tcPr>
            <w:tcW w:w="778" w:type="pct"/>
            <w:tcBorders>
              <w:top w:val="nil"/>
              <w:left w:val="nil"/>
              <w:bottom w:val="nil"/>
              <w:right w:val="nil"/>
            </w:tcBorders>
            <w:shd w:val="clear" w:color="000000" w:fill="FFFFFF"/>
            <w:noWrap/>
            <w:vAlign w:val="center"/>
            <w:hideMark/>
          </w:tcPr>
          <w:p w14:paraId="3F8AA2A3" w14:textId="77777777" w:rsidR="00A71608" w:rsidRPr="00A71608" w:rsidRDefault="00A71608" w:rsidP="00A71608">
            <w:pPr>
              <w:jc w:val="center"/>
              <w:rPr>
                <w:b/>
                <w:bCs/>
                <w:lang w:eastAsia="es-CR"/>
              </w:rPr>
            </w:pPr>
            <w:r w:rsidRPr="00A71608">
              <w:rPr>
                <w:b/>
                <w:bCs/>
                <w:lang w:eastAsia="es-CR"/>
              </w:rPr>
              <w:t> </w:t>
            </w:r>
          </w:p>
        </w:tc>
        <w:tc>
          <w:tcPr>
            <w:tcW w:w="778" w:type="pct"/>
            <w:tcBorders>
              <w:top w:val="nil"/>
              <w:left w:val="nil"/>
              <w:bottom w:val="nil"/>
              <w:right w:val="nil"/>
            </w:tcBorders>
            <w:shd w:val="clear" w:color="000000" w:fill="FFFFFF"/>
            <w:noWrap/>
            <w:vAlign w:val="center"/>
            <w:hideMark/>
          </w:tcPr>
          <w:p w14:paraId="448E25B3" w14:textId="77777777" w:rsidR="00A71608" w:rsidRPr="00A71608" w:rsidRDefault="00A71608" w:rsidP="00A71608">
            <w:pPr>
              <w:jc w:val="center"/>
              <w:rPr>
                <w:b/>
                <w:bCs/>
                <w:lang w:eastAsia="es-CR"/>
              </w:rPr>
            </w:pPr>
            <w:r w:rsidRPr="00A71608">
              <w:rPr>
                <w:b/>
                <w:bCs/>
                <w:lang w:eastAsia="es-CR"/>
              </w:rPr>
              <w:t> </w:t>
            </w:r>
          </w:p>
        </w:tc>
        <w:tc>
          <w:tcPr>
            <w:tcW w:w="778" w:type="pct"/>
            <w:tcBorders>
              <w:top w:val="nil"/>
              <w:left w:val="nil"/>
              <w:bottom w:val="nil"/>
              <w:right w:val="nil"/>
            </w:tcBorders>
            <w:shd w:val="clear" w:color="000000" w:fill="FFFFFF"/>
            <w:noWrap/>
            <w:vAlign w:val="center"/>
            <w:hideMark/>
          </w:tcPr>
          <w:p w14:paraId="1C491FBE" w14:textId="77777777" w:rsidR="00A71608" w:rsidRPr="00A71608" w:rsidRDefault="00A71608" w:rsidP="00A71608">
            <w:pPr>
              <w:jc w:val="center"/>
              <w:rPr>
                <w:b/>
                <w:bCs/>
                <w:lang w:eastAsia="es-CR"/>
              </w:rPr>
            </w:pPr>
            <w:r w:rsidRPr="00A71608">
              <w:rPr>
                <w:b/>
                <w:bCs/>
                <w:lang w:eastAsia="es-CR"/>
              </w:rPr>
              <w:t> </w:t>
            </w:r>
          </w:p>
        </w:tc>
        <w:tc>
          <w:tcPr>
            <w:tcW w:w="704" w:type="pct"/>
            <w:tcBorders>
              <w:top w:val="nil"/>
              <w:left w:val="dashed" w:sz="8" w:space="0" w:color="auto"/>
              <w:bottom w:val="nil"/>
              <w:right w:val="nil"/>
            </w:tcBorders>
            <w:shd w:val="clear" w:color="000000" w:fill="FFFFFF"/>
            <w:noWrap/>
            <w:vAlign w:val="center"/>
            <w:hideMark/>
          </w:tcPr>
          <w:p w14:paraId="3C537C16" w14:textId="77777777" w:rsidR="00A71608" w:rsidRPr="00A71608" w:rsidRDefault="00A71608" w:rsidP="00A71608">
            <w:pPr>
              <w:jc w:val="right"/>
              <w:rPr>
                <w:lang w:eastAsia="es-CR"/>
              </w:rPr>
            </w:pPr>
            <w:r w:rsidRPr="00A71608">
              <w:rPr>
                <w:lang w:eastAsia="es-CR"/>
              </w:rPr>
              <w:t> </w:t>
            </w:r>
          </w:p>
        </w:tc>
        <w:tc>
          <w:tcPr>
            <w:tcW w:w="852" w:type="pct"/>
            <w:tcBorders>
              <w:top w:val="nil"/>
              <w:left w:val="nil"/>
              <w:bottom w:val="nil"/>
              <w:right w:val="nil"/>
            </w:tcBorders>
            <w:shd w:val="clear" w:color="000000" w:fill="FFFFFF"/>
            <w:noWrap/>
            <w:vAlign w:val="center"/>
            <w:hideMark/>
          </w:tcPr>
          <w:p w14:paraId="69CC3D71" w14:textId="77777777" w:rsidR="00A71608" w:rsidRPr="00A71608" w:rsidRDefault="00A71608" w:rsidP="00A71608">
            <w:pPr>
              <w:jc w:val="center"/>
              <w:rPr>
                <w:b/>
                <w:bCs/>
                <w:lang w:eastAsia="es-CR"/>
              </w:rPr>
            </w:pPr>
            <w:r w:rsidRPr="00A71608">
              <w:rPr>
                <w:b/>
                <w:bCs/>
                <w:lang w:eastAsia="es-CR"/>
              </w:rPr>
              <w:t> </w:t>
            </w:r>
          </w:p>
        </w:tc>
      </w:tr>
      <w:tr w:rsidR="00A71608" w:rsidRPr="00A71608" w14:paraId="26669674" w14:textId="77777777" w:rsidTr="00A71608">
        <w:trPr>
          <w:trHeight w:val="320"/>
        </w:trPr>
        <w:tc>
          <w:tcPr>
            <w:tcW w:w="1110" w:type="pct"/>
            <w:tcBorders>
              <w:top w:val="nil"/>
              <w:left w:val="nil"/>
              <w:bottom w:val="nil"/>
              <w:right w:val="nil"/>
            </w:tcBorders>
            <w:shd w:val="clear" w:color="000000" w:fill="FFFFFF"/>
            <w:noWrap/>
            <w:vAlign w:val="center"/>
            <w:hideMark/>
          </w:tcPr>
          <w:p w14:paraId="437F0B2A" w14:textId="77777777" w:rsidR="00A71608" w:rsidRPr="00A71608" w:rsidRDefault="00A71608" w:rsidP="00A71608">
            <w:pPr>
              <w:jc w:val="center"/>
              <w:rPr>
                <w:b/>
                <w:bCs/>
                <w:lang w:eastAsia="es-CR"/>
              </w:rPr>
            </w:pPr>
            <w:r w:rsidRPr="00A71608">
              <w:rPr>
                <w:b/>
                <w:bCs/>
                <w:lang w:eastAsia="es-CR"/>
              </w:rPr>
              <w:t>Total</w:t>
            </w:r>
          </w:p>
        </w:tc>
        <w:tc>
          <w:tcPr>
            <w:tcW w:w="778" w:type="pct"/>
            <w:tcBorders>
              <w:top w:val="nil"/>
              <w:left w:val="nil"/>
              <w:bottom w:val="nil"/>
              <w:right w:val="nil"/>
            </w:tcBorders>
            <w:shd w:val="clear" w:color="000000" w:fill="FFFFFF"/>
            <w:noWrap/>
            <w:vAlign w:val="center"/>
            <w:hideMark/>
          </w:tcPr>
          <w:p w14:paraId="7BDC2C30" w14:textId="77777777" w:rsidR="00A71608" w:rsidRPr="00A71608" w:rsidRDefault="00A71608" w:rsidP="00A71608">
            <w:pPr>
              <w:jc w:val="center"/>
              <w:rPr>
                <w:b/>
                <w:bCs/>
                <w:lang w:eastAsia="es-CR"/>
              </w:rPr>
            </w:pPr>
            <w:r w:rsidRPr="00A71608">
              <w:rPr>
                <w:b/>
                <w:bCs/>
                <w:lang w:eastAsia="es-CR"/>
              </w:rPr>
              <w:t>38 008</w:t>
            </w:r>
          </w:p>
        </w:tc>
        <w:tc>
          <w:tcPr>
            <w:tcW w:w="778" w:type="pct"/>
            <w:tcBorders>
              <w:top w:val="nil"/>
              <w:left w:val="nil"/>
              <w:bottom w:val="nil"/>
              <w:right w:val="nil"/>
            </w:tcBorders>
            <w:shd w:val="clear" w:color="000000" w:fill="FFFFFF"/>
            <w:noWrap/>
            <w:vAlign w:val="center"/>
            <w:hideMark/>
          </w:tcPr>
          <w:p w14:paraId="489816C9" w14:textId="77777777" w:rsidR="00A71608" w:rsidRPr="00A71608" w:rsidRDefault="00A71608" w:rsidP="00A71608">
            <w:pPr>
              <w:jc w:val="center"/>
              <w:rPr>
                <w:b/>
                <w:bCs/>
                <w:lang w:eastAsia="es-CR"/>
              </w:rPr>
            </w:pPr>
            <w:r w:rsidRPr="00A71608">
              <w:rPr>
                <w:b/>
                <w:bCs/>
                <w:lang w:eastAsia="es-CR"/>
              </w:rPr>
              <w:t>35 435</w:t>
            </w:r>
          </w:p>
        </w:tc>
        <w:tc>
          <w:tcPr>
            <w:tcW w:w="778" w:type="pct"/>
            <w:tcBorders>
              <w:top w:val="nil"/>
              <w:left w:val="nil"/>
              <w:bottom w:val="nil"/>
              <w:right w:val="nil"/>
            </w:tcBorders>
            <w:shd w:val="clear" w:color="000000" w:fill="FFFFFF"/>
            <w:noWrap/>
            <w:vAlign w:val="center"/>
            <w:hideMark/>
          </w:tcPr>
          <w:p w14:paraId="0DAF05D9" w14:textId="77777777" w:rsidR="00A71608" w:rsidRPr="00A71608" w:rsidRDefault="00A71608" w:rsidP="00A71608">
            <w:pPr>
              <w:jc w:val="center"/>
              <w:rPr>
                <w:b/>
                <w:bCs/>
                <w:lang w:eastAsia="es-CR"/>
              </w:rPr>
            </w:pPr>
            <w:r w:rsidRPr="00A71608">
              <w:rPr>
                <w:b/>
                <w:bCs/>
                <w:lang w:eastAsia="es-CR"/>
              </w:rPr>
              <w:t>30 910</w:t>
            </w:r>
          </w:p>
        </w:tc>
        <w:tc>
          <w:tcPr>
            <w:tcW w:w="704" w:type="pct"/>
            <w:tcBorders>
              <w:top w:val="nil"/>
              <w:left w:val="dashed" w:sz="8" w:space="0" w:color="auto"/>
              <w:bottom w:val="nil"/>
              <w:right w:val="nil"/>
            </w:tcBorders>
            <w:shd w:val="clear" w:color="000000" w:fill="FFFFFF"/>
            <w:noWrap/>
            <w:vAlign w:val="center"/>
            <w:hideMark/>
          </w:tcPr>
          <w:p w14:paraId="0E800DBB" w14:textId="77777777" w:rsidR="00A71608" w:rsidRPr="00A71608" w:rsidRDefault="00A71608" w:rsidP="00A71608">
            <w:pPr>
              <w:jc w:val="right"/>
              <w:rPr>
                <w:lang w:eastAsia="es-CR"/>
              </w:rPr>
            </w:pPr>
            <w:r w:rsidRPr="00A71608">
              <w:rPr>
                <w:lang w:eastAsia="es-CR"/>
              </w:rPr>
              <w:t> </w:t>
            </w:r>
          </w:p>
        </w:tc>
        <w:tc>
          <w:tcPr>
            <w:tcW w:w="852" w:type="pct"/>
            <w:tcBorders>
              <w:top w:val="nil"/>
              <w:left w:val="nil"/>
              <w:bottom w:val="nil"/>
              <w:right w:val="nil"/>
            </w:tcBorders>
            <w:shd w:val="clear" w:color="000000" w:fill="FFFFFF"/>
            <w:noWrap/>
            <w:vAlign w:val="center"/>
            <w:hideMark/>
          </w:tcPr>
          <w:p w14:paraId="619B85BD" w14:textId="77777777" w:rsidR="00A71608" w:rsidRPr="00A71608" w:rsidRDefault="00A71608" w:rsidP="00A71608">
            <w:pPr>
              <w:jc w:val="center"/>
              <w:rPr>
                <w:b/>
                <w:bCs/>
                <w:lang w:eastAsia="es-CR"/>
              </w:rPr>
            </w:pPr>
            <w:r w:rsidRPr="00A71608">
              <w:rPr>
                <w:b/>
                <w:bCs/>
                <w:lang w:eastAsia="es-CR"/>
              </w:rPr>
              <w:t> </w:t>
            </w:r>
          </w:p>
        </w:tc>
      </w:tr>
      <w:tr w:rsidR="00A71608" w:rsidRPr="00A71608" w14:paraId="0476E84E" w14:textId="77777777" w:rsidTr="00A71608">
        <w:trPr>
          <w:trHeight w:val="310"/>
        </w:trPr>
        <w:tc>
          <w:tcPr>
            <w:tcW w:w="1110" w:type="pct"/>
            <w:tcBorders>
              <w:top w:val="nil"/>
              <w:left w:val="nil"/>
              <w:bottom w:val="nil"/>
              <w:right w:val="nil"/>
            </w:tcBorders>
            <w:shd w:val="clear" w:color="000000" w:fill="FFFFFF"/>
            <w:noWrap/>
            <w:vAlign w:val="center"/>
            <w:hideMark/>
          </w:tcPr>
          <w:p w14:paraId="48A69E1B" w14:textId="77777777" w:rsidR="00A71608" w:rsidRPr="00A71608" w:rsidRDefault="00A71608" w:rsidP="00A71608">
            <w:pPr>
              <w:rPr>
                <w:lang w:eastAsia="es-CR"/>
              </w:rPr>
            </w:pPr>
            <w:r w:rsidRPr="00A71608">
              <w:rPr>
                <w:rFonts w:eastAsia="Calibri"/>
              </w:rPr>
              <w:t>Documentos Dudosos</w:t>
            </w:r>
          </w:p>
        </w:tc>
        <w:tc>
          <w:tcPr>
            <w:tcW w:w="778" w:type="pct"/>
            <w:tcBorders>
              <w:top w:val="nil"/>
              <w:left w:val="nil"/>
              <w:bottom w:val="nil"/>
              <w:right w:val="nil"/>
            </w:tcBorders>
            <w:shd w:val="clear" w:color="000000" w:fill="FFFFFF"/>
            <w:noWrap/>
            <w:vAlign w:val="center"/>
            <w:hideMark/>
          </w:tcPr>
          <w:p w14:paraId="3B0C53F7" w14:textId="77777777" w:rsidR="00A71608" w:rsidRPr="00A71608" w:rsidRDefault="00A71608" w:rsidP="00A71608">
            <w:pPr>
              <w:jc w:val="center"/>
              <w:rPr>
                <w:lang w:eastAsia="es-CR"/>
              </w:rPr>
            </w:pPr>
            <w:r w:rsidRPr="00A71608">
              <w:rPr>
                <w:rFonts w:eastAsia="Calibri"/>
              </w:rPr>
              <w:t>1 019</w:t>
            </w:r>
          </w:p>
        </w:tc>
        <w:tc>
          <w:tcPr>
            <w:tcW w:w="778" w:type="pct"/>
            <w:tcBorders>
              <w:top w:val="nil"/>
              <w:left w:val="nil"/>
              <w:bottom w:val="nil"/>
              <w:right w:val="nil"/>
            </w:tcBorders>
            <w:shd w:val="clear" w:color="000000" w:fill="FFFFFF"/>
            <w:noWrap/>
            <w:vAlign w:val="center"/>
            <w:hideMark/>
          </w:tcPr>
          <w:p w14:paraId="62FE029F" w14:textId="77777777" w:rsidR="00A71608" w:rsidRPr="00A71608" w:rsidRDefault="00A71608" w:rsidP="00A71608">
            <w:pPr>
              <w:jc w:val="center"/>
              <w:rPr>
                <w:lang w:eastAsia="es-CR"/>
              </w:rPr>
            </w:pPr>
            <w:r w:rsidRPr="00A71608">
              <w:rPr>
                <w:rFonts w:eastAsia="Calibri"/>
              </w:rPr>
              <w:t>872</w:t>
            </w:r>
          </w:p>
        </w:tc>
        <w:tc>
          <w:tcPr>
            <w:tcW w:w="778" w:type="pct"/>
            <w:tcBorders>
              <w:top w:val="nil"/>
              <w:left w:val="nil"/>
              <w:bottom w:val="nil"/>
              <w:right w:val="nil"/>
            </w:tcBorders>
            <w:shd w:val="clear" w:color="000000" w:fill="FFFFFF"/>
            <w:noWrap/>
            <w:vAlign w:val="center"/>
            <w:hideMark/>
          </w:tcPr>
          <w:p w14:paraId="45B76A13" w14:textId="77777777" w:rsidR="00A71608" w:rsidRPr="00A71608" w:rsidRDefault="00A71608" w:rsidP="00A71608">
            <w:pPr>
              <w:jc w:val="center"/>
              <w:rPr>
                <w:lang w:eastAsia="es-CR"/>
              </w:rPr>
            </w:pPr>
            <w:r w:rsidRPr="00A71608">
              <w:rPr>
                <w:lang w:eastAsia="es-CR"/>
              </w:rPr>
              <w:t>688</w:t>
            </w:r>
          </w:p>
        </w:tc>
        <w:tc>
          <w:tcPr>
            <w:tcW w:w="704" w:type="pct"/>
            <w:tcBorders>
              <w:top w:val="nil"/>
              <w:left w:val="dashed" w:sz="8" w:space="0" w:color="auto"/>
              <w:bottom w:val="nil"/>
              <w:right w:val="nil"/>
            </w:tcBorders>
            <w:shd w:val="clear" w:color="000000" w:fill="FFFFFF"/>
            <w:noWrap/>
            <w:vAlign w:val="center"/>
            <w:hideMark/>
          </w:tcPr>
          <w:p w14:paraId="286D2C5A" w14:textId="77777777" w:rsidR="00A71608" w:rsidRPr="00A71608" w:rsidRDefault="00A71608" w:rsidP="00A71608">
            <w:pPr>
              <w:jc w:val="right"/>
              <w:rPr>
                <w:lang w:eastAsia="es-CR"/>
              </w:rPr>
            </w:pPr>
            <w:r w:rsidRPr="00A71608">
              <w:rPr>
                <w:lang w:eastAsia="es-CR"/>
              </w:rPr>
              <w:t>-184</w:t>
            </w:r>
          </w:p>
        </w:tc>
        <w:tc>
          <w:tcPr>
            <w:tcW w:w="852" w:type="pct"/>
            <w:tcBorders>
              <w:top w:val="nil"/>
              <w:left w:val="nil"/>
              <w:bottom w:val="nil"/>
              <w:right w:val="nil"/>
            </w:tcBorders>
            <w:shd w:val="clear" w:color="000000" w:fill="FFFFFF"/>
            <w:noWrap/>
            <w:vAlign w:val="center"/>
            <w:hideMark/>
          </w:tcPr>
          <w:p w14:paraId="7F4B3D2D" w14:textId="77777777" w:rsidR="00A71608" w:rsidRPr="00A71608" w:rsidRDefault="00A71608" w:rsidP="00A71608">
            <w:pPr>
              <w:jc w:val="right"/>
              <w:rPr>
                <w:lang w:eastAsia="es-CR"/>
              </w:rPr>
            </w:pPr>
            <w:r w:rsidRPr="00A71608">
              <w:rPr>
                <w:lang w:eastAsia="es-CR"/>
              </w:rPr>
              <w:t>-21,1</w:t>
            </w:r>
          </w:p>
        </w:tc>
      </w:tr>
      <w:tr w:rsidR="00A71608" w:rsidRPr="00A71608" w14:paraId="31A38090" w14:textId="77777777" w:rsidTr="00A71608">
        <w:trPr>
          <w:trHeight w:val="310"/>
        </w:trPr>
        <w:tc>
          <w:tcPr>
            <w:tcW w:w="1110" w:type="pct"/>
            <w:tcBorders>
              <w:top w:val="nil"/>
              <w:left w:val="nil"/>
              <w:bottom w:val="nil"/>
              <w:right w:val="nil"/>
            </w:tcBorders>
            <w:shd w:val="clear" w:color="000000" w:fill="FFFFFF"/>
            <w:noWrap/>
            <w:vAlign w:val="center"/>
            <w:hideMark/>
          </w:tcPr>
          <w:p w14:paraId="60BA9CAD" w14:textId="77777777" w:rsidR="00A71608" w:rsidRPr="00A71608" w:rsidRDefault="00A71608" w:rsidP="00A71608">
            <w:pPr>
              <w:rPr>
                <w:lang w:eastAsia="es-CR"/>
              </w:rPr>
            </w:pPr>
            <w:r w:rsidRPr="00A71608">
              <w:rPr>
                <w:rFonts w:eastAsia="Calibri"/>
              </w:rPr>
              <w:t>Biología Forense</w:t>
            </w:r>
          </w:p>
        </w:tc>
        <w:tc>
          <w:tcPr>
            <w:tcW w:w="778" w:type="pct"/>
            <w:tcBorders>
              <w:top w:val="nil"/>
              <w:left w:val="nil"/>
              <w:bottom w:val="nil"/>
              <w:right w:val="nil"/>
            </w:tcBorders>
            <w:shd w:val="clear" w:color="000000" w:fill="FFFFFF"/>
            <w:noWrap/>
            <w:vAlign w:val="center"/>
            <w:hideMark/>
          </w:tcPr>
          <w:p w14:paraId="7219765B" w14:textId="77777777" w:rsidR="00A71608" w:rsidRPr="00A71608" w:rsidRDefault="00A71608" w:rsidP="00A71608">
            <w:pPr>
              <w:jc w:val="center"/>
              <w:rPr>
                <w:lang w:eastAsia="es-CR"/>
              </w:rPr>
            </w:pPr>
            <w:r w:rsidRPr="00A71608">
              <w:rPr>
                <w:rFonts w:eastAsia="Calibri"/>
              </w:rPr>
              <w:t>3 615</w:t>
            </w:r>
          </w:p>
        </w:tc>
        <w:tc>
          <w:tcPr>
            <w:tcW w:w="778" w:type="pct"/>
            <w:tcBorders>
              <w:top w:val="nil"/>
              <w:left w:val="nil"/>
              <w:bottom w:val="nil"/>
              <w:right w:val="nil"/>
            </w:tcBorders>
            <w:shd w:val="clear" w:color="000000" w:fill="FFFFFF"/>
            <w:noWrap/>
            <w:vAlign w:val="center"/>
            <w:hideMark/>
          </w:tcPr>
          <w:p w14:paraId="55DE7545" w14:textId="77777777" w:rsidR="00A71608" w:rsidRPr="00A71608" w:rsidRDefault="00A71608" w:rsidP="00A71608">
            <w:pPr>
              <w:jc w:val="center"/>
              <w:rPr>
                <w:lang w:eastAsia="es-CR"/>
              </w:rPr>
            </w:pPr>
            <w:r w:rsidRPr="00A71608">
              <w:rPr>
                <w:rFonts w:eastAsia="Calibri"/>
              </w:rPr>
              <w:t>2 675</w:t>
            </w:r>
          </w:p>
        </w:tc>
        <w:tc>
          <w:tcPr>
            <w:tcW w:w="778" w:type="pct"/>
            <w:tcBorders>
              <w:top w:val="nil"/>
              <w:left w:val="nil"/>
              <w:bottom w:val="nil"/>
              <w:right w:val="nil"/>
            </w:tcBorders>
            <w:shd w:val="clear" w:color="000000" w:fill="FFFFFF"/>
            <w:noWrap/>
            <w:vAlign w:val="center"/>
            <w:hideMark/>
          </w:tcPr>
          <w:p w14:paraId="5245CDC7" w14:textId="77777777" w:rsidR="00A71608" w:rsidRPr="00A71608" w:rsidRDefault="00A71608" w:rsidP="00A71608">
            <w:pPr>
              <w:jc w:val="center"/>
              <w:rPr>
                <w:lang w:eastAsia="es-CR"/>
              </w:rPr>
            </w:pPr>
            <w:r w:rsidRPr="00A71608">
              <w:rPr>
                <w:lang w:eastAsia="es-CR"/>
              </w:rPr>
              <w:t>2 282</w:t>
            </w:r>
          </w:p>
        </w:tc>
        <w:tc>
          <w:tcPr>
            <w:tcW w:w="704" w:type="pct"/>
            <w:tcBorders>
              <w:top w:val="nil"/>
              <w:left w:val="dashed" w:sz="8" w:space="0" w:color="auto"/>
              <w:bottom w:val="nil"/>
              <w:right w:val="nil"/>
            </w:tcBorders>
            <w:shd w:val="clear" w:color="000000" w:fill="FFFFFF"/>
            <w:noWrap/>
            <w:vAlign w:val="center"/>
            <w:hideMark/>
          </w:tcPr>
          <w:p w14:paraId="5AF432D8" w14:textId="77777777" w:rsidR="00A71608" w:rsidRPr="00A71608" w:rsidRDefault="00A71608" w:rsidP="00A71608">
            <w:pPr>
              <w:jc w:val="right"/>
              <w:rPr>
                <w:lang w:eastAsia="es-CR"/>
              </w:rPr>
            </w:pPr>
            <w:r w:rsidRPr="00A71608">
              <w:rPr>
                <w:lang w:eastAsia="es-CR"/>
              </w:rPr>
              <w:t>-393</w:t>
            </w:r>
          </w:p>
        </w:tc>
        <w:tc>
          <w:tcPr>
            <w:tcW w:w="852" w:type="pct"/>
            <w:tcBorders>
              <w:top w:val="nil"/>
              <w:left w:val="nil"/>
              <w:bottom w:val="nil"/>
              <w:right w:val="nil"/>
            </w:tcBorders>
            <w:shd w:val="clear" w:color="000000" w:fill="FFFFFF"/>
            <w:noWrap/>
            <w:vAlign w:val="center"/>
            <w:hideMark/>
          </w:tcPr>
          <w:p w14:paraId="654F635B" w14:textId="77777777" w:rsidR="00A71608" w:rsidRPr="00A71608" w:rsidRDefault="00A71608" w:rsidP="00A71608">
            <w:pPr>
              <w:jc w:val="right"/>
              <w:rPr>
                <w:lang w:eastAsia="es-CR"/>
              </w:rPr>
            </w:pPr>
            <w:r w:rsidRPr="00A71608">
              <w:rPr>
                <w:lang w:eastAsia="es-CR"/>
              </w:rPr>
              <w:t>-14,7</w:t>
            </w:r>
          </w:p>
        </w:tc>
      </w:tr>
      <w:tr w:rsidR="00A71608" w:rsidRPr="00A71608" w14:paraId="3375D147" w14:textId="77777777" w:rsidTr="00A71608">
        <w:trPr>
          <w:trHeight w:val="310"/>
        </w:trPr>
        <w:tc>
          <w:tcPr>
            <w:tcW w:w="1110" w:type="pct"/>
            <w:tcBorders>
              <w:top w:val="nil"/>
              <w:left w:val="nil"/>
              <w:bottom w:val="nil"/>
              <w:right w:val="nil"/>
            </w:tcBorders>
            <w:shd w:val="clear" w:color="000000" w:fill="FFFFFF"/>
            <w:noWrap/>
            <w:vAlign w:val="center"/>
            <w:hideMark/>
          </w:tcPr>
          <w:p w14:paraId="6887DA5E" w14:textId="77777777" w:rsidR="00A71608" w:rsidRPr="00A71608" w:rsidRDefault="00A71608" w:rsidP="00A71608">
            <w:pPr>
              <w:rPr>
                <w:lang w:eastAsia="es-CR"/>
              </w:rPr>
            </w:pPr>
            <w:r w:rsidRPr="00A71608">
              <w:rPr>
                <w:rFonts w:eastAsia="Calibri"/>
              </w:rPr>
              <w:t>Bioquímica</w:t>
            </w:r>
          </w:p>
        </w:tc>
        <w:tc>
          <w:tcPr>
            <w:tcW w:w="778" w:type="pct"/>
            <w:tcBorders>
              <w:top w:val="nil"/>
              <w:left w:val="nil"/>
              <w:bottom w:val="nil"/>
              <w:right w:val="nil"/>
            </w:tcBorders>
            <w:shd w:val="clear" w:color="000000" w:fill="FFFFFF"/>
            <w:noWrap/>
            <w:vAlign w:val="center"/>
            <w:hideMark/>
          </w:tcPr>
          <w:p w14:paraId="3ED141FB" w14:textId="77777777" w:rsidR="00A71608" w:rsidRPr="00A71608" w:rsidRDefault="00A71608" w:rsidP="00A71608">
            <w:pPr>
              <w:jc w:val="center"/>
              <w:rPr>
                <w:lang w:eastAsia="es-CR"/>
              </w:rPr>
            </w:pPr>
            <w:r w:rsidRPr="00A71608">
              <w:rPr>
                <w:rFonts w:eastAsia="Calibri"/>
              </w:rPr>
              <w:t>12 335</w:t>
            </w:r>
          </w:p>
        </w:tc>
        <w:tc>
          <w:tcPr>
            <w:tcW w:w="778" w:type="pct"/>
            <w:tcBorders>
              <w:top w:val="nil"/>
              <w:left w:val="nil"/>
              <w:bottom w:val="nil"/>
              <w:right w:val="nil"/>
            </w:tcBorders>
            <w:shd w:val="clear" w:color="000000" w:fill="FFFFFF"/>
            <w:noWrap/>
            <w:vAlign w:val="center"/>
            <w:hideMark/>
          </w:tcPr>
          <w:p w14:paraId="7CDD215B" w14:textId="77777777" w:rsidR="00A71608" w:rsidRPr="00A71608" w:rsidRDefault="00A71608" w:rsidP="00A71608">
            <w:pPr>
              <w:jc w:val="center"/>
              <w:rPr>
                <w:lang w:eastAsia="es-CR"/>
              </w:rPr>
            </w:pPr>
            <w:r w:rsidRPr="00A71608">
              <w:rPr>
                <w:rFonts w:eastAsia="Calibri"/>
              </w:rPr>
              <w:t>12 130</w:t>
            </w:r>
          </w:p>
        </w:tc>
        <w:tc>
          <w:tcPr>
            <w:tcW w:w="778" w:type="pct"/>
            <w:tcBorders>
              <w:top w:val="nil"/>
              <w:left w:val="nil"/>
              <w:bottom w:val="nil"/>
              <w:right w:val="nil"/>
            </w:tcBorders>
            <w:shd w:val="clear" w:color="000000" w:fill="FFFFFF"/>
            <w:noWrap/>
            <w:vAlign w:val="center"/>
            <w:hideMark/>
          </w:tcPr>
          <w:p w14:paraId="4A55A4D5" w14:textId="77777777" w:rsidR="00A71608" w:rsidRPr="00A71608" w:rsidRDefault="00A71608" w:rsidP="00A71608">
            <w:pPr>
              <w:jc w:val="center"/>
              <w:rPr>
                <w:lang w:eastAsia="es-CR"/>
              </w:rPr>
            </w:pPr>
            <w:r w:rsidRPr="00A71608">
              <w:rPr>
                <w:lang w:eastAsia="es-CR"/>
              </w:rPr>
              <w:t>10 196</w:t>
            </w:r>
          </w:p>
        </w:tc>
        <w:tc>
          <w:tcPr>
            <w:tcW w:w="704" w:type="pct"/>
            <w:tcBorders>
              <w:top w:val="nil"/>
              <w:left w:val="dashed" w:sz="8" w:space="0" w:color="auto"/>
              <w:bottom w:val="nil"/>
              <w:right w:val="nil"/>
            </w:tcBorders>
            <w:shd w:val="clear" w:color="000000" w:fill="FFFFFF"/>
            <w:noWrap/>
            <w:vAlign w:val="center"/>
            <w:hideMark/>
          </w:tcPr>
          <w:p w14:paraId="52A1541F" w14:textId="77777777" w:rsidR="00A71608" w:rsidRPr="00A71608" w:rsidRDefault="00A71608" w:rsidP="00A71608">
            <w:pPr>
              <w:jc w:val="right"/>
              <w:rPr>
                <w:lang w:eastAsia="es-CR"/>
              </w:rPr>
            </w:pPr>
            <w:r w:rsidRPr="00A71608">
              <w:rPr>
                <w:lang w:eastAsia="es-CR"/>
              </w:rPr>
              <w:t>-1 934</w:t>
            </w:r>
          </w:p>
        </w:tc>
        <w:tc>
          <w:tcPr>
            <w:tcW w:w="852" w:type="pct"/>
            <w:tcBorders>
              <w:top w:val="nil"/>
              <w:left w:val="nil"/>
              <w:bottom w:val="nil"/>
              <w:right w:val="nil"/>
            </w:tcBorders>
            <w:shd w:val="clear" w:color="000000" w:fill="FFFFFF"/>
            <w:noWrap/>
            <w:vAlign w:val="center"/>
            <w:hideMark/>
          </w:tcPr>
          <w:p w14:paraId="122513D0" w14:textId="77777777" w:rsidR="00A71608" w:rsidRPr="00A71608" w:rsidRDefault="00A71608" w:rsidP="00A71608">
            <w:pPr>
              <w:jc w:val="right"/>
              <w:rPr>
                <w:lang w:eastAsia="es-CR"/>
              </w:rPr>
            </w:pPr>
            <w:r w:rsidRPr="00A71608">
              <w:rPr>
                <w:lang w:eastAsia="es-CR"/>
              </w:rPr>
              <w:t>-15,9</w:t>
            </w:r>
          </w:p>
        </w:tc>
      </w:tr>
      <w:tr w:rsidR="00A71608" w:rsidRPr="00A71608" w14:paraId="732C3E94" w14:textId="77777777" w:rsidTr="00A71608">
        <w:trPr>
          <w:trHeight w:val="310"/>
        </w:trPr>
        <w:tc>
          <w:tcPr>
            <w:tcW w:w="1110" w:type="pct"/>
            <w:tcBorders>
              <w:top w:val="nil"/>
              <w:left w:val="nil"/>
              <w:bottom w:val="nil"/>
              <w:right w:val="nil"/>
            </w:tcBorders>
            <w:shd w:val="clear" w:color="000000" w:fill="FFFFFF"/>
            <w:noWrap/>
            <w:vAlign w:val="center"/>
            <w:hideMark/>
          </w:tcPr>
          <w:p w14:paraId="49EA6BE8" w14:textId="77777777" w:rsidR="00A71608" w:rsidRPr="00A71608" w:rsidRDefault="00A71608" w:rsidP="00A71608">
            <w:pPr>
              <w:rPr>
                <w:lang w:eastAsia="es-CR"/>
              </w:rPr>
            </w:pPr>
            <w:r w:rsidRPr="00A71608">
              <w:rPr>
                <w:rFonts w:eastAsia="Calibri"/>
              </w:rPr>
              <w:t>Pericias Físicas</w:t>
            </w:r>
          </w:p>
        </w:tc>
        <w:tc>
          <w:tcPr>
            <w:tcW w:w="778" w:type="pct"/>
            <w:tcBorders>
              <w:top w:val="nil"/>
              <w:left w:val="nil"/>
              <w:bottom w:val="nil"/>
              <w:right w:val="nil"/>
            </w:tcBorders>
            <w:shd w:val="clear" w:color="000000" w:fill="FFFFFF"/>
            <w:noWrap/>
            <w:vAlign w:val="center"/>
            <w:hideMark/>
          </w:tcPr>
          <w:p w14:paraId="413A7853" w14:textId="77777777" w:rsidR="00A71608" w:rsidRPr="00A71608" w:rsidRDefault="00A71608" w:rsidP="00A71608">
            <w:pPr>
              <w:jc w:val="center"/>
              <w:rPr>
                <w:lang w:eastAsia="es-CR"/>
              </w:rPr>
            </w:pPr>
            <w:r w:rsidRPr="00A71608">
              <w:rPr>
                <w:rFonts w:eastAsia="Calibri"/>
              </w:rPr>
              <w:t>5 601</w:t>
            </w:r>
          </w:p>
        </w:tc>
        <w:tc>
          <w:tcPr>
            <w:tcW w:w="778" w:type="pct"/>
            <w:tcBorders>
              <w:top w:val="nil"/>
              <w:left w:val="nil"/>
              <w:bottom w:val="nil"/>
              <w:right w:val="nil"/>
            </w:tcBorders>
            <w:shd w:val="clear" w:color="000000" w:fill="FFFFFF"/>
            <w:noWrap/>
            <w:vAlign w:val="center"/>
            <w:hideMark/>
          </w:tcPr>
          <w:p w14:paraId="7B26E835" w14:textId="77777777" w:rsidR="00A71608" w:rsidRPr="00A71608" w:rsidRDefault="00A71608" w:rsidP="00A71608">
            <w:pPr>
              <w:jc w:val="center"/>
              <w:rPr>
                <w:lang w:eastAsia="es-CR"/>
              </w:rPr>
            </w:pPr>
            <w:r w:rsidRPr="00A71608">
              <w:rPr>
                <w:rFonts w:eastAsia="Calibri"/>
              </w:rPr>
              <w:t>5 370</w:t>
            </w:r>
          </w:p>
        </w:tc>
        <w:tc>
          <w:tcPr>
            <w:tcW w:w="778" w:type="pct"/>
            <w:tcBorders>
              <w:top w:val="nil"/>
              <w:left w:val="nil"/>
              <w:bottom w:val="nil"/>
              <w:right w:val="nil"/>
            </w:tcBorders>
            <w:shd w:val="clear" w:color="000000" w:fill="FFFFFF"/>
            <w:noWrap/>
            <w:vAlign w:val="center"/>
            <w:hideMark/>
          </w:tcPr>
          <w:p w14:paraId="1EA73437" w14:textId="77777777" w:rsidR="00A71608" w:rsidRPr="00A71608" w:rsidRDefault="00A71608" w:rsidP="00A71608">
            <w:pPr>
              <w:jc w:val="center"/>
              <w:rPr>
                <w:lang w:eastAsia="es-CR"/>
              </w:rPr>
            </w:pPr>
            <w:r w:rsidRPr="00A71608">
              <w:rPr>
                <w:lang w:eastAsia="es-CR"/>
              </w:rPr>
              <w:t>5 231</w:t>
            </w:r>
          </w:p>
        </w:tc>
        <w:tc>
          <w:tcPr>
            <w:tcW w:w="704" w:type="pct"/>
            <w:tcBorders>
              <w:top w:val="nil"/>
              <w:left w:val="dashed" w:sz="8" w:space="0" w:color="auto"/>
              <w:bottom w:val="nil"/>
              <w:right w:val="nil"/>
            </w:tcBorders>
            <w:shd w:val="clear" w:color="000000" w:fill="FFFFFF"/>
            <w:noWrap/>
            <w:vAlign w:val="center"/>
            <w:hideMark/>
          </w:tcPr>
          <w:p w14:paraId="0F8AD84F" w14:textId="77777777" w:rsidR="00A71608" w:rsidRPr="00A71608" w:rsidRDefault="00A71608" w:rsidP="00A71608">
            <w:pPr>
              <w:jc w:val="right"/>
              <w:rPr>
                <w:lang w:eastAsia="es-CR"/>
              </w:rPr>
            </w:pPr>
            <w:r w:rsidRPr="00A71608">
              <w:rPr>
                <w:lang w:eastAsia="es-CR"/>
              </w:rPr>
              <w:t>-139</w:t>
            </w:r>
          </w:p>
        </w:tc>
        <w:tc>
          <w:tcPr>
            <w:tcW w:w="852" w:type="pct"/>
            <w:tcBorders>
              <w:top w:val="nil"/>
              <w:left w:val="nil"/>
              <w:bottom w:val="nil"/>
              <w:right w:val="nil"/>
            </w:tcBorders>
            <w:shd w:val="clear" w:color="000000" w:fill="FFFFFF"/>
            <w:noWrap/>
            <w:vAlign w:val="center"/>
            <w:hideMark/>
          </w:tcPr>
          <w:p w14:paraId="5C98F643" w14:textId="77777777" w:rsidR="00A71608" w:rsidRPr="00A71608" w:rsidRDefault="00A71608" w:rsidP="00A71608">
            <w:pPr>
              <w:jc w:val="right"/>
              <w:rPr>
                <w:lang w:eastAsia="es-CR"/>
              </w:rPr>
            </w:pPr>
            <w:r w:rsidRPr="00A71608">
              <w:rPr>
                <w:lang w:eastAsia="es-CR"/>
              </w:rPr>
              <w:t>-2,6</w:t>
            </w:r>
          </w:p>
        </w:tc>
      </w:tr>
      <w:tr w:rsidR="00A71608" w:rsidRPr="00A71608" w14:paraId="67D9E6AE" w14:textId="77777777" w:rsidTr="00A71608">
        <w:trPr>
          <w:trHeight w:val="310"/>
        </w:trPr>
        <w:tc>
          <w:tcPr>
            <w:tcW w:w="1110" w:type="pct"/>
            <w:tcBorders>
              <w:top w:val="nil"/>
              <w:left w:val="nil"/>
              <w:bottom w:val="nil"/>
              <w:right w:val="nil"/>
            </w:tcBorders>
            <w:shd w:val="clear" w:color="000000" w:fill="FFFFFF"/>
            <w:noWrap/>
            <w:vAlign w:val="center"/>
            <w:hideMark/>
          </w:tcPr>
          <w:p w14:paraId="0369B698" w14:textId="77777777" w:rsidR="00A71608" w:rsidRPr="00A71608" w:rsidRDefault="00A71608" w:rsidP="00A71608">
            <w:pPr>
              <w:rPr>
                <w:lang w:eastAsia="es-CR"/>
              </w:rPr>
            </w:pPr>
            <w:r w:rsidRPr="00A71608">
              <w:rPr>
                <w:rFonts w:eastAsia="Calibri"/>
              </w:rPr>
              <w:t>Ingeniería Forense</w:t>
            </w:r>
          </w:p>
        </w:tc>
        <w:tc>
          <w:tcPr>
            <w:tcW w:w="778" w:type="pct"/>
            <w:tcBorders>
              <w:top w:val="nil"/>
              <w:left w:val="nil"/>
              <w:bottom w:val="nil"/>
              <w:right w:val="nil"/>
            </w:tcBorders>
            <w:shd w:val="clear" w:color="000000" w:fill="FFFFFF"/>
            <w:noWrap/>
            <w:vAlign w:val="center"/>
            <w:hideMark/>
          </w:tcPr>
          <w:p w14:paraId="098E9E65" w14:textId="77777777" w:rsidR="00A71608" w:rsidRPr="00A71608" w:rsidRDefault="00A71608" w:rsidP="00A71608">
            <w:pPr>
              <w:jc w:val="center"/>
              <w:rPr>
                <w:lang w:eastAsia="es-CR"/>
              </w:rPr>
            </w:pPr>
            <w:r w:rsidRPr="00A71608">
              <w:rPr>
                <w:rFonts w:eastAsia="Calibri"/>
              </w:rPr>
              <w:t>1 339</w:t>
            </w:r>
          </w:p>
        </w:tc>
        <w:tc>
          <w:tcPr>
            <w:tcW w:w="778" w:type="pct"/>
            <w:tcBorders>
              <w:top w:val="nil"/>
              <w:left w:val="nil"/>
              <w:bottom w:val="nil"/>
              <w:right w:val="nil"/>
            </w:tcBorders>
            <w:shd w:val="clear" w:color="000000" w:fill="FFFFFF"/>
            <w:noWrap/>
            <w:vAlign w:val="center"/>
            <w:hideMark/>
          </w:tcPr>
          <w:p w14:paraId="3F5F2C82" w14:textId="77777777" w:rsidR="00A71608" w:rsidRPr="00A71608" w:rsidRDefault="00A71608" w:rsidP="00A71608">
            <w:pPr>
              <w:jc w:val="center"/>
              <w:rPr>
                <w:lang w:eastAsia="es-CR"/>
              </w:rPr>
            </w:pPr>
            <w:r w:rsidRPr="00A71608">
              <w:rPr>
                <w:rFonts w:eastAsia="Calibri"/>
              </w:rPr>
              <w:t>1 141</w:t>
            </w:r>
          </w:p>
        </w:tc>
        <w:tc>
          <w:tcPr>
            <w:tcW w:w="778" w:type="pct"/>
            <w:tcBorders>
              <w:top w:val="nil"/>
              <w:left w:val="nil"/>
              <w:bottom w:val="nil"/>
              <w:right w:val="nil"/>
            </w:tcBorders>
            <w:shd w:val="clear" w:color="000000" w:fill="FFFFFF"/>
            <w:noWrap/>
            <w:vAlign w:val="center"/>
            <w:hideMark/>
          </w:tcPr>
          <w:p w14:paraId="413B4A53" w14:textId="77777777" w:rsidR="00A71608" w:rsidRPr="00A71608" w:rsidRDefault="00A71608" w:rsidP="00A71608">
            <w:pPr>
              <w:jc w:val="center"/>
              <w:rPr>
                <w:lang w:eastAsia="es-CR"/>
              </w:rPr>
            </w:pPr>
            <w:r w:rsidRPr="00A71608">
              <w:rPr>
                <w:lang w:eastAsia="es-CR"/>
              </w:rPr>
              <w:t>1 005</w:t>
            </w:r>
          </w:p>
        </w:tc>
        <w:tc>
          <w:tcPr>
            <w:tcW w:w="704" w:type="pct"/>
            <w:tcBorders>
              <w:top w:val="nil"/>
              <w:left w:val="dashed" w:sz="8" w:space="0" w:color="auto"/>
              <w:bottom w:val="nil"/>
              <w:right w:val="nil"/>
            </w:tcBorders>
            <w:shd w:val="clear" w:color="000000" w:fill="FFFFFF"/>
            <w:noWrap/>
            <w:vAlign w:val="center"/>
            <w:hideMark/>
          </w:tcPr>
          <w:p w14:paraId="1A9F167D" w14:textId="77777777" w:rsidR="00A71608" w:rsidRPr="00A71608" w:rsidRDefault="00A71608" w:rsidP="00A71608">
            <w:pPr>
              <w:jc w:val="right"/>
              <w:rPr>
                <w:lang w:eastAsia="es-CR"/>
              </w:rPr>
            </w:pPr>
            <w:r w:rsidRPr="00A71608">
              <w:rPr>
                <w:lang w:eastAsia="es-CR"/>
              </w:rPr>
              <w:t>-136</w:t>
            </w:r>
          </w:p>
        </w:tc>
        <w:tc>
          <w:tcPr>
            <w:tcW w:w="852" w:type="pct"/>
            <w:tcBorders>
              <w:top w:val="nil"/>
              <w:left w:val="nil"/>
              <w:bottom w:val="nil"/>
              <w:right w:val="nil"/>
            </w:tcBorders>
            <w:shd w:val="clear" w:color="000000" w:fill="FFFFFF"/>
            <w:noWrap/>
            <w:vAlign w:val="center"/>
            <w:hideMark/>
          </w:tcPr>
          <w:p w14:paraId="642E860F" w14:textId="77777777" w:rsidR="00A71608" w:rsidRPr="00A71608" w:rsidRDefault="00A71608" w:rsidP="00A71608">
            <w:pPr>
              <w:jc w:val="right"/>
              <w:rPr>
                <w:lang w:eastAsia="es-CR"/>
              </w:rPr>
            </w:pPr>
            <w:r w:rsidRPr="00A71608">
              <w:rPr>
                <w:lang w:eastAsia="es-CR"/>
              </w:rPr>
              <w:t>-11,9</w:t>
            </w:r>
          </w:p>
        </w:tc>
      </w:tr>
      <w:tr w:rsidR="00A71608" w:rsidRPr="00A71608" w14:paraId="6CF56341" w14:textId="77777777" w:rsidTr="00A71608">
        <w:trPr>
          <w:trHeight w:val="310"/>
        </w:trPr>
        <w:tc>
          <w:tcPr>
            <w:tcW w:w="1110" w:type="pct"/>
            <w:tcBorders>
              <w:top w:val="nil"/>
              <w:left w:val="nil"/>
              <w:bottom w:val="nil"/>
              <w:right w:val="nil"/>
            </w:tcBorders>
            <w:shd w:val="clear" w:color="000000" w:fill="FFFFFF"/>
            <w:noWrap/>
            <w:vAlign w:val="center"/>
            <w:hideMark/>
          </w:tcPr>
          <w:p w14:paraId="2D739D5E" w14:textId="77777777" w:rsidR="00A71608" w:rsidRPr="00A71608" w:rsidRDefault="00A71608" w:rsidP="00A71608">
            <w:pPr>
              <w:rPr>
                <w:lang w:eastAsia="es-CR"/>
              </w:rPr>
            </w:pPr>
            <w:r w:rsidRPr="00A71608">
              <w:rPr>
                <w:rFonts w:eastAsia="Calibri"/>
              </w:rPr>
              <w:t>Imagen y Sonido Forense</w:t>
            </w:r>
          </w:p>
        </w:tc>
        <w:tc>
          <w:tcPr>
            <w:tcW w:w="778" w:type="pct"/>
            <w:tcBorders>
              <w:top w:val="nil"/>
              <w:left w:val="nil"/>
              <w:bottom w:val="nil"/>
              <w:right w:val="nil"/>
            </w:tcBorders>
            <w:shd w:val="clear" w:color="000000" w:fill="FFFFFF"/>
            <w:noWrap/>
            <w:vAlign w:val="center"/>
            <w:hideMark/>
          </w:tcPr>
          <w:p w14:paraId="4768F82A" w14:textId="77777777" w:rsidR="00A71608" w:rsidRPr="00A71608" w:rsidRDefault="00A71608" w:rsidP="00A71608">
            <w:pPr>
              <w:jc w:val="center"/>
              <w:rPr>
                <w:lang w:eastAsia="es-CR"/>
              </w:rPr>
            </w:pPr>
            <w:r w:rsidRPr="00A71608">
              <w:rPr>
                <w:rFonts w:eastAsia="Calibri"/>
              </w:rPr>
              <w:t>1 902</w:t>
            </w:r>
          </w:p>
        </w:tc>
        <w:tc>
          <w:tcPr>
            <w:tcW w:w="778" w:type="pct"/>
            <w:tcBorders>
              <w:top w:val="nil"/>
              <w:left w:val="nil"/>
              <w:bottom w:val="nil"/>
              <w:right w:val="nil"/>
            </w:tcBorders>
            <w:shd w:val="clear" w:color="000000" w:fill="FFFFFF"/>
            <w:noWrap/>
            <w:vAlign w:val="center"/>
            <w:hideMark/>
          </w:tcPr>
          <w:p w14:paraId="21053502" w14:textId="77777777" w:rsidR="00A71608" w:rsidRPr="00A71608" w:rsidRDefault="00A71608" w:rsidP="00A71608">
            <w:pPr>
              <w:jc w:val="center"/>
              <w:rPr>
                <w:lang w:eastAsia="es-CR"/>
              </w:rPr>
            </w:pPr>
            <w:r w:rsidRPr="00A71608">
              <w:rPr>
                <w:rFonts w:eastAsia="Calibri"/>
              </w:rPr>
              <w:t>1 394</w:t>
            </w:r>
          </w:p>
        </w:tc>
        <w:tc>
          <w:tcPr>
            <w:tcW w:w="778" w:type="pct"/>
            <w:tcBorders>
              <w:top w:val="nil"/>
              <w:left w:val="nil"/>
              <w:bottom w:val="nil"/>
              <w:right w:val="nil"/>
            </w:tcBorders>
            <w:shd w:val="clear" w:color="000000" w:fill="FFFFFF"/>
            <w:noWrap/>
            <w:vAlign w:val="center"/>
            <w:hideMark/>
          </w:tcPr>
          <w:p w14:paraId="5FCF47B8" w14:textId="77777777" w:rsidR="00A71608" w:rsidRPr="00A71608" w:rsidRDefault="00A71608" w:rsidP="00A71608">
            <w:pPr>
              <w:jc w:val="center"/>
              <w:rPr>
                <w:lang w:eastAsia="es-CR"/>
              </w:rPr>
            </w:pPr>
            <w:r w:rsidRPr="00A71608">
              <w:rPr>
                <w:lang w:eastAsia="es-CR"/>
              </w:rPr>
              <w:t>982</w:t>
            </w:r>
          </w:p>
        </w:tc>
        <w:tc>
          <w:tcPr>
            <w:tcW w:w="704" w:type="pct"/>
            <w:tcBorders>
              <w:top w:val="nil"/>
              <w:left w:val="dashed" w:sz="8" w:space="0" w:color="auto"/>
              <w:bottom w:val="nil"/>
              <w:right w:val="nil"/>
            </w:tcBorders>
            <w:shd w:val="clear" w:color="000000" w:fill="FFFFFF"/>
            <w:noWrap/>
            <w:vAlign w:val="center"/>
            <w:hideMark/>
          </w:tcPr>
          <w:p w14:paraId="2DFF4E50" w14:textId="77777777" w:rsidR="00A71608" w:rsidRPr="00A71608" w:rsidRDefault="00A71608" w:rsidP="00A71608">
            <w:pPr>
              <w:jc w:val="right"/>
              <w:rPr>
                <w:lang w:eastAsia="es-CR"/>
              </w:rPr>
            </w:pPr>
            <w:r w:rsidRPr="00A71608">
              <w:rPr>
                <w:lang w:eastAsia="es-CR"/>
              </w:rPr>
              <w:t>-412</w:t>
            </w:r>
          </w:p>
        </w:tc>
        <w:tc>
          <w:tcPr>
            <w:tcW w:w="852" w:type="pct"/>
            <w:tcBorders>
              <w:top w:val="nil"/>
              <w:left w:val="nil"/>
              <w:bottom w:val="nil"/>
              <w:right w:val="nil"/>
            </w:tcBorders>
            <w:shd w:val="clear" w:color="000000" w:fill="FFFFFF"/>
            <w:noWrap/>
            <w:vAlign w:val="center"/>
            <w:hideMark/>
          </w:tcPr>
          <w:p w14:paraId="366C1F31" w14:textId="77777777" w:rsidR="00A71608" w:rsidRPr="00A71608" w:rsidRDefault="00A71608" w:rsidP="00A71608">
            <w:pPr>
              <w:jc w:val="right"/>
              <w:rPr>
                <w:lang w:eastAsia="es-CR"/>
              </w:rPr>
            </w:pPr>
            <w:r w:rsidRPr="00A71608">
              <w:rPr>
                <w:lang w:eastAsia="es-CR"/>
              </w:rPr>
              <w:t>-29,6</w:t>
            </w:r>
          </w:p>
        </w:tc>
      </w:tr>
      <w:tr w:rsidR="00A71608" w:rsidRPr="00A71608" w14:paraId="29A92A83" w14:textId="77777777" w:rsidTr="00A71608">
        <w:trPr>
          <w:trHeight w:val="310"/>
        </w:trPr>
        <w:tc>
          <w:tcPr>
            <w:tcW w:w="1110" w:type="pct"/>
            <w:tcBorders>
              <w:top w:val="nil"/>
              <w:left w:val="nil"/>
              <w:bottom w:val="nil"/>
              <w:right w:val="nil"/>
            </w:tcBorders>
            <w:shd w:val="clear" w:color="000000" w:fill="FFFFFF"/>
            <w:noWrap/>
            <w:vAlign w:val="center"/>
            <w:hideMark/>
          </w:tcPr>
          <w:p w14:paraId="1CEDA742" w14:textId="77777777" w:rsidR="00A71608" w:rsidRPr="00A71608" w:rsidRDefault="00A71608" w:rsidP="00A71608">
            <w:pPr>
              <w:rPr>
                <w:lang w:eastAsia="es-CR"/>
              </w:rPr>
            </w:pPr>
            <w:r w:rsidRPr="00A71608">
              <w:rPr>
                <w:rFonts w:eastAsia="Calibri"/>
              </w:rPr>
              <w:t>Química Analítica</w:t>
            </w:r>
          </w:p>
        </w:tc>
        <w:tc>
          <w:tcPr>
            <w:tcW w:w="778" w:type="pct"/>
            <w:tcBorders>
              <w:top w:val="nil"/>
              <w:left w:val="nil"/>
              <w:bottom w:val="nil"/>
              <w:right w:val="nil"/>
            </w:tcBorders>
            <w:shd w:val="clear" w:color="000000" w:fill="FFFFFF"/>
            <w:noWrap/>
            <w:vAlign w:val="center"/>
            <w:hideMark/>
          </w:tcPr>
          <w:p w14:paraId="64363F27" w14:textId="77777777" w:rsidR="00A71608" w:rsidRPr="00A71608" w:rsidRDefault="00A71608" w:rsidP="00A71608">
            <w:pPr>
              <w:jc w:val="center"/>
              <w:rPr>
                <w:lang w:eastAsia="es-CR"/>
              </w:rPr>
            </w:pPr>
            <w:r w:rsidRPr="00A71608">
              <w:rPr>
                <w:rFonts w:eastAsia="Calibri"/>
              </w:rPr>
              <w:t>6 699</w:t>
            </w:r>
          </w:p>
        </w:tc>
        <w:tc>
          <w:tcPr>
            <w:tcW w:w="778" w:type="pct"/>
            <w:tcBorders>
              <w:top w:val="nil"/>
              <w:left w:val="nil"/>
              <w:bottom w:val="nil"/>
              <w:right w:val="nil"/>
            </w:tcBorders>
            <w:shd w:val="clear" w:color="000000" w:fill="FFFFFF"/>
            <w:noWrap/>
            <w:vAlign w:val="center"/>
            <w:hideMark/>
          </w:tcPr>
          <w:p w14:paraId="1021B382" w14:textId="77777777" w:rsidR="00A71608" w:rsidRPr="00A71608" w:rsidRDefault="00A71608" w:rsidP="00A71608">
            <w:pPr>
              <w:jc w:val="center"/>
              <w:rPr>
                <w:lang w:eastAsia="es-CR"/>
              </w:rPr>
            </w:pPr>
            <w:r w:rsidRPr="00A71608">
              <w:rPr>
                <w:rFonts w:eastAsia="Calibri"/>
              </w:rPr>
              <w:t>6 871</w:t>
            </w:r>
          </w:p>
        </w:tc>
        <w:tc>
          <w:tcPr>
            <w:tcW w:w="778" w:type="pct"/>
            <w:tcBorders>
              <w:top w:val="nil"/>
              <w:left w:val="nil"/>
              <w:bottom w:val="nil"/>
              <w:right w:val="nil"/>
            </w:tcBorders>
            <w:shd w:val="clear" w:color="000000" w:fill="FFFFFF"/>
            <w:noWrap/>
            <w:vAlign w:val="center"/>
            <w:hideMark/>
          </w:tcPr>
          <w:p w14:paraId="77F02AC2" w14:textId="77777777" w:rsidR="00A71608" w:rsidRPr="00A71608" w:rsidRDefault="00A71608" w:rsidP="00A71608">
            <w:pPr>
              <w:jc w:val="center"/>
              <w:rPr>
                <w:lang w:eastAsia="es-CR"/>
              </w:rPr>
            </w:pPr>
            <w:r w:rsidRPr="00A71608">
              <w:rPr>
                <w:lang w:eastAsia="es-CR"/>
              </w:rPr>
              <w:t>6 157</w:t>
            </w:r>
          </w:p>
        </w:tc>
        <w:tc>
          <w:tcPr>
            <w:tcW w:w="704" w:type="pct"/>
            <w:tcBorders>
              <w:top w:val="nil"/>
              <w:left w:val="dashed" w:sz="8" w:space="0" w:color="auto"/>
              <w:bottom w:val="nil"/>
              <w:right w:val="nil"/>
            </w:tcBorders>
            <w:shd w:val="clear" w:color="000000" w:fill="FFFFFF"/>
            <w:noWrap/>
            <w:vAlign w:val="center"/>
            <w:hideMark/>
          </w:tcPr>
          <w:p w14:paraId="53A55EF1" w14:textId="77777777" w:rsidR="00A71608" w:rsidRPr="00A71608" w:rsidRDefault="00A71608" w:rsidP="00A71608">
            <w:pPr>
              <w:jc w:val="right"/>
              <w:rPr>
                <w:lang w:eastAsia="es-CR"/>
              </w:rPr>
            </w:pPr>
            <w:r w:rsidRPr="00A71608">
              <w:rPr>
                <w:lang w:eastAsia="es-CR"/>
              </w:rPr>
              <w:t>-714</w:t>
            </w:r>
          </w:p>
        </w:tc>
        <w:tc>
          <w:tcPr>
            <w:tcW w:w="852" w:type="pct"/>
            <w:tcBorders>
              <w:top w:val="nil"/>
              <w:left w:val="nil"/>
              <w:bottom w:val="nil"/>
              <w:right w:val="nil"/>
            </w:tcBorders>
            <w:shd w:val="clear" w:color="000000" w:fill="FFFFFF"/>
            <w:noWrap/>
            <w:vAlign w:val="center"/>
            <w:hideMark/>
          </w:tcPr>
          <w:p w14:paraId="0A38372B" w14:textId="77777777" w:rsidR="00A71608" w:rsidRPr="00A71608" w:rsidRDefault="00A71608" w:rsidP="00A71608">
            <w:pPr>
              <w:jc w:val="right"/>
              <w:rPr>
                <w:lang w:eastAsia="es-CR"/>
              </w:rPr>
            </w:pPr>
            <w:r w:rsidRPr="00A71608">
              <w:rPr>
                <w:lang w:eastAsia="es-CR"/>
              </w:rPr>
              <w:t>-10,4</w:t>
            </w:r>
          </w:p>
        </w:tc>
      </w:tr>
      <w:tr w:rsidR="00A71608" w:rsidRPr="00A71608" w14:paraId="44BA6AC5" w14:textId="77777777" w:rsidTr="00A71608">
        <w:trPr>
          <w:trHeight w:val="310"/>
        </w:trPr>
        <w:tc>
          <w:tcPr>
            <w:tcW w:w="1110" w:type="pct"/>
            <w:tcBorders>
              <w:top w:val="nil"/>
              <w:left w:val="nil"/>
              <w:bottom w:val="nil"/>
              <w:right w:val="nil"/>
            </w:tcBorders>
            <w:shd w:val="clear" w:color="000000" w:fill="FFFFFF"/>
            <w:noWrap/>
            <w:vAlign w:val="center"/>
            <w:hideMark/>
          </w:tcPr>
          <w:p w14:paraId="59D0BEC7" w14:textId="77777777" w:rsidR="00A71608" w:rsidRPr="00A71608" w:rsidRDefault="00A71608" w:rsidP="00A71608">
            <w:pPr>
              <w:rPr>
                <w:lang w:eastAsia="es-CR"/>
              </w:rPr>
            </w:pPr>
            <w:r w:rsidRPr="00A71608">
              <w:rPr>
                <w:rFonts w:eastAsia="Calibri"/>
              </w:rPr>
              <w:t>Toxicología</w:t>
            </w:r>
          </w:p>
        </w:tc>
        <w:tc>
          <w:tcPr>
            <w:tcW w:w="778" w:type="pct"/>
            <w:tcBorders>
              <w:top w:val="nil"/>
              <w:left w:val="nil"/>
              <w:bottom w:val="nil"/>
              <w:right w:val="nil"/>
            </w:tcBorders>
            <w:shd w:val="clear" w:color="000000" w:fill="FFFFFF"/>
            <w:noWrap/>
            <w:vAlign w:val="center"/>
            <w:hideMark/>
          </w:tcPr>
          <w:p w14:paraId="3833B44E" w14:textId="77777777" w:rsidR="00A71608" w:rsidRPr="00A71608" w:rsidRDefault="00A71608" w:rsidP="00A71608">
            <w:pPr>
              <w:jc w:val="center"/>
              <w:rPr>
                <w:lang w:eastAsia="es-CR"/>
              </w:rPr>
            </w:pPr>
            <w:r w:rsidRPr="00A71608">
              <w:rPr>
                <w:rFonts w:eastAsia="Calibri"/>
              </w:rPr>
              <w:t>5 498</w:t>
            </w:r>
          </w:p>
        </w:tc>
        <w:tc>
          <w:tcPr>
            <w:tcW w:w="778" w:type="pct"/>
            <w:tcBorders>
              <w:top w:val="nil"/>
              <w:left w:val="nil"/>
              <w:bottom w:val="nil"/>
              <w:right w:val="nil"/>
            </w:tcBorders>
            <w:shd w:val="clear" w:color="000000" w:fill="FFFFFF"/>
            <w:noWrap/>
            <w:vAlign w:val="center"/>
            <w:hideMark/>
          </w:tcPr>
          <w:p w14:paraId="3298F046" w14:textId="77777777" w:rsidR="00A71608" w:rsidRPr="00A71608" w:rsidRDefault="00A71608" w:rsidP="00A71608">
            <w:pPr>
              <w:jc w:val="center"/>
              <w:rPr>
                <w:lang w:eastAsia="es-CR"/>
              </w:rPr>
            </w:pPr>
            <w:r w:rsidRPr="00A71608">
              <w:rPr>
                <w:rFonts w:eastAsia="Calibri"/>
              </w:rPr>
              <w:t>4 982</w:t>
            </w:r>
          </w:p>
        </w:tc>
        <w:tc>
          <w:tcPr>
            <w:tcW w:w="778" w:type="pct"/>
            <w:tcBorders>
              <w:top w:val="nil"/>
              <w:left w:val="nil"/>
              <w:bottom w:val="nil"/>
              <w:right w:val="nil"/>
            </w:tcBorders>
            <w:shd w:val="clear" w:color="000000" w:fill="FFFFFF"/>
            <w:noWrap/>
            <w:vAlign w:val="center"/>
            <w:hideMark/>
          </w:tcPr>
          <w:p w14:paraId="30468266" w14:textId="77777777" w:rsidR="00A71608" w:rsidRPr="00A71608" w:rsidRDefault="00A71608" w:rsidP="00A71608">
            <w:pPr>
              <w:jc w:val="center"/>
              <w:rPr>
                <w:lang w:eastAsia="es-CR"/>
              </w:rPr>
            </w:pPr>
            <w:r w:rsidRPr="00A71608">
              <w:rPr>
                <w:lang w:eastAsia="es-CR"/>
              </w:rPr>
              <w:t>4 369</w:t>
            </w:r>
          </w:p>
        </w:tc>
        <w:tc>
          <w:tcPr>
            <w:tcW w:w="704" w:type="pct"/>
            <w:tcBorders>
              <w:top w:val="nil"/>
              <w:left w:val="dashed" w:sz="8" w:space="0" w:color="auto"/>
              <w:bottom w:val="nil"/>
              <w:right w:val="nil"/>
            </w:tcBorders>
            <w:shd w:val="clear" w:color="000000" w:fill="FFFFFF"/>
            <w:noWrap/>
            <w:vAlign w:val="center"/>
            <w:hideMark/>
          </w:tcPr>
          <w:p w14:paraId="1C055C26" w14:textId="77777777" w:rsidR="00A71608" w:rsidRPr="00A71608" w:rsidRDefault="00A71608" w:rsidP="00A71608">
            <w:pPr>
              <w:jc w:val="right"/>
              <w:rPr>
                <w:lang w:eastAsia="es-CR"/>
              </w:rPr>
            </w:pPr>
            <w:r w:rsidRPr="00A71608">
              <w:rPr>
                <w:lang w:eastAsia="es-CR"/>
              </w:rPr>
              <w:t>-613</w:t>
            </w:r>
          </w:p>
        </w:tc>
        <w:tc>
          <w:tcPr>
            <w:tcW w:w="852" w:type="pct"/>
            <w:tcBorders>
              <w:top w:val="nil"/>
              <w:left w:val="nil"/>
              <w:bottom w:val="nil"/>
              <w:right w:val="nil"/>
            </w:tcBorders>
            <w:shd w:val="clear" w:color="000000" w:fill="FFFFFF"/>
            <w:noWrap/>
            <w:vAlign w:val="center"/>
            <w:hideMark/>
          </w:tcPr>
          <w:p w14:paraId="14ACD029" w14:textId="77777777" w:rsidR="00A71608" w:rsidRPr="00A71608" w:rsidRDefault="00A71608" w:rsidP="00A71608">
            <w:pPr>
              <w:jc w:val="right"/>
              <w:rPr>
                <w:lang w:eastAsia="es-CR"/>
              </w:rPr>
            </w:pPr>
            <w:r w:rsidRPr="00A71608">
              <w:rPr>
                <w:lang w:eastAsia="es-CR"/>
              </w:rPr>
              <w:t>-12,3</w:t>
            </w:r>
          </w:p>
        </w:tc>
      </w:tr>
      <w:tr w:rsidR="00A71608" w:rsidRPr="00A71608" w14:paraId="4BE5ABD0" w14:textId="77777777" w:rsidTr="00A71608">
        <w:trPr>
          <w:trHeight w:val="260"/>
        </w:trPr>
        <w:tc>
          <w:tcPr>
            <w:tcW w:w="1110" w:type="pct"/>
            <w:tcBorders>
              <w:top w:val="nil"/>
              <w:left w:val="nil"/>
              <w:bottom w:val="single" w:sz="8" w:space="0" w:color="auto"/>
              <w:right w:val="nil"/>
            </w:tcBorders>
            <w:shd w:val="clear" w:color="000000" w:fill="FFFFFF"/>
            <w:noWrap/>
            <w:vAlign w:val="bottom"/>
            <w:hideMark/>
          </w:tcPr>
          <w:p w14:paraId="3E9ED20C" w14:textId="77777777" w:rsidR="00A71608" w:rsidRPr="00A71608" w:rsidRDefault="00A71608" w:rsidP="00A71608">
            <w:pPr>
              <w:rPr>
                <w:lang w:eastAsia="es-CR"/>
              </w:rPr>
            </w:pPr>
            <w:r w:rsidRPr="00A71608">
              <w:rPr>
                <w:lang w:eastAsia="es-CR"/>
              </w:rPr>
              <w:t> </w:t>
            </w:r>
          </w:p>
        </w:tc>
        <w:tc>
          <w:tcPr>
            <w:tcW w:w="778" w:type="pct"/>
            <w:tcBorders>
              <w:top w:val="nil"/>
              <w:left w:val="nil"/>
              <w:bottom w:val="single" w:sz="8" w:space="0" w:color="auto"/>
              <w:right w:val="nil"/>
            </w:tcBorders>
            <w:shd w:val="clear" w:color="000000" w:fill="FFFFFF"/>
            <w:noWrap/>
            <w:vAlign w:val="bottom"/>
            <w:hideMark/>
          </w:tcPr>
          <w:p w14:paraId="6DECDEF6" w14:textId="77777777" w:rsidR="00A71608" w:rsidRPr="00A71608" w:rsidRDefault="00A71608" w:rsidP="00A71608">
            <w:pPr>
              <w:rPr>
                <w:lang w:eastAsia="es-CR"/>
              </w:rPr>
            </w:pPr>
            <w:r w:rsidRPr="00A71608">
              <w:rPr>
                <w:lang w:eastAsia="es-CR"/>
              </w:rPr>
              <w:t> </w:t>
            </w:r>
          </w:p>
        </w:tc>
        <w:tc>
          <w:tcPr>
            <w:tcW w:w="778" w:type="pct"/>
            <w:tcBorders>
              <w:top w:val="nil"/>
              <w:left w:val="nil"/>
              <w:bottom w:val="single" w:sz="8" w:space="0" w:color="auto"/>
              <w:right w:val="nil"/>
            </w:tcBorders>
            <w:shd w:val="clear" w:color="000000" w:fill="FFFFFF"/>
            <w:noWrap/>
            <w:vAlign w:val="bottom"/>
            <w:hideMark/>
          </w:tcPr>
          <w:p w14:paraId="333283F2" w14:textId="77777777" w:rsidR="00A71608" w:rsidRPr="00A71608" w:rsidRDefault="00A71608" w:rsidP="00A71608">
            <w:pPr>
              <w:rPr>
                <w:lang w:eastAsia="es-CR"/>
              </w:rPr>
            </w:pPr>
            <w:r w:rsidRPr="00A71608">
              <w:rPr>
                <w:lang w:eastAsia="es-CR"/>
              </w:rPr>
              <w:t> </w:t>
            </w:r>
          </w:p>
        </w:tc>
        <w:tc>
          <w:tcPr>
            <w:tcW w:w="778" w:type="pct"/>
            <w:tcBorders>
              <w:top w:val="nil"/>
              <w:left w:val="nil"/>
              <w:bottom w:val="single" w:sz="8" w:space="0" w:color="auto"/>
              <w:right w:val="nil"/>
            </w:tcBorders>
            <w:shd w:val="clear" w:color="000000" w:fill="FFFFFF"/>
            <w:noWrap/>
            <w:vAlign w:val="bottom"/>
            <w:hideMark/>
          </w:tcPr>
          <w:p w14:paraId="33FCA911" w14:textId="77777777" w:rsidR="00A71608" w:rsidRPr="00A71608" w:rsidRDefault="00A71608" w:rsidP="00A71608">
            <w:pPr>
              <w:rPr>
                <w:lang w:eastAsia="es-CR"/>
              </w:rPr>
            </w:pPr>
            <w:r w:rsidRPr="00A71608">
              <w:rPr>
                <w:lang w:eastAsia="es-CR"/>
              </w:rPr>
              <w:t> </w:t>
            </w:r>
          </w:p>
        </w:tc>
        <w:tc>
          <w:tcPr>
            <w:tcW w:w="704" w:type="pct"/>
            <w:tcBorders>
              <w:top w:val="nil"/>
              <w:left w:val="dashed" w:sz="8" w:space="0" w:color="auto"/>
              <w:bottom w:val="single" w:sz="8" w:space="0" w:color="auto"/>
              <w:right w:val="nil"/>
            </w:tcBorders>
            <w:shd w:val="clear" w:color="000000" w:fill="FFFFFF"/>
            <w:noWrap/>
            <w:vAlign w:val="center"/>
            <w:hideMark/>
          </w:tcPr>
          <w:p w14:paraId="7EEEB5F5" w14:textId="77777777" w:rsidR="00A71608" w:rsidRPr="00A71608" w:rsidRDefault="00A71608" w:rsidP="00A71608">
            <w:pPr>
              <w:jc w:val="center"/>
              <w:rPr>
                <w:lang w:eastAsia="es-CR"/>
              </w:rPr>
            </w:pPr>
            <w:r w:rsidRPr="00A71608">
              <w:rPr>
                <w:lang w:eastAsia="es-CR"/>
              </w:rPr>
              <w:t> </w:t>
            </w:r>
          </w:p>
        </w:tc>
        <w:tc>
          <w:tcPr>
            <w:tcW w:w="852" w:type="pct"/>
            <w:tcBorders>
              <w:top w:val="nil"/>
              <w:left w:val="nil"/>
              <w:bottom w:val="single" w:sz="8" w:space="0" w:color="auto"/>
              <w:right w:val="nil"/>
            </w:tcBorders>
            <w:shd w:val="clear" w:color="000000" w:fill="FFFFFF"/>
            <w:noWrap/>
            <w:vAlign w:val="center"/>
            <w:hideMark/>
          </w:tcPr>
          <w:p w14:paraId="26C76E78" w14:textId="77777777" w:rsidR="00A71608" w:rsidRPr="00A71608" w:rsidRDefault="00A71608" w:rsidP="00A71608">
            <w:pPr>
              <w:jc w:val="center"/>
              <w:rPr>
                <w:lang w:eastAsia="es-CR"/>
              </w:rPr>
            </w:pPr>
            <w:r w:rsidRPr="00A71608">
              <w:rPr>
                <w:lang w:eastAsia="es-CR"/>
              </w:rPr>
              <w:t> </w:t>
            </w:r>
          </w:p>
        </w:tc>
      </w:tr>
      <w:tr w:rsidR="00A71608" w:rsidRPr="00A71608" w14:paraId="7E5E843F" w14:textId="77777777" w:rsidTr="00A71608">
        <w:trPr>
          <w:trHeight w:val="260"/>
        </w:trPr>
        <w:tc>
          <w:tcPr>
            <w:tcW w:w="2666" w:type="pct"/>
            <w:gridSpan w:val="3"/>
            <w:tcBorders>
              <w:top w:val="nil"/>
              <w:left w:val="nil"/>
              <w:bottom w:val="nil"/>
              <w:right w:val="nil"/>
            </w:tcBorders>
            <w:shd w:val="clear" w:color="000000" w:fill="FFFFFF"/>
            <w:noWrap/>
            <w:vAlign w:val="bottom"/>
            <w:hideMark/>
          </w:tcPr>
          <w:p w14:paraId="44FD2992" w14:textId="77777777" w:rsidR="00A71608" w:rsidRPr="00A71608" w:rsidRDefault="00A71608" w:rsidP="00A71608">
            <w:pPr>
              <w:spacing w:after="160"/>
              <w:rPr>
                <w:lang w:eastAsia="es-CR"/>
              </w:rPr>
            </w:pPr>
            <w:r w:rsidRPr="00A71608">
              <w:rPr>
                <w:lang w:eastAsia="es-CR"/>
              </w:rPr>
              <w:t>Elaborado por: Subproceso de Estadística, Dirección de Planificación</w:t>
            </w:r>
          </w:p>
        </w:tc>
        <w:tc>
          <w:tcPr>
            <w:tcW w:w="778" w:type="pct"/>
            <w:tcBorders>
              <w:top w:val="nil"/>
              <w:left w:val="nil"/>
              <w:bottom w:val="nil"/>
              <w:right w:val="nil"/>
            </w:tcBorders>
            <w:shd w:val="clear" w:color="000000" w:fill="FFFFFF"/>
            <w:noWrap/>
            <w:vAlign w:val="bottom"/>
            <w:hideMark/>
          </w:tcPr>
          <w:p w14:paraId="3F30AC2B" w14:textId="77777777" w:rsidR="00A71608" w:rsidRPr="00A71608" w:rsidRDefault="00A71608" w:rsidP="00A71608">
            <w:pPr>
              <w:spacing w:after="160"/>
              <w:rPr>
                <w:lang w:eastAsia="es-CR"/>
              </w:rPr>
            </w:pPr>
            <w:r w:rsidRPr="00A71608">
              <w:rPr>
                <w:lang w:eastAsia="es-CR"/>
              </w:rPr>
              <w:t> </w:t>
            </w:r>
          </w:p>
        </w:tc>
        <w:tc>
          <w:tcPr>
            <w:tcW w:w="704" w:type="pct"/>
            <w:tcBorders>
              <w:top w:val="nil"/>
              <w:left w:val="nil"/>
              <w:bottom w:val="nil"/>
              <w:right w:val="nil"/>
            </w:tcBorders>
            <w:shd w:val="clear" w:color="000000" w:fill="FFFFFF"/>
            <w:noWrap/>
            <w:vAlign w:val="bottom"/>
            <w:hideMark/>
          </w:tcPr>
          <w:p w14:paraId="4949B733" w14:textId="77777777" w:rsidR="00A71608" w:rsidRPr="00A71608" w:rsidRDefault="00A71608" w:rsidP="00A71608">
            <w:pPr>
              <w:spacing w:after="160"/>
              <w:rPr>
                <w:lang w:eastAsia="es-CR"/>
              </w:rPr>
            </w:pPr>
            <w:r w:rsidRPr="00A71608">
              <w:rPr>
                <w:lang w:eastAsia="es-CR"/>
              </w:rPr>
              <w:t> </w:t>
            </w:r>
          </w:p>
        </w:tc>
        <w:tc>
          <w:tcPr>
            <w:tcW w:w="852" w:type="pct"/>
            <w:tcBorders>
              <w:top w:val="nil"/>
              <w:left w:val="nil"/>
              <w:bottom w:val="nil"/>
              <w:right w:val="nil"/>
            </w:tcBorders>
            <w:shd w:val="clear" w:color="000000" w:fill="FFFFFF"/>
            <w:noWrap/>
            <w:vAlign w:val="bottom"/>
            <w:hideMark/>
          </w:tcPr>
          <w:p w14:paraId="2C06079B" w14:textId="77777777" w:rsidR="00A71608" w:rsidRPr="00A71608" w:rsidRDefault="00A71608" w:rsidP="00A71608">
            <w:pPr>
              <w:spacing w:after="160"/>
              <w:rPr>
                <w:lang w:eastAsia="es-CR"/>
              </w:rPr>
            </w:pPr>
            <w:r w:rsidRPr="00A71608">
              <w:rPr>
                <w:lang w:eastAsia="es-CR"/>
              </w:rPr>
              <w:t> </w:t>
            </w:r>
          </w:p>
        </w:tc>
      </w:tr>
    </w:tbl>
    <w:p w14:paraId="0B0454E8" w14:textId="77777777" w:rsidR="00A71608" w:rsidRPr="00A71608" w:rsidRDefault="00A71608" w:rsidP="00A71608">
      <w:pPr>
        <w:ind w:left="851" w:right="851" w:firstLine="709"/>
        <w:jc w:val="both"/>
        <w:rPr>
          <w:rFonts w:eastAsia="Calibri"/>
        </w:rPr>
      </w:pPr>
      <w:r w:rsidRPr="00A71608">
        <w:rPr>
          <w:rFonts w:eastAsia="Calibri"/>
        </w:rPr>
        <w:lastRenderedPageBreak/>
        <w:t xml:space="preserve">Se logra determinar que desde el año 2018, la tendencia para esta variable es estrictamente decreciente manifestando un comportamiento promedio del 9,8% a nivel interanual, resultando más significativo para el bienio 2019-2020 cuando la disminución en términos absolutos fue de 4.525 casos. A nivel de participación, es claro que la Sección de </w:t>
      </w:r>
      <w:r w:rsidRPr="00A71608">
        <w:rPr>
          <w:rFonts w:eastAsia="Calibri"/>
          <w:i/>
          <w:iCs/>
        </w:rPr>
        <w:t>Bioquímica</w:t>
      </w:r>
      <w:r w:rsidRPr="00A71608">
        <w:rPr>
          <w:rFonts w:eastAsia="Calibri"/>
        </w:rPr>
        <w:t xml:space="preserve"> es la que posee el mayor flujo de ingresos, con una aglomeración del 33,0% para el año 2020, seguido de la Sección de </w:t>
      </w:r>
      <w:r w:rsidRPr="00A71608">
        <w:rPr>
          <w:rFonts w:eastAsia="Calibri"/>
          <w:i/>
          <w:iCs/>
        </w:rPr>
        <w:t>Química Analítica</w:t>
      </w:r>
      <w:r w:rsidRPr="00A71608">
        <w:rPr>
          <w:rFonts w:eastAsia="Calibri"/>
        </w:rPr>
        <w:t xml:space="preserve"> con un 20,0% del total para el mismo periodo.</w:t>
      </w:r>
    </w:p>
    <w:p w14:paraId="403A1109" w14:textId="77777777" w:rsidR="00A71608" w:rsidRPr="00A71608" w:rsidRDefault="00A71608" w:rsidP="00A71608">
      <w:pPr>
        <w:ind w:left="851" w:right="851" w:firstLine="709"/>
        <w:jc w:val="both"/>
        <w:rPr>
          <w:rFonts w:eastAsia="Calibri"/>
        </w:rPr>
      </w:pPr>
    </w:p>
    <w:p w14:paraId="0EAC6E6C" w14:textId="77777777" w:rsidR="00A71608" w:rsidRPr="00A71608" w:rsidRDefault="00A71608" w:rsidP="00A71608">
      <w:pPr>
        <w:ind w:left="851" w:right="851" w:firstLine="709"/>
        <w:jc w:val="both"/>
        <w:rPr>
          <w:rFonts w:eastAsia="Calibri"/>
        </w:rPr>
      </w:pPr>
      <w:r w:rsidRPr="00A71608">
        <w:rPr>
          <w:rFonts w:eastAsia="Calibri"/>
        </w:rPr>
        <w:t xml:space="preserve">A continuación, se desglosa el comportamiento de la distribución promedio por sección para los últimos 3 años: </w:t>
      </w:r>
    </w:p>
    <w:p w14:paraId="0814EB25" w14:textId="77777777" w:rsidR="00A71608" w:rsidRPr="00A71608" w:rsidRDefault="00A71608" w:rsidP="00A71608">
      <w:pPr>
        <w:ind w:left="851" w:right="851" w:firstLine="709"/>
        <w:jc w:val="both"/>
        <w:rPr>
          <w:rFonts w:eastAsia="Calibri"/>
        </w:rPr>
      </w:pPr>
    </w:p>
    <w:p w14:paraId="258DAFFA" w14:textId="77777777" w:rsidR="00A71608" w:rsidRPr="00A71608" w:rsidRDefault="00A71608" w:rsidP="00A71608">
      <w:pPr>
        <w:spacing w:after="160"/>
        <w:jc w:val="center"/>
        <w:rPr>
          <w:rFonts w:eastAsia="Calibri"/>
        </w:rPr>
      </w:pPr>
      <w:r w:rsidRPr="00A71608">
        <w:rPr>
          <w:noProof/>
          <w:lang w:val="en-US" w:eastAsia="en-US"/>
        </w:rPr>
        <w:drawing>
          <wp:inline distT="0" distB="0" distL="0" distR="0" wp14:anchorId="6239C9D2" wp14:editId="5E006849">
            <wp:extent cx="5073650" cy="3663950"/>
            <wp:effectExtent l="0" t="0" r="12700" b="12700"/>
            <wp:docPr id="3" name="Gráfico 3">
              <a:extLst xmlns:a="http://schemas.openxmlformats.org/drawingml/2006/main">
                <a:ext uri="{FF2B5EF4-FFF2-40B4-BE49-F238E27FC236}">
                  <a16:creationId xmlns:a16="http://schemas.microsoft.com/office/drawing/2014/main" id="{079755E5-9EC1-47C9-85D5-C48BDC2BC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A4D2E0"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8" w:name="_Toc85467974"/>
      <w:r w:rsidRPr="00A71608">
        <w:rPr>
          <w:rFonts w:eastAsia="Calibri"/>
          <w:b/>
          <w:bCs/>
        </w:rPr>
        <w:t>Casos terminados</w:t>
      </w:r>
      <w:bookmarkEnd w:id="8"/>
    </w:p>
    <w:p w14:paraId="193AB90A" w14:textId="77777777" w:rsidR="00A71608" w:rsidRPr="00A71608" w:rsidRDefault="00A71608" w:rsidP="00A71608">
      <w:pPr>
        <w:ind w:left="1560" w:right="851"/>
        <w:contextualSpacing/>
        <w:jc w:val="both"/>
        <w:rPr>
          <w:rFonts w:eastAsia="Calibri"/>
          <w:b/>
          <w:bCs/>
        </w:rPr>
      </w:pPr>
    </w:p>
    <w:p w14:paraId="7CD96A0E" w14:textId="77777777" w:rsidR="00A71608" w:rsidRPr="00A71608" w:rsidRDefault="00A71608" w:rsidP="00A71608">
      <w:pPr>
        <w:ind w:left="851" w:right="851" w:firstLine="709"/>
        <w:jc w:val="both"/>
        <w:rPr>
          <w:rFonts w:eastAsia="Calibri"/>
        </w:rPr>
      </w:pPr>
      <w:r w:rsidRPr="00A71608">
        <w:rPr>
          <w:rFonts w:eastAsia="Calibri"/>
        </w:rPr>
        <w:t xml:space="preserve">Al igual que el comportamiento registrado por los casos entrados, la tendencia de los terminados sigue igualmente un comportamiento decreciente con el pasar de cada periodo, siendo este del 11,8% en promedio por año, aunque a diferencia de los casos entrados la variación interanual es más constante. </w:t>
      </w:r>
    </w:p>
    <w:p w14:paraId="3BC6887B" w14:textId="77777777" w:rsidR="00A71608" w:rsidRPr="00A71608" w:rsidRDefault="00A71608" w:rsidP="00A71608">
      <w:pPr>
        <w:ind w:left="851" w:right="851" w:firstLine="709"/>
        <w:jc w:val="both"/>
        <w:rPr>
          <w:rFonts w:eastAsia="Calibri"/>
        </w:rPr>
      </w:pPr>
    </w:p>
    <w:p w14:paraId="4A6EB804" w14:textId="77777777" w:rsidR="00A71608" w:rsidRPr="00A71608" w:rsidRDefault="00A71608" w:rsidP="00A71608">
      <w:pPr>
        <w:ind w:left="851" w:right="851"/>
        <w:jc w:val="center"/>
        <w:rPr>
          <w:rFonts w:eastAsia="Calibri"/>
          <w:b/>
          <w:bCs/>
        </w:rPr>
      </w:pPr>
      <w:r w:rsidRPr="00A71608">
        <w:rPr>
          <w:rFonts w:eastAsia="Calibri"/>
          <w:b/>
          <w:bCs/>
        </w:rPr>
        <w:t>Cuadro 5.1</w:t>
      </w:r>
    </w:p>
    <w:p w14:paraId="1496496C" w14:textId="77777777" w:rsidR="00A71608" w:rsidRPr="00A71608" w:rsidRDefault="00A71608" w:rsidP="00A71608">
      <w:pPr>
        <w:ind w:left="851" w:right="851"/>
        <w:jc w:val="center"/>
        <w:rPr>
          <w:rFonts w:eastAsia="Calibri"/>
          <w:b/>
          <w:bCs/>
        </w:rPr>
      </w:pPr>
      <w:r w:rsidRPr="00A71608">
        <w:rPr>
          <w:rFonts w:eastAsia="Calibri"/>
          <w:b/>
          <w:bCs/>
        </w:rPr>
        <w:t>Cantidad de casos terminados en el Departamento de Ciencias Forenses por sección</w:t>
      </w:r>
    </w:p>
    <w:p w14:paraId="648B7126" w14:textId="77777777" w:rsidR="00A71608" w:rsidRPr="00A71608" w:rsidRDefault="00A71608" w:rsidP="00A71608">
      <w:pPr>
        <w:ind w:left="851" w:right="851"/>
        <w:jc w:val="center"/>
        <w:rPr>
          <w:rFonts w:eastAsia="Calibri"/>
          <w:b/>
          <w:bCs/>
        </w:rPr>
      </w:pPr>
      <w:r w:rsidRPr="00A71608">
        <w:rPr>
          <w:rFonts w:eastAsia="Calibri"/>
          <w:b/>
          <w:bCs/>
        </w:rPr>
        <w:t>Periodo 2018 – 2020</w:t>
      </w:r>
    </w:p>
    <w:p w14:paraId="5480B27E" w14:textId="77777777" w:rsidR="00A71608" w:rsidRPr="00A71608" w:rsidRDefault="00A71608" w:rsidP="00A71608">
      <w:pPr>
        <w:jc w:val="center"/>
        <w:rPr>
          <w:rFonts w:eastAsia="Calibri"/>
          <w:b/>
          <w:bCs/>
        </w:rPr>
      </w:pPr>
    </w:p>
    <w:tbl>
      <w:tblPr>
        <w:tblW w:w="5000" w:type="pct"/>
        <w:tblCellMar>
          <w:left w:w="70" w:type="dxa"/>
          <w:right w:w="70" w:type="dxa"/>
        </w:tblCellMar>
        <w:tblLook w:val="04A0" w:firstRow="1" w:lastRow="0" w:firstColumn="1" w:lastColumn="0" w:noHBand="0" w:noVBand="1"/>
      </w:tblPr>
      <w:tblGrid>
        <w:gridCol w:w="3381"/>
        <w:gridCol w:w="1580"/>
        <w:gridCol w:w="1580"/>
        <w:gridCol w:w="771"/>
        <w:gridCol w:w="1021"/>
        <w:gridCol w:w="1212"/>
      </w:tblGrid>
      <w:tr w:rsidR="00A71608" w:rsidRPr="00A71608" w14:paraId="289D8EB6" w14:textId="77777777" w:rsidTr="00A71608">
        <w:trPr>
          <w:trHeight w:val="300"/>
        </w:trPr>
        <w:tc>
          <w:tcPr>
            <w:tcW w:w="1501" w:type="pct"/>
            <w:vMerge w:val="restart"/>
            <w:tcBorders>
              <w:top w:val="single" w:sz="4" w:space="0" w:color="auto"/>
              <w:left w:val="nil"/>
              <w:bottom w:val="single" w:sz="8" w:space="0" w:color="000000"/>
              <w:right w:val="nil"/>
            </w:tcBorders>
            <w:shd w:val="clear" w:color="000000" w:fill="FFFFFF"/>
            <w:noWrap/>
            <w:vAlign w:val="center"/>
            <w:hideMark/>
          </w:tcPr>
          <w:p w14:paraId="684C76FE" w14:textId="77777777" w:rsidR="00A71608" w:rsidRPr="00A71608" w:rsidRDefault="00A71608" w:rsidP="00A71608">
            <w:pPr>
              <w:jc w:val="center"/>
              <w:rPr>
                <w:b/>
                <w:bCs/>
                <w:lang w:eastAsia="es-CR"/>
              </w:rPr>
            </w:pPr>
            <w:r w:rsidRPr="00A71608">
              <w:rPr>
                <w:rFonts w:eastAsia="Calibri"/>
                <w:b/>
                <w:bCs/>
              </w:rPr>
              <w:t>Sección</w:t>
            </w:r>
          </w:p>
        </w:tc>
        <w:tc>
          <w:tcPr>
            <w:tcW w:w="2099" w:type="pct"/>
            <w:gridSpan w:val="3"/>
            <w:tcBorders>
              <w:top w:val="single" w:sz="4" w:space="0" w:color="auto"/>
              <w:left w:val="nil"/>
              <w:bottom w:val="single" w:sz="4" w:space="0" w:color="auto"/>
              <w:right w:val="nil"/>
            </w:tcBorders>
            <w:shd w:val="clear" w:color="000000" w:fill="FFFFFF"/>
            <w:noWrap/>
            <w:vAlign w:val="center"/>
            <w:hideMark/>
          </w:tcPr>
          <w:p w14:paraId="587DEBB4" w14:textId="77777777" w:rsidR="00A71608" w:rsidRPr="00A71608" w:rsidRDefault="00A71608" w:rsidP="00A71608">
            <w:pPr>
              <w:jc w:val="center"/>
              <w:rPr>
                <w:b/>
                <w:bCs/>
                <w:lang w:eastAsia="es-CR"/>
              </w:rPr>
            </w:pPr>
            <w:r w:rsidRPr="00A71608">
              <w:rPr>
                <w:rFonts w:eastAsia="Calibri"/>
                <w:b/>
                <w:bCs/>
              </w:rPr>
              <w:t>Años</w:t>
            </w:r>
          </w:p>
        </w:tc>
        <w:tc>
          <w:tcPr>
            <w:tcW w:w="1400" w:type="pct"/>
            <w:gridSpan w:val="2"/>
            <w:tcBorders>
              <w:top w:val="single" w:sz="4" w:space="0" w:color="auto"/>
              <w:left w:val="nil"/>
              <w:bottom w:val="single" w:sz="4" w:space="0" w:color="auto"/>
              <w:right w:val="nil"/>
            </w:tcBorders>
            <w:shd w:val="clear" w:color="000000" w:fill="FFFFFF"/>
            <w:vAlign w:val="center"/>
            <w:hideMark/>
          </w:tcPr>
          <w:p w14:paraId="71C834C6" w14:textId="77777777" w:rsidR="00A71608" w:rsidRPr="00A71608" w:rsidRDefault="00A71608" w:rsidP="00A71608">
            <w:pPr>
              <w:jc w:val="center"/>
              <w:rPr>
                <w:b/>
                <w:bCs/>
                <w:lang w:eastAsia="es-CR"/>
              </w:rPr>
            </w:pPr>
            <w:r w:rsidRPr="00A71608">
              <w:rPr>
                <w:b/>
                <w:bCs/>
                <w:lang w:eastAsia="es-CR"/>
              </w:rPr>
              <w:t>Variación 2019 - 2020</w:t>
            </w:r>
          </w:p>
        </w:tc>
      </w:tr>
      <w:tr w:rsidR="00A71608" w:rsidRPr="00A71608" w14:paraId="3F308887" w14:textId="77777777" w:rsidTr="00A71608">
        <w:trPr>
          <w:trHeight w:val="310"/>
        </w:trPr>
        <w:tc>
          <w:tcPr>
            <w:tcW w:w="1501" w:type="pct"/>
            <w:vMerge/>
            <w:tcBorders>
              <w:top w:val="single" w:sz="4" w:space="0" w:color="auto"/>
              <w:left w:val="nil"/>
              <w:bottom w:val="single" w:sz="8" w:space="0" w:color="000000"/>
              <w:right w:val="nil"/>
            </w:tcBorders>
            <w:vAlign w:val="center"/>
            <w:hideMark/>
          </w:tcPr>
          <w:p w14:paraId="3F789C7B" w14:textId="77777777" w:rsidR="00A71608" w:rsidRPr="00A71608" w:rsidRDefault="00A71608" w:rsidP="00A71608">
            <w:pPr>
              <w:rPr>
                <w:b/>
                <w:bCs/>
                <w:lang w:eastAsia="es-CR"/>
              </w:rPr>
            </w:pPr>
          </w:p>
        </w:tc>
        <w:tc>
          <w:tcPr>
            <w:tcW w:w="700" w:type="pct"/>
            <w:tcBorders>
              <w:top w:val="nil"/>
              <w:left w:val="nil"/>
              <w:bottom w:val="single" w:sz="8" w:space="0" w:color="auto"/>
              <w:right w:val="nil"/>
            </w:tcBorders>
            <w:shd w:val="clear" w:color="000000" w:fill="FFFFFF"/>
            <w:noWrap/>
            <w:vAlign w:val="center"/>
            <w:hideMark/>
          </w:tcPr>
          <w:p w14:paraId="1117F5A6" w14:textId="77777777" w:rsidR="00A71608" w:rsidRPr="00A71608" w:rsidRDefault="00A71608" w:rsidP="00A71608">
            <w:pPr>
              <w:jc w:val="center"/>
              <w:rPr>
                <w:b/>
                <w:bCs/>
                <w:lang w:eastAsia="es-CR"/>
              </w:rPr>
            </w:pPr>
            <w:r w:rsidRPr="00A71608">
              <w:rPr>
                <w:rFonts w:eastAsia="Calibri"/>
                <w:b/>
                <w:bCs/>
              </w:rPr>
              <w:t>2018</w:t>
            </w:r>
          </w:p>
        </w:tc>
        <w:tc>
          <w:tcPr>
            <w:tcW w:w="700" w:type="pct"/>
            <w:tcBorders>
              <w:top w:val="nil"/>
              <w:left w:val="nil"/>
              <w:bottom w:val="single" w:sz="8" w:space="0" w:color="auto"/>
              <w:right w:val="nil"/>
            </w:tcBorders>
            <w:shd w:val="clear" w:color="000000" w:fill="FFFFFF"/>
            <w:noWrap/>
            <w:vAlign w:val="center"/>
            <w:hideMark/>
          </w:tcPr>
          <w:p w14:paraId="5F37A869" w14:textId="77777777" w:rsidR="00A71608" w:rsidRPr="00A71608" w:rsidRDefault="00A71608" w:rsidP="00A71608">
            <w:pPr>
              <w:jc w:val="center"/>
              <w:rPr>
                <w:b/>
                <w:bCs/>
                <w:lang w:eastAsia="es-CR"/>
              </w:rPr>
            </w:pPr>
            <w:r w:rsidRPr="00A71608">
              <w:rPr>
                <w:rFonts w:eastAsia="Calibri"/>
                <w:b/>
                <w:bCs/>
              </w:rPr>
              <w:t>2019</w:t>
            </w:r>
          </w:p>
        </w:tc>
        <w:tc>
          <w:tcPr>
            <w:tcW w:w="700" w:type="pct"/>
            <w:tcBorders>
              <w:top w:val="nil"/>
              <w:left w:val="nil"/>
              <w:bottom w:val="single" w:sz="8" w:space="0" w:color="auto"/>
              <w:right w:val="nil"/>
            </w:tcBorders>
            <w:shd w:val="clear" w:color="000000" w:fill="FFFFFF"/>
            <w:noWrap/>
            <w:vAlign w:val="center"/>
            <w:hideMark/>
          </w:tcPr>
          <w:p w14:paraId="7544AC71" w14:textId="77777777" w:rsidR="00A71608" w:rsidRPr="00A71608" w:rsidRDefault="00A71608" w:rsidP="00A71608">
            <w:pPr>
              <w:jc w:val="center"/>
              <w:rPr>
                <w:b/>
                <w:bCs/>
                <w:lang w:eastAsia="es-CR"/>
              </w:rPr>
            </w:pPr>
            <w:r w:rsidRPr="00A71608">
              <w:rPr>
                <w:rFonts w:eastAsia="Calibri"/>
                <w:b/>
                <w:bCs/>
              </w:rPr>
              <w:t>2020</w:t>
            </w:r>
          </w:p>
        </w:tc>
        <w:tc>
          <w:tcPr>
            <w:tcW w:w="634" w:type="pct"/>
            <w:tcBorders>
              <w:top w:val="nil"/>
              <w:left w:val="nil"/>
              <w:bottom w:val="single" w:sz="8" w:space="0" w:color="auto"/>
              <w:right w:val="nil"/>
            </w:tcBorders>
            <w:shd w:val="clear" w:color="000000" w:fill="FFFFFF"/>
            <w:noWrap/>
            <w:vAlign w:val="center"/>
            <w:hideMark/>
          </w:tcPr>
          <w:p w14:paraId="66986542" w14:textId="77777777" w:rsidR="00A71608" w:rsidRPr="00A71608" w:rsidRDefault="00A71608" w:rsidP="00A71608">
            <w:pPr>
              <w:jc w:val="center"/>
              <w:rPr>
                <w:b/>
                <w:bCs/>
                <w:lang w:eastAsia="es-CR"/>
              </w:rPr>
            </w:pPr>
            <w:r w:rsidRPr="00A71608">
              <w:rPr>
                <w:b/>
                <w:bCs/>
                <w:lang w:eastAsia="es-CR"/>
              </w:rPr>
              <w:t>Absoluta</w:t>
            </w:r>
          </w:p>
        </w:tc>
        <w:tc>
          <w:tcPr>
            <w:tcW w:w="766" w:type="pct"/>
            <w:tcBorders>
              <w:top w:val="nil"/>
              <w:left w:val="nil"/>
              <w:bottom w:val="single" w:sz="8" w:space="0" w:color="auto"/>
              <w:right w:val="nil"/>
            </w:tcBorders>
            <w:shd w:val="clear" w:color="000000" w:fill="FFFFFF"/>
            <w:noWrap/>
            <w:vAlign w:val="center"/>
            <w:hideMark/>
          </w:tcPr>
          <w:p w14:paraId="7F7178B4" w14:textId="77777777" w:rsidR="00A71608" w:rsidRPr="00A71608" w:rsidRDefault="00A71608" w:rsidP="00A71608">
            <w:pPr>
              <w:jc w:val="center"/>
              <w:rPr>
                <w:b/>
                <w:bCs/>
                <w:lang w:eastAsia="es-CR"/>
              </w:rPr>
            </w:pPr>
            <w:r w:rsidRPr="00A71608">
              <w:rPr>
                <w:b/>
                <w:bCs/>
                <w:lang w:eastAsia="es-CR"/>
              </w:rPr>
              <w:t>Porcentual</w:t>
            </w:r>
          </w:p>
        </w:tc>
      </w:tr>
      <w:tr w:rsidR="00A71608" w:rsidRPr="00A71608" w14:paraId="259ACB7D" w14:textId="77777777" w:rsidTr="00A71608">
        <w:trPr>
          <w:trHeight w:val="300"/>
        </w:trPr>
        <w:tc>
          <w:tcPr>
            <w:tcW w:w="1501" w:type="pct"/>
            <w:tcBorders>
              <w:top w:val="nil"/>
              <w:left w:val="nil"/>
              <w:bottom w:val="nil"/>
              <w:right w:val="nil"/>
            </w:tcBorders>
            <w:shd w:val="clear" w:color="000000" w:fill="FFFFFF"/>
            <w:noWrap/>
            <w:vAlign w:val="center"/>
            <w:hideMark/>
          </w:tcPr>
          <w:p w14:paraId="43F275B0" w14:textId="77777777" w:rsidR="00A71608" w:rsidRPr="00A71608" w:rsidRDefault="00A71608" w:rsidP="00A71608">
            <w:pPr>
              <w:jc w:val="center"/>
              <w:rPr>
                <w:b/>
                <w:bCs/>
                <w:lang w:eastAsia="es-CR"/>
              </w:rPr>
            </w:pPr>
            <w:r w:rsidRPr="00A71608">
              <w:rPr>
                <w:b/>
                <w:bCs/>
                <w:lang w:eastAsia="es-CR"/>
              </w:rPr>
              <w:t> </w:t>
            </w:r>
          </w:p>
        </w:tc>
        <w:tc>
          <w:tcPr>
            <w:tcW w:w="700" w:type="pct"/>
            <w:tcBorders>
              <w:top w:val="nil"/>
              <w:left w:val="nil"/>
              <w:bottom w:val="nil"/>
              <w:right w:val="nil"/>
            </w:tcBorders>
            <w:shd w:val="clear" w:color="000000" w:fill="FFFFFF"/>
            <w:noWrap/>
            <w:vAlign w:val="center"/>
            <w:hideMark/>
          </w:tcPr>
          <w:p w14:paraId="4799C830" w14:textId="77777777" w:rsidR="00A71608" w:rsidRPr="00A71608" w:rsidRDefault="00A71608" w:rsidP="00A71608">
            <w:pPr>
              <w:jc w:val="center"/>
              <w:rPr>
                <w:b/>
                <w:bCs/>
                <w:lang w:eastAsia="es-CR"/>
              </w:rPr>
            </w:pPr>
            <w:r w:rsidRPr="00A71608">
              <w:rPr>
                <w:b/>
                <w:bCs/>
                <w:lang w:eastAsia="es-CR"/>
              </w:rPr>
              <w:t> </w:t>
            </w:r>
          </w:p>
        </w:tc>
        <w:tc>
          <w:tcPr>
            <w:tcW w:w="700" w:type="pct"/>
            <w:tcBorders>
              <w:top w:val="nil"/>
              <w:left w:val="nil"/>
              <w:bottom w:val="nil"/>
              <w:right w:val="nil"/>
            </w:tcBorders>
            <w:shd w:val="clear" w:color="000000" w:fill="FFFFFF"/>
            <w:noWrap/>
            <w:vAlign w:val="center"/>
            <w:hideMark/>
          </w:tcPr>
          <w:p w14:paraId="71A1BED0" w14:textId="77777777" w:rsidR="00A71608" w:rsidRPr="00A71608" w:rsidRDefault="00A71608" w:rsidP="00A71608">
            <w:pPr>
              <w:jc w:val="center"/>
              <w:rPr>
                <w:b/>
                <w:bCs/>
                <w:lang w:eastAsia="es-CR"/>
              </w:rPr>
            </w:pPr>
            <w:r w:rsidRPr="00A71608">
              <w:rPr>
                <w:b/>
                <w:bCs/>
                <w:lang w:eastAsia="es-CR"/>
              </w:rPr>
              <w:t> </w:t>
            </w:r>
          </w:p>
        </w:tc>
        <w:tc>
          <w:tcPr>
            <w:tcW w:w="700" w:type="pct"/>
            <w:tcBorders>
              <w:top w:val="nil"/>
              <w:left w:val="nil"/>
              <w:bottom w:val="nil"/>
              <w:right w:val="nil"/>
            </w:tcBorders>
            <w:shd w:val="clear" w:color="000000" w:fill="FFFFFF"/>
            <w:noWrap/>
            <w:vAlign w:val="center"/>
            <w:hideMark/>
          </w:tcPr>
          <w:p w14:paraId="6522288C" w14:textId="77777777" w:rsidR="00A71608" w:rsidRPr="00A71608" w:rsidRDefault="00A71608" w:rsidP="00A71608">
            <w:pPr>
              <w:jc w:val="center"/>
              <w:rPr>
                <w:b/>
                <w:bCs/>
                <w:lang w:eastAsia="es-CR"/>
              </w:rPr>
            </w:pPr>
            <w:r w:rsidRPr="00A71608">
              <w:rPr>
                <w:b/>
                <w:bCs/>
                <w:lang w:eastAsia="es-CR"/>
              </w:rPr>
              <w:t> </w:t>
            </w:r>
          </w:p>
        </w:tc>
        <w:tc>
          <w:tcPr>
            <w:tcW w:w="634" w:type="pct"/>
            <w:tcBorders>
              <w:top w:val="nil"/>
              <w:left w:val="dashed" w:sz="8" w:space="0" w:color="auto"/>
              <w:bottom w:val="nil"/>
              <w:right w:val="nil"/>
            </w:tcBorders>
            <w:shd w:val="clear" w:color="000000" w:fill="FFFFFF"/>
            <w:noWrap/>
            <w:vAlign w:val="center"/>
            <w:hideMark/>
          </w:tcPr>
          <w:p w14:paraId="6A7A6DC8" w14:textId="77777777" w:rsidR="00A71608" w:rsidRPr="00A71608" w:rsidRDefault="00A71608" w:rsidP="00A71608">
            <w:pPr>
              <w:jc w:val="right"/>
              <w:rPr>
                <w:lang w:eastAsia="es-CR"/>
              </w:rPr>
            </w:pPr>
            <w:r w:rsidRPr="00A71608">
              <w:rPr>
                <w:lang w:eastAsia="es-CR"/>
              </w:rPr>
              <w:t> </w:t>
            </w:r>
          </w:p>
        </w:tc>
        <w:tc>
          <w:tcPr>
            <w:tcW w:w="766" w:type="pct"/>
            <w:tcBorders>
              <w:top w:val="nil"/>
              <w:left w:val="nil"/>
              <w:bottom w:val="nil"/>
              <w:right w:val="nil"/>
            </w:tcBorders>
            <w:shd w:val="clear" w:color="000000" w:fill="FFFFFF"/>
            <w:noWrap/>
            <w:vAlign w:val="center"/>
            <w:hideMark/>
          </w:tcPr>
          <w:p w14:paraId="75D27336" w14:textId="77777777" w:rsidR="00A71608" w:rsidRPr="00A71608" w:rsidRDefault="00A71608" w:rsidP="00A71608">
            <w:pPr>
              <w:jc w:val="center"/>
              <w:rPr>
                <w:b/>
                <w:bCs/>
                <w:lang w:eastAsia="es-CR"/>
              </w:rPr>
            </w:pPr>
            <w:r w:rsidRPr="00A71608">
              <w:rPr>
                <w:b/>
                <w:bCs/>
                <w:lang w:eastAsia="es-CR"/>
              </w:rPr>
              <w:t> </w:t>
            </w:r>
          </w:p>
        </w:tc>
      </w:tr>
      <w:tr w:rsidR="00A71608" w:rsidRPr="00A71608" w14:paraId="1AB29C80" w14:textId="77777777" w:rsidTr="00A71608">
        <w:trPr>
          <w:trHeight w:val="300"/>
        </w:trPr>
        <w:tc>
          <w:tcPr>
            <w:tcW w:w="1501" w:type="pct"/>
            <w:tcBorders>
              <w:top w:val="nil"/>
              <w:left w:val="nil"/>
              <w:bottom w:val="nil"/>
              <w:right w:val="nil"/>
            </w:tcBorders>
            <w:shd w:val="clear" w:color="000000" w:fill="FFFFFF"/>
            <w:noWrap/>
            <w:vAlign w:val="center"/>
            <w:hideMark/>
          </w:tcPr>
          <w:p w14:paraId="3E7D5167" w14:textId="77777777" w:rsidR="00A71608" w:rsidRPr="00A71608" w:rsidRDefault="00A71608" w:rsidP="00A71608">
            <w:pPr>
              <w:jc w:val="center"/>
              <w:rPr>
                <w:b/>
                <w:bCs/>
                <w:lang w:eastAsia="es-CR"/>
              </w:rPr>
            </w:pPr>
            <w:r w:rsidRPr="00A71608">
              <w:rPr>
                <w:b/>
                <w:bCs/>
                <w:lang w:eastAsia="es-CR"/>
              </w:rPr>
              <w:t>Total</w:t>
            </w:r>
          </w:p>
        </w:tc>
        <w:tc>
          <w:tcPr>
            <w:tcW w:w="700" w:type="pct"/>
            <w:tcBorders>
              <w:top w:val="nil"/>
              <w:left w:val="nil"/>
              <w:bottom w:val="nil"/>
              <w:right w:val="nil"/>
            </w:tcBorders>
            <w:shd w:val="clear" w:color="000000" w:fill="FFFFFF"/>
            <w:noWrap/>
            <w:vAlign w:val="center"/>
            <w:hideMark/>
          </w:tcPr>
          <w:p w14:paraId="68A8B1D6" w14:textId="77777777" w:rsidR="00A71608" w:rsidRPr="00A71608" w:rsidRDefault="00A71608" w:rsidP="00A71608">
            <w:pPr>
              <w:jc w:val="center"/>
              <w:rPr>
                <w:b/>
                <w:bCs/>
                <w:lang w:eastAsia="es-CR"/>
              </w:rPr>
            </w:pPr>
            <w:r w:rsidRPr="00A71608">
              <w:rPr>
                <w:b/>
                <w:bCs/>
                <w:lang w:eastAsia="es-CR"/>
              </w:rPr>
              <w:t>42 010</w:t>
            </w:r>
          </w:p>
        </w:tc>
        <w:tc>
          <w:tcPr>
            <w:tcW w:w="700" w:type="pct"/>
            <w:tcBorders>
              <w:top w:val="nil"/>
              <w:left w:val="nil"/>
              <w:bottom w:val="nil"/>
              <w:right w:val="nil"/>
            </w:tcBorders>
            <w:shd w:val="clear" w:color="000000" w:fill="FFFFFF"/>
            <w:noWrap/>
            <w:vAlign w:val="center"/>
            <w:hideMark/>
          </w:tcPr>
          <w:p w14:paraId="2ABB3B48" w14:textId="77777777" w:rsidR="00A71608" w:rsidRPr="00A71608" w:rsidRDefault="00A71608" w:rsidP="00A71608">
            <w:pPr>
              <w:jc w:val="center"/>
              <w:rPr>
                <w:b/>
                <w:bCs/>
                <w:lang w:eastAsia="es-CR"/>
              </w:rPr>
            </w:pPr>
            <w:r w:rsidRPr="00A71608">
              <w:rPr>
                <w:b/>
                <w:bCs/>
                <w:lang w:eastAsia="es-CR"/>
              </w:rPr>
              <w:t>37 122</w:t>
            </w:r>
          </w:p>
        </w:tc>
        <w:tc>
          <w:tcPr>
            <w:tcW w:w="700" w:type="pct"/>
            <w:tcBorders>
              <w:top w:val="nil"/>
              <w:left w:val="nil"/>
              <w:bottom w:val="nil"/>
              <w:right w:val="nil"/>
            </w:tcBorders>
            <w:shd w:val="clear" w:color="000000" w:fill="FFFFFF"/>
            <w:noWrap/>
            <w:vAlign w:val="center"/>
            <w:hideMark/>
          </w:tcPr>
          <w:p w14:paraId="6BDDF925" w14:textId="77777777" w:rsidR="00A71608" w:rsidRPr="00A71608" w:rsidRDefault="00A71608" w:rsidP="00A71608">
            <w:pPr>
              <w:jc w:val="center"/>
              <w:rPr>
                <w:b/>
                <w:bCs/>
                <w:lang w:eastAsia="es-CR"/>
              </w:rPr>
            </w:pPr>
            <w:r w:rsidRPr="00A71608">
              <w:rPr>
                <w:b/>
                <w:bCs/>
                <w:lang w:eastAsia="es-CR"/>
              </w:rPr>
              <w:t>32 665</w:t>
            </w:r>
          </w:p>
        </w:tc>
        <w:tc>
          <w:tcPr>
            <w:tcW w:w="634" w:type="pct"/>
            <w:tcBorders>
              <w:top w:val="nil"/>
              <w:left w:val="dashed" w:sz="8" w:space="0" w:color="auto"/>
              <w:bottom w:val="nil"/>
              <w:right w:val="nil"/>
            </w:tcBorders>
            <w:shd w:val="clear" w:color="000000" w:fill="FFFFFF"/>
            <w:noWrap/>
            <w:vAlign w:val="center"/>
            <w:hideMark/>
          </w:tcPr>
          <w:p w14:paraId="3DABDEED" w14:textId="77777777" w:rsidR="00A71608" w:rsidRPr="00A71608" w:rsidRDefault="00A71608" w:rsidP="00A71608">
            <w:pPr>
              <w:jc w:val="right"/>
              <w:rPr>
                <w:lang w:eastAsia="es-CR"/>
              </w:rPr>
            </w:pPr>
            <w:r w:rsidRPr="00A71608">
              <w:rPr>
                <w:lang w:eastAsia="es-CR"/>
              </w:rPr>
              <w:t> </w:t>
            </w:r>
          </w:p>
        </w:tc>
        <w:tc>
          <w:tcPr>
            <w:tcW w:w="766" w:type="pct"/>
            <w:tcBorders>
              <w:top w:val="nil"/>
              <w:left w:val="nil"/>
              <w:bottom w:val="nil"/>
              <w:right w:val="nil"/>
            </w:tcBorders>
            <w:shd w:val="clear" w:color="000000" w:fill="FFFFFF"/>
            <w:noWrap/>
            <w:vAlign w:val="center"/>
            <w:hideMark/>
          </w:tcPr>
          <w:p w14:paraId="059405E4" w14:textId="77777777" w:rsidR="00A71608" w:rsidRPr="00A71608" w:rsidRDefault="00A71608" w:rsidP="00A71608">
            <w:pPr>
              <w:jc w:val="center"/>
              <w:rPr>
                <w:b/>
                <w:bCs/>
                <w:lang w:eastAsia="es-CR"/>
              </w:rPr>
            </w:pPr>
            <w:r w:rsidRPr="00A71608">
              <w:rPr>
                <w:b/>
                <w:bCs/>
                <w:lang w:eastAsia="es-CR"/>
              </w:rPr>
              <w:t> </w:t>
            </w:r>
          </w:p>
        </w:tc>
      </w:tr>
      <w:tr w:rsidR="00A71608" w:rsidRPr="00A71608" w14:paraId="3B53151B" w14:textId="77777777" w:rsidTr="00A71608">
        <w:trPr>
          <w:trHeight w:val="310"/>
        </w:trPr>
        <w:tc>
          <w:tcPr>
            <w:tcW w:w="1501" w:type="pct"/>
            <w:tcBorders>
              <w:top w:val="nil"/>
              <w:left w:val="nil"/>
              <w:bottom w:val="nil"/>
              <w:right w:val="nil"/>
            </w:tcBorders>
            <w:shd w:val="clear" w:color="000000" w:fill="FFFFFF"/>
            <w:noWrap/>
            <w:vAlign w:val="center"/>
            <w:hideMark/>
          </w:tcPr>
          <w:p w14:paraId="512A9578" w14:textId="77777777" w:rsidR="00A71608" w:rsidRPr="00A71608" w:rsidRDefault="00A71608" w:rsidP="00A71608">
            <w:pPr>
              <w:rPr>
                <w:lang w:eastAsia="es-CR"/>
              </w:rPr>
            </w:pPr>
            <w:r w:rsidRPr="00A71608">
              <w:rPr>
                <w:rFonts w:eastAsia="Calibri"/>
              </w:rPr>
              <w:t>Documentos Dudosos</w:t>
            </w:r>
          </w:p>
        </w:tc>
        <w:tc>
          <w:tcPr>
            <w:tcW w:w="700" w:type="pct"/>
            <w:tcBorders>
              <w:top w:val="nil"/>
              <w:left w:val="nil"/>
              <w:bottom w:val="nil"/>
              <w:right w:val="nil"/>
            </w:tcBorders>
            <w:shd w:val="clear" w:color="000000" w:fill="FFFFFF"/>
            <w:noWrap/>
            <w:vAlign w:val="center"/>
            <w:hideMark/>
          </w:tcPr>
          <w:p w14:paraId="69B4F48F" w14:textId="77777777" w:rsidR="00A71608" w:rsidRPr="00A71608" w:rsidRDefault="00A71608" w:rsidP="00A71608">
            <w:pPr>
              <w:jc w:val="center"/>
              <w:rPr>
                <w:lang w:eastAsia="es-CR"/>
              </w:rPr>
            </w:pPr>
            <w:r w:rsidRPr="00A71608">
              <w:rPr>
                <w:rFonts w:eastAsia="Calibri"/>
              </w:rPr>
              <w:t>929</w:t>
            </w:r>
          </w:p>
        </w:tc>
        <w:tc>
          <w:tcPr>
            <w:tcW w:w="700" w:type="pct"/>
            <w:tcBorders>
              <w:top w:val="nil"/>
              <w:left w:val="nil"/>
              <w:bottom w:val="nil"/>
              <w:right w:val="nil"/>
            </w:tcBorders>
            <w:shd w:val="clear" w:color="000000" w:fill="FFFFFF"/>
            <w:noWrap/>
            <w:vAlign w:val="center"/>
            <w:hideMark/>
          </w:tcPr>
          <w:p w14:paraId="5E16F53A" w14:textId="77777777" w:rsidR="00A71608" w:rsidRPr="00A71608" w:rsidRDefault="00A71608" w:rsidP="00A71608">
            <w:pPr>
              <w:jc w:val="center"/>
              <w:rPr>
                <w:lang w:eastAsia="es-CR"/>
              </w:rPr>
            </w:pPr>
            <w:r w:rsidRPr="00A71608">
              <w:rPr>
                <w:rFonts w:eastAsia="Calibri"/>
              </w:rPr>
              <w:t>933</w:t>
            </w:r>
          </w:p>
        </w:tc>
        <w:tc>
          <w:tcPr>
            <w:tcW w:w="700" w:type="pct"/>
            <w:tcBorders>
              <w:top w:val="nil"/>
              <w:left w:val="nil"/>
              <w:bottom w:val="nil"/>
              <w:right w:val="nil"/>
            </w:tcBorders>
            <w:shd w:val="clear" w:color="000000" w:fill="FFFFFF"/>
            <w:noWrap/>
            <w:vAlign w:val="center"/>
            <w:hideMark/>
          </w:tcPr>
          <w:p w14:paraId="31CAA5C3" w14:textId="77777777" w:rsidR="00A71608" w:rsidRPr="00A71608" w:rsidRDefault="00A71608" w:rsidP="00A71608">
            <w:pPr>
              <w:jc w:val="center"/>
              <w:rPr>
                <w:lang w:eastAsia="es-CR"/>
              </w:rPr>
            </w:pPr>
            <w:r w:rsidRPr="00A71608">
              <w:rPr>
                <w:lang w:eastAsia="es-CR"/>
              </w:rPr>
              <w:t>797</w:t>
            </w:r>
          </w:p>
        </w:tc>
        <w:tc>
          <w:tcPr>
            <w:tcW w:w="634" w:type="pct"/>
            <w:tcBorders>
              <w:top w:val="nil"/>
              <w:left w:val="dashed" w:sz="8" w:space="0" w:color="auto"/>
              <w:bottom w:val="nil"/>
              <w:right w:val="nil"/>
            </w:tcBorders>
            <w:shd w:val="clear" w:color="000000" w:fill="FFFFFF"/>
            <w:noWrap/>
            <w:vAlign w:val="center"/>
            <w:hideMark/>
          </w:tcPr>
          <w:p w14:paraId="4645EEB3" w14:textId="77777777" w:rsidR="00A71608" w:rsidRPr="00A71608" w:rsidRDefault="00A71608" w:rsidP="00A71608">
            <w:pPr>
              <w:jc w:val="right"/>
              <w:rPr>
                <w:lang w:eastAsia="es-CR"/>
              </w:rPr>
            </w:pPr>
            <w:r w:rsidRPr="00A71608">
              <w:rPr>
                <w:lang w:eastAsia="es-CR"/>
              </w:rPr>
              <w:t>-136</w:t>
            </w:r>
          </w:p>
        </w:tc>
        <w:tc>
          <w:tcPr>
            <w:tcW w:w="766" w:type="pct"/>
            <w:tcBorders>
              <w:top w:val="nil"/>
              <w:left w:val="nil"/>
              <w:bottom w:val="nil"/>
              <w:right w:val="nil"/>
            </w:tcBorders>
            <w:shd w:val="clear" w:color="000000" w:fill="FFFFFF"/>
            <w:noWrap/>
            <w:vAlign w:val="center"/>
            <w:hideMark/>
          </w:tcPr>
          <w:p w14:paraId="03E32019" w14:textId="77777777" w:rsidR="00A71608" w:rsidRPr="00A71608" w:rsidRDefault="00A71608" w:rsidP="00A71608">
            <w:pPr>
              <w:jc w:val="right"/>
              <w:rPr>
                <w:lang w:eastAsia="es-CR"/>
              </w:rPr>
            </w:pPr>
            <w:r w:rsidRPr="00A71608">
              <w:rPr>
                <w:lang w:eastAsia="es-CR"/>
              </w:rPr>
              <w:t>-14,6</w:t>
            </w:r>
          </w:p>
        </w:tc>
      </w:tr>
      <w:tr w:rsidR="00A71608" w:rsidRPr="00A71608" w14:paraId="07B0A2E5" w14:textId="77777777" w:rsidTr="00A71608">
        <w:trPr>
          <w:trHeight w:val="310"/>
        </w:trPr>
        <w:tc>
          <w:tcPr>
            <w:tcW w:w="1501" w:type="pct"/>
            <w:tcBorders>
              <w:top w:val="nil"/>
              <w:left w:val="nil"/>
              <w:bottom w:val="nil"/>
              <w:right w:val="nil"/>
            </w:tcBorders>
            <w:shd w:val="clear" w:color="000000" w:fill="FFFFFF"/>
            <w:noWrap/>
            <w:vAlign w:val="center"/>
            <w:hideMark/>
          </w:tcPr>
          <w:p w14:paraId="7D5D8538" w14:textId="77777777" w:rsidR="00A71608" w:rsidRPr="00A71608" w:rsidRDefault="00A71608" w:rsidP="00A71608">
            <w:pPr>
              <w:rPr>
                <w:lang w:eastAsia="es-CR"/>
              </w:rPr>
            </w:pPr>
            <w:r w:rsidRPr="00A71608">
              <w:rPr>
                <w:rFonts w:eastAsia="Calibri"/>
              </w:rPr>
              <w:t>Biología Forense</w:t>
            </w:r>
          </w:p>
        </w:tc>
        <w:tc>
          <w:tcPr>
            <w:tcW w:w="700" w:type="pct"/>
            <w:tcBorders>
              <w:top w:val="nil"/>
              <w:left w:val="nil"/>
              <w:bottom w:val="nil"/>
              <w:right w:val="nil"/>
            </w:tcBorders>
            <w:shd w:val="clear" w:color="000000" w:fill="FFFFFF"/>
            <w:noWrap/>
            <w:vAlign w:val="center"/>
            <w:hideMark/>
          </w:tcPr>
          <w:p w14:paraId="07CCC270" w14:textId="77777777" w:rsidR="00A71608" w:rsidRPr="00A71608" w:rsidRDefault="00A71608" w:rsidP="00A71608">
            <w:pPr>
              <w:jc w:val="center"/>
              <w:rPr>
                <w:lang w:eastAsia="es-CR"/>
              </w:rPr>
            </w:pPr>
            <w:r w:rsidRPr="00A71608">
              <w:rPr>
                <w:rFonts w:eastAsia="Calibri"/>
              </w:rPr>
              <w:t>4 181</w:t>
            </w:r>
          </w:p>
        </w:tc>
        <w:tc>
          <w:tcPr>
            <w:tcW w:w="700" w:type="pct"/>
            <w:tcBorders>
              <w:top w:val="nil"/>
              <w:left w:val="nil"/>
              <w:bottom w:val="nil"/>
              <w:right w:val="nil"/>
            </w:tcBorders>
            <w:shd w:val="clear" w:color="000000" w:fill="FFFFFF"/>
            <w:noWrap/>
            <w:vAlign w:val="center"/>
            <w:hideMark/>
          </w:tcPr>
          <w:p w14:paraId="554BF75C" w14:textId="77777777" w:rsidR="00A71608" w:rsidRPr="00A71608" w:rsidRDefault="00A71608" w:rsidP="00A71608">
            <w:pPr>
              <w:jc w:val="center"/>
              <w:rPr>
                <w:lang w:eastAsia="es-CR"/>
              </w:rPr>
            </w:pPr>
            <w:r w:rsidRPr="00A71608">
              <w:rPr>
                <w:rFonts w:eastAsia="Calibri"/>
              </w:rPr>
              <w:t>2 832</w:t>
            </w:r>
          </w:p>
        </w:tc>
        <w:tc>
          <w:tcPr>
            <w:tcW w:w="700" w:type="pct"/>
            <w:tcBorders>
              <w:top w:val="nil"/>
              <w:left w:val="nil"/>
              <w:bottom w:val="nil"/>
              <w:right w:val="nil"/>
            </w:tcBorders>
            <w:shd w:val="clear" w:color="000000" w:fill="FFFFFF"/>
            <w:noWrap/>
            <w:vAlign w:val="center"/>
            <w:hideMark/>
          </w:tcPr>
          <w:p w14:paraId="5E5D78DC" w14:textId="77777777" w:rsidR="00A71608" w:rsidRPr="00A71608" w:rsidRDefault="00A71608" w:rsidP="00A71608">
            <w:pPr>
              <w:jc w:val="center"/>
              <w:rPr>
                <w:lang w:eastAsia="es-CR"/>
              </w:rPr>
            </w:pPr>
            <w:r w:rsidRPr="00A71608">
              <w:rPr>
                <w:lang w:eastAsia="es-CR"/>
              </w:rPr>
              <w:t>2 505</w:t>
            </w:r>
          </w:p>
        </w:tc>
        <w:tc>
          <w:tcPr>
            <w:tcW w:w="634" w:type="pct"/>
            <w:tcBorders>
              <w:top w:val="nil"/>
              <w:left w:val="dashed" w:sz="8" w:space="0" w:color="auto"/>
              <w:bottom w:val="nil"/>
              <w:right w:val="nil"/>
            </w:tcBorders>
            <w:shd w:val="clear" w:color="000000" w:fill="FFFFFF"/>
            <w:noWrap/>
            <w:vAlign w:val="center"/>
            <w:hideMark/>
          </w:tcPr>
          <w:p w14:paraId="42F2741A" w14:textId="77777777" w:rsidR="00A71608" w:rsidRPr="00A71608" w:rsidRDefault="00A71608" w:rsidP="00A71608">
            <w:pPr>
              <w:jc w:val="right"/>
              <w:rPr>
                <w:lang w:eastAsia="es-CR"/>
              </w:rPr>
            </w:pPr>
            <w:r w:rsidRPr="00A71608">
              <w:rPr>
                <w:lang w:eastAsia="es-CR"/>
              </w:rPr>
              <w:t>-327</w:t>
            </w:r>
          </w:p>
        </w:tc>
        <w:tc>
          <w:tcPr>
            <w:tcW w:w="766" w:type="pct"/>
            <w:tcBorders>
              <w:top w:val="nil"/>
              <w:left w:val="nil"/>
              <w:bottom w:val="nil"/>
              <w:right w:val="nil"/>
            </w:tcBorders>
            <w:shd w:val="clear" w:color="000000" w:fill="FFFFFF"/>
            <w:noWrap/>
            <w:vAlign w:val="center"/>
            <w:hideMark/>
          </w:tcPr>
          <w:p w14:paraId="6A5CDDAA" w14:textId="77777777" w:rsidR="00A71608" w:rsidRPr="00A71608" w:rsidRDefault="00A71608" w:rsidP="00A71608">
            <w:pPr>
              <w:jc w:val="right"/>
              <w:rPr>
                <w:lang w:eastAsia="es-CR"/>
              </w:rPr>
            </w:pPr>
            <w:r w:rsidRPr="00A71608">
              <w:rPr>
                <w:lang w:eastAsia="es-CR"/>
              </w:rPr>
              <w:t>-11,5</w:t>
            </w:r>
          </w:p>
        </w:tc>
      </w:tr>
      <w:tr w:rsidR="00A71608" w:rsidRPr="00A71608" w14:paraId="6A64FA7F" w14:textId="77777777" w:rsidTr="00A71608">
        <w:trPr>
          <w:trHeight w:val="310"/>
        </w:trPr>
        <w:tc>
          <w:tcPr>
            <w:tcW w:w="1501" w:type="pct"/>
            <w:tcBorders>
              <w:top w:val="nil"/>
              <w:left w:val="nil"/>
              <w:bottom w:val="nil"/>
              <w:right w:val="nil"/>
            </w:tcBorders>
            <w:shd w:val="clear" w:color="000000" w:fill="FFFFFF"/>
            <w:noWrap/>
            <w:vAlign w:val="center"/>
            <w:hideMark/>
          </w:tcPr>
          <w:p w14:paraId="1E65E065" w14:textId="77777777" w:rsidR="00A71608" w:rsidRPr="00A71608" w:rsidRDefault="00A71608" w:rsidP="00A71608">
            <w:pPr>
              <w:rPr>
                <w:lang w:eastAsia="es-CR"/>
              </w:rPr>
            </w:pPr>
            <w:r w:rsidRPr="00A71608">
              <w:rPr>
                <w:rFonts w:eastAsia="Calibri"/>
              </w:rPr>
              <w:t>Bioquímica</w:t>
            </w:r>
          </w:p>
        </w:tc>
        <w:tc>
          <w:tcPr>
            <w:tcW w:w="700" w:type="pct"/>
            <w:tcBorders>
              <w:top w:val="nil"/>
              <w:left w:val="nil"/>
              <w:bottom w:val="nil"/>
              <w:right w:val="nil"/>
            </w:tcBorders>
            <w:shd w:val="clear" w:color="000000" w:fill="FFFFFF"/>
            <w:noWrap/>
            <w:vAlign w:val="center"/>
            <w:hideMark/>
          </w:tcPr>
          <w:p w14:paraId="455E34D2" w14:textId="77777777" w:rsidR="00A71608" w:rsidRPr="00A71608" w:rsidRDefault="00A71608" w:rsidP="00A71608">
            <w:pPr>
              <w:jc w:val="center"/>
              <w:rPr>
                <w:lang w:eastAsia="es-CR"/>
              </w:rPr>
            </w:pPr>
            <w:r w:rsidRPr="00A71608">
              <w:rPr>
                <w:rFonts w:eastAsia="Calibri"/>
              </w:rPr>
              <w:t>14 229</w:t>
            </w:r>
          </w:p>
        </w:tc>
        <w:tc>
          <w:tcPr>
            <w:tcW w:w="700" w:type="pct"/>
            <w:tcBorders>
              <w:top w:val="nil"/>
              <w:left w:val="nil"/>
              <w:bottom w:val="nil"/>
              <w:right w:val="nil"/>
            </w:tcBorders>
            <w:shd w:val="clear" w:color="000000" w:fill="FFFFFF"/>
            <w:noWrap/>
            <w:vAlign w:val="center"/>
            <w:hideMark/>
          </w:tcPr>
          <w:p w14:paraId="4A1D239F" w14:textId="77777777" w:rsidR="00A71608" w:rsidRPr="00A71608" w:rsidRDefault="00A71608" w:rsidP="00A71608">
            <w:pPr>
              <w:jc w:val="center"/>
              <w:rPr>
                <w:lang w:eastAsia="es-CR"/>
              </w:rPr>
            </w:pPr>
            <w:r w:rsidRPr="00A71608">
              <w:rPr>
                <w:rFonts w:eastAsia="Calibri"/>
              </w:rPr>
              <w:t>12 265</w:t>
            </w:r>
          </w:p>
        </w:tc>
        <w:tc>
          <w:tcPr>
            <w:tcW w:w="700" w:type="pct"/>
            <w:tcBorders>
              <w:top w:val="nil"/>
              <w:left w:val="nil"/>
              <w:bottom w:val="nil"/>
              <w:right w:val="nil"/>
            </w:tcBorders>
            <w:shd w:val="clear" w:color="000000" w:fill="FFFFFF"/>
            <w:noWrap/>
            <w:vAlign w:val="center"/>
            <w:hideMark/>
          </w:tcPr>
          <w:p w14:paraId="5AEC619A" w14:textId="77777777" w:rsidR="00A71608" w:rsidRPr="00A71608" w:rsidRDefault="00A71608" w:rsidP="00A71608">
            <w:pPr>
              <w:jc w:val="center"/>
              <w:rPr>
                <w:lang w:eastAsia="es-CR"/>
              </w:rPr>
            </w:pPr>
            <w:r w:rsidRPr="00A71608">
              <w:rPr>
                <w:lang w:eastAsia="es-CR"/>
              </w:rPr>
              <w:t>10 580</w:t>
            </w:r>
          </w:p>
        </w:tc>
        <w:tc>
          <w:tcPr>
            <w:tcW w:w="634" w:type="pct"/>
            <w:tcBorders>
              <w:top w:val="nil"/>
              <w:left w:val="dashed" w:sz="8" w:space="0" w:color="auto"/>
              <w:bottom w:val="nil"/>
              <w:right w:val="nil"/>
            </w:tcBorders>
            <w:shd w:val="clear" w:color="000000" w:fill="FFFFFF"/>
            <w:noWrap/>
            <w:vAlign w:val="center"/>
            <w:hideMark/>
          </w:tcPr>
          <w:p w14:paraId="39693ECA" w14:textId="77777777" w:rsidR="00A71608" w:rsidRPr="00A71608" w:rsidRDefault="00A71608" w:rsidP="00A71608">
            <w:pPr>
              <w:jc w:val="right"/>
              <w:rPr>
                <w:lang w:eastAsia="es-CR"/>
              </w:rPr>
            </w:pPr>
            <w:r w:rsidRPr="00A71608">
              <w:rPr>
                <w:lang w:eastAsia="es-CR"/>
              </w:rPr>
              <w:t>-1 685</w:t>
            </w:r>
          </w:p>
        </w:tc>
        <w:tc>
          <w:tcPr>
            <w:tcW w:w="766" w:type="pct"/>
            <w:tcBorders>
              <w:top w:val="nil"/>
              <w:left w:val="nil"/>
              <w:bottom w:val="nil"/>
              <w:right w:val="nil"/>
            </w:tcBorders>
            <w:shd w:val="clear" w:color="000000" w:fill="FFFFFF"/>
            <w:noWrap/>
            <w:vAlign w:val="center"/>
            <w:hideMark/>
          </w:tcPr>
          <w:p w14:paraId="159AB02A" w14:textId="77777777" w:rsidR="00A71608" w:rsidRPr="00A71608" w:rsidRDefault="00A71608" w:rsidP="00A71608">
            <w:pPr>
              <w:jc w:val="right"/>
              <w:rPr>
                <w:lang w:eastAsia="es-CR"/>
              </w:rPr>
            </w:pPr>
            <w:r w:rsidRPr="00A71608">
              <w:rPr>
                <w:lang w:eastAsia="es-CR"/>
              </w:rPr>
              <w:t>-13,7</w:t>
            </w:r>
          </w:p>
        </w:tc>
      </w:tr>
      <w:tr w:rsidR="00A71608" w:rsidRPr="00A71608" w14:paraId="3C83B3A0" w14:textId="77777777" w:rsidTr="00A71608">
        <w:trPr>
          <w:trHeight w:val="310"/>
        </w:trPr>
        <w:tc>
          <w:tcPr>
            <w:tcW w:w="1501" w:type="pct"/>
            <w:tcBorders>
              <w:top w:val="nil"/>
              <w:left w:val="nil"/>
              <w:bottom w:val="nil"/>
              <w:right w:val="nil"/>
            </w:tcBorders>
            <w:shd w:val="clear" w:color="000000" w:fill="FFFFFF"/>
            <w:noWrap/>
            <w:vAlign w:val="center"/>
            <w:hideMark/>
          </w:tcPr>
          <w:p w14:paraId="3EEABFAA" w14:textId="77777777" w:rsidR="00A71608" w:rsidRPr="00A71608" w:rsidRDefault="00A71608" w:rsidP="00A71608">
            <w:pPr>
              <w:rPr>
                <w:lang w:eastAsia="es-CR"/>
              </w:rPr>
            </w:pPr>
            <w:r w:rsidRPr="00A71608">
              <w:rPr>
                <w:rFonts w:eastAsia="Calibri"/>
              </w:rPr>
              <w:t>Pericias Físicas</w:t>
            </w:r>
          </w:p>
        </w:tc>
        <w:tc>
          <w:tcPr>
            <w:tcW w:w="700" w:type="pct"/>
            <w:tcBorders>
              <w:top w:val="nil"/>
              <w:left w:val="nil"/>
              <w:bottom w:val="nil"/>
              <w:right w:val="nil"/>
            </w:tcBorders>
            <w:shd w:val="clear" w:color="000000" w:fill="FFFFFF"/>
            <w:noWrap/>
            <w:vAlign w:val="center"/>
            <w:hideMark/>
          </w:tcPr>
          <w:p w14:paraId="4EC7BB51" w14:textId="77777777" w:rsidR="00A71608" w:rsidRPr="00A71608" w:rsidRDefault="00A71608" w:rsidP="00A71608">
            <w:pPr>
              <w:jc w:val="center"/>
              <w:rPr>
                <w:lang w:eastAsia="es-CR"/>
              </w:rPr>
            </w:pPr>
            <w:r w:rsidRPr="00A71608">
              <w:rPr>
                <w:rFonts w:eastAsia="Calibri"/>
              </w:rPr>
              <w:t>6 081</w:t>
            </w:r>
          </w:p>
        </w:tc>
        <w:tc>
          <w:tcPr>
            <w:tcW w:w="700" w:type="pct"/>
            <w:tcBorders>
              <w:top w:val="nil"/>
              <w:left w:val="nil"/>
              <w:bottom w:val="nil"/>
              <w:right w:val="nil"/>
            </w:tcBorders>
            <w:shd w:val="clear" w:color="000000" w:fill="FFFFFF"/>
            <w:noWrap/>
            <w:vAlign w:val="center"/>
            <w:hideMark/>
          </w:tcPr>
          <w:p w14:paraId="5F69F51B" w14:textId="77777777" w:rsidR="00A71608" w:rsidRPr="00A71608" w:rsidRDefault="00A71608" w:rsidP="00A71608">
            <w:pPr>
              <w:jc w:val="center"/>
              <w:rPr>
                <w:lang w:eastAsia="es-CR"/>
              </w:rPr>
            </w:pPr>
            <w:r w:rsidRPr="00A71608">
              <w:rPr>
                <w:rFonts w:eastAsia="Calibri"/>
              </w:rPr>
              <w:t>5 942</w:t>
            </w:r>
          </w:p>
        </w:tc>
        <w:tc>
          <w:tcPr>
            <w:tcW w:w="700" w:type="pct"/>
            <w:tcBorders>
              <w:top w:val="nil"/>
              <w:left w:val="nil"/>
              <w:bottom w:val="nil"/>
              <w:right w:val="nil"/>
            </w:tcBorders>
            <w:shd w:val="clear" w:color="000000" w:fill="FFFFFF"/>
            <w:noWrap/>
            <w:vAlign w:val="center"/>
            <w:hideMark/>
          </w:tcPr>
          <w:p w14:paraId="7EECEF1C" w14:textId="77777777" w:rsidR="00A71608" w:rsidRPr="00A71608" w:rsidRDefault="00A71608" w:rsidP="00A71608">
            <w:pPr>
              <w:jc w:val="center"/>
              <w:rPr>
                <w:lang w:eastAsia="es-CR"/>
              </w:rPr>
            </w:pPr>
            <w:r w:rsidRPr="00A71608">
              <w:rPr>
                <w:lang w:eastAsia="es-CR"/>
              </w:rPr>
              <w:t>5 182</w:t>
            </w:r>
          </w:p>
        </w:tc>
        <w:tc>
          <w:tcPr>
            <w:tcW w:w="634" w:type="pct"/>
            <w:tcBorders>
              <w:top w:val="nil"/>
              <w:left w:val="dashed" w:sz="8" w:space="0" w:color="auto"/>
              <w:bottom w:val="nil"/>
              <w:right w:val="nil"/>
            </w:tcBorders>
            <w:shd w:val="clear" w:color="000000" w:fill="FFFFFF"/>
            <w:noWrap/>
            <w:vAlign w:val="center"/>
            <w:hideMark/>
          </w:tcPr>
          <w:p w14:paraId="629E115C" w14:textId="77777777" w:rsidR="00A71608" w:rsidRPr="00A71608" w:rsidRDefault="00A71608" w:rsidP="00A71608">
            <w:pPr>
              <w:jc w:val="right"/>
              <w:rPr>
                <w:lang w:eastAsia="es-CR"/>
              </w:rPr>
            </w:pPr>
            <w:r w:rsidRPr="00A71608">
              <w:rPr>
                <w:lang w:eastAsia="es-CR"/>
              </w:rPr>
              <w:t>-760</w:t>
            </w:r>
          </w:p>
        </w:tc>
        <w:tc>
          <w:tcPr>
            <w:tcW w:w="766" w:type="pct"/>
            <w:tcBorders>
              <w:top w:val="nil"/>
              <w:left w:val="nil"/>
              <w:bottom w:val="nil"/>
              <w:right w:val="nil"/>
            </w:tcBorders>
            <w:shd w:val="clear" w:color="000000" w:fill="FFFFFF"/>
            <w:noWrap/>
            <w:vAlign w:val="center"/>
            <w:hideMark/>
          </w:tcPr>
          <w:p w14:paraId="650CF0ED" w14:textId="77777777" w:rsidR="00A71608" w:rsidRPr="00A71608" w:rsidRDefault="00A71608" w:rsidP="00A71608">
            <w:pPr>
              <w:jc w:val="right"/>
              <w:rPr>
                <w:lang w:eastAsia="es-CR"/>
              </w:rPr>
            </w:pPr>
            <w:r w:rsidRPr="00A71608">
              <w:rPr>
                <w:lang w:eastAsia="es-CR"/>
              </w:rPr>
              <w:t>-12,8</w:t>
            </w:r>
          </w:p>
        </w:tc>
      </w:tr>
      <w:tr w:rsidR="00A71608" w:rsidRPr="00A71608" w14:paraId="4D54A66A" w14:textId="77777777" w:rsidTr="00A71608">
        <w:trPr>
          <w:trHeight w:val="310"/>
        </w:trPr>
        <w:tc>
          <w:tcPr>
            <w:tcW w:w="1501" w:type="pct"/>
            <w:tcBorders>
              <w:top w:val="nil"/>
              <w:left w:val="nil"/>
              <w:bottom w:val="nil"/>
              <w:right w:val="nil"/>
            </w:tcBorders>
            <w:shd w:val="clear" w:color="000000" w:fill="FFFFFF"/>
            <w:noWrap/>
            <w:vAlign w:val="center"/>
            <w:hideMark/>
          </w:tcPr>
          <w:p w14:paraId="238EE0CF" w14:textId="77777777" w:rsidR="00A71608" w:rsidRPr="00A71608" w:rsidRDefault="00A71608" w:rsidP="00A71608">
            <w:pPr>
              <w:rPr>
                <w:lang w:eastAsia="es-CR"/>
              </w:rPr>
            </w:pPr>
            <w:r w:rsidRPr="00A71608">
              <w:rPr>
                <w:rFonts w:eastAsia="Calibri"/>
              </w:rPr>
              <w:t>Ingeniería Forense</w:t>
            </w:r>
          </w:p>
        </w:tc>
        <w:tc>
          <w:tcPr>
            <w:tcW w:w="700" w:type="pct"/>
            <w:tcBorders>
              <w:top w:val="nil"/>
              <w:left w:val="nil"/>
              <w:bottom w:val="nil"/>
              <w:right w:val="nil"/>
            </w:tcBorders>
            <w:shd w:val="clear" w:color="000000" w:fill="FFFFFF"/>
            <w:noWrap/>
            <w:vAlign w:val="center"/>
            <w:hideMark/>
          </w:tcPr>
          <w:p w14:paraId="3B533D51" w14:textId="77777777" w:rsidR="00A71608" w:rsidRPr="00A71608" w:rsidRDefault="00A71608" w:rsidP="00A71608">
            <w:pPr>
              <w:jc w:val="center"/>
              <w:rPr>
                <w:lang w:eastAsia="es-CR"/>
              </w:rPr>
            </w:pPr>
            <w:r w:rsidRPr="00A71608">
              <w:rPr>
                <w:rFonts w:eastAsia="Calibri"/>
              </w:rPr>
              <w:t>1 368</w:t>
            </w:r>
          </w:p>
        </w:tc>
        <w:tc>
          <w:tcPr>
            <w:tcW w:w="700" w:type="pct"/>
            <w:tcBorders>
              <w:top w:val="nil"/>
              <w:left w:val="nil"/>
              <w:bottom w:val="nil"/>
              <w:right w:val="nil"/>
            </w:tcBorders>
            <w:shd w:val="clear" w:color="000000" w:fill="FFFFFF"/>
            <w:noWrap/>
            <w:vAlign w:val="center"/>
            <w:hideMark/>
          </w:tcPr>
          <w:p w14:paraId="03641748" w14:textId="77777777" w:rsidR="00A71608" w:rsidRPr="00A71608" w:rsidRDefault="00A71608" w:rsidP="00A71608">
            <w:pPr>
              <w:jc w:val="center"/>
              <w:rPr>
                <w:lang w:eastAsia="es-CR"/>
              </w:rPr>
            </w:pPr>
            <w:r w:rsidRPr="00A71608">
              <w:rPr>
                <w:rFonts w:eastAsia="Calibri"/>
              </w:rPr>
              <w:t>1 138</w:t>
            </w:r>
          </w:p>
        </w:tc>
        <w:tc>
          <w:tcPr>
            <w:tcW w:w="700" w:type="pct"/>
            <w:tcBorders>
              <w:top w:val="nil"/>
              <w:left w:val="nil"/>
              <w:bottom w:val="nil"/>
              <w:right w:val="nil"/>
            </w:tcBorders>
            <w:shd w:val="clear" w:color="000000" w:fill="FFFFFF"/>
            <w:noWrap/>
            <w:vAlign w:val="center"/>
            <w:hideMark/>
          </w:tcPr>
          <w:p w14:paraId="31DDEA3E" w14:textId="77777777" w:rsidR="00A71608" w:rsidRPr="00A71608" w:rsidRDefault="00A71608" w:rsidP="00A71608">
            <w:pPr>
              <w:jc w:val="center"/>
              <w:rPr>
                <w:lang w:eastAsia="es-CR"/>
              </w:rPr>
            </w:pPr>
            <w:r w:rsidRPr="00A71608">
              <w:rPr>
                <w:lang w:eastAsia="es-CR"/>
              </w:rPr>
              <w:t>995</w:t>
            </w:r>
          </w:p>
        </w:tc>
        <w:tc>
          <w:tcPr>
            <w:tcW w:w="634" w:type="pct"/>
            <w:tcBorders>
              <w:top w:val="nil"/>
              <w:left w:val="dashed" w:sz="8" w:space="0" w:color="auto"/>
              <w:bottom w:val="nil"/>
              <w:right w:val="nil"/>
            </w:tcBorders>
            <w:shd w:val="clear" w:color="000000" w:fill="FFFFFF"/>
            <w:noWrap/>
            <w:vAlign w:val="center"/>
            <w:hideMark/>
          </w:tcPr>
          <w:p w14:paraId="29701222" w14:textId="77777777" w:rsidR="00A71608" w:rsidRPr="00A71608" w:rsidRDefault="00A71608" w:rsidP="00A71608">
            <w:pPr>
              <w:jc w:val="right"/>
              <w:rPr>
                <w:lang w:eastAsia="es-CR"/>
              </w:rPr>
            </w:pPr>
            <w:r w:rsidRPr="00A71608">
              <w:rPr>
                <w:lang w:eastAsia="es-CR"/>
              </w:rPr>
              <w:t>-143</w:t>
            </w:r>
          </w:p>
        </w:tc>
        <w:tc>
          <w:tcPr>
            <w:tcW w:w="766" w:type="pct"/>
            <w:tcBorders>
              <w:top w:val="nil"/>
              <w:left w:val="nil"/>
              <w:bottom w:val="nil"/>
              <w:right w:val="nil"/>
            </w:tcBorders>
            <w:shd w:val="clear" w:color="000000" w:fill="FFFFFF"/>
            <w:noWrap/>
            <w:vAlign w:val="center"/>
            <w:hideMark/>
          </w:tcPr>
          <w:p w14:paraId="4B747260" w14:textId="77777777" w:rsidR="00A71608" w:rsidRPr="00A71608" w:rsidRDefault="00A71608" w:rsidP="00A71608">
            <w:pPr>
              <w:jc w:val="right"/>
              <w:rPr>
                <w:lang w:eastAsia="es-CR"/>
              </w:rPr>
            </w:pPr>
            <w:r w:rsidRPr="00A71608">
              <w:rPr>
                <w:lang w:eastAsia="es-CR"/>
              </w:rPr>
              <w:t>-12,6</w:t>
            </w:r>
          </w:p>
        </w:tc>
      </w:tr>
      <w:tr w:rsidR="00A71608" w:rsidRPr="00A71608" w14:paraId="4F959FB9" w14:textId="77777777" w:rsidTr="00A71608">
        <w:trPr>
          <w:trHeight w:val="310"/>
        </w:trPr>
        <w:tc>
          <w:tcPr>
            <w:tcW w:w="1501" w:type="pct"/>
            <w:tcBorders>
              <w:top w:val="nil"/>
              <w:left w:val="nil"/>
              <w:bottom w:val="nil"/>
              <w:right w:val="nil"/>
            </w:tcBorders>
            <w:shd w:val="clear" w:color="000000" w:fill="FFFFFF"/>
            <w:noWrap/>
            <w:vAlign w:val="center"/>
            <w:hideMark/>
          </w:tcPr>
          <w:p w14:paraId="43810CAB" w14:textId="77777777" w:rsidR="00A71608" w:rsidRPr="00A71608" w:rsidRDefault="00A71608" w:rsidP="00A71608">
            <w:pPr>
              <w:rPr>
                <w:lang w:eastAsia="es-CR"/>
              </w:rPr>
            </w:pPr>
            <w:r w:rsidRPr="00A71608">
              <w:rPr>
                <w:rFonts w:eastAsia="Calibri"/>
              </w:rPr>
              <w:t>Imagen y Sonido Forense</w:t>
            </w:r>
          </w:p>
        </w:tc>
        <w:tc>
          <w:tcPr>
            <w:tcW w:w="700" w:type="pct"/>
            <w:tcBorders>
              <w:top w:val="nil"/>
              <w:left w:val="nil"/>
              <w:bottom w:val="nil"/>
              <w:right w:val="nil"/>
            </w:tcBorders>
            <w:shd w:val="clear" w:color="000000" w:fill="FFFFFF"/>
            <w:noWrap/>
            <w:vAlign w:val="center"/>
            <w:hideMark/>
          </w:tcPr>
          <w:p w14:paraId="48CFE5FF" w14:textId="77777777" w:rsidR="00A71608" w:rsidRPr="00A71608" w:rsidRDefault="00A71608" w:rsidP="00A71608">
            <w:pPr>
              <w:jc w:val="center"/>
              <w:rPr>
                <w:lang w:eastAsia="es-CR"/>
              </w:rPr>
            </w:pPr>
            <w:r w:rsidRPr="00A71608">
              <w:rPr>
                <w:rFonts w:eastAsia="Calibri"/>
              </w:rPr>
              <w:t>1 944</w:t>
            </w:r>
          </w:p>
        </w:tc>
        <w:tc>
          <w:tcPr>
            <w:tcW w:w="700" w:type="pct"/>
            <w:tcBorders>
              <w:top w:val="nil"/>
              <w:left w:val="nil"/>
              <w:bottom w:val="nil"/>
              <w:right w:val="nil"/>
            </w:tcBorders>
            <w:shd w:val="clear" w:color="000000" w:fill="FFFFFF"/>
            <w:noWrap/>
            <w:vAlign w:val="center"/>
            <w:hideMark/>
          </w:tcPr>
          <w:p w14:paraId="6AB7345C" w14:textId="77777777" w:rsidR="00A71608" w:rsidRPr="00A71608" w:rsidRDefault="00A71608" w:rsidP="00A71608">
            <w:pPr>
              <w:jc w:val="center"/>
              <w:rPr>
                <w:lang w:eastAsia="es-CR"/>
              </w:rPr>
            </w:pPr>
            <w:r w:rsidRPr="00A71608">
              <w:rPr>
                <w:rFonts w:eastAsia="Calibri"/>
              </w:rPr>
              <w:t>1 386</w:t>
            </w:r>
          </w:p>
        </w:tc>
        <w:tc>
          <w:tcPr>
            <w:tcW w:w="700" w:type="pct"/>
            <w:tcBorders>
              <w:top w:val="nil"/>
              <w:left w:val="nil"/>
              <w:bottom w:val="nil"/>
              <w:right w:val="nil"/>
            </w:tcBorders>
            <w:shd w:val="clear" w:color="000000" w:fill="FFFFFF"/>
            <w:noWrap/>
            <w:vAlign w:val="center"/>
            <w:hideMark/>
          </w:tcPr>
          <w:p w14:paraId="1160ADA1" w14:textId="77777777" w:rsidR="00A71608" w:rsidRPr="00A71608" w:rsidRDefault="00A71608" w:rsidP="00A71608">
            <w:pPr>
              <w:jc w:val="center"/>
              <w:rPr>
                <w:lang w:eastAsia="es-CR"/>
              </w:rPr>
            </w:pPr>
            <w:r w:rsidRPr="00A71608">
              <w:rPr>
                <w:lang w:eastAsia="es-CR"/>
              </w:rPr>
              <w:t>993</w:t>
            </w:r>
          </w:p>
        </w:tc>
        <w:tc>
          <w:tcPr>
            <w:tcW w:w="634" w:type="pct"/>
            <w:tcBorders>
              <w:top w:val="nil"/>
              <w:left w:val="dashed" w:sz="8" w:space="0" w:color="auto"/>
              <w:bottom w:val="nil"/>
              <w:right w:val="nil"/>
            </w:tcBorders>
            <w:shd w:val="clear" w:color="000000" w:fill="FFFFFF"/>
            <w:noWrap/>
            <w:vAlign w:val="center"/>
            <w:hideMark/>
          </w:tcPr>
          <w:p w14:paraId="44F1A4CC" w14:textId="77777777" w:rsidR="00A71608" w:rsidRPr="00A71608" w:rsidRDefault="00A71608" w:rsidP="00A71608">
            <w:pPr>
              <w:jc w:val="right"/>
              <w:rPr>
                <w:lang w:eastAsia="es-CR"/>
              </w:rPr>
            </w:pPr>
            <w:r w:rsidRPr="00A71608">
              <w:rPr>
                <w:lang w:eastAsia="es-CR"/>
              </w:rPr>
              <w:t>-393</w:t>
            </w:r>
          </w:p>
        </w:tc>
        <w:tc>
          <w:tcPr>
            <w:tcW w:w="766" w:type="pct"/>
            <w:tcBorders>
              <w:top w:val="nil"/>
              <w:left w:val="nil"/>
              <w:bottom w:val="nil"/>
              <w:right w:val="nil"/>
            </w:tcBorders>
            <w:shd w:val="clear" w:color="000000" w:fill="FFFFFF"/>
            <w:noWrap/>
            <w:vAlign w:val="center"/>
            <w:hideMark/>
          </w:tcPr>
          <w:p w14:paraId="054BFF81" w14:textId="77777777" w:rsidR="00A71608" w:rsidRPr="00A71608" w:rsidRDefault="00A71608" w:rsidP="00A71608">
            <w:pPr>
              <w:jc w:val="right"/>
              <w:rPr>
                <w:lang w:eastAsia="es-CR"/>
              </w:rPr>
            </w:pPr>
            <w:r w:rsidRPr="00A71608">
              <w:rPr>
                <w:lang w:eastAsia="es-CR"/>
              </w:rPr>
              <w:t>-28,4</w:t>
            </w:r>
          </w:p>
        </w:tc>
      </w:tr>
      <w:tr w:rsidR="00A71608" w:rsidRPr="00A71608" w14:paraId="39196176" w14:textId="77777777" w:rsidTr="00A71608">
        <w:trPr>
          <w:trHeight w:val="310"/>
        </w:trPr>
        <w:tc>
          <w:tcPr>
            <w:tcW w:w="1501" w:type="pct"/>
            <w:tcBorders>
              <w:top w:val="nil"/>
              <w:left w:val="nil"/>
              <w:bottom w:val="nil"/>
              <w:right w:val="nil"/>
            </w:tcBorders>
            <w:shd w:val="clear" w:color="000000" w:fill="FFFFFF"/>
            <w:noWrap/>
            <w:vAlign w:val="center"/>
            <w:hideMark/>
          </w:tcPr>
          <w:p w14:paraId="3A1D6E53" w14:textId="77777777" w:rsidR="00A71608" w:rsidRPr="00A71608" w:rsidRDefault="00A71608" w:rsidP="00A71608">
            <w:pPr>
              <w:rPr>
                <w:lang w:eastAsia="es-CR"/>
              </w:rPr>
            </w:pPr>
            <w:r w:rsidRPr="00A71608">
              <w:rPr>
                <w:rFonts w:eastAsia="Calibri"/>
              </w:rPr>
              <w:t>Química Analítica</w:t>
            </w:r>
          </w:p>
        </w:tc>
        <w:tc>
          <w:tcPr>
            <w:tcW w:w="700" w:type="pct"/>
            <w:tcBorders>
              <w:top w:val="nil"/>
              <w:left w:val="nil"/>
              <w:bottom w:val="nil"/>
              <w:right w:val="nil"/>
            </w:tcBorders>
            <w:shd w:val="clear" w:color="000000" w:fill="FFFFFF"/>
            <w:noWrap/>
            <w:vAlign w:val="center"/>
            <w:hideMark/>
          </w:tcPr>
          <w:p w14:paraId="161E3222" w14:textId="77777777" w:rsidR="00A71608" w:rsidRPr="00A71608" w:rsidRDefault="00A71608" w:rsidP="00A71608">
            <w:pPr>
              <w:jc w:val="center"/>
              <w:rPr>
                <w:lang w:eastAsia="es-CR"/>
              </w:rPr>
            </w:pPr>
            <w:r w:rsidRPr="00A71608">
              <w:rPr>
                <w:rFonts w:eastAsia="Calibri"/>
              </w:rPr>
              <w:t>7 650</w:t>
            </w:r>
          </w:p>
        </w:tc>
        <w:tc>
          <w:tcPr>
            <w:tcW w:w="700" w:type="pct"/>
            <w:tcBorders>
              <w:top w:val="nil"/>
              <w:left w:val="nil"/>
              <w:bottom w:val="nil"/>
              <w:right w:val="nil"/>
            </w:tcBorders>
            <w:shd w:val="clear" w:color="000000" w:fill="FFFFFF"/>
            <w:noWrap/>
            <w:vAlign w:val="center"/>
            <w:hideMark/>
          </w:tcPr>
          <w:p w14:paraId="1F75FCDF" w14:textId="77777777" w:rsidR="00A71608" w:rsidRPr="00A71608" w:rsidRDefault="00A71608" w:rsidP="00A71608">
            <w:pPr>
              <w:jc w:val="center"/>
              <w:rPr>
                <w:lang w:eastAsia="es-CR"/>
              </w:rPr>
            </w:pPr>
            <w:r w:rsidRPr="00A71608">
              <w:rPr>
                <w:rFonts w:eastAsia="Calibri"/>
              </w:rPr>
              <w:t>7 373</w:t>
            </w:r>
          </w:p>
        </w:tc>
        <w:tc>
          <w:tcPr>
            <w:tcW w:w="700" w:type="pct"/>
            <w:tcBorders>
              <w:top w:val="nil"/>
              <w:left w:val="nil"/>
              <w:bottom w:val="nil"/>
              <w:right w:val="nil"/>
            </w:tcBorders>
            <w:shd w:val="clear" w:color="000000" w:fill="FFFFFF"/>
            <w:noWrap/>
            <w:vAlign w:val="center"/>
            <w:hideMark/>
          </w:tcPr>
          <w:p w14:paraId="0C72CB89" w14:textId="77777777" w:rsidR="00A71608" w:rsidRPr="00A71608" w:rsidRDefault="00A71608" w:rsidP="00A71608">
            <w:pPr>
              <w:jc w:val="center"/>
              <w:rPr>
                <w:lang w:eastAsia="es-CR"/>
              </w:rPr>
            </w:pPr>
            <w:r w:rsidRPr="00A71608">
              <w:rPr>
                <w:lang w:eastAsia="es-CR"/>
              </w:rPr>
              <w:t>7 033</w:t>
            </w:r>
          </w:p>
        </w:tc>
        <w:tc>
          <w:tcPr>
            <w:tcW w:w="634" w:type="pct"/>
            <w:tcBorders>
              <w:top w:val="nil"/>
              <w:left w:val="dashed" w:sz="8" w:space="0" w:color="auto"/>
              <w:bottom w:val="nil"/>
              <w:right w:val="nil"/>
            </w:tcBorders>
            <w:shd w:val="clear" w:color="000000" w:fill="FFFFFF"/>
            <w:noWrap/>
            <w:vAlign w:val="center"/>
            <w:hideMark/>
          </w:tcPr>
          <w:p w14:paraId="2AF6F60D" w14:textId="77777777" w:rsidR="00A71608" w:rsidRPr="00A71608" w:rsidRDefault="00A71608" w:rsidP="00A71608">
            <w:pPr>
              <w:jc w:val="right"/>
              <w:rPr>
                <w:lang w:eastAsia="es-CR"/>
              </w:rPr>
            </w:pPr>
            <w:r w:rsidRPr="00A71608">
              <w:rPr>
                <w:lang w:eastAsia="es-CR"/>
              </w:rPr>
              <w:t>-340</w:t>
            </w:r>
          </w:p>
        </w:tc>
        <w:tc>
          <w:tcPr>
            <w:tcW w:w="766" w:type="pct"/>
            <w:tcBorders>
              <w:top w:val="nil"/>
              <w:left w:val="nil"/>
              <w:bottom w:val="nil"/>
              <w:right w:val="nil"/>
            </w:tcBorders>
            <w:shd w:val="clear" w:color="000000" w:fill="FFFFFF"/>
            <w:noWrap/>
            <w:vAlign w:val="center"/>
            <w:hideMark/>
          </w:tcPr>
          <w:p w14:paraId="5F4A1BCD" w14:textId="77777777" w:rsidR="00A71608" w:rsidRPr="00A71608" w:rsidRDefault="00A71608" w:rsidP="00A71608">
            <w:pPr>
              <w:jc w:val="right"/>
              <w:rPr>
                <w:lang w:eastAsia="es-CR"/>
              </w:rPr>
            </w:pPr>
            <w:r w:rsidRPr="00A71608">
              <w:rPr>
                <w:lang w:eastAsia="es-CR"/>
              </w:rPr>
              <w:t>-4,6</w:t>
            </w:r>
          </w:p>
        </w:tc>
      </w:tr>
      <w:tr w:rsidR="00A71608" w:rsidRPr="00A71608" w14:paraId="72C4D338" w14:textId="77777777" w:rsidTr="00A71608">
        <w:trPr>
          <w:trHeight w:val="310"/>
        </w:trPr>
        <w:tc>
          <w:tcPr>
            <w:tcW w:w="1501" w:type="pct"/>
            <w:tcBorders>
              <w:top w:val="nil"/>
              <w:left w:val="nil"/>
              <w:bottom w:val="nil"/>
              <w:right w:val="nil"/>
            </w:tcBorders>
            <w:shd w:val="clear" w:color="000000" w:fill="FFFFFF"/>
            <w:noWrap/>
            <w:vAlign w:val="center"/>
            <w:hideMark/>
          </w:tcPr>
          <w:p w14:paraId="1DBCCB7A" w14:textId="77777777" w:rsidR="00A71608" w:rsidRPr="00A71608" w:rsidRDefault="00A71608" w:rsidP="00A71608">
            <w:pPr>
              <w:rPr>
                <w:lang w:eastAsia="es-CR"/>
              </w:rPr>
            </w:pPr>
            <w:r w:rsidRPr="00A71608">
              <w:rPr>
                <w:rFonts w:eastAsia="Calibri"/>
              </w:rPr>
              <w:t>Toxicología</w:t>
            </w:r>
          </w:p>
        </w:tc>
        <w:tc>
          <w:tcPr>
            <w:tcW w:w="700" w:type="pct"/>
            <w:tcBorders>
              <w:top w:val="nil"/>
              <w:left w:val="nil"/>
              <w:bottom w:val="nil"/>
              <w:right w:val="nil"/>
            </w:tcBorders>
            <w:shd w:val="clear" w:color="000000" w:fill="FFFFFF"/>
            <w:noWrap/>
            <w:vAlign w:val="center"/>
            <w:hideMark/>
          </w:tcPr>
          <w:p w14:paraId="6ED6D877" w14:textId="77777777" w:rsidR="00A71608" w:rsidRPr="00A71608" w:rsidRDefault="00A71608" w:rsidP="00A71608">
            <w:pPr>
              <w:jc w:val="center"/>
              <w:rPr>
                <w:lang w:eastAsia="es-CR"/>
              </w:rPr>
            </w:pPr>
            <w:r w:rsidRPr="00A71608">
              <w:rPr>
                <w:rFonts w:eastAsia="Calibri"/>
              </w:rPr>
              <w:t>5 628</w:t>
            </w:r>
          </w:p>
        </w:tc>
        <w:tc>
          <w:tcPr>
            <w:tcW w:w="700" w:type="pct"/>
            <w:tcBorders>
              <w:top w:val="nil"/>
              <w:left w:val="nil"/>
              <w:bottom w:val="nil"/>
              <w:right w:val="nil"/>
            </w:tcBorders>
            <w:shd w:val="clear" w:color="000000" w:fill="FFFFFF"/>
            <w:noWrap/>
            <w:vAlign w:val="center"/>
            <w:hideMark/>
          </w:tcPr>
          <w:p w14:paraId="433B4291" w14:textId="77777777" w:rsidR="00A71608" w:rsidRPr="00A71608" w:rsidRDefault="00A71608" w:rsidP="00A71608">
            <w:pPr>
              <w:jc w:val="center"/>
              <w:rPr>
                <w:lang w:eastAsia="es-CR"/>
              </w:rPr>
            </w:pPr>
            <w:r w:rsidRPr="00A71608">
              <w:rPr>
                <w:rFonts w:eastAsia="Calibri"/>
              </w:rPr>
              <w:t>5 253</w:t>
            </w:r>
          </w:p>
        </w:tc>
        <w:tc>
          <w:tcPr>
            <w:tcW w:w="700" w:type="pct"/>
            <w:tcBorders>
              <w:top w:val="nil"/>
              <w:left w:val="nil"/>
              <w:bottom w:val="nil"/>
              <w:right w:val="nil"/>
            </w:tcBorders>
            <w:shd w:val="clear" w:color="000000" w:fill="FFFFFF"/>
            <w:noWrap/>
            <w:vAlign w:val="center"/>
            <w:hideMark/>
          </w:tcPr>
          <w:p w14:paraId="53759FE6" w14:textId="77777777" w:rsidR="00A71608" w:rsidRPr="00A71608" w:rsidRDefault="00A71608" w:rsidP="00A71608">
            <w:pPr>
              <w:jc w:val="center"/>
              <w:rPr>
                <w:lang w:eastAsia="es-CR"/>
              </w:rPr>
            </w:pPr>
            <w:r w:rsidRPr="00A71608">
              <w:rPr>
                <w:lang w:eastAsia="es-CR"/>
              </w:rPr>
              <w:t>4 580</w:t>
            </w:r>
          </w:p>
        </w:tc>
        <w:tc>
          <w:tcPr>
            <w:tcW w:w="634" w:type="pct"/>
            <w:tcBorders>
              <w:top w:val="nil"/>
              <w:left w:val="dashed" w:sz="8" w:space="0" w:color="auto"/>
              <w:bottom w:val="nil"/>
              <w:right w:val="nil"/>
            </w:tcBorders>
            <w:shd w:val="clear" w:color="000000" w:fill="FFFFFF"/>
            <w:noWrap/>
            <w:vAlign w:val="center"/>
            <w:hideMark/>
          </w:tcPr>
          <w:p w14:paraId="6284119F" w14:textId="77777777" w:rsidR="00A71608" w:rsidRPr="00A71608" w:rsidRDefault="00A71608" w:rsidP="00A71608">
            <w:pPr>
              <w:jc w:val="right"/>
              <w:rPr>
                <w:lang w:eastAsia="es-CR"/>
              </w:rPr>
            </w:pPr>
            <w:r w:rsidRPr="00A71608">
              <w:rPr>
                <w:lang w:eastAsia="es-CR"/>
              </w:rPr>
              <w:t>-673</w:t>
            </w:r>
          </w:p>
        </w:tc>
        <w:tc>
          <w:tcPr>
            <w:tcW w:w="766" w:type="pct"/>
            <w:tcBorders>
              <w:top w:val="nil"/>
              <w:left w:val="nil"/>
              <w:bottom w:val="nil"/>
              <w:right w:val="nil"/>
            </w:tcBorders>
            <w:shd w:val="clear" w:color="000000" w:fill="FFFFFF"/>
            <w:noWrap/>
            <w:vAlign w:val="center"/>
            <w:hideMark/>
          </w:tcPr>
          <w:p w14:paraId="7FA4DD25" w14:textId="77777777" w:rsidR="00A71608" w:rsidRPr="00A71608" w:rsidRDefault="00A71608" w:rsidP="00A71608">
            <w:pPr>
              <w:jc w:val="right"/>
              <w:rPr>
                <w:lang w:eastAsia="es-CR"/>
              </w:rPr>
            </w:pPr>
            <w:r w:rsidRPr="00A71608">
              <w:rPr>
                <w:lang w:eastAsia="es-CR"/>
              </w:rPr>
              <w:t>-12,8</w:t>
            </w:r>
          </w:p>
        </w:tc>
      </w:tr>
      <w:tr w:rsidR="00A71608" w:rsidRPr="00A71608" w14:paraId="7E0997B6" w14:textId="77777777" w:rsidTr="00A71608">
        <w:trPr>
          <w:trHeight w:val="260"/>
        </w:trPr>
        <w:tc>
          <w:tcPr>
            <w:tcW w:w="1501" w:type="pct"/>
            <w:tcBorders>
              <w:top w:val="nil"/>
              <w:left w:val="nil"/>
              <w:bottom w:val="single" w:sz="8" w:space="0" w:color="auto"/>
              <w:right w:val="nil"/>
            </w:tcBorders>
            <w:shd w:val="clear" w:color="000000" w:fill="FFFFFF"/>
            <w:noWrap/>
            <w:vAlign w:val="bottom"/>
            <w:hideMark/>
          </w:tcPr>
          <w:p w14:paraId="03E7F213" w14:textId="77777777" w:rsidR="00A71608" w:rsidRPr="00A71608" w:rsidRDefault="00A71608" w:rsidP="00A71608">
            <w:pPr>
              <w:rPr>
                <w:lang w:eastAsia="es-CR"/>
              </w:rPr>
            </w:pPr>
            <w:r w:rsidRPr="00A71608">
              <w:rPr>
                <w:lang w:eastAsia="es-CR"/>
              </w:rPr>
              <w:t> </w:t>
            </w:r>
          </w:p>
        </w:tc>
        <w:tc>
          <w:tcPr>
            <w:tcW w:w="700" w:type="pct"/>
            <w:tcBorders>
              <w:top w:val="nil"/>
              <w:left w:val="nil"/>
              <w:bottom w:val="single" w:sz="8" w:space="0" w:color="auto"/>
              <w:right w:val="nil"/>
            </w:tcBorders>
            <w:shd w:val="clear" w:color="000000" w:fill="FFFFFF"/>
            <w:noWrap/>
            <w:vAlign w:val="bottom"/>
            <w:hideMark/>
          </w:tcPr>
          <w:p w14:paraId="743E7793" w14:textId="77777777" w:rsidR="00A71608" w:rsidRPr="00A71608" w:rsidRDefault="00A71608" w:rsidP="00A71608">
            <w:pPr>
              <w:rPr>
                <w:lang w:eastAsia="es-CR"/>
              </w:rPr>
            </w:pPr>
            <w:r w:rsidRPr="00A71608">
              <w:rPr>
                <w:lang w:eastAsia="es-CR"/>
              </w:rPr>
              <w:t> </w:t>
            </w:r>
          </w:p>
        </w:tc>
        <w:tc>
          <w:tcPr>
            <w:tcW w:w="700" w:type="pct"/>
            <w:tcBorders>
              <w:top w:val="nil"/>
              <w:left w:val="nil"/>
              <w:bottom w:val="single" w:sz="8" w:space="0" w:color="auto"/>
              <w:right w:val="nil"/>
            </w:tcBorders>
            <w:shd w:val="clear" w:color="000000" w:fill="FFFFFF"/>
            <w:noWrap/>
            <w:vAlign w:val="bottom"/>
            <w:hideMark/>
          </w:tcPr>
          <w:p w14:paraId="1B7E36D8" w14:textId="77777777" w:rsidR="00A71608" w:rsidRPr="00A71608" w:rsidRDefault="00A71608" w:rsidP="00A71608">
            <w:pPr>
              <w:rPr>
                <w:lang w:eastAsia="es-CR"/>
              </w:rPr>
            </w:pPr>
            <w:r w:rsidRPr="00A71608">
              <w:rPr>
                <w:lang w:eastAsia="es-CR"/>
              </w:rPr>
              <w:t> </w:t>
            </w:r>
          </w:p>
        </w:tc>
        <w:tc>
          <w:tcPr>
            <w:tcW w:w="700" w:type="pct"/>
            <w:tcBorders>
              <w:top w:val="nil"/>
              <w:left w:val="nil"/>
              <w:bottom w:val="single" w:sz="8" w:space="0" w:color="auto"/>
              <w:right w:val="nil"/>
            </w:tcBorders>
            <w:shd w:val="clear" w:color="000000" w:fill="FFFFFF"/>
            <w:noWrap/>
            <w:vAlign w:val="bottom"/>
            <w:hideMark/>
          </w:tcPr>
          <w:p w14:paraId="540ABA6F" w14:textId="77777777" w:rsidR="00A71608" w:rsidRPr="00A71608" w:rsidRDefault="00A71608" w:rsidP="00A71608">
            <w:pPr>
              <w:rPr>
                <w:lang w:eastAsia="es-CR"/>
              </w:rPr>
            </w:pPr>
            <w:r w:rsidRPr="00A71608">
              <w:rPr>
                <w:lang w:eastAsia="es-CR"/>
              </w:rPr>
              <w:t> </w:t>
            </w:r>
          </w:p>
        </w:tc>
        <w:tc>
          <w:tcPr>
            <w:tcW w:w="634" w:type="pct"/>
            <w:tcBorders>
              <w:top w:val="nil"/>
              <w:left w:val="dashed" w:sz="8" w:space="0" w:color="auto"/>
              <w:bottom w:val="single" w:sz="8" w:space="0" w:color="auto"/>
              <w:right w:val="nil"/>
            </w:tcBorders>
            <w:shd w:val="clear" w:color="000000" w:fill="FFFFFF"/>
            <w:noWrap/>
            <w:vAlign w:val="center"/>
            <w:hideMark/>
          </w:tcPr>
          <w:p w14:paraId="3A9F167B" w14:textId="77777777" w:rsidR="00A71608" w:rsidRPr="00A71608" w:rsidRDefault="00A71608" w:rsidP="00A71608">
            <w:pPr>
              <w:jc w:val="center"/>
              <w:rPr>
                <w:lang w:eastAsia="es-CR"/>
              </w:rPr>
            </w:pPr>
            <w:r w:rsidRPr="00A71608">
              <w:rPr>
                <w:lang w:eastAsia="es-CR"/>
              </w:rPr>
              <w:t> </w:t>
            </w:r>
          </w:p>
        </w:tc>
        <w:tc>
          <w:tcPr>
            <w:tcW w:w="766" w:type="pct"/>
            <w:tcBorders>
              <w:top w:val="nil"/>
              <w:left w:val="nil"/>
              <w:bottom w:val="single" w:sz="8" w:space="0" w:color="auto"/>
              <w:right w:val="nil"/>
            </w:tcBorders>
            <w:shd w:val="clear" w:color="000000" w:fill="FFFFFF"/>
            <w:noWrap/>
            <w:vAlign w:val="center"/>
            <w:hideMark/>
          </w:tcPr>
          <w:p w14:paraId="042E4494" w14:textId="77777777" w:rsidR="00A71608" w:rsidRPr="00A71608" w:rsidRDefault="00A71608" w:rsidP="00A71608">
            <w:pPr>
              <w:jc w:val="center"/>
              <w:rPr>
                <w:lang w:eastAsia="es-CR"/>
              </w:rPr>
            </w:pPr>
            <w:r w:rsidRPr="00A71608">
              <w:rPr>
                <w:lang w:eastAsia="es-CR"/>
              </w:rPr>
              <w:t> </w:t>
            </w:r>
          </w:p>
        </w:tc>
      </w:tr>
      <w:tr w:rsidR="00A71608" w:rsidRPr="00A71608" w14:paraId="1C739785" w14:textId="77777777" w:rsidTr="00A71608">
        <w:trPr>
          <w:trHeight w:val="260"/>
        </w:trPr>
        <w:tc>
          <w:tcPr>
            <w:tcW w:w="2901" w:type="pct"/>
            <w:gridSpan w:val="3"/>
            <w:tcBorders>
              <w:top w:val="nil"/>
              <w:left w:val="nil"/>
              <w:bottom w:val="nil"/>
              <w:right w:val="nil"/>
            </w:tcBorders>
            <w:shd w:val="clear" w:color="000000" w:fill="FFFFFF"/>
            <w:noWrap/>
            <w:vAlign w:val="bottom"/>
            <w:hideMark/>
          </w:tcPr>
          <w:p w14:paraId="510E18ED" w14:textId="77777777" w:rsidR="00A71608" w:rsidRPr="00A71608" w:rsidRDefault="00A71608" w:rsidP="00A71608">
            <w:pPr>
              <w:rPr>
                <w:lang w:eastAsia="es-CR"/>
              </w:rPr>
            </w:pPr>
            <w:r w:rsidRPr="00A71608">
              <w:rPr>
                <w:lang w:eastAsia="es-CR"/>
              </w:rPr>
              <w:t>Elaborado por: Subproceso de Estadística, Dirección de Planificación</w:t>
            </w:r>
          </w:p>
        </w:tc>
        <w:tc>
          <w:tcPr>
            <w:tcW w:w="700" w:type="pct"/>
            <w:tcBorders>
              <w:top w:val="nil"/>
              <w:left w:val="nil"/>
              <w:bottom w:val="nil"/>
              <w:right w:val="nil"/>
            </w:tcBorders>
            <w:shd w:val="clear" w:color="000000" w:fill="FFFFFF"/>
            <w:noWrap/>
            <w:vAlign w:val="bottom"/>
            <w:hideMark/>
          </w:tcPr>
          <w:p w14:paraId="24DF2706" w14:textId="77777777" w:rsidR="00A71608" w:rsidRPr="00A71608" w:rsidRDefault="00A71608" w:rsidP="00A71608">
            <w:pPr>
              <w:rPr>
                <w:lang w:eastAsia="es-CR"/>
              </w:rPr>
            </w:pPr>
            <w:r w:rsidRPr="00A71608">
              <w:rPr>
                <w:lang w:eastAsia="es-CR"/>
              </w:rPr>
              <w:t> </w:t>
            </w:r>
          </w:p>
        </w:tc>
        <w:tc>
          <w:tcPr>
            <w:tcW w:w="634" w:type="pct"/>
            <w:tcBorders>
              <w:top w:val="nil"/>
              <w:left w:val="nil"/>
              <w:bottom w:val="nil"/>
              <w:right w:val="nil"/>
            </w:tcBorders>
            <w:shd w:val="clear" w:color="000000" w:fill="FFFFFF"/>
            <w:noWrap/>
            <w:vAlign w:val="bottom"/>
            <w:hideMark/>
          </w:tcPr>
          <w:p w14:paraId="1FE8CC60" w14:textId="77777777" w:rsidR="00A71608" w:rsidRPr="00A71608" w:rsidRDefault="00A71608" w:rsidP="00A71608">
            <w:pPr>
              <w:rPr>
                <w:lang w:eastAsia="es-CR"/>
              </w:rPr>
            </w:pPr>
            <w:r w:rsidRPr="00A71608">
              <w:rPr>
                <w:lang w:eastAsia="es-CR"/>
              </w:rPr>
              <w:t> </w:t>
            </w:r>
          </w:p>
        </w:tc>
        <w:tc>
          <w:tcPr>
            <w:tcW w:w="766" w:type="pct"/>
            <w:tcBorders>
              <w:top w:val="nil"/>
              <w:left w:val="nil"/>
              <w:bottom w:val="nil"/>
              <w:right w:val="nil"/>
            </w:tcBorders>
            <w:shd w:val="clear" w:color="000000" w:fill="FFFFFF"/>
            <w:noWrap/>
            <w:vAlign w:val="bottom"/>
            <w:hideMark/>
          </w:tcPr>
          <w:p w14:paraId="40F54562" w14:textId="77777777" w:rsidR="00A71608" w:rsidRPr="00A71608" w:rsidRDefault="00A71608" w:rsidP="00A71608">
            <w:pPr>
              <w:rPr>
                <w:lang w:eastAsia="es-CR"/>
              </w:rPr>
            </w:pPr>
            <w:r w:rsidRPr="00A71608">
              <w:rPr>
                <w:lang w:eastAsia="es-CR"/>
              </w:rPr>
              <w:t> </w:t>
            </w:r>
          </w:p>
        </w:tc>
      </w:tr>
    </w:tbl>
    <w:p w14:paraId="198897C5" w14:textId="77777777" w:rsidR="00A71608" w:rsidRPr="00A71608" w:rsidRDefault="00A71608" w:rsidP="00A71608">
      <w:pPr>
        <w:spacing w:after="160"/>
        <w:rPr>
          <w:rFonts w:eastAsia="Calibri"/>
          <w:b/>
          <w:bCs/>
        </w:rPr>
      </w:pPr>
    </w:p>
    <w:p w14:paraId="28331ADD" w14:textId="77777777" w:rsidR="00A71608" w:rsidRPr="00A71608" w:rsidRDefault="00A71608" w:rsidP="00A71608">
      <w:pPr>
        <w:ind w:left="851" w:right="851" w:firstLine="709"/>
        <w:jc w:val="both"/>
        <w:rPr>
          <w:rFonts w:eastAsia="Calibri"/>
        </w:rPr>
      </w:pPr>
      <w:r w:rsidRPr="00A71608">
        <w:rPr>
          <w:rFonts w:eastAsia="Calibri"/>
        </w:rPr>
        <w:t>Consecuentemente con el comportamiento de los casos entrados, la distribución de los terminados sigue un comportamiento análogo en cuanto a las magnitudes para cada sección.</w:t>
      </w:r>
    </w:p>
    <w:p w14:paraId="4B9A4FE6" w14:textId="77777777" w:rsidR="00A71608" w:rsidRPr="00A71608" w:rsidRDefault="00A71608" w:rsidP="00A71608">
      <w:pPr>
        <w:ind w:left="851" w:right="851" w:firstLine="709"/>
        <w:jc w:val="both"/>
        <w:rPr>
          <w:rFonts w:eastAsia="Calibri"/>
        </w:rPr>
      </w:pPr>
    </w:p>
    <w:p w14:paraId="79F80C8F" w14:textId="77777777" w:rsidR="00A71608" w:rsidRPr="00A71608" w:rsidRDefault="00A71608" w:rsidP="00A71608">
      <w:pPr>
        <w:ind w:left="851" w:right="851" w:firstLine="709"/>
        <w:jc w:val="both"/>
        <w:rPr>
          <w:rFonts w:eastAsia="Calibri"/>
        </w:rPr>
      </w:pPr>
      <w:r w:rsidRPr="00A71608">
        <w:rPr>
          <w:rFonts w:eastAsia="Calibri"/>
        </w:rPr>
        <w:t xml:space="preserve">La Sección de </w:t>
      </w:r>
      <w:r w:rsidRPr="00A71608">
        <w:rPr>
          <w:rFonts w:eastAsia="Calibri"/>
          <w:i/>
          <w:iCs/>
        </w:rPr>
        <w:t>Bioquímica</w:t>
      </w:r>
      <w:r w:rsidRPr="00A71608">
        <w:rPr>
          <w:rFonts w:eastAsia="Calibri"/>
        </w:rPr>
        <w:t xml:space="preserve"> finiquitó en promedio 12.358 casos por año representando el 33,3% de la totalidad, seguido de la Sección de </w:t>
      </w:r>
      <w:r w:rsidRPr="00A71608">
        <w:rPr>
          <w:rFonts w:eastAsia="Calibri"/>
          <w:i/>
          <w:iCs/>
        </w:rPr>
        <w:t>Química Analítica</w:t>
      </w:r>
      <w:r w:rsidRPr="00A71608">
        <w:rPr>
          <w:rFonts w:eastAsia="Calibri"/>
        </w:rPr>
        <w:t xml:space="preserve"> con 7.352 casos en promedio para un 19,7% del total para el mismo periodo.</w:t>
      </w:r>
    </w:p>
    <w:p w14:paraId="3C06BA44" w14:textId="77777777" w:rsidR="00A71608" w:rsidRPr="00A71608" w:rsidRDefault="00A71608" w:rsidP="00A71608">
      <w:pPr>
        <w:ind w:left="851" w:right="851" w:firstLine="709"/>
        <w:jc w:val="both"/>
        <w:rPr>
          <w:rFonts w:eastAsia="Calibri"/>
        </w:rPr>
      </w:pPr>
    </w:p>
    <w:p w14:paraId="6924A754" w14:textId="77777777" w:rsidR="00A71608" w:rsidRPr="00A71608" w:rsidRDefault="00A71608" w:rsidP="00A71608">
      <w:pPr>
        <w:ind w:left="851" w:right="851" w:firstLine="709"/>
        <w:jc w:val="both"/>
        <w:rPr>
          <w:rFonts w:eastAsia="Calibri"/>
        </w:rPr>
      </w:pPr>
      <w:r w:rsidRPr="00A71608">
        <w:rPr>
          <w:rFonts w:eastAsia="Calibri"/>
        </w:rPr>
        <w:t xml:space="preserve">Por otro lado, las Secciones de </w:t>
      </w:r>
      <w:r w:rsidRPr="00A71608">
        <w:rPr>
          <w:rFonts w:eastAsia="Calibri"/>
          <w:i/>
          <w:iCs/>
        </w:rPr>
        <w:t>Imagen y Sonido Forense</w:t>
      </w:r>
      <w:r w:rsidRPr="00A71608">
        <w:rPr>
          <w:rFonts w:eastAsia="Calibri"/>
        </w:rPr>
        <w:t xml:space="preserve">, </w:t>
      </w:r>
      <w:r w:rsidRPr="00A71608">
        <w:rPr>
          <w:rFonts w:eastAsia="Calibri"/>
          <w:i/>
          <w:iCs/>
        </w:rPr>
        <w:t xml:space="preserve">Ingeniería Forense </w:t>
      </w:r>
      <w:r w:rsidRPr="00A71608">
        <w:rPr>
          <w:rFonts w:eastAsia="Calibri"/>
        </w:rPr>
        <w:t>y</w:t>
      </w:r>
      <w:r w:rsidRPr="00A71608">
        <w:rPr>
          <w:rFonts w:eastAsia="Calibri"/>
          <w:i/>
          <w:iCs/>
        </w:rPr>
        <w:t xml:space="preserve"> Documentos dudosos</w:t>
      </w:r>
      <w:r w:rsidRPr="00A71608">
        <w:rPr>
          <w:rFonts w:eastAsia="Calibri"/>
        </w:rPr>
        <w:t xml:space="preserve"> acaparan en conjunto, el 8,5% del total de casos terminados para el año 2020.</w:t>
      </w:r>
    </w:p>
    <w:p w14:paraId="3E343F8C" w14:textId="77777777" w:rsidR="00A71608" w:rsidRPr="00A71608" w:rsidRDefault="00A71608" w:rsidP="00A71608">
      <w:pPr>
        <w:ind w:left="851" w:right="851" w:firstLine="709"/>
        <w:jc w:val="both"/>
        <w:rPr>
          <w:rFonts w:eastAsia="Calibri"/>
        </w:rPr>
      </w:pPr>
    </w:p>
    <w:p w14:paraId="7576A543" w14:textId="77777777" w:rsidR="00A71608" w:rsidRPr="00A71608" w:rsidRDefault="00A71608" w:rsidP="00A71608">
      <w:pPr>
        <w:spacing w:after="160"/>
        <w:rPr>
          <w:rFonts w:eastAsia="Calibri"/>
        </w:rPr>
      </w:pPr>
      <w:r w:rsidRPr="00A71608">
        <w:rPr>
          <w:noProof/>
          <w:lang w:val="en-US" w:eastAsia="en-US"/>
        </w:rPr>
        <w:lastRenderedPageBreak/>
        <w:drawing>
          <wp:inline distT="0" distB="0" distL="0" distR="0" wp14:anchorId="50ADA10B" wp14:editId="30080BBF">
            <wp:extent cx="5612130" cy="3263900"/>
            <wp:effectExtent l="0" t="0" r="7620" b="12700"/>
            <wp:docPr id="12" name="Gráfico 12">
              <a:extLst xmlns:a="http://schemas.openxmlformats.org/drawingml/2006/main">
                <a:ext uri="{FF2B5EF4-FFF2-40B4-BE49-F238E27FC236}">
                  <a16:creationId xmlns:a16="http://schemas.microsoft.com/office/drawing/2014/main" id="{BFBF1F35-CFA8-43BC-B50D-1A3A0C5CA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AEFF83" w14:textId="77777777" w:rsidR="00A71608" w:rsidRPr="00A71608" w:rsidRDefault="00A71608" w:rsidP="00A71608">
      <w:pPr>
        <w:ind w:left="708"/>
        <w:rPr>
          <w:rFonts w:eastAsia="Calibri"/>
          <w:b/>
          <w:bCs/>
        </w:rPr>
      </w:pPr>
    </w:p>
    <w:p w14:paraId="4B8D2E50"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9" w:name="_Toc85467975"/>
      <w:r w:rsidRPr="00A71608">
        <w:rPr>
          <w:rFonts w:eastAsia="Calibri"/>
          <w:b/>
          <w:bCs/>
        </w:rPr>
        <w:t>Circulante al Finalizar</w:t>
      </w:r>
      <w:bookmarkEnd w:id="9"/>
    </w:p>
    <w:p w14:paraId="02369838" w14:textId="77777777" w:rsidR="00A71608" w:rsidRPr="00A71608" w:rsidRDefault="00A71608" w:rsidP="00A71608">
      <w:pPr>
        <w:ind w:left="1560" w:right="851"/>
        <w:contextualSpacing/>
        <w:jc w:val="both"/>
        <w:rPr>
          <w:rFonts w:eastAsia="Calibri"/>
          <w:b/>
          <w:bCs/>
        </w:rPr>
      </w:pPr>
    </w:p>
    <w:p w14:paraId="037A5811" w14:textId="77777777" w:rsidR="00A71608" w:rsidRPr="00A71608" w:rsidRDefault="00A71608" w:rsidP="00A71608">
      <w:pPr>
        <w:ind w:left="851" w:right="851" w:firstLine="709"/>
        <w:jc w:val="both"/>
        <w:rPr>
          <w:rFonts w:eastAsia="Calibri"/>
        </w:rPr>
      </w:pPr>
      <w:r w:rsidRPr="00A71608">
        <w:rPr>
          <w:rFonts w:eastAsia="Calibri"/>
        </w:rPr>
        <w:t>El circulante final representa en términos del balance contable, la carga de trabajo pendiente de finalizar por parte de las Secciones que integran el Laboratorio de Ciencias Forenses a diciembre de cada año, dicho rubro así mismo constituye la carga inicial de trabajo con la cual deberán iniciar las secciones para el siguiente período.</w:t>
      </w:r>
    </w:p>
    <w:p w14:paraId="07912EBE" w14:textId="77777777" w:rsidR="00A71608" w:rsidRPr="00A71608" w:rsidRDefault="00A71608" w:rsidP="00A71608">
      <w:pPr>
        <w:ind w:left="851" w:right="851" w:firstLine="709"/>
        <w:jc w:val="both"/>
        <w:rPr>
          <w:rFonts w:eastAsia="Calibri"/>
        </w:rPr>
      </w:pPr>
    </w:p>
    <w:p w14:paraId="67BAD9B9" w14:textId="77777777" w:rsidR="00A71608" w:rsidRPr="00A71608" w:rsidRDefault="00A71608" w:rsidP="00A71608">
      <w:pPr>
        <w:ind w:left="851" w:right="851"/>
        <w:jc w:val="center"/>
        <w:rPr>
          <w:rFonts w:eastAsia="Calibri"/>
          <w:b/>
          <w:bCs/>
        </w:rPr>
      </w:pPr>
      <w:r w:rsidRPr="00A71608">
        <w:rPr>
          <w:rFonts w:eastAsia="Calibri"/>
          <w:b/>
          <w:bCs/>
        </w:rPr>
        <w:t>Cuadro 6.1</w:t>
      </w:r>
    </w:p>
    <w:p w14:paraId="063F6D53" w14:textId="77777777" w:rsidR="00A71608" w:rsidRPr="00A71608" w:rsidRDefault="00A71608" w:rsidP="00A71608">
      <w:pPr>
        <w:ind w:left="851" w:right="851"/>
        <w:jc w:val="center"/>
        <w:rPr>
          <w:rFonts w:eastAsia="Calibri"/>
          <w:b/>
          <w:bCs/>
        </w:rPr>
      </w:pPr>
      <w:r w:rsidRPr="00A71608">
        <w:rPr>
          <w:rFonts w:eastAsia="Calibri"/>
          <w:b/>
          <w:bCs/>
        </w:rPr>
        <w:t>Cantidad de casos terminados en el Departamento de Ciencias Forenses por sección</w:t>
      </w:r>
    </w:p>
    <w:p w14:paraId="4A51B0F0" w14:textId="77777777" w:rsidR="00A71608" w:rsidRPr="00A71608" w:rsidRDefault="00A71608" w:rsidP="00A71608">
      <w:pPr>
        <w:ind w:left="851" w:right="851"/>
        <w:jc w:val="center"/>
        <w:rPr>
          <w:rFonts w:eastAsia="Calibri"/>
          <w:b/>
          <w:bCs/>
        </w:rPr>
      </w:pPr>
      <w:r w:rsidRPr="00A71608">
        <w:rPr>
          <w:rFonts w:eastAsia="Calibri"/>
          <w:b/>
          <w:bCs/>
        </w:rPr>
        <w:t>Periodo 2018 – 2020</w:t>
      </w:r>
    </w:p>
    <w:p w14:paraId="3AFDD256" w14:textId="77777777" w:rsidR="00A71608" w:rsidRPr="00A71608" w:rsidRDefault="00A71608" w:rsidP="00A71608">
      <w:pPr>
        <w:jc w:val="center"/>
        <w:rPr>
          <w:rFonts w:eastAsia="Calibri"/>
          <w:b/>
          <w:bCs/>
        </w:rPr>
      </w:pPr>
    </w:p>
    <w:tbl>
      <w:tblPr>
        <w:tblW w:w="5000" w:type="pct"/>
        <w:tblCellMar>
          <w:left w:w="70" w:type="dxa"/>
          <w:right w:w="70" w:type="dxa"/>
        </w:tblCellMar>
        <w:tblLook w:val="04A0" w:firstRow="1" w:lastRow="0" w:firstColumn="1" w:lastColumn="0" w:noHBand="0" w:noVBand="1"/>
      </w:tblPr>
      <w:tblGrid>
        <w:gridCol w:w="3375"/>
        <w:gridCol w:w="1624"/>
        <w:gridCol w:w="1623"/>
        <w:gridCol w:w="664"/>
        <w:gridCol w:w="1033"/>
        <w:gridCol w:w="1226"/>
      </w:tblGrid>
      <w:tr w:rsidR="00A71608" w:rsidRPr="00A71608" w14:paraId="29AB0CA7" w14:textId="77777777" w:rsidTr="00A71608">
        <w:trPr>
          <w:trHeight w:val="300"/>
        </w:trPr>
        <w:tc>
          <w:tcPr>
            <w:tcW w:w="1469" w:type="pct"/>
            <w:vMerge w:val="restart"/>
            <w:tcBorders>
              <w:top w:val="single" w:sz="4" w:space="0" w:color="auto"/>
              <w:left w:val="nil"/>
              <w:bottom w:val="single" w:sz="8" w:space="0" w:color="000000"/>
              <w:right w:val="nil"/>
            </w:tcBorders>
            <w:shd w:val="clear" w:color="000000" w:fill="FFFFFF"/>
            <w:noWrap/>
            <w:vAlign w:val="center"/>
            <w:hideMark/>
          </w:tcPr>
          <w:p w14:paraId="367AFD57" w14:textId="77777777" w:rsidR="00A71608" w:rsidRPr="00A71608" w:rsidRDefault="00A71608" w:rsidP="00A71608">
            <w:pPr>
              <w:jc w:val="center"/>
              <w:rPr>
                <w:b/>
                <w:bCs/>
                <w:lang w:eastAsia="es-CR"/>
              </w:rPr>
            </w:pPr>
            <w:r w:rsidRPr="00A71608">
              <w:rPr>
                <w:rFonts w:eastAsia="Calibri"/>
                <w:b/>
                <w:bCs/>
              </w:rPr>
              <w:t>Sección</w:t>
            </w:r>
          </w:p>
        </w:tc>
        <w:tc>
          <w:tcPr>
            <w:tcW w:w="2119" w:type="pct"/>
            <w:gridSpan w:val="3"/>
            <w:tcBorders>
              <w:top w:val="single" w:sz="4" w:space="0" w:color="auto"/>
              <w:left w:val="nil"/>
              <w:bottom w:val="single" w:sz="4" w:space="0" w:color="auto"/>
              <w:right w:val="nil"/>
            </w:tcBorders>
            <w:shd w:val="clear" w:color="000000" w:fill="FFFFFF"/>
            <w:noWrap/>
            <w:vAlign w:val="center"/>
            <w:hideMark/>
          </w:tcPr>
          <w:p w14:paraId="2755D31D" w14:textId="77777777" w:rsidR="00A71608" w:rsidRPr="00A71608" w:rsidRDefault="00A71608" w:rsidP="00A71608">
            <w:pPr>
              <w:jc w:val="center"/>
              <w:rPr>
                <w:b/>
                <w:bCs/>
                <w:lang w:eastAsia="es-CR"/>
              </w:rPr>
            </w:pPr>
            <w:r w:rsidRPr="00A71608">
              <w:rPr>
                <w:rFonts w:eastAsia="Calibri"/>
                <w:b/>
                <w:bCs/>
              </w:rPr>
              <w:t>Años</w:t>
            </w:r>
          </w:p>
        </w:tc>
        <w:tc>
          <w:tcPr>
            <w:tcW w:w="1412" w:type="pct"/>
            <w:gridSpan w:val="2"/>
            <w:tcBorders>
              <w:top w:val="single" w:sz="4" w:space="0" w:color="auto"/>
              <w:left w:val="nil"/>
              <w:bottom w:val="single" w:sz="4" w:space="0" w:color="auto"/>
              <w:right w:val="nil"/>
            </w:tcBorders>
            <w:shd w:val="clear" w:color="000000" w:fill="FFFFFF"/>
            <w:vAlign w:val="center"/>
            <w:hideMark/>
          </w:tcPr>
          <w:p w14:paraId="2290D794" w14:textId="77777777" w:rsidR="00A71608" w:rsidRPr="00A71608" w:rsidRDefault="00A71608" w:rsidP="00A71608">
            <w:pPr>
              <w:jc w:val="center"/>
              <w:rPr>
                <w:b/>
                <w:bCs/>
                <w:lang w:eastAsia="es-CR"/>
              </w:rPr>
            </w:pPr>
            <w:r w:rsidRPr="00A71608">
              <w:rPr>
                <w:b/>
                <w:bCs/>
                <w:lang w:eastAsia="es-CR"/>
              </w:rPr>
              <w:t>Variación 2019 - 2020</w:t>
            </w:r>
          </w:p>
        </w:tc>
      </w:tr>
      <w:tr w:rsidR="00A71608" w:rsidRPr="00A71608" w14:paraId="4C36EEA7" w14:textId="77777777" w:rsidTr="00A71608">
        <w:trPr>
          <w:trHeight w:val="310"/>
        </w:trPr>
        <w:tc>
          <w:tcPr>
            <w:tcW w:w="1469" w:type="pct"/>
            <w:vMerge/>
            <w:tcBorders>
              <w:top w:val="single" w:sz="4" w:space="0" w:color="auto"/>
              <w:left w:val="nil"/>
              <w:bottom w:val="single" w:sz="8" w:space="0" w:color="000000"/>
              <w:right w:val="nil"/>
            </w:tcBorders>
            <w:vAlign w:val="center"/>
            <w:hideMark/>
          </w:tcPr>
          <w:p w14:paraId="22112BE0" w14:textId="77777777" w:rsidR="00A71608" w:rsidRPr="00A71608" w:rsidRDefault="00A71608" w:rsidP="00A71608">
            <w:pPr>
              <w:rPr>
                <w:b/>
                <w:bCs/>
                <w:lang w:eastAsia="es-CR"/>
              </w:rPr>
            </w:pPr>
          </w:p>
        </w:tc>
        <w:tc>
          <w:tcPr>
            <w:tcW w:w="706" w:type="pct"/>
            <w:tcBorders>
              <w:top w:val="nil"/>
              <w:left w:val="nil"/>
              <w:bottom w:val="single" w:sz="8" w:space="0" w:color="auto"/>
              <w:right w:val="nil"/>
            </w:tcBorders>
            <w:shd w:val="clear" w:color="000000" w:fill="FFFFFF"/>
            <w:noWrap/>
            <w:vAlign w:val="center"/>
            <w:hideMark/>
          </w:tcPr>
          <w:p w14:paraId="07CCF59D" w14:textId="77777777" w:rsidR="00A71608" w:rsidRPr="00A71608" w:rsidRDefault="00A71608" w:rsidP="00A71608">
            <w:pPr>
              <w:jc w:val="center"/>
              <w:rPr>
                <w:b/>
                <w:bCs/>
                <w:lang w:eastAsia="es-CR"/>
              </w:rPr>
            </w:pPr>
            <w:r w:rsidRPr="00A71608">
              <w:rPr>
                <w:rFonts w:eastAsia="Calibri"/>
                <w:b/>
                <w:bCs/>
              </w:rPr>
              <w:t>2018</w:t>
            </w:r>
          </w:p>
        </w:tc>
        <w:tc>
          <w:tcPr>
            <w:tcW w:w="706" w:type="pct"/>
            <w:tcBorders>
              <w:top w:val="nil"/>
              <w:left w:val="nil"/>
              <w:bottom w:val="single" w:sz="8" w:space="0" w:color="auto"/>
              <w:right w:val="nil"/>
            </w:tcBorders>
            <w:shd w:val="clear" w:color="000000" w:fill="FFFFFF"/>
            <w:noWrap/>
            <w:vAlign w:val="center"/>
            <w:hideMark/>
          </w:tcPr>
          <w:p w14:paraId="5CF73537" w14:textId="77777777" w:rsidR="00A71608" w:rsidRPr="00A71608" w:rsidRDefault="00A71608" w:rsidP="00A71608">
            <w:pPr>
              <w:jc w:val="center"/>
              <w:rPr>
                <w:b/>
                <w:bCs/>
                <w:lang w:eastAsia="es-CR"/>
              </w:rPr>
            </w:pPr>
            <w:r w:rsidRPr="00A71608">
              <w:rPr>
                <w:rFonts w:eastAsia="Calibri"/>
                <w:b/>
                <w:bCs/>
              </w:rPr>
              <w:t>2019</w:t>
            </w:r>
          </w:p>
        </w:tc>
        <w:tc>
          <w:tcPr>
            <w:tcW w:w="706" w:type="pct"/>
            <w:tcBorders>
              <w:top w:val="nil"/>
              <w:left w:val="nil"/>
              <w:bottom w:val="single" w:sz="8" w:space="0" w:color="auto"/>
              <w:right w:val="nil"/>
            </w:tcBorders>
            <w:shd w:val="clear" w:color="000000" w:fill="FFFFFF"/>
            <w:noWrap/>
            <w:vAlign w:val="center"/>
            <w:hideMark/>
          </w:tcPr>
          <w:p w14:paraId="12C16D21" w14:textId="77777777" w:rsidR="00A71608" w:rsidRPr="00A71608" w:rsidRDefault="00A71608" w:rsidP="00A71608">
            <w:pPr>
              <w:jc w:val="center"/>
              <w:rPr>
                <w:b/>
                <w:bCs/>
                <w:lang w:eastAsia="es-CR"/>
              </w:rPr>
            </w:pPr>
            <w:r w:rsidRPr="00A71608">
              <w:rPr>
                <w:rFonts w:eastAsia="Calibri"/>
                <w:b/>
                <w:bCs/>
              </w:rPr>
              <w:t>2020</w:t>
            </w:r>
          </w:p>
        </w:tc>
        <w:tc>
          <w:tcPr>
            <w:tcW w:w="639" w:type="pct"/>
            <w:tcBorders>
              <w:top w:val="nil"/>
              <w:left w:val="nil"/>
              <w:bottom w:val="single" w:sz="8" w:space="0" w:color="auto"/>
              <w:right w:val="nil"/>
            </w:tcBorders>
            <w:shd w:val="clear" w:color="000000" w:fill="FFFFFF"/>
            <w:noWrap/>
            <w:vAlign w:val="center"/>
            <w:hideMark/>
          </w:tcPr>
          <w:p w14:paraId="21843EEA" w14:textId="77777777" w:rsidR="00A71608" w:rsidRPr="00A71608" w:rsidRDefault="00A71608" w:rsidP="00A71608">
            <w:pPr>
              <w:jc w:val="center"/>
              <w:rPr>
                <w:b/>
                <w:bCs/>
                <w:lang w:eastAsia="es-CR"/>
              </w:rPr>
            </w:pPr>
            <w:r w:rsidRPr="00A71608">
              <w:rPr>
                <w:b/>
                <w:bCs/>
                <w:lang w:eastAsia="es-CR"/>
              </w:rPr>
              <w:t>Absoluta</w:t>
            </w:r>
          </w:p>
        </w:tc>
        <w:tc>
          <w:tcPr>
            <w:tcW w:w="773" w:type="pct"/>
            <w:tcBorders>
              <w:top w:val="nil"/>
              <w:left w:val="nil"/>
              <w:bottom w:val="single" w:sz="8" w:space="0" w:color="auto"/>
              <w:right w:val="nil"/>
            </w:tcBorders>
            <w:shd w:val="clear" w:color="000000" w:fill="FFFFFF"/>
            <w:noWrap/>
            <w:vAlign w:val="center"/>
            <w:hideMark/>
          </w:tcPr>
          <w:p w14:paraId="696E6C20" w14:textId="77777777" w:rsidR="00A71608" w:rsidRPr="00A71608" w:rsidRDefault="00A71608" w:rsidP="00A71608">
            <w:pPr>
              <w:jc w:val="center"/>
              <w:rPr>
                <w:b/>
                <w:bCs/>
                <w:lang w:eastAsia="es-CR"/>
              </w:rPr>
            </w:pPr>
            <w:r w:rsidRPr="00A71608">
              <w:rPr>
                <w:b/>
                <w:bCs/>
                <w:lang w:eastAsia="es-CR"/>
              </w:rPr>
              <w:t>Porcentual</w:t>
            </w:r>
          </w:p>
        </w:tc>
      </w:tr>
      <w:tr w:rsidR="00A71608" w:rsidRPr="00A71608" w14:paraId="75EC1F00" w14:textId="77777777" w:rsidTr="00A71608">
        <w:trPr>
          <w:trHeight w:val="300"/>
        </w:trPr>
        <w:tc>
          <w:tcPr>
            <w:tcW w:w="1469" w:type="pct"/>
            <w:tcBorders>
              <w:top w:val="nil"/>
              <w:left w:val="nil"/>
              <w:bottom w:val="nil"/>
              <w:right w:val="nil"/>
            </w:tcBorders>
            <w:shd w:val="clear" w:color="000000" w:fill="FFFFFF"/>
            <w:noWrap/>
            <w:vAlign w:val="center"/>
            <w:hideMark/>
          </w:tcPr>
          <w:p w14:paraId="726E4D23" w14:textId="77777777" w:rsidR="00A71608" w:rsidRPr="00A71608" w:rsidRDefault="00A71608" w:rsidP="00A71608">
            <w:pPr>
              <w:jc w:val="center"/>
              <w:rPr>
                <w:b/>
                <w:bCs/>
                <w:lang w:eastAsia="es-CR"/>
              </w:rPr>
            </w:pPr>
            <w:r w:rsidRPr="00A71608">
              <w:rPr>
                <w:b/>
                <w:bCs/>
                <w:lang w:eastAsia="es-CR"/>
              </w:rPr>
              <w:t> </w:t>
            </w:r>
          </w:p>
        </w:tc>
        <w:tc>
          <w:tcPr>
            <w:tcW w:w="706" w:type="pct"/>
            <w:tcBorders>
              <w:top w:val="nil"/>
              <w:left w:val="nil"/>
              <w:bottom w:val="nil"/>
              <w:right w:val="nil"/>
            </w:tcBorders>
            <w:shd w:val="clear" w:color="000000" w:fill="FFFFFF"/>
            <w:noWrap/>
            <w:vAlign w:val="center"/>
            <w:hideMark/>
          </w:tcPr>
          <w:p w14:paraId="0C923B11" w14:textId="77777777" w:rsidR="00A71608" w:rsidRPr="00A71608" w:rsidRDefault="00A71608" w:rsidP="00A71608">
            <w:pPr>
              <w:jc w:val="center"/>
              <w:rPr>
                <w:b/>
                <w:bCs/>
                <w:lang w:eastAsia="es-CR"/>
              </w:rPr>
            </w:pPr>
            <w:r w:rsidRPr="00A71608">
              <w:rPr>
                <w:b/>
                <w:bCs/>
                <w:lang w:eastAsia="es-CR"/>
              </w:rPr>
              <w:t> </w:t>
            </w:r>
          </w:p>
        </w:tc>
        <w:tc>
          <w:tcPr>
            <w:tcW w:w="706" w:type="pct"/>
            <w:tcBorders>
              <w:top w:val="nil"/>
              <w:left w:val="nil"/>
              <w:bottom w:val="nil"/>
              <w:right w:val="nil"/>
            </w:tcBorders>
            <w:shd w:val="clear" w:color="000000" w:fill="FFFFFF"/>
            <w:noWrap/>
            <w:vAlign w:val="center"/>
            <w:hideMark/>
          </w:tcPr>
          <w:p w14:paraId="60F0BEAF" w14:textId="77777777" w:rsidR="00A71608" w:rsidRPr="00A71608" w:rsidRDefault="00A71608" w:rsidP="00A71608">
            <w:pPr>
              <w:jc w:val="center"/>
              <w:rPr>
                <w:b/>
                <w:bCs/>
                <w:lang w:eastAsia="es-CR"/>
              </w:rPr>
            </w:pPr>
            <w:r w:rsidRPr="00A71608">
              <w:rPr>
                <w:b/>
                <w:bCs/>
                <w:lang w:eastAsia="es-CR"/>
              </w:rPr>
              <w:t> </w:t>
            </w:r>
          </w:p>
        </w:tc>
        <w:tc>
          <w:tcPr>
            <w:tcW w:w="706" w:type="pct"/>
            <w:tcBorders>
              <w:top w:val="nil"/>
              <w:left w:val="nil"/>
              <w:bottom w:val="nil"/>
              <w:right w:val="nil"/>
            </w:tcBorders>
            <w:shd w:val="clear" w:color="000000" w:fill="FFFFFF"/>
            <w:noWrap/>
            <w:vAlign w:val="center"/>
            <w:hideMark/>
          </w:tcPr>
          <w:p w14:paraId="0ED032AB" w14:textId="77777777" w:rsidR="00A71608" w:rsidRPr="00A71608" w:rsidRDefault="00A71608" w:rsidP="00A71608">
            <w:pPr>
              <w:jc w:val="center"/>
              <w:rPr>
                <w:b/>
                <w:bCs/>
                <w:lang w:eastAsia="es-CR"/>
              </w:rPr>
            </w:pPr>
            <w:r w:rsidRPr="00A71608">
              <w:rPr>
                <w:b/>
                <w:bCs/>
                <w:lang w:eastAsia="es-CR"/>
              </w:rPr>
              <w:t> </w:t>
            </w:r>
          </w:p>
        </w:tc>
        <w:tc>
          <w:tcPr>
            <w:tcW w:w="639" w:type="pct"/>
            <w:tcBorders>
              <w:top w:val="nil"/>
              <w:left w:val="dashed" w:sz="8" w:space="0" w:color="auto"/>
              <w:bottom w:val="nil"/>
              <w:right w:val="nil"/>
            </w:tcBorders>
            <w:shd w:val="clear" w:color="000000" w:fill="FFFFFF"/>
            <w:noWrap/>
            <w:vAlign w:val="center"/>
            <w:hideMark/>
          </w:tcPr>
          <w:p w14:paraId="64347D98" w14:textId="77777777" w:rsidR="00A71608" w:rsidRPr="00A71608" w:rsidRDefault="00A71608" w:rsidP="00A71608">
            <w:pPr>
              <w:jc w:val="right"/>
              <w:rPr>
                <w:lang w:eastAsia="es-CR"/>
              </w:rPr>
            </w:pPr>
            <w:r w:rsidRPr="00A71608">
              <w:rPr>
                <w:lang w:eastAsia="es-CR"/>
              </w:rPr>
              <w:t> </w:t>
            </w:r>
          </w:p>
        </w:tc>
        <w:tc>
          <w:tcPr>
            <w:tcW w:w="773" w:type="pct"/>
            <w:tcBorders>
              <w:top w:val="nil"/>
              <w:left w:val="nil"/>
              <w:bottom w:val="nil"/>
              <w:right w:val="nil"/>
            </w:tcBorders>
            <w:shd w:val="clear" w:color="000000" w:fill="FFFFFF"/>
            <w:noWrap/>
            <w:vAlign w:val="center"/>
            <w:hideMark/>
          </w:tcPr>
          <w:p w14:paraId="4CC32841" w14:textId="77777777" w:rsidR="00A71608" w:rsidRPr="00A71608" w:rsidRDefault="00A71608" w:rsidP="00A71608">
            <w:pPr>
              <w:jc w:val="center"/>
              <w:rPr>
                <w:b/>
                <w:bCs/>
                <w:lang w:eastAsia="es-CR"/>
              </w:rPr>
            </w:pPr>
            <w:r w:rsidRPr="00A71608">
              <w:rPr>
                <w:b/>
                <w:bCs/>
                <w:lang w:eastAsia="es-CR"/>
              </w:rPr>
              <w:t> </w:t>
            </w:r>
          </w:p>
        </w:tc>
      </w:tr>
      <w:tr w:rsidR="00A71608" w:rsidRPr="00A71608" w14:paraId="764657C0" w14:textId="77777777" w:rsidTr="00A71608">
        <w:trPr>
          <w:trHeight w:val="300"/>
        </w:trPr>
        <w:tc>
          <w:tcPr>
            <w:tcW w:w="1469" w:type="pct"/>
            <w:tcBorders>
              <w:top w:val="nil"/>
              <w:left w:val="nil"/>
              <w:bottom w:val="nil"/>
              <w:right w:val="nil"/>
            </w:tcBorders>
            <w:shd w:val="clear" w:color="000000" w:fill="FFFFFF"/>
            <w:noWrap/>
            <w:vAlign w:val="center"/>
            <w:hideMark/>
          </w:tcPr>
          <w:p w14:paraId="7E6E3796" w14:textId="77777777" w:rsidR="00A71608" w:rsidRPr="00A71608" w:rsidRDefault="00A71608" w:rsidP="00A71608">
            <w:pPr>
              <w:jc w:val="center"/>
              <w:rPr>
                <w:b/>
                <w:bCs/>
                <w:lang w:eastAsia="es-CR"/>
              </w:rPr>
            </w:pPr>
            <w:r w:rsidRPr="00A71608">
              <w:rPr>
                <w:b/>
                <w:bCs/>
                <w:lang w:eastAsia="es-CR"/>
              </w:rPr>
              <w:t>Total</w:t>
            </w:r>
          </w:p>
        </w:tc>
        <w:tc>
          <w:tcPr>
            <w:tcW w:w="706" w:type="pct"/>
            <w:tcBorders>
              <w:top w:val="nil"/>
              <w:left w:val="nil"/>
              <w:bottom w:val="nil"/>
              <w:right w:val="nil"/>
            </w:tcBorders>
            <w:shd w:val="clear" w:color="000000" w:fill="FFFFFF"/>
            <w:noWrap/>
            <w:vAlign w:val="center"/>
            <w:hideMark/>
          </w:tcPr>
          <w:p w14:paraId="6557679B" w14:textId="77777777" w:rsidR="00A71608" w:rsidRPr="00A71608" w:rsidRDefault="00A71608" w:rsidP="00A71608">
            <w:pPr>
              <w:jc w:val="center"/>
              <w:rPr>
                <w:b/>
                <w:bCs/>
                <w:lang w:eastAsia="es-CR"/>
              </w:rPr>
            </w:pPr>
            <w:r w:rsidRPr="00A71608">
              <w:rPr>
                <w:b/>
                <w:bCs/>
                <w:lang w:eastAsia="es-CR"/>
              </w:rPr>
              <w:t>6 732</w:t>
            </w:r>
          </w:p>
        </w:tc>
        <w:tc>
          <w:tcPr>
            <w:tcW w:w="706" w:type="pct"/>
            <w:tcBorders>
              <w:top w:val="nil"/>
              <w:left w:val="nil"/>
              <w:bottom w:val="nil"/>
              <w:right w:val="nil"/>
            </w:tcBorders>
            <w:shd w:val="clear" w:color="000000" w:fill="FFFFFF"/>
            <w:noWrap/>
            <w:vAlign w:val="center"/>
            <w:hideMark/>
          </w:tcPr>
          <w:p w14:paraId="652E97B9" w14:textId="77777777" w:rsidR="00A71608" w:rsidRPr="00A71608" w:rsidRDefault="00A71608" w:rsidP="00A71608">
            <w:pPr>
              <w:jc w:val="center"/>
              <w:rPr>
                <w:b/>
                <w:bCs/>
                <w:lang w:eastAsia="es-CR"/>
              </w:rPr>
            </w:pPr>
            <w:r w:rsidRPr="00A71608">
              <w:rPr>
                <w:b/>
                <w:bCs/>
                <w:lang w:eastAsia="es-CR"/>
              </w:rPr>
              <w:t>5 053</w:t>
            </w:r>
          </w:p>
        </w:tc>
        <w:tc>
          <w:tcPr>
            <w:tcW w:w="706" w:type="pct"/>
            <w:tcBorders>
              <w:top w:val="nil"/>
              <w:left w:val="nil"/>
              <w:bottom w:val="nil"/>
              <w:right w:val="nil"/>
            </w:tcBorders>
            <w:shd w:val="clear" w:color="000000" w:fill="FFFFFF"/>
            <w:noWrap/>
            <w:vAlign w:val="center"/>
            <w:hideMark/>
          </w:tcPr>
          <w:p w14:paraId="477F7C0F" w14:textId="77777777" w:rsidR="00A71608" w:rsidRPr="00A71608" w:rsidRDefault="00A71608" w:rsidP="00A71608">
            <w:pPr>
              <w:jc w:val="center"/>
              <w:rPr>
                <w:b/>
                <w:bCs/>
                <w:lang w:eastAsia="es-CR"/>
              </w:rPr>
            </w:pPr>
            <w:r w:rsidRPr="00A71608">
              <w:rPr>
                <w:b/>
                <w:bCs/>
                <w:lang w:eastAsia="es-CR"/>
              </w:rPr>
              <w:t>3 302</w:t>
            </w:r>
          </w:p>
        </w:tc>
        <w:tc>
          <w:tcPr>
            <w:tcW w:w="639" w:type="pct"/>
            <w:tcBorders>
              <w:top w:val="nil"/>
              <w:left w:val="dashed" w:sz="8" w:space="0" w:color="auto"/>
              <w:bottom w:val="nil"/>
              <w:right w:val="nil"/>
            </w:tcBorders>
            <w:shd w:val="clear" w:color="000000" w:fill="FFFFFF"/>
            <w:noWrap/>
            <w:vAlign w:val="center"/>
            <w:hideMark/>
          </w:tcPr>
          <w:p w14:paraId="00C71BDA" w14:textId="77777777" w:rsidR="00A71608" w:rsidRPr="00A71608" w:rsidRDefault="00A71608" w:rsidP="00A71608">
            <w:pPr>
              <w:jc w:val="right"/>
              <w:rPr>
                <w:lang w:eastAsia="es-CR"/>
              </w:rPr>
            </w:pPr>
            <w:r w:rsidRPr="00A71608">
              <w:rPr>
                <w:lang w:eastAsia="es-CR"/>
              </w:rPr>
              <w:t> </w:t>
            </w:r>
          </w:p>
        </w:tc>
        <w:tc>
          <w:tcPr>
            <w:tcW w:w="773" w:type="pct"/>
            <w:tcBorders>
              <w:top w:val="nil"/>
              <w:left w:val="nil"/>
              <w:bottom w:val="nil"/>
              <w:right w:val="nil"/>
            </w:tcBorders>
            <w:shd w:val="clear" w:color="000000" w:fill="FFFFFF"/>
            <w:noWrap/>
            <w:vAlign w:val="center"/>
            <w:hideMark/>
          </w:tcPr>
          <w:p w14:paraId="718429D9" w14:textId="77777777" w:rsidR="00A71608" w:rsidRPr="00A71608" w:rsidRDefault="00A71608" w:rsidP="00A71608">
            <w:pPr>
              <w:jc w:val="center"/>
              <w:rPr>
                <w:b/>
                <w:bCs/>
                <w:lang w:eastAsia="es-CR"/>
              </w:rPr>
            </w:pPr>
            <w:r w:rsidRPr="00A71608">
              <w:rPr>
                <w:b/>
                <w:bCs/>
                <w:lang w:eastAsia="es-CR"/>
              </w:rPr>
              <w:t> </w:t>
            </w:r>
          </w:p>
        </w:tc>
      </w:tr>
      <w:tr w:rsidR="00A71608" w:rsidRPr="00A71608" w14:paraId="00F570D5" w14:textId="77777777" w:rsidTr="00A71608">
        <w:trPr>
          <w:trHeight w:val="310"/>
        </w:trPr>
        <w:tc>
          <w:tcPr>
            <w:tcW w:w="1469" w:type="pct"/>
            <w:tcBorders>
              <w:top w:val="nil"/>
              <w:left w:val="nil"/>
              <w:bottom w:val="nil"/>
              <w:right w:val="nil"/>
            </w:tcBorders>
            <w:shd w:val="clear" w:color="000000" w:fill="FFFFFF"/>
            <w:noWrap/>
            <w:vAlign w:val="center"/>
            <w:hideMark/>
          </w:tcPr>
          <w:p w14:paraId="03A1581D" w14:textId="77777777" w:rsidR="00A71608" w:rsidRPr="00A71608" w:rsidRDefault="00A71608" w:rsidP="00A71608">
            <w:pPr>
              <w:rPr>
                <w:lang w:eastAsia="es-CR"/>
              </w:rPr>
            </w:pPr>
            <w:r w:rsidRPr="00A71608">
              <w:rPr>
                <w:rFonts w:eastAsia="Calibri"/>
              </w:rPr>
              <w:lastRenderedPageBreak/>
              <w:t>Documentos Dudosos</w:t>
            </w:r>
          </w:p>
        </w:tc>
        <w:tc>
          <w:tcPr>
            <w:tcW w:w="706" w:type="pct"/>
            <w:tcBorders>
              <w:top w:val="nil"/>
              <w:left w:val="nil"/>
              <w:bottom w:val="nil"/>
              <w:right w:val="nil"/>
            </w:tcBorders>
            <w:shd w:val="clear" w:color="000000" w:fill="FFFFFF"/>
            <w:noWrap/>
            <w:vAlign w:val="center"/>
            <w:hideMark/>
          </w:tcPr>
          <w:p w14:paraId="5FBE11A5" w14:textId="77777777" w:rsidR="00A71608" w:rsidRPr="00A71608" w:rsidRDefault="00A71608" w:rsidP="00A71608">
            <w:pPr>
              <w:jc w:val="center"/>
              <w:rPr>
                <w:lang w:eastAsia="es-CR"/>
              </w:rPr>
            </w:pPr>
            <w:r w:rsidRPr="00A71608">
              <w:rPr>
                <w:rFonts w:eastAsia="Calibri"/>
              </w:rPr>
              <w:t>245</w:t>
            </w:r>
          </w:p>
        </w:tc>
        <w:tc>
          <w:tcPr>
            <w:tcW w:w="706" w:type="pct"/>
            <w:tcBorders>
              <w:top w:val="nil"/>
              <w:left w:val="nil"/>
              <w:bottom w:val="nil"/>
              <w:right w:val="nil"/>
            </w:tcBorders>
            <w:shd w:val="clear" w:color="000000" w:fill="FFFFFF"/>
            <w:noWrap/>
            <w:vAlign w:val="center"/>
            <w:hideMark/>
          </w:tcPr>
          <w:p w14:paraId="19B7E13A" w14:textId="77777777" w:rsidR="00A71608" w:rsidRPr="00A71608" w:rsidRDefault="00A71608" w:rsidP="00A71608">
            <w:pPr>
              <w:jc w:val="center"/>
              <w:rPr>
                <w:lang w:eastAsia="es-CR"/>
              </w:rPr>
            </w:pPr>
            <w:r w:rsidRPr="00A71608">
              <w:rPr>
                <w:rFonts w:eastAsia="Calibri"/>
              </w:rPr>
              <w:t>188</w:t>
            </w:r>
          </w:p>
        </w:tc>
        <w:tc>
          <w:tcPr>
            <w:tcW w:w="706" w:type="pct"/>
            <w:tcBorders>
              <w:top w:val="nil"/>
              <w:left w:val="nil"/>
              <w:bottom w:val="nil"/>
              <w:right w:val="nil"/>
            </w:tcBorders>
            <w:shd w:val="clear" w:color="000000" w:fill="FFFFFF"/>
            <w:noWrap/>
            <w:vAlign w:val="center"/>
            <w:hideMark/>
          </w:tcPr>
          <w:p w14:paraId="3E483255" w14:textId="77777777" w:rsidR="00A71608" w:rsidRPr="00A71608" w:rsidRDefault="00A71608" w:rsidP="00A71608">
            <w:pPr>
              <w:jc w:val="center"/>
              <w:rPr>
                <w:lang w:eastAsia="es-CR"/>
              </w:rPr>
            </w:pPr>
            <w:r w:rsidRPr="00A71608">
              <w:rPr>
                <w:lang w:eastAsia="es-CR"/>
              </w:rPr>
              <w:t>82</w:t>
            </w:r>
          </w:p>
        </w:tc>
        <w:tc>
          <w:tcPr>
            <w:tcW w:w="639" w:type="pct"/>
            <w:tcBorders>
              <w:top w:val="nil"/>
              <w:left w:val="dashed" w:sz="8" w:space="0" w:color="auto"/>
              <w:bottom w:val="nil"/>
              <w:right w:val="nil"/>
            </w:tcBorders>
            <w:shd w:val="clear" w:color="000000" w:fill="FFFFFF"/>
            <w:noWrap/>
            <w:vAlign w:val="center"/>
            <w:hideMark/>
          </w:tcPr>
          <w:p w14:paraId="72BFAC8F" w14:textId="77777777" w:rsidR="00A71608" w:rsidRPr="00A71608" w:rsidRDefault="00A71608" w:rsidP="00A71608">
            <w:pPr>
              <w:jc w:val="right"/>
              <w:rPr>
                <w:lang w:eastAsia="es-CR"/>
              </w:rPr>
            </w:pPr>
            <w:r w:rsidRPr="00A71608">
              <w:rPr>
                <w:lang w:eastAsia="es-CR"/>
              </w:rPr>
              <w:t>-106</w:t>
            </w:r>
          </w:p>
        </w:tc>
        <w:tc>
          <w:tcPr>
            <w:tcW w:w="773" w:type="pct"/>
            <w:tcBorders>
              <w:top w:val="nil"/>
              <w:left w:val="nil"/>
              <w:bottom w:val="nil"/>
              <w:right w:val="nil"/>
            </w:tcBorders>
            <w:shd w:val="clear" w:color="000000" w:fill="FFFFFF"/>
            <w:noWrap/>
            <w:vAlign w:val="center"/>
            <w:hideMark/>
          </w:tcPr>
          <w:p w14:paraId="3E4BE74E" w14:textId="77777777" w:rsidR="00A71608" w:rsidRPr="00A71608" w:rsidRDefault="00A71608" w:rsidP="00A71608">
            <w:pPr>
              <w:jc w:val="right"/>
              <w:rPr>
                <w:lang w:eastAsia="es-CR"/>
              </w:rPr>
            </w:pPr>
            <w:r w:rsidRPr="00A71608">
              <w:rPr>
                <w:lang w:eastAsia="es-CR"/>
              </w:rPr>
              <w:t>-56,4</w:t>
            </w:r>
          </w:p>
        </w:tc>
      </w:tr>
      <w:tr w:rsidR="00A71608" w:rsidRPr="00A71608" w14:paraId="6D4F3703" w14:textId="77777777" w:rsidTr="00A71608">
        <w:trPr>
          <w:trHeight w:val="310"/>
        </w:trPr>
        <w:tc>
          <w:tcPr>
            <w:tcW w:w="1469" w:type="pct"/>
            <w:tcBorders>
              <w:top w:val="nil"/>
              <w:left w:val="nil"/>
              <w:bottom w:val="nil"/>
              <w:right w:val="nil"/>
            </w:tcBorders>
            <w:shd w:val="clear" w:color="000000" w:fill="FFFFFF"/>
            <w:noWrap/>
            <w:vAlign w:val="center"/>
            <w:hideMark/>
          </w:tcPr>
          <w:p w14:paraId="62F65885" w14:textId="77777777" w:rsidR="00A71608" w:rsidRPr="00A71608" w:rsidRDefault="00A71608" w:rsidP="00A71608">
            <w:pPr>
              <w:rPr>
                <w:lang w:eastAsia="es-CR"/>
              </w:rPr>
            </w:pPr>
            <w:r w:rsidRPr="00A71608">
              <w:rPr>
                <w:rFonts w:eastAsia="Calibri"/>
              </w:rPr>
              <w:t>Biología Forense</w:t>
            </w:r>
          </w:p>
        </w:tc>
        <w:tc>
          <w:tcPr>
            <w:tcW w:w="706" w:type="pct"/>
            <w:tcBorders>
              <w:top w:val="nil"/>
              <w:left w:val="nil"/>
              <w:bottom w:val="nil"/>
              <w:right w:val="nil"/>
            </w:tcBorders>
            <w:shd w:val="clear" w:color="000000" w:fill="FFFFFF"/>
            <w:noWrap/>
            <w:vAlign w:val="center"/>
            <w:hideMark/>
          </w:tcPr>
          <w:p w14:paraId="1FAEC88D" w14:textId="77777777" w:rsidR="00A71608" w:rsidRPr="00A71608" w:rsidRDefault="00A71608" w:rsidP="00A71608">
            <w:pPr>
              <w:jc w:val="center"/>
              <w:rPr>
                <w:lang w:eastAsia="es-CR"/>
              </w:rPr>
            </w:pPr>
            <w:r w:rsidRPr="00A71608">
              <w:rPr>
                <w:rFonts w:eastAsia="Calibri"/>
              </w:rPr>
              <w:t>832</w:t>
            </w:r>
          </w:p>
        </w:tc>
        <w:tc>
          <w:tcPr>
            <w:tcW w:w="706" w:type="pct"/>
            <w:tcBorders>
              <w:top w:val="nil"/>
              <w:left w:val="nil"/>
              <w:bottom w:val="nil"/>
              <w:right w:val="nil"/>
            </w:tcBorders>
            <w:shd w:val="clear" w:color="000000" w:fill="FFFFFF"/>
            <w:noWrap/>
            <w:vAlign w:val="center"/>
            <w:hideMark/>
          </w:tcPr>
          <w:p w14:paraId="0F508D30" w14:textId="77777777" w:rsidR="00A71608" w:rsidRPr="00A71608" w:rsidRDefault="00A71608" w:rsidP="00A71608">
            <w:pPr>
              <w:jc w:val="center"/>
              <w:rPr>
                <w:lang w:eastAsia="es-CR"/>
              </w:rPr>
            </w:pPr>
            <w:r w:rsidRPr="00A71608">
              <w:rPr>
                <w:rFonts w:eastAsia="Calibri"/>
              </w:rPr>
              <w:t>676</w:t>
            </w:r>
          </w:p>
        </w:tc>
        <w:tc>
          <w:tcPr>
            <w:tcW w:w="706" w:type="pct"/>
            <w:tcBorders>
              <w:top w:val="nil"/>
              <w:left w:val="nil"/>
              <w:bottom w:val="nil"/>
              <w:right w:val="nil"/>
            </w:tcBorders>
            <w:shd w:val="clear" w:color="000000" w:fill="FFFFFF"/>
            <w:noWrap/>
            <w:vAlign w:val="center"/>
            <w:hideMark/>
          </w:tcPr>
          <w:p w14:paraId="20451440" w14:textId="77777777" w:rsidR="00A71608" w:rsidRPr="00A71608" w:rsidRDefault="00A71608" w:rsidP="00A71608">
            <w:pPr>
              <w:jc w:val="center"/>
              <w:rPr>
                <w:lang w:eastAsia="es-CR"/>
              </w:rPr>
            </w:pPr>
            <w:r w:rsidRPr="00A71608">
              <w:rPr>
                <w:lang w:eastAsia="es-CR"/>
              </w:rPr>
              <w:t>453</w:t>
            </w:r>
          </w:p>
        </w:tc>
        <w:tc>
          <w:tcPr>
            <w:tcW w:w="639" w:type="pct"/>
            <w:tcBorders>
              <w:top w:val="nil"/>
              <w:left w:val="dashed" w:sz="8" w:space="0" w:color="auto"/>
              <w:bottom w:val="nil"/>
              <w:right w:val="nil"/>
            </w:tcBorders>
            <w:shd w:val="clear" w:color="000000" w:fill="FFFFFF"/>
            <w:noWrap/>
            <w:vAlign w:val="center"/>
            <w:hideMark/>
          </w:tcPr>
          <w:p w14:paraId="15269C5E" w14:textId="77777777" w:rsidR="00A71608" w:rsidRPr="00A71608" w:rsidRDefault="00A71608" w:rsidP="00A71608">
            <w:pPr>
              <w:jc w:val="right"/>
              <w:rPr>
                <w:lang w:eastAsia="es-CR"/>
              </w:rPr>
            </w:pPr>
            <w:r w:rsidRPr="00A71608">
              <w:rPr>
                <w:lang w:eastAsia="es-CR"/>
              </w:rPr>
              <w:t>-223</w:t>
            </w:r>
          </w:p>
        </w:tc>
        <w:tc>
          <w:tcPr>
            <w:tcW w:w="773" w:type="pct"/>
            <w:tcBorders>
              <w:top w:val="nil"/>
              <w:left w:val="nil"/>
              <w:bottom w:val="nil"/>
              <w:right w:val="nil"/>
            </w:tcBorders>
            <w:shd w:val="clear" w:color="000000" w:fill="FFFFFF"/>
            <w:noWrap/>
            <w:vAlign w:val="center"/>
            <w:hideMark/>
          </w:tcPr>
          <w:p w14:paraId="05496FB5" w14:textId="77777777" w:rsidR="00A71608" w:rsidRPr="00A71608" w:rsidRDefault="00A71608" w:rsidP="00A71608">
            <w:pPr>
              <w:jc w:val="right"/>
              <w:rPr>
                <w:lang w:eastAsia="es-CR"/>
              </w:rPr>
            </w:pPr>
            <w:r w:rsidRPr="00A71608">
              <w:rPr>
                <w:lang w:eastAsia="es-CR"/>
              </w:rPr>
              <w:t>-33,0</w:t>
            </w:r>
          </w:p>
        </w:tc>
      </w:tr>
      <w:tr w:rsidR="00A71608" w:rsidRPr="00A71608" w14:paraId="7B84C3B9" w14:textId="77777777" w:rsidTr="00A71608">
        <w:trPr>
          <w:trHeight w:val="310"/>
        </w:trPr>
        <w:tc>
          <w:tcPr>
            <w:tcW w:w="1469" w:type="pct"/>
            <w:tcBorders>
              <w:top w:val="nil"/>
              <w:left w:val="nil"/>
              <w:bottom w:val="nil"/>
              <w:right w:val="nil"/>
            </w:tcBorders>
            <w:shd w:val="clear" w:color="000000" w:fill="FFFFFF"/>
            <w:noWrap/>
            <w:vAlign w:val="center"/>
            <w:hideMark/>
          </w:tcPr>
          <w:p w14:paraId="12FE5A24" w14:textId="77777777" w:rsidR="00A71608" w:rsidRPr="00A71608" w:rsidRDefault="00A71608" w:rsidP="00A71608">
            <w:pPr>
              <w:rPr>
                <w:lang w:eastAsia="es-CR"/>
              </w:rPr>
            </w:pPr>
            <w:r w:rsidRPr="00A71608">
              <w:rPr>
                <w:rFonts w:eastAsia="Calibri"/>
              </w:rPr>
              <w:t>Bioquímica</w:t>
            </w:r>
          </w:p>
        </w:tc>
        <w:tc>
          <w:tcPr>
            <w:tcW w:w="706" w:type="pct"/>
            <w:tcBorders>
              <w:top w:val="nil"/>
              <w:left w:val="nil"/>
              <w:bottom w:val="nil"/>
              <w:right w:val="nil"/>
            </w:tcBorders>
            <w:shd w:val="clear" w:color="000000" w:fill="FFFFFF"/>
            <w:noWrap/>
            <w:vAlign w:val="center"/>
            <w:hideMark/>
          </w:tcPr>
          <w:p w14:paraId="42D4C7DB" w14:textId="77777777" w:rsidR="00A71608" w:rsidRPr="00A71608" w:rsidRDefault="00A71608" w:rsidP="00A71608">
            <w:pPr>
              <w:jc w:val="center"/>
              <w:rPr>
                <w:lang w:eastAsia="es-CR"/>
              </w:rPr>
            </w:pPr>
            <w:r w:rsidRPr="00A71608">
              <w:rPr>
                <w:rFonts w:eastAsia="Calibri"/>
              </w:rPr>
              <w:t>1 471</w:t>
            </w:r>
          </w:p>
        </w:tc>
        <w:tc>
          <w:tcPr>
            <w:tcW w:w="706" w:type="pct"/>
            <w:tcBorders>
              <w:top w:val="nil"/>
              <w:left w:val="nil"/>
              <w:bottom w:val="nil"/>
              <w:right w:val="nil"/>
            </w:tcBorders>
            <w:shd w:val="clear" w:color="000000" w:fill="FFFFFF"/>
            <w:noWrap/>
            <w:vAlign w:val="center"/>
            <w:hideMark/>
          </w:tcPr>
          <w:p w14:paraId="7803FFE9" w14:textId="77777777" w:rsidR="00A71608" w:rsidRPr="00A71608" w:rsidRDefault="00A71608" w:rsidP="00A71608">
            <w:pPr>
              <w:jc w:val="center"/>
              <w:rPr>
                <w:lang w:eastAsia="es-CR"/>
              </w:rPr>
            </w:pPr>
            <w:r w:rsidRPr="00A71608">
              <w:rPr>
                <w:rFonts w:eastAsia="Calibri"/>
              </w:rPr>
              <w:t>1 339</w:t>
            </w:r>
          </w:p>
        </w:tc>
        <w:tc>
          <w:tcPr>
            <w:tcW w:w="706" w:type="pct"/>
            <w:tcBorders>
              <w:top w:val="nil"/>
              <w:left w:val="nil"/>
              <w:bottom w:val="nil"/>
              <w:right w:val="nil"/>
            </w:tcBorders>
            <w:shd w:val="clear" w:color="000000" w:fill="FFFFFF"/>
            <w:noWrap/>
            <w:vAlign w:val="center"/>
            <w:hideMark/>
          </w:tcPr>
          <w:p w14:paraId="4C7D884D" w14:textId="77777777" w:rsidR="00A71608" w:rsidRPr="00A71608" w:rsidRDefault="00A71608" w:rsidP="00A71608">
            <w:pPr>
              <w:jc w:val="center"/>
              <w:rPr>
                <w:lang w:eastAsia="es-CR"/>
              </w:rPr>
            </w:pPr>
            <w:r w:rsidRPr="00A71608">
              <w:rPr>
                <w:lang w:eastAsia="es-CR"/>
              </w:rPr>
              <w:t>956</w:t>
            </w:r>
          </w:p>
        </w:tc>
        <w:tc>
          <w:tcPr>
            <w:tcW w:w="639" w:type="pct"/>
            <w:tcBorders>
              <w:top w:val="nil"/>
              <w:left w:val="dashed" w:sz="8" w:space="0" w:color="auto"/>
              <w:bottom w:val="nil"/>
              <w:right w:val="nil"/>
            </w:tcBorders>
            <w:shd w:val="clear" w:color="000000" w:fill="FFFFFF"/>
            <w:noWrap/>
            <w:vAlign w:val="center"/>
            <w:hideMark/>
          </w:tcPr>
          <w:p w14:paraId="06E2D927" w14:textId="77777777" w:rsidR="00A71608" w:rsidRPr="00A71608" w:rsidRDefault="00A71608" w:rsidP="00A71608">
            <w:pPr>
              <w:jc w:val="right"/>
              <w:rPr>
                <w:lang w:eastAsia="es-CR"/>
              </w:rPr>
            </w:pPr>
            <w:r w:rsidRPr="00A71608">
              <w:rPr>
                <w:lang w:eastAsia="es-CR"/>
              </w:rPr>
              <w:t>-383</w:t>
            </w:r>
          </w:p>
        </w:tc>
        <w:tc>
          <w:tcPr>
            <w:tcW w:w="773" w:type="pct"/>
            <w:tcBorders>
              <w:top w:val="nil"/>
              <w:left w:val="nil"/>
              <w:bottom w:val="nil"/>
              <w:right w:val="nil"/>
            </w:tcBorders>
            <w:shd w:val="clear" w:color="000000" w:fill="FFFFFF"/>
            <w:noWrap/>
            <w:vAlign w:val="center"/>
            <w:hideMark/>
          </w:tcPr>
          <w:p w14:paraId="47B16537" w14:textId="77777777" w:rsidR="00A71608" w:rsidRPr="00A71608" w:rsidRDefault="00A71608" w:rsidP="00A71608">
            <w:pPr>
              <w:jc w:val="right"/>
              <w:rPr>
                <w:lang w:eastAsia="es-CR"/>
              </w:rPr>
            </w:pPr>
            <w:r w:rsidRPr="00A71608">
              <w:rPr>
                <w:lang w:eastAsia="es-CR"/>
              </w:rPr>
              <w:t>-28,6</w:t>
            </w:r>
          </w:p>
        </w:tc>
      </w:tr>
      <w:tr w:rsidR="00A71608" w:rsidRPr="00A71608" w14:paraId="164F15F9" w14:textId="77777777" w:rsidTr="00A71608">
        <w:trPr>
          <w:trHeight w:val="310"/>
        </w:trPr>
        <w:tc>
          <w:tcPr>
            <w:tcW w:w="1469" w:type="pct"/>
            <w:tcBorders>
              <w:top w:val="nil"/>
              <w:left w:val="nil"/>
              <w:bottom w:val="nil"/>
              <w:right w:val="nil"/>
            </w:tcBorders>
            <w:shd w:val="clear" w:color="000000" w:fill="FFFFFF"/>
            <w:noWrap/>
            <w:vAlign w:val="center"/>
            <w:hideMark/>
          </w:tcPr>
          <w:p w14:paraId="2F557AC2" w14:textId="77777777" w:rsidR="00A71608" w:rsidRPr="00A71608" w:rsidRDefault="00A71608" w:rsidP="00A71608">
            <w:pPr>
              <w:rPr>
                <w:lang w:eastAsia="es-CR"/>
              </w:rPr>
            </w:pPr>
            <w:r w:rsidRPr="00A71608">
              <w:rPr>
                <w:rFonts w:eastAsia="Calibri"/>
              </w:rPr>
              <w:t>Pericias Físicas</w:t>
            </w:r>
          </w:p>
        </w:tc>
        <w:tc>
          <w:tcPr>
            <w:tcW w:w="706" w:type="pct"/>
            <w:tcBorders>
              <w:top w:val="nil"/>
              <w:left w:val="nil"/>
              <w:bottom w:val="nil"/>
              <w:right w:val="nil"/>
            </w:tcBorders>
            <w:shd w:val="clear" w:color="000000" w:fill="FFFFFF"/>
            <w:noWrap/>
            <w:vAlign w:val="center"/>
            <w:hideMark/>
          </w:tcPr>
          <w:p w14:paraId="7D532357" w14:textId="77777777" w:rsidR="00A71608" w:rsidRPr="00A71608" w:rsidRDefault="00A71608" w:rsidP="00A71608">
            <w:pPr>
              <w:jc w:val="center"/>
              <w:rPr>
                <w:lang w:eastAsia="es-CR"/>
              </w:rPr>
            </w:pPr>
            <w:r w:rsidRPr="00A71608">
              <w:rPr>
                <w:rFonts w:eastAsia="Calibri"/>
              </w:rPr>
              <w:t>996</w:t>
            </w:r>
          </w:p>
        </w:tc>
        <w:tc>
          <w:tcPr>
            <w:tcW w:w="706" w:type="pct"/>
            <w:tcBorders>
              <w:top w:val="nil"/>
              <w:left w:val="nil"/>
              <w:bottom w:val="nil"/>
              <w:right w:val="nil"/>
            </w:tcBorders>
            <w:shd w:val="clear" w:color="000000" w:fill="FFFFFF"/>
            <w:noWrap/>
            <w:vAlign w:val="center"/>
            <w:hideMark/>
          </w:tcPr>
          <w:p w14:paraId="797FA9A7" w14:textId="77777777" w:rsidR="00A71608" w:rsidRPr="00A71608" w:rsidRDefault="00A71608" w:rsidP="00A71608">
            <w:pPr>
              <w:jc w:val="center"/>
              <w:rPr>
                <w:lang w:eastAsia="es-CR"/>
              </w:rPr>
            </w:pPr>
            <w:r w:rsidRPr="00A71608">
              <w:rPr>
                <w:rFonts w:eastAsia="Calibri"/>
              </w:rPr>
              <w:t>424</w:t>
            </w:r>
          </w:p>
        </w:tc>
        <w:tc>
          <w:tcPr>
            <w:tcW w:w="706" w:type="pct"/>
            <w:tcBorders>
              <w:top w:val="nil"/>
              <w:left w:val="nil"/>
              <w:bottom w:val="nil"/>
              <w:right w:val="nil"/>
            </w:tcBorders>
            <w:shd w:val="clear" w:color="000000" w:fill="FFFFFF"/>
            <w:noWrap/>
            <w:vAlign w:val="center"/>
            <w:hideMark/>
          </w:tcPr>
          <w:p w14:paraId="319C5EFC" w14:textId="77777777" w:rsidR="00A71608" w:rsidRPr="00A71608" w:rsidRDefault="00A71608" w:rsidP="00A71608">
            <w:pPr>
              <w:jc w:val="center"/>
              <w:rPr>
                <w:lang w:eastAsia="es-CR"/>
              </w:rPr>
            </w:pPr>
            <w:r w:rsidRPr="00A71608">
              <w:rPr>
                <w:lang w:eastAsia="es-CR"/>
              </w:rPr>
              <w:t>473</w:t>
            </w:r>
          </w:p>
        </w:tc>
        <w:tc>
          <w:tcPr>
            <w:tcW w:w="639" w:type="pct"/>
            <w:tcBorders>
              <w:top w:val="nil"/>
              <w:left w:val="dashed" w:sz="8" w:space="0" w:color="auto"/>
              <w:bottom w:val="nil"/>
              <w:right w:val="nil"/>
            </w:tcBorders>
            <w:shd w:val="clear" w:color="000000" w:fill="FFFFFF"/>
            <w:noWrap/>
            <w:vAlign w:val="center"/>
            <w:hideMark/>
          </w:tcPr>
          <w:p w14:paraId="56F4B200" w14:textId="77777777" w:rsidR="00A71608" w:rsidRPr="00A71608" w:rsidRDefault="00A71608" w:rsidP="00A71608">
            <w:pPr>
              <w:jc w:val="right"/>
              <w:rPr>
                <w:lang w:eastAsia="es-CR"/>
              </w:rPr>
            </w:pPr>
            <w:r w:rsidRPr="00A71608">
              <w:rPr>
                <w:lang w:eastAsia="es-CR"/>
              </w:rPr>
              <w:t>49</w:t>
            </w:r>
          </w:p>
        </w:tc>
        <w:tc>
          <w:tcPr>
            <w:tcW w:w="773" w:type="pct"/>
            <w:tcBorders>
              <w:top w:val="nil"/>
              <w:left w:val="nil"/>
              <w:bottom w:val="nil"/>
              <w:right w:val="nil"/>
            </w:tcBorders>
            <w:shd w:val="clear" w:color="000000" w:fill="FFFFFF"/>
            <w:noWrap/>
            <w:vAlign w:val="center"/>
            <w:hideMark/>
          </w:tcPr>
          <w:p w14:paraId="045D9CA5" w14:textId="77777777" w:rsidR="00A71608" w:rsidRPr="00A71608" w:rsidRDefault="00A71608" w:rsidP="00A71608">
            <w:pPr>
              <w:jc w:val="right"/>
              <w:rPr>
                <w:lang w:eastAsia="es-CR"/>
              </w:rPr>
            </w:pPr>
            <w:r w:rsidRPr="00A71608">
              <w:rPr>
                <w:lang w:eastAsia="es-CR"/>
              </w:rPr>
              <w:t>11,6</w:t>
            </w:r>
          </w:p>
        </w:tc>
      </w:tr>
      <w:tr w:rsidR="00A71608" w:rsidRPr="00A71608" w14:paraId="6B27C755" w14:textId="77777777" w:rsidTr="00A71608">
        <w:trPr>
          <w:trHeight w:val="310"/>
        </w:trPr>
        <w:tc>
          <w:tcPr>
            <w:tcW w:w="1469" w:type="pct"/>
            <w:tcBorders>
              <w:top w:val="nil"/>
              <w:left w:val="nil"/>
              <w:bottom w:val="nil"/>
              <w:right w:val="nil"/>
            </w:tcBorders>
            <w:shd w:val="clear" w:color="000000" w:fill="FFFFFF"/>
            <w:noWrap/>
            <w:vAlign w:val="center"/>
            <w:hideMark/>
          </w:tcPr>
          <w:p w14:paraId="730AB57D" w14:textId="77777777" w:rsidR="00A71608" w:rsidRPr="00A71608" w:rsidRDefault="00A71608" w:rsidP="00A71608">
            <w:pPr>
              <w:rPr>
                <w:lang w:eastAsia="es-CR"/>
              </w:rPr>
            </w:pPr>
            <w:r w:rsidRPr="00A71608">
              <w:rPr>
                <w:rFonts w:eastAsia="Calibri"/>
              </w:rPr>
              <w:t>Ingeniería Forense</w:t>
            </w:r>
          </w:p>
        </w:tc>
        <w:tc>
          <w:tcPr>
            <w:tcW w:w="706" w:type="pct"/>
            <w:tcBorders>
              <w:top w:val="nil"/>
              <w:left w:val="nil"/>
              <w:bottom w:val="nil"/>
              <w:right w:val="nil"/>
            </w:tcBorders>
            <w:shd w:val="clear" w:color="000000" w:fill="FFFFFF"/>
            <w:noWrap/>
            <w:vAlign w:val="center"/>
            <w:hideMark/>
          </w:tcPr>
          <w:p w14:paraId="7CE179E9" w14:textId="77777777" w:rsidR="00A71608" w:rsidRPr="00A71608" w:rsidRDefault="00A71608" w:rsidP="00A71608">
            <w:pPr>
              <w:jc w:val="center"/>
              <w:rPr>
                <w:lang w:eastAsia="es-CR"/>
              </w:rPr>
            </w:pPr>
            <w:r w:rsidRPr="00A71608">
              <w:rPr>
                <w:rFonts w:eastAsia="Calibri"/>
              </w:rPr>
              <w:t>138</w:t>
            </w:r>
          </w:p>
        </w:tc>
        <w:tc>
          <w:tcPr>
            <w:tcW w:w="706" w:type="pct"/>
            <w:tcBorders>
              <w:top w:val="nil"/>
              <w:left w:val="nil"/>
              <w:bottom w:val="nil"/>
              <w:right w:val="nil"/>
            </w:tcBorders>
            <w:shd w:val="clear" w:color="000000" w:fill="FFFFFF"/>
            <w:noWrap/>
            <w:vAlign w:val="center"/>
            <w:hideMark/>
          </w:tcPr>
          <w:p w14:paraId="710EE96F" w14:textId="77777777" w:rsidR="00A71608" w:rsidRPr="00A71608" w:rsidRDefault="00A71608" w:rsidP="00A71608">
            <w:pPr>
              <w:jc w:val="center"/>
              <w:rPr>
                <w:lang w:eastAsia="es-CR"/>
              </w:rPr>
            </w:pPr>
            <w:r w:rsidRPr="00A71608">
              <w:rPr>
                <w:rFonts w:eastAsia="Calibri"/>
              </w:rPr>
              <w:t>141</w:t>
            </w:r>
          </w:p>
        </w:tc>
        <w:tc>
          <w:tcPr>
            <w:tcW w:w="706" w:type="pct"/>
            <w:tcBorders>
              <w:top w:val="nil"/>
              <w:left w:val="nil"/>
              <w:bottom w:val="nil"/>
              <w:right w:val="nil"/>
            </w:tcBorders>
            <w:shd w:val="clear" w:color="000000" w:fill="FFFFFF"/>
            <w:noWrap/>
            <w:vAlign w:val="center"/>
            <w:hideMark/>
          </w:tcPr>
          <w:p w14:paraId="641E4906" w14:textId="77777777" w:rsidR="00A71608" w:rsidRPr="00A71608" w:rsidRDefault="00A71608" w:rsidP="00A71608">
            <w:pPr>
              <w:jc w:val="center"/>
              <w:rPr>
                <w:lang w:eastAsia="es-CR"/>
              </w:rPr>
            </w:pPr>
            <w:r w:rsidRPr="00A71608">
              <w:rPr>
                <w:lang w:eastAsia="es-CR"/>
              </w:rPr>
              <w:t>151</w:t>
            </w:r>
          </w:p>
        </w:tc>
        <w:tc>
          <w:tcPr>
            <w:tcW w:w="639" w:type="pct"/>
            <w:tcBorders>
              <w:top w:val="nil"/>
              <w:left w:val="dashed" w:sz="8" w:space="0" w:color="auto"/>
              <w:bottom w:val="nil"/>
              <w:right w:val="nil"/>
            </w:tcBorders>
            <w:shd w:val="clear" w:color="000000" w:fill="FFFFFF"/>
            <w:noWrap/>
            <w:vAlign w:val="center"/>
            <w:hideMark/>
          </w:tcPr>
          <w:p w14:paraId="78E45533" w14:textId="77777777" w:rsidR="00A71608" w:rsidRPr="00A71608" w:rsidRDefault="00A71608" w:rsidP="00A71608">
            <w:pPr>
              <w:jc w:val="right"/>
              <w:rPr>
                <w:lang w:eastAsia="es-CR"/>
              </w:rPr>
            </w:pPr>
            <w:r w:rsidRPr="00A71608">
              <w:rPr>
                <w:lang w:eastAsia="es-CR"/>
              </w:rPr>
              <w:t>10</w:t>
            </w:r>
          </w:p>
        </w:tc>
        <w:tc>
          <w:tcPr>
            <w:tcW w:w="773" w:type="pct"/>
            <w:tcBorders>
              <w:top w:val="nil"/>
              <w:left w:val="nil"/>
              <w:bottom w:val="nil"/>
              <w:right w:val="nil"/>
            </w:tcBorders>
            <w:shd w:val="clear" w:color="000000" w:fill="FFFFFF"/>
            <w:noWrap/>
            <w:vAlign w:val="center"/>
            <w:hideMark/>
          </w:tcPr>
          <w:p w14:paraId="6AA5868D" w14:textId="77777777" w:rsidR="00A71608" w:rsidRPr="00A71608" w:rsidRDefault="00A71608" w:rsidP="00A71608">
            <w:pPr>
              <w:jc w:val="right"/>
              <w:rPr>
                <w:lang w:eastAsia="es-CR"/>
              </w:rPr>
            </w:pPr>
            <w:r w:rsidRPr="00A71608">
              <w:rPr>
                <w:lang w:eastAsia="es-CR"/>
              </w:rPr>
              <w:t>7,1</w:t>
            </w:r>
          </w:p>
        </w:tc>
      </w:tr>
      <w:tr w:rsidR="00A71608" w:rsidRPr="00A71608" w14:paraId="05873DD6" w14:textId="77777777" w:rsidTr="00A71608">
        <w:trPr>
          <w:trHeight w:val="310"/>
        </w:trPr>
        <w:tc>
          <w:tcPr>
            <w:tcW w:w="1469" w:type="pct"/>
            <w:tcBorders>
              <w:top w:val="nil"/>
              <w:left w:val="nil"/>
              <w:bottom w:val="nil"/>
              <w:right w:val="nil"/>
            </w:tcBorders>
            <w:shd w:val="clear" w:color="000000" w:fill="FFFFFF"/>
            <w:noWrap/>
            <w:vAlign w:val="center"/>
            <w:hideMark/>
          </w:tcPr>
          <w:p w14:paraId="7016E83C" w14:textId="77777777" w:rsidR="00A71608" w:rsidRPr="00A71608" w:rsidRDefault="00A71608" w:rsidP="00A71608">
            <w:pPr>
              <w:rPr>
                <w:lang w:eastAsia="es-CR"/>
              </w:rPr>
            </w:pPr>
            <w:r w:rsidRPr="00A71608">
              <w:rPr>
                <w:rFonts w:eastAsia="Calibri"/>
              </w:rPr>
              <w:t>Imagen y Sonido Forense</w:t>
            </w:r>
          </w:p>
        </w:tc>
        <w:tc>
          <w:tcPr>
            <w:tcW w:w="706" w:type="pct"/>
            <w:tcBorders>
              <w:top w:val="nil"/>
              <w:left w:val="nil"/>
              <w:bottom w:val="nil"/>
              <w:right w:val="nil"/>
            </w:tcBorders>
            <w:shd w:val="clear" w:color="000000" w:fill="FFFFFF"/>
            <w:noWrap/>
            <w:vAlign w:val="center"/>
            <w:hideMark/>
          </w:tcPr>
          <w:p w14:paraId="39D8366A" w14:textId="77777777" w:rsidR="00A71608" w:rsidRPr="00A71608" w:rsidRDefault="00A71608" w:rsidP="00A71608">
            <w:pPr>
              <w:jc w:val="center"/>
              <w:rPr>
                <w:lang w:eastAsia="es-CR"/>
              </w:rPr>
            </w:pPr>
            <w:r w:rsidRPr="00A71608">
              <w:rPr>
                <w:rFonts w:eastAsia="Calibri"/>
              </w:rPr>
              <w:t>19</w:t>
            </w:r>
          </w:p>
        </w:tc>
        <w:tc>
          <w:tcPr>
            <w:tcW w:w="706" w:type="pct"/>
            <w:tcBorders>
              <w:top w:val="nil"/>
              <w:left w:val="nil"/>
              <w:bottom w:val="nil"/>
              <w:right w:val="nil"/>
            </w:tcBorders>
            <w:shd w:val="clear" w:color="000000" w:fill="FFFFFF"/>
            <w:noWrap/>
            <w:vAlign w:val="center"/>
            <w:hideMark/>
          </w:tcPr>
          <w:p w14:paraId="36AC5AA6" w14:textId="77777777" w:rsidR="00A71608" w:rsidRPr="00A71608" w:rsidRDefault="00A71608" w:rsidP="00A71608">
            <w:pPr>
              <w:jc w:val="center"/>
              <w:rPr>
                <w:lang w:eastAsia="es-CR"/>
              </w:rPr>
            </w:pPr>
            <w:r w:rsidRPr="00A71608">
              <w:rPr>
                <w:rFonts w:eastAsia="Calibri"/>
              </w:rPr>
              <w:t>27</w:t>
            </w:r>
          </w:p>
        </w:tc>
        <w:tc>
          <w:tcPr>
            <w:tcW w:w="706" w:type="pct"/>
            <w:tcBorders>
              <w:top w:val="nil"/>
              <w:left w:val="nil"/>
              <w:bottom w:val="nil"/>
              <w:right w:val="nil"/>
            </w:tcBorders>
            <w:shd w:val="clear" w:color="000000" w:fill="FFFFFF"/>
            <w:noWrap/>
            <w:vAlign w:val="center"/>
            <w:hideMark/>
          </w:tcPr>
          <w:p w14:paraId="0D1E597D" w14:textId="77777777" w:rsidR="00A71608" w:rsidRPr="00A71608" w:rsidRDefault="00A71608" w:rsidP="00A71608">
            <w:pPr>
              <w:jc w:val="center"/>
              <w:rPr>
                <w:lang w:eastAsia="es-CR"/>
              </w:rPr>
            </w:pPr>
            <w:r w:rsidRPr="00A71608">
              <w:rPr>
                <w:lang w:eastAsia="es-CR"/>
              </w:rPr>
              <w:t>16</w:t>
            </w:r>
          </w:p>
        </w:tc>
        <w:tc>
          <w:tcPr>
            <w:tcW w:w="639" w:type="pct"/>
            <w:tcBorders>
              <w:top w:val="nil"/>
              <w:left w:val="dashed" w:sz="8" w:space="0" w:color="auto"/>
              <w:bottom w:val="nil"/>
              <w:right w:val="nil"/>
            </w:tcBorders>
            <w:shd w:val="clear" w:color="000000" w:fill="FFFFFF"/>
            <w:noWrap/>
            <w:vAlign w:val="center"/>
            <w:hideMark/>
          </w:tcPr>
          <w:p w14:paraId="605BD950" w14:textId="77777777" w:rsidR="00A71608" w:rsidRPr="00A71608" w:rsidRDefault="00A71608" w:rsidP="00A71608">
            <w:pPr>
              <w:jc w:val="right"/>
              <w:rPr>
                <w:lang w:eastAsia="es-CR"/>
              </w:rPr>
            </w:pPr>
            <w:r w:rsidRPr="00A71608">
              <w:rPr>
                <w:lang w:eastAsia="es-CR"/>
              </w:rPr>
              <w:t>-11</w:t>
            </w:r>
          </w:p>
        </w:tc>
        <w:tc>
          <w:tcPr>
            <w:tcW w:w="773" w:type="pct"/>
            <w:tcBorders>
              <w:top w:val="nil"/>
              <w:left w:val="nil"/>
              <w:bottom w:val="nil"/>
              <w:right w:val="nil"/>
            </w:tcBorders>
            <w:shd w:val="clear" w:color="000000" w:fill="FFFFFF"/>
            <w:noWrap/>
            <w:vAlign w:val="center"/>
            <w:hideMark/>
          </w:tcPr>
          <w:p w14:paraId="3EACC826" w14:textId="77777777" w:rsidR="00A71608" w:rsidRPr="00A71608" w:rsidRDefault="00A71608" w:rsidP="00A71608">
            <w:pPr>
              <w:jc w:val="right"/>
              <w:rPr>
                <w:lang w:eastAsia="es-CR"/>
              </w:rPr>
            </w:pPr>
            <w:r w:rsidRPr="00A71608">
              <w:rPr>
                <w:lang w:eastAsia="es-CR"/>
              </w:rPr>
              <w:t>-40,7</w:t>
            </w:r>
          </w:p>
        </w:tc>
      </w:tr>
      <w:tr w:rsidR="00A71608" w:rsidRPr="00A71608" w14:paraId="26CB327C" w14:textId="77777777" w:rsidTr="00A71608">
        <w:trPr>
          <w:trHeight w:val="310"/>
        </w:trPr>
        <w:tc>
          <w:tcPr>
            <w:tcW w:w="1469" w:type="pct"/>
            <w:tcBorders>
              <w:top w:val="nil"/>
              <w:left w:val="nil"/>
              <w:bottom w:val="nil"/>
              <w:right w:val="nil"/>
            </w:tcBorders>
            <w:shd w:val="clear" w:color="000000" w:fill="FFFFFF"/>
            <w:noWrap/>
            <w:vAlign w:val="center"/>
            <w:hideMark/>
          </w:tcPr>
          <w:p w14:paraId="305C0107" w14:textId="77777777" w:rsidR="00A71608" w:rsidRPr="00A71608" w:rsidRDefault="00A71608" w:rsidP="00A71608">
            <w:pPr>
              <w:rPr>
                <w:lang w:eastAsia="es-CR"/>
              </w:rPr>
            </w:pPr>
            <w:r w:rsidRPr="00A71608">
              <w:rPr>
                <w:rFonts w:eastAsia="Calibri"/>
              </w:rPr>
              <w:t>Química Analítica</w:t>
            </w:r>
          </w:p>
        </w:tc>
        <w:tc>
          <w:tcPr>
            <w:tcW w:w="706" w:type="pct"/>
            <w:tcBorders>
              <w:top w:val="nil"/>
              <w:left w:val="nil"/>
              <w:bottom w:val="nil"/>
              <w:right w:val="nil"/>
            </w:tcBorders>
            <w:shd w:val="clear" w:color="000000" w:fill="FFFFFF"/>
            <w:noWrap/>
            <w:vAlign w:val="center"/>
            <w:hideMark/>
          </w:tcPr>
          <w:p w14:paraId="54A02B8E" w14:textId="77777777" w:rsidR="00A71608" w:rsidRPr="00A71608" w:rsidRDefault="00A71608" w:rsidP="00A71608">
            <w:pPr>
              <w:jc w:val="center"/>
              <w:rPr>
                <w:lang w:eastAsia="es-CR"/>
              </w:rPr>
            </w:pPr>
            <w:r w:rsidRPr="00A71608">
              <w:rPr>
                <w:rFonts w:eastAsia="Calibri"/>
              </w:rPr>
              <w:t>1 854</w:t>
            </w:r>
          </w:p>
        </w:tc>
        <w:tc>
          <w:tcPr>
            <w:tcW w:w="706" w:type="pct"/>
            <w:tcBorders>
              <w:top w:val="nil"/>
              <w:left w:val="nil"/>
              <w:bottom w:val="nil"/>
              <w:right w:val="nil"/>
            </w:tcBorders>
            <w:shd w:val="clear" w:color="000000" w:fill="FFFFFF"/>
            <w:noWrap/>
            <w:vAlign w:val="center"/>
            <w:hideMark/>
          </w:tcPr>
          <w:p w14:paraId="1FB3C167" w14:textId="77777777" w:rsidR="00A71608" w:rsidRPr="00A71608" w:rsidRDefault="00A71608" w:rsidP="00A71608">
            <w:pPr>
              <w:jc w:val="center"/>
              <w:rPr>
                <w:lang w:eastAsia="es-CR"/>
              </w:rPr>
            </w:pPr>
            <w:r w:rsidRPr="00A71608">
              <w:rPr>
                <w:rFonts w:eastAsia="Calibri"/>
              </w:rPr>
              <w:t>1 352</w:t>
            </w:r>
          </w:p>
        </w:tc>
        <w:tc>
          <w:tcPr>
            <w:tcW w:w="706" w:type="pct"/>
            <w:tcBorders>
              <w:top w:val="nil"/>
              <w:left w:val="nil"/>
              <w:bottom w:val="nil"/>
              <w:right w:val="nil"/>
            </w:tcBorders>
            <w:shd w:val="clear" w:color="000000" w:fill="FFFFFF"/>
            <w:noWrap/>
            <w:vAlign w:val="center"/>
            <w:hideMark/>
          </w:tcPr>
          <w:p w14:paraId="4E0F4596" w14:textId="77777777" w:rsidR="00A71608" w:rsidRPr="00A71608" w:rsidRDefault="00A71608" w:rsidP="00A71608">
            <w:pPr>
              <w:jc w:val="center"/>
              <w:rPr>
                <w:lang w:eastAsia="es-CR"/>
              </w:rPr>
            </w:pPr>
            <w:r w:rsidRPr="00A71608">
              <w:rPr>
                <w:lang w:eastAsia="es-CR"/>
              </w:rPr>
              <w:t>476</w:t>
            </w:r>
          </w:p>
        </w:tc>
        <w:tc>
          <w:tcPr>
            <w:tcW w:w="639" w:type="pct"/>
            <w:tcBorders>
              <w:top w:val="nil"/>
              <w:left w:val="dashed" w:sz="8" w:space="0" w:color="auto"/>
              <w:bottom w:val="nil"/>
              <w:right w:val="nil"/>
            </w:tcBorders>
            <w:shd w:val="clear" w:color="000000" w:fill="FFFFFF"/>
            <w:noWrap/>
            <w:vAlign w:val="center"/>
            <w:hideMark/>
          </w:tcPr>
          <w:p w14:paraId="3AED7C09" w14:textId="77777777" w:rsidR="00A71608" w:rsidRPr="00A71608" w:rsidRDefault="00A71608" w:rsidP="00A71608">
            <w:pPr>
              <w:jc w:val="right"/>
              <w:rPr>
                <w:lang w:eastAsia="es-CR"/>
              </w:rPr>
            </w:pPr>
            <w:r w:rsidRPr="00A71608">
              <w:rPr>
                <w:lang w:eastAsia="es-CR"/>
              </w:rPr>
              <w:t>-876</w:t>
            </w:r>
          </w:p>
        </w:tc>
        <w:tc>
          <w:tcPr>
            <w:tcW w:w="773" w:type="pct"/>
            <w:tcBorders>
              <w:top w:val="nil"/>
              <w:left w:val="nil"/>
              <w:bottom w:val="nil"/>
              <w:right w:val="nil"/>
            </w:tcBorders>
            <w:shd w:val="clear" w:color="000000" w:fill="FFFFFF"/>
            <w:noWrap/>
            <w:vAlign w:val="center"/>
            <w:hideMark/>
          </w:tcPr>
          <w:p w14:paraId="43BC385D" w14:textId="77777777" w:rsidR="00A71608" w:rsidRPr="00A71608" w:rsidRDefault="00A71608" w:rsidP="00A71608">
            <w:pPr>
              <w:jc w:val="right"/>
              <w:rPr>
                <w:lang w:eastAsia="es-CR"/>
              </w:rPr>
            </w:pPr>
            <w:r w:rsidRPr="00A71608">
              <w:rPr>
                <w:lang w:eastAsia="es-CR"/>
              </w:rPr>
              <w:t>-64,8</w:t>
            </w:r>
          </w:p>
        </w:tc>
      </w:tr>
      <w:tr w:rsidR="00A71608" w:rsidRPr="00A71608" w14:paraId="20C14B3B" w14:textId="77777777" w:rsidTr="00A71608">
        <w:trPr>
          <w:trHeight w:val="310"/>
        </w:trPr>
        <w:tc>
          <w:tcPr>
            <w:tcW w:w="1469" w:type="pct"/>
            <w:tcBorders>
              <w:top w:val="nil"/>
              <w:left w:val="nil"/>
              <w:bottom w:val="nil"/>
              <w:right w:val="nil"/>
            </w:tcBorders>
            <w:shd w:val="clear" w:color="000000" w:fill="FFFFFF"/>
            <w:noWrap/>
            <w:vAlign w:val="center"/>
            <w:hideMark/>
          </w:tcPr>
          <w:p w14:paraId="5C5C8BB2" w14:textId="77777777" w:rsidR="00A71608" w:rsidRPr="00A71608" w:rsidRDefault="00A71608" w:rsidP="00A71608">
            <w:pPr>
              <w:rPr>
                <w:lang w:eastAsia="es-CR"/>
              </w:rPr>
            </w:pPr>
            <w:r w:rsidRPr="00A71608">
              <w:rPr>
                <w:rFonts w:eastAsia="Calibri"/>
              </w:rPr>
              <w:t>Toxicología</w:t>
            </w:r>
          </w:p>
        </w:tc>
        <w:tc>
          <w:tcPr>
            <w:tcW w:w="706" w:type="pct"/>
            <w:tcBorders>
              <w:top w:val="nil"/>
              <w:left w:val="nil"/>
              <w:bottom w:val="nil"/>
              <w:right w:val="nil"/>
            </w:tcBorders>
            <w:shd w:val="clear" w:color="000000" w:fill="FFFFFF"/>
            <w:noWrap/>
            <w:vAlign w:val="center"/>
            <w:hideMark/>
          </w:tcPr>
          <w:p w14:paraId="656824E5" w14:textId="77777777" w:rsidR="00A71608" w:rsidRPr="00A71608" w:rsidRDefault="00A71608" w:rsidP="00A71608">
            <w:pPr>
              <w:jc w:val="center"/>
              <w:rPr>
                <w:lang w:eastAsia="es-CR"/>
              </w:rPr>
            </w:pPr>
            <w:r w:rsidRPr="00A71608">
              <w:rPr>
                <w:rFonts w:eastAsia="Calibri"/>
              </w:rPr>
              <w:t>1 177</w:t>
            </w:r>
          </w:p>
        </w:tc>
        <w:tc>
          <w:tcPr>
            <w:tcW w:w="706" w:type="pct"/>
            <w:tcBorders>
              <w:top w:val="nil"/>
              <w:left w:val="nil"/>
              <w:bottom w:val="nil"/>
              <w:right w:val="nil"/>
            </w:tcBorders>
            <w:shd w:val="clear" w:color="000000" w:fill="FFFFFF"/>
            <w:noWrap/>
            <w:vAlign w:val="center"/>
            <w:hideMark/>
          </w:tcPr>
          <w:p w14:paraId="675C6158" w14:textId="77777777" w:rsidR="00A71608" w:rsidRPr="00A71608" w:rsidRDefault="00A71608" w:rsidP="00A71608">
            <w:pPr>
              <w:jc w:val="center"/>
              <w:rPr>
                <w:lang w:eastAsia="es-CR"/>
              </w:rPr>
            </w:pPr>
            <w:r w:rsidRPr="00A71608">
              <w:rPr>
                <w:rFonts w:eastAsia="Calibri"/>
              </w:rPr>
              <w:t>906</w:t>
            </w:r>
          </w:p>
        </w:tc>
        <w:tc>
          <w:tcPr>
            <w:tcW w:w="706" w:type="pct"/>
            <w:tcBorders>
              <w:top w:val="nil"/>
              <w:left w:val="nil"/>
              <w:bottom w:val="nil"/>
              <w:right w:val="nil"/>
            </w:tcBorders>
            <w:shd w:val="clear" w:color="000000" w:fill="FFFFFF"/>
            <w:noWrap/>
            <w:vAlign w:val="center"/>
            <w:hideMark/>
          </w:tcPr>
          <w:p w14:paraId="5E0F6C58" w14:textId="77777777" w:rsidR="00A71608" w:rsidRPr="00A71608" w:rsidRDefault="00A71608" w:rsidP="00A71608">
            <w:pPr>
              <w:jc w:val="center"/>
              <w:rPr>
                <w:lang w:eastAsia="es-CR"/>
              </w:rPr>
            </w:pPr>
            <w:r w:rsidRPr="00A71608">
              <w:rPr>
                <w:lang w:eastAsia="es-CR"/>
              </w:rPr>
              <w:t>695</w:t>
            </w:r>
          </w:p>
        </w:tc>
        <w:tc>
          <w:tcPr>
            <w:tcW w:w="639" w:type="pct"/>
            <w:tcBorders>
              <w:top w:val="nil"/>
              <w:left w:val="dashed" w:sz="8" w:space="0" w:color="auto"/>
              <w:bottom w:val="nil"/>
              <w:right w:val="nil"/>
            </w:tcBorders>
            <w:shd w:val="clear" w:color="000000" w:fill="FFFFFF"/>
            <w:noWrap/>
            <w:vAlign w:val="center"/>
            <w:hideMark/>
          </w:tcPr>
          <w:p w14:paraId="10BC6415" w14:textId="77777777" w:rsidR="00A71608" w:rsidRPr="00A71608" w:rsidRDefault="00A71608" w:rsidP="00A71608">
            <w:pPr>
              <w:jc w:val="right"/>
              <w:rPr>
                <w:lang w:eastAsia="es-CR"/>
              </w:rPr>
            </w:pPr>
            <w:r w:rsidRPr="00A71608">
              <w:rPr>
                <w:lang w:eastAsia="es-CR"/>
              </w:rPr>
              <w:t>-211</w:t>
            </w:r>
          </w:p>
        </w:tc>
        <w:tc>
          <w:tcPr>
            <w:tcW w:w="773" w:type="pct"/>
            <w:tcBorders>
              <w:top w:val="nil"/>
              <w:left w:val="nil"/>
              <w:bottom w:val="nil"/>
              <w:right w:val="nil"/>
            </w:tcBorders>
            <w:shd w:val="clear" w:color="000000" w:fill="FFFFFF"/>
            <w:noWrap/>
            <w:vAlign w:val="center"/>
            <w:hideMark/>
          </w:tcPr>
          <w:p w14:paraId="265833A0" w14:textId="77777777" w:rsidR="00A71608" w:rsidRPr="00A71608" w:rsidRDefault="00A71608" w:rsidP="00A71608">
            <w:pPr>
              <w:jc w:val="right"/>
              <w:rPr>
                <w:lang w:eastAsia="es-CR"/>
              </w:rPr>
            </w:pPr>
            <w:r w:rsidRPr="00A71608">
              <w:rPr>
                <w:lang w:eastAsia="es-CR"/>
              </w:rPr>
              <w:t>-23,3</w:t>
            </w:r>
          </w:p>
        </w:tc>
      </w:tr>
      <w:tr w:rsidR="00A71608" w:rsidRPr="00A71608" w14:paraId="2C8302D1" w14:textId="77777777" w:rsidTr="00A71608">
        <w:trPr>
          <w:trHeight w:val="260"/>
        </w:trPr>
        <w:tc>
          <w:tcPr>
            <w:tcW w:w="1469" w:type="pct"/>
            <w:tcBorders>
              <w:top w:val="nil"/>
              <w:left w:val="nil"/>
              <w:bottom w:val="single" w:sz="8" w:space="0" w:color="auto"/>
              <w:right w:val="nil"/>
            </w:tcBorders>
            <w:shd w:val="clear" w:color="000000" w:fill="FFFFFF"/>
            <w:noWrap/>
            <w:vAlign w:val="bottom"/>
            <w:hideMark/>
          </w:tcPr>
          <w:p w14:paraId="326FE290" w14:textId="77777777" w:rsidR="00A71608" w:rsidRPr="00A71608" w:rsidRDefault="00A71608" w:rsidP="00A71608">
            <w:pPr>
              <w:rPr>
                <w:lang w:eastAsia="es-CR"/>
              </w:rPr>
            </w:pPr>
            <w:r w:rsidRPr="00A71608">
              <w:rPr>
                <w:lang w:eastAsia="es-CR"/>
              </w:rPr>
              <w:t> </w:t>
            </w:r>
          </w:p>
        </w:tc>
        <w:tc>
          <w:tcPr>
            <w:tcW w:w="706" w:type="pct"/>
            <w:tcBorders>
              <w:top w:val="nil"/>
              <w:left w:val="nil"/>
              <w:bottom w:val="single" w:sz="8" w:space="0" w:color="auto"/>
              <w:right w:val="nil"/>
            </w:tcBorders>
            <w:shd w:val="clear" w:color="000000" w:fill="FFFFFF"/>
            <w:noWrap/>
            <w:vAlign w:val="bottom"/>
            <w:hideMark/>
          </w:tcPr>
          <w:p w14:paraId="095376C6" w14:textId="77777777" w:rsidR="00A71608" w:rsidRPr="00A71608" w:rsidRDefault="00A71608" w:rsidP="00A71608">
            <w:pPr>
              <w:rPr>
                <w:lang w:eastAsia="es-CR"/>
              </w:rPr>
            </w:pPr>
            <w:r w:rsidRPr="00A71608">
              <w:rPr>
                <w:lang w:eastAsia="es-CR"/>
              </w:rPr>
              <w:t> </w:t>
            </w:r>
          </w:p>
        </w:tc>
        <w:tc>
          <w:tcPr>
            <w:tcW w:w="706" w:type="pct"/>
            <w:tcBorders>
              <w:top w:val="nil"/>
              <w:left w:val="nil"/>
              <w:bottom w:val="single" w:sz="8" w:space="0" w:color="auto"/>
              <w:right w:val="nil"/>
            </w:tcBorders>
            <w:shd w:val="clear" w:color="000000" w:fill="FFFFFF"/>
            <w:noWrap/>
            <w:vAlign w:val="bottom"/>
            <w:hideMark/>
          </w:tcPr>
          <w:p w14:paraId="62002FD7" w14:textId="77777777" w:rsidR="00A71608" w:rsidRPr="00A71608" w:rsidRDefault="00A71608" w:rsidP="00A71608">
            <w:pPr>
              <w:rPr>
                <w:lang w:eastAsia="es-CR"/>
              </w:rPr>
            </w:pPr>
            <w:r w:rsidRPr="00A71608">
              <w:rPr>
                <w:lang w:eastAsia="es-CR"/>
              </w:rPr>
              <w:t> </w:t>
            </w:r>
          </w:p>
        </w:tc>
        <w:tc>
          <w:tcPr>
            <w:tcW w:w="706" w:type="pct"/>
            <w:tcBorders>
              <w:top w:val="nil"/>
              <w:left w:val="nil"/>
              <w:bottom w:val="single" w:sz="8" w:space="0" w:color="auto"/>
              <w:right w:val="nil"/>
            </w:tcBorders>
            <w:shd w:val="clear" w:color="000000" w:fill="FFFFFF"/>
            <w:noWrap/>
            <w:vAlign w:val="bottom"/>
            <w:hideMark/>
          </w:tcPr>
          <w:p w14:paraId="3C3847DD" w14:textId="77777777" w:rsidR="00A71608" w:rsidRPr="00A71608" w:rsidRDefault="00A71608" w:rsidP="00A71608">
            <w:pPr>
              <w:rPr>
                <w:lang w:eastAsia="es-CR"/>
              </w:rPr>
            </w:pPr>
            <w:r w:rsidRPr="00A71608">
              <w:rPr>
                <w:lang w:eastAsia="es-CR"/>
              </w:rPr>
              <w:t> </w:t>
            </w:r>
          </w:p>
        </w:tc>
        <w:tc>
          <w:tcPr>
            <w:tcW w:w="639" w:type="pct"/>
            <w:tcBorders>
              <w:top w:val="nil"/>
              <w:left w:val="dashed" w:sz="8" w:space="0" w:color="auto"/>
              <w:bottom w:val="single" w:sz="8" w:space="0" w:color="auto"/>
              <w:right w:val="nil"/>
            </w:tcBorders>
            <w:shd w:val="clear" w:color="000000" w:fill="FFFFFF"/>
            <w:noWrap/>
            <w:vAlign w:val="center"/>
            <w:hideMark/>
          </w:tcPr>
          <w:p w14:paraId="5629AD52" w14:textId="77777777" w:rsidR="00A71608" w:rsidRPr="00A71608" w:rsidRDefault="00A71608" w:rsidP="00A71608">
            <w:pPr>
              <w:jc w:val="center"/>
              <w:rPr>
                <w:lang w:eastAsia="es-CR"/>
              </w:rPr>
            </w:pPr>
            <w:r w:rsidRPr="00A71608">
              <w:rPr>
                <w:lang w:eastAsia="es-CR"/>
              </w:rPr>
              <w:t> </w:t>
            </w:r>
          </w:p>
        </w:tc>
        <w:tc>
          <w:tcPr>
            <w:tcW w:w="773" w:type="pct"/>
            <w:tcBorders>
              <w:top w:val="nil"/>
              <w:left w:val="nil"/>
              <w:bottom w:val="single" w:sz="8" w:space="0" w:color="auto"/>
              <w:right w:val="nil"/>
            </w:tcBorders>
            <w:shd w:val="clear" w:color="000000" w:fill="FFFFFF"/>
            <w:noWrap/>
            <w:vAlign w:val="center"/>
            <w:hideMark/>
          </w:tcPr>
          <w:p w14:paraId="17EAF9EF" w14:textId="77777777" w:rsidR="00A71608" w:rsidRPr="00A71608" w:rsidRDefault="00A71608" w:rsidP="00A71608">
            <w:pPr>
              <w:jc w:val="center"/>
              <w:rPr>
                <w:lang w:eastAsia="es-CR"/>
              </w:rPr>
            </w:pPr>
            <w:r w:rsidRPr="00A71608">
              <w:rPr>
                <w:lang w:eastAsia="es-CR"/>
              </w:rPr>
              <w:t> </w:t>
            </w:r>
          </w:p>
        </w:tc>
      </w:tr>
      <w:tr w:rsidR="00A71608" w:rsidRPr="00A71608" w14:paraId="2BC27E69" w14:textId="77777777" w:rsidTr="00A71608">
        <w:trPr>
          <w:trHeight w:val="260"/>
        </w:trPr>
        <w:tc>
          <w:tcPr>
            <w:tcW w:w="2881" w:type="pct"/>
            <w:gridSpan w:val="3"/>
            <w:tcBorders>
              <w:top w:val="nil"/>
              <w:left w:val="nil"/>
              <w:bottom w:val="nil"/>
              <w:right w:val="nil"/>
            </w:tcBorders>
            <w:shd w:val="clear" w:color="000000" w:fill="FFFFFF"/>
            <w:noWrap/>
            <w:vAlign w:val="bottom"/>
            <w:hideMark/>
          </w:tcPr>
          <w:p w14:paraId="390FE039" w14:textId="77777777" w:rsidR="00A71608" w:rsidRPr="00A71608" w:rsidRDefault="00A71608" w:rsidP="00A71608">
            <w:pPr>
              <w:rPr>
                <w:lang w:eastAsia="es-CR"/>
              </w:rPr>
            </w:pPr>
            <w:r w:rsidRPr="00A71608">
              <w:rPr>
                <w:lang w:eastAsia="es-CR"/>
              </w:rPr>
              <w:t>Elaborado por: Subproceso de Estadística, Dirección de Planificación</w:t>
            </w:r>
          </w:p>
        </w:tc>
        <w:tc>
          <w:tcPr>
            <w:tcW w:w="706" w:type="pct"/>
            <w:tcBorders>
              <w:top w:val="nil"/>
              <w:left w:val="nil"/>
              <w:bottom w:val="nil"/>
              <w:right w:val="nil"/>
            </w:tcBorders>
            <w:shd w:val="clear" w:color="000000" w:fill="FFFFFF"/>
            <w:noWrap/>
            <w:vAlign w:val="bottom"/>
            <w:hideMark/>
          </w:tcPr>
          <w:p w14:paraId="3119AB72" w14:textId="77777777" w:rsidR="00A71608" w:rsidRPr="00A71608" w:rsidRDefault="00A71608" w:rsidP="00A71608">
            <w:pPr>
              <w:rPr>
                <w:lang w:eastAsia="es-CR"/>
              </w:rPr>
            </w:pPr>
            <w:r w:rsidRPr="00A71608">
              <w:rPr>
                <w:lang w:eastAsia="es-CR"/>
              </w:rPr>
              <w:t> </w:t>
            </w:r>
          </w:p>
        </w:tc>
        <w:tc>
          <w:tcPr>
            <w:tcW w:w="639" w:type="pct"/>
            <w:tcBorders>
              <w:top w:val="nil"/>
              <w:left w:val="nil"/>
              <w:bottom w:val="nil"/>
              <w:right w:val="nil"/>
            </w:tcBorders>
            <w:shd w:val="clear" w:color="000000" w:fill="FFFFFF"/>
            <w:noWrap/>
            <w:vAlign w:val="bottom"/>
            <w:hideMark/>
          </w:tcPr>
          <w:p w14:paraId="40D30BDB" w14:textId="77777777" w:rsidR="00A71608" w:rsidRPr="00A71608" w:rsidRDefault="00A71608" w:rsidP="00A71608">
            <w:pPr>
              <w:rPr>
                <w:lang w:eastAsia="es-CR"/>
              </w:rPr>
            </w:pPr>
            <w:r w:rsidRPr="00A71608">
              <w:rPr>
                <w:lang w:eastAsia="es-CR"/>
              </w:rPr>
              <w:t> </w:t>
            </w:r>
          </w:p>
        </w:tc>
        <w:tc>
          <w:tcPr>
            <w:tcW w:w="773" w:type="pct"/>
            <w:tcBorders>
              <w:top w:val="nil"/>
              <w:left w:val="nil"/>
              <w:bottom w:val="nil"/>
              <w:right w:val="nil"/>
            </w:tcBorders>
            <w:shd w:val="clear" w:color="000000" w:fill="FFFFFF"/>
            <w:noWrap/>
            <w:vAlign w:val="bottom"/>
            <w:hideMark/>
          </w:tcPr>
          <w:p w14:paraId="7B7AA96C" w14:textId="77777777" w:rsidR="00A71608" w:rsidRPr="00A71608" w:rsidRDefault="00A71608" w:rsidP="00A71608">
            <w:pPr>
              <w:rPr>
                <w:lang w:eastAsia="es-CR"/>
              </w:rPr>
            </w:pPr>
            <w:r w:rsidRPr="00A71608">
              <w:rPr>
                <w:lang w:eastAsia="es-CR"/>
              </w:rPr>
              <w:t> </w:t>
            </w:r>
          </w:p>
        </w:tc>
      </w:tr>
    </w:tbl>
    <w:p w14:paraId="5F784474" w14:textId="77777777" w:rsidR="00A71608" w:rsidRPr="00A71608" w:rsidRDefault="00A71608" w:rsidP="00A71608">
      <w:pPr>
        <w:ind w:left="851" w:right="851" w:firstLine="709"/>
        <w:jc w:val="both"/>
        <w:rPr>
          <w:rFonts w:eastAsia="Calibri"/>
        </w:rPr>
      </w:pPr>
    </w:p>
    <w:p w14:paraId="23E70CD4" w14:textId="77777777" w:rsidR="00A71608" w:rsidRPr="00A71608" w:rsidRDefault="00A71608" w:rsidP="00A71608">
      <w:pPr>
        <w:ind w:left="851" w:right="851" w:firstLine="709"/>
        <w:jc w:val="both"/>
        <w:rPr>
          <w:rFonts w:eastAsia="Calibri"/>
        </w:rPr>
      </w:pPr>
      <w:r w:rsidRPr="00A71608">
        <w:rPr>
          <w:rFonts w:eastAsia="Calibri"/>
        </w:rPr>
        <w:t xml:space="preserve">De acuerdo con los datos de referencia, seis secciones de este colectivo redujeron su circulante al cierre de 2020, destacando la Sección de </w:t>
      </w:r>
      <w:r w:rsidRPr="00A71608">
        <w:rPr>
          <w:rFonts w:eastAsia="Calibri"/>
          <w:i/>
          <w:iCs/>
        </w:rPr>
        <w:t>Química Analítica</w:t>
      </w:r>
      <w:r w:rsidRPr="00A71608">
        <w:rPr>
          <w:rFonts w:eastAsia="Calibri"/>
        </w:rPr>
        <w:t xml:space="preserve"> como la que registra la mayor disminución del trabajo pendiente, con 876 casos, lo cual representa un importante descongestionamiento a la interno de su gestión. </w:t>
      </w:r>
    </w:p>
    <w:p w14:paraId="71E3F010" w14:textId="77777777" w:rsidR="00A71608" w:rsidRPr="00A71608" w:rsidRDefault="00A71608" w:rsidP="00A71608">
      <w:pPr>
        <w:ind w:right="851"/>
        <w:jc w:val="both"/>
        <w:rPr>
          <w:rFonts w:eastAsia="Calibri"/>
        </w:rPr>
      </w:pPr>
    </w:p>
    <w:p w14:paraId="507D87DA" w14:textId="77777777" w:rsidR="00A71608" w:rsidRPr="00A71608" w:rsidRDefault="00A71608" w:rsidP="00A71608">
      <w:pPr>
        <w:ind w:left="851" w:right="851" w:firstLine="709"/>
        <w:jc w:val="both"/>
        <w:rPr>
          <w:rFonts w:eastAsia="Calibri"/>
        </w:rPr>
      </w:pPr>
      <w:r w:rsidRPr="00A71608">
        <w:rPr>
          <w:rFonts w:eastAsia="Calibri"/>
        </w:rPr>
        <w:t xml:space="preserve">La Sección de </w:t>
      </w:r>
      <w:r w:rsidRPr="00A71608">
        <w:rPr>
          <w:rFonts w:eastAsia="Calibri"/>
          <w:i/>
          <w:iCs/>
        </w:rPr>
        <w:t>Bioquímica</w:t>
      </w:r>
      <w:r w:rsidRPr="00A71608">
        <w:rPr>
          <w:rFonts w:eastAsia="Calibri"/>
        </w:rPr>
        <w:t xml:space="preserve"> experimenta un descongestionamiento de 383 dictámenes respecto al año anterior, mientras que la </w:t>
      </w:r>
      <w:r w:rsidRPr="00A71608">
        <w:rPr>
          <w:rFonts w:eastAsia="Calibri"/>
          <w:i/>
          <w:iCs/>
        </w:rPr>
        <w:t>Sección de Biología Forense</w:t>
      </w:r>
      <w:r w:rsidRPr="00A71608">
        <w:rPr>
          <w:rFonts w:eastAsia="Calibri"/>
        </w:rPr>
        <w:t xml:space="preserve"> lo hizo en 223 dictámenes, constituyéndose junto con el mencionado en el párrafo anterior como los más influyentes en el descenso registrados durante el último bienio para la variable bajo estudio.</w:t>
      </w:r>
    </w:p>
    <w:p w14:paraId="7AD1A1B7" w14:textId="77777777" w:rsidR="00A71608" w:rsidRPr="00A71608" w:rsidRDefault="00A71608" w:rsidP="00A71608">
      <w:pPr>
        <w:ind w:left="851" w:right="851" w:firstLine="709"/>
        <w:jc w:val="both"/>
        <w:rPr>
          <w:rFonts w:eastAsia="Calibri"/>
        </w:rPr>
      </w:pPr>
    </w:p>
    <w:p w14:paraId="5735DC6B" w14:textId="77777777" w:rsidR="00A71608" w:rsidRPr="00A71608" w:rsidRDefault="00A71608" w:rsidP="00A71608">
      <w:pPr>
        <w:ind w:left="851" w:right="851" w:firstLine="709"/>
        <w:jc w:val="both"/>
        <w:rPr>
          <w:rFonts w:eastAsia="Calibri"/>
        </w:rPr>
      </w:pPr>
      <w:r w:rsidRPr="00A71608">
        <w:rPr>
          <w:rFonts w:eastAsia="Calibri"/>
        </w:rPr>
        <w:t xml:space="preserve">Las dos Secciones que registraron algún incremento en su circulante al cierre del período lo fueron, </w:t>
      </w:r>
      <w:r w:rsidRPr="00A71608">
        <w:rPr>
          <w:rFonts w:eastAsia="Calibri"/>
          <w:i/>
          <w:iCs/>
        </w:rPr>
        <w:t>Pericias físicas</w:t>
      </w:r>
      <w:r w:rsidRPr="00A71608">
        <w:rPr>
          <w:rFonts w:eastAsia="Calibri"/>
        </w:rPr>
        <w:t xml:space="preserve"> e </w:t>
      </w:r>
      <w:r w:rsidRPr="00A71608">
        <w:rPr>
          <w:rFonts w:eastAsia="Calibri"/>
          <w:i/>
          <w:iCs/>
        </w:rPr>
        <w:t>Ingeniería forense</w:t>
      </w:r>
      <w:r w:rsidRPr="00A71608">
        <w:rPr>
          <w:rFonts w:eastAsia="Calibri"/>
        </w:rPr>
        <w:t xml:space="preserve"> con 49 y 10 casos respectivamente.</w:t>
      </w:r>
    </w:p>
    <w:p w14:paraId="4855E749" w14:textId="77777777" w:rsidR="00A71608" w:rsidRPr="00A71608" w:rsidRDefault="00A71608" w:rsidP="00A71608">
      <w:pPr>
        <w:ind w:left="851" w:right="851" w:firstLine="709"/>
        <w:jc w:val="both"/>
        <w:rPr>
          <w:rFonts w:eastAsia="Calibri"/>
          <w:b/>
          <w:bCs/>
        </w:rPr>
      </w:pPr>
    </w:p>
    <w:p w14:paraId="2296C35F" w14:textId="77777777" w:rsidR="00A71608" w:rsidRPr="00A71608" w:rsidRDefault="00A71608" w:rsidP="00A71608">
      <w:pPr>
        <w:numPr>
          <w:ilvl w:val="0"/>
          <w:numId w:val="41"/>
        </w:numPr>
        <w:suppressAutoHyphens w:val="0"/>
        <w:spacing w:after="160"/>
        <w:ind w:left="851" w:right="851" w:firstLine="709"/>
        <w:contextualSpacing/>
        <w:jc w:val="both"/>
        <w:rPr>
          <w:rFonts w:eastAsia="Calibri"/>
          <w:b/>
          <w:bCs/>
        </w:rPr>
      </w:pPr>
      <w:bookmarkStart w:id="10" w:name="_Toc85467976"/>
      <w:r w:rsidRPr="00A71608">
        <w:rPr>
          <w:rFonts w:eastAsia="Calibri"/>
          <w:b/>
          <w:bCs/>
        </w:rPr>
        <w:t>Documentación anexa</w:t>
      </w:r>
      <w:bookmarkEnd w:id="10"/>
    </w:p>
    <w:p w14:paraId="0CD1E3EA" w14:textId="77777777" w:rsidR="00A71608" w:rsidRPr="00A71608" w:rsidRDefault="00A71608" w:rsidP="00A71608">
      <w:pPr>
        <w:spacing w:after="160"/>
        <w:ind w:left="708"/>
        <w:rPr>
          <w:rFonts w:eastAsia="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2682"/>
      </w:tblGrid>
      <w:tr w:rsidR="00A71608" w:rsidRPr="00A71608" w14:paraId="5E9D770C" w14:textId="77777777" w:rsidTr="00A71608">
        <w:trPr>
          <w:trHeight w:val="591"/>
          <w:tblHeader/>
          <w:jc w:val="center"/>
        </w:trPr>
        <w:tc>
          <w:tcPr>
            <w:tcW w:w="4425" w:type="dxa"/>
            <w:tcBorders>
              <w:top w:val="single" w:sz="4" w:space="0" w:color="auto"/>
              <w:left w:val="single" w:sz="4" w:space="0" w:color="auto"/>
              <w:bottom w:val="single" w:sz="4" w:space="0" w:color="auto"/>
              <w:right w:val="single" w:sz="4" w:space="0" w:color="auto"/>
            </w:tcBorders>
            <w:shd w:val="clear" w:color="auto" w:fill="BDD6EE"/>
            <w:vAlign w:val="center"/>
          </w:tcPr>
          <w:p w14:paraId="6B2137A9" w14:textId="77777777" w:rsidR="00A71608" w:rsidRPr="00A71608" w:rsidRDefault="00A71608" w:rsidP="00A71608">
            <w:pPr>
              <w:rPr>
                <w:rFonts w:eastAsia="Calibri"/>
                <w:b/>
                <w:bCs/>
              </w:rPr>
            </w:pPr>
          </w:p>
          <w:p w14:paraId="74613C50" w14:textId="77777777" w:rsidR="00A71608" w:rsidRPr="00A71608" w:rsidRDefault="00A71608" w:rsidP="00A71608">
            <w:pPr>
              <w:jc w:val="center"/>
              <w:rPr>
                <w:rFonts w:eastAsia="Calibri"/>
                <w:b/>
                <w:bCs/>
              </w:rPr>
            </w:pPr>
            <w:r w:rsidRPr="00A71608">
              <w:rPr>
                <w:rFonts w:eastAsia="Calibri"/>
                <w:b/>
                <w:bCs/>
              </w:rPr>
              <w:t>Documento</w:t>
            </w:r>
          </w:p>
          <w:p w14:paraId="5153B4E2" w14:textId="77777777" w:rsidR="00A71608" w:rsidRPr="00A71608" w:rsidRDefault="00A71608" w:rsidP="00A71608">
            <w:pPr>
              <w:rPr>
                <w:rFonts w:eastAsia="Calibri"/>
                <w:b/>
                <w:bCs/>
              </w:rPr>
            </w:pPr>
          </w:p>
        </w:tc>
        <w:tc>
          <w:tcPr>
            <w:tcW w:w="2682" w:type="dxa"/>
            <w:tcBorders>
              <w:top w:val="single" w:sz="4" w:space="0" w:color="auto"/>
              <w:left w:val="single" w:sz="4" w:space="0" w:color="auto"/>
              <w:bottom w:val="single" w:sz="4" w:space="0" w:color="auto"/>
              <w:right w:val="single" w:sz="4" w:space="0" w:color="auto"/>
            </w:tcBorders>
            <w:shd w:val="clear" w:color="auto" w:fill="BDD6EE"/>
            <w:vAlign w:val="center"/>
          </w:tcPr>
          <w:p w14:paraId="134F2AA1" w14:textId="77777777" w:rsidR="00A71608" w:rsidRPr="00A71608" w:rsidRDefault="00A71608" w:rsidP="00A71608">
            <w:pPr>
              <w:rPr>
                <w:rFonts w:eastAsia="Calibri"/>
                <w:b/>
                <w:bCs/>
              </w:rPr>
            </w:pPr>
          </w:p>
          <w:p w14:paraId="5F2324E0" w14:textId="77777777" w:rsidR="00A71608" w:rsidRPr="00A71608" w:rsidRDefault="00A71608" w:rsidP="00A71608">
            <w:pPr>
              <w:jc w:val="center"/>
              <w:rPr>
                <w:rFonts w:eastAsia="Calibri"/>
                <w:b/>
                <w:bCs/>
              </w:rPr>
            </w:pPr>
            <w:r w:rsidRPr="00A71608">
              <w:rPr>
                <w:rFonts w:eastAsia="Calibri"/>
                <w:b/>
                <w:bCs/>
              </w:rPr>
              <w:t>Anexo</w:t>
            </w:r>
          </w:p>
          <w:p w14:paraId="624A7CAA" w14:textId="77777777" w:rsidR="00A71608" w:rsidRPr="00A71608" w:rsidRDefault="00A71608" w:rsidP="00A71608">
            <w:pPr>
              <w:rPr>
                <w:rFonts w:eastAsia="Calibri"/>
                <w:b/>
                <w:bCs/>
              </w:rPr>
            </w:pPr>
          </w:p>
        </w:tc>
      </w:tr>
      <w:tr w:rsidR="00A71608" w:rsidRPr="00A71608" w14:paraId="5F4A7F3C" w14:textId="77777777" w:rsidTr="00A71608">
        <w:trPr>
          <w:trHeight w:val="780"/>
          <w:jc w:val="center"/>
        </w:trPr>
        <w:tc>
          <w:tcPr>
            <w:tcW w:w="4425" w:type="dxa"/>
            <w:tcBorders>
              <w:top w:val="single" w:sz="4" w:space="0" w:color="auto"/>
              <w:left w:val="single" w:sz="4" w:space="0" w:color="auto"/>
              <w:bottom w:val="single" w:sz="4" w:space="0" w:color="auto"/>
              <w:right w:val="single" w:sz="4" w:space="0" w:color="auto"/>
            </w:tcBorders>
            <w:vAlign w:val="center"/>
          </w:tcPr>
          <w:p w14:paraId="59ECF9C6" w14:textId="77777777" w:rsidR="00A71608" w:rsidRPr="00A71608" w:rsidRDefault="00A71608" w:rsidP="00A71608">
            <w:pPr>
              <w:rPr>
                <w:rFonts w:eastAsia="Calibri"/>
              </w:rPr>
            </w:pPr>
          </w:p>
          <w:p w14:paraId="733708C7" w14:textId="77777777" w:rsidR="00A71608" w:rsidRPr="00A71608" w:rsidRDefault="00A71608" w:rsidP="00A71608">
            <w:pPr>
              <w:rPr>
                <w:rFonts w:eastAsia="Calibri"/>
              </w:rPr>
            </w:pPr>
            <w:r w:rsidRPr="00A71608">
              <w:rPr>
                <w:rFonts w:eastAsia="Calibri"/>
              </w:rPr>
              <w:t>Cuadro Anual Laboratorio de Ciencias Forenses 2020</w:t>
            </w:r>
          </w:p>
          <w:p w14:paraId="2158B10E" w14:textId="77777777" w:rsidR="00A71608" w:rsidRPr="00A71608" w:rsidRDefault="00A71608" w:rsidP="00A71608">
            <w:pPr>
              <w:rPr>
                <w:rFonts w:eastAsia="Calibri"/>
              </w:rPr>
            </w:pPr>
          </w:p>
        </w:tc>
        <w:tc>
          <w:tcPr>
            <w:tcW w:w="2682" w:type="dxa"/>
            <w:tcBorders>
              <w:top w:val="single" w:sz="4" w:space="0" w:color="auto"/>
              <w:left w:val="single" w:sz="4" w:space="0" w:color="auto"/>
              <w:bottom w:val="single" w:sz="4" w:space="0" w:color="auto"/>
              <w:right w:val="single" w:sz="4" w:space="0" w:color="auto"/>
            </w:tcBorders>
            <w:vAlign w:val="center"/>
            <w:hideMark/>
          </w:tcPr>
          <w:p w14:paraId="628D3C2D" w14:textId="77777777" w:rsidR="00A71608" w:rsidRPr="00A71608" w:rsidRDefault="00A71608" w:rsidP="00A71608">
            <w:pPr>
              <w:jc w:val="center"/>
              <w:rPr>
                <w:rFonts w:eastAsia="Calibri"/>
              </w:rPr>
            </w:pPr>
            <w:r w:rsidRPr="00A71608">
              <w:rPr>
                <w:rFonts w:eastAsia="Calibri"/>
              </w:rPr>
              <w:object w:dxaOrig="1376" w:dyaOrig="893" w14:anchorId="49442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v:imagedata r:id="rId9" o:title=""/>
                </v:shape>
                <o:OLEObject Type="Embed" ProgID="Excel.Sheet.12" ShapeID="_x0000_i1025" DrawAspect="Icon" ObjectID="_1704189419" r:id="rId10"/>
              </w:object>
            </w:r>
          </w:p>
        </w:tc>
      </w:tr>
      <w:tr w:rsidR="00A71608" w:rsidRPr="00A71608" w14:paraId="4B13C9BC" w14:textId="77777777" w:rsidTr="00A71608">
        <w:trPr>
          <w:trHeight w:val="780"/>
          <w:jc w:val="center"/>
        </w:trPr>
        <w:tc>
          <w:tcPr>
            <w:tcW w:w="4425" w:type="dxa"/>
            <w:tcBorders>
              <w:top w:val="single" w:sz="4" w:space="0" w:color="auto"/>
              <w:left w:val="single" w:sz="4" w:space="0" w:color="auto"/>
              <w:bottom w:val="single" w:sz="4" w:space="0" w:color="auto"/>
              <w:right w:val="single" w:sz="4" w:space="0" w:color="auto"/>
            </w:tcBorders>
            <w:vAlign w:val="center"/>
          </w:tcPr>
          <w:p w14:paraId="4800086C" w14:textId="77777777" w:rsidR="00A71608" w:rsidRPr="00A71608" w:rsidRDefault="00A71608" w:rsidP="00A71608">
            <w:pPr>
              <w:rPr>
                <w:rFonts w:eastAsia="Calibri"/>
              </w:rPr>
            </w:pPr>
            <w:r w:rsidRPr="00A71608">
              <w:rPr>
                <w:rFonts w:eastAsia="Calibri"/>
              </w:rPr>
              <w:lastRenderedPageBreak/>
              <w:t>Oficio de respuesta con observaciones por parte del Organismo de Investigación Judicial hacia el informe preliminar de la Dirección de Planificación.</w:t>
            </w:r>
          </w:p>
        </w:tc>
        <w:tc>
          <w:tcPr>
            <w:tcW w:w="2682" w:type="dxa"/>
            <w:tcBorders>
              <w:top w:val="single" w:sz="4" w:space="0" w:color="auto"/>
              <w:left w:val="single" w:sz="4" w:space="0" w:color="auto"/>
              <w:bottom w:val="single" w:sz="4" w:space="0" w:color="auto"/>
              <w:right w:val="single" w:sz="4" w:space="0" w:color="auto"/>
            </w:tcBorders>
            <w:vAlign w:val="center"/>
          </w:tcPr>
          <w:p w14:paraId="444FF917" w14:textId="77777777" w:rsidR="00A71608" w:rsidRPr="00A71608" w:rsidRDefault="00A71608" w:rsidP="00A71608">
            <w:pPr>
              <w:jc w:val="center"/>
              <w:rPr>
                <w:rFonts w:eastAsia="Calibri"/>
              </w:rPr>
            </w:pPr>
            <w:r w:rsidRPr="00A71608">
              <w:rPr>
                <w:rFonts w:eastAsia="Calibri"/>
              </w:rPr>
              <w:object w:dxaOrig="1376" w:dyaOrig="893" w14:anchorId="574D0090">
                <v:shape id="_x0000_i1026" type="#_x0000_t75" style="width:69pt;height:44.25pt" o:ole="">
                  <v:imagedata r:id="rId11" o:title=""/>
                </v:shape>
                <o:OLEObject Type="Embed" ProgID="Acrobat.Document.DC" ShapeID="_x0000_i1026" DrawAspect="Icon" ObjectID="_1704189420" r:id="rId12"/>
              </w:object>
            </w:r>
          </w:p>
        </w:tc>
      </w:tr>
    </w:tbl>
    <w:p w14:paraId="512F1E18" w14:textId="77777777" w:rsidR="00A71608" w:rsidRPr="00A71608" w:rsidRDefault="00A71608" w:rsidP="00A71608"/>
    <w:p w14:paraId="17A24EAC" w14:textId="77777777" w:rsidR="00A71608" w:rsidRPr="00A71608" w:rsidRDefault="00A71608" w:rsidP="00A71608"/>
    <w:p w14:paraId="48B0C8B1" w14:textId="77777777" w:rsidR="00A71608" w:rsidRPr="00A71608" w:rsidRDefault="00A71608" w:rsidP="00A71608">
      <w:pPr>
        <w:ind w:left="708" w:firstLine="708"/>
      </w:pPr>
      <w:r w:rsidRPr="00A71608">
        <w:t>[…]”</w:t>
      </w:r>
    </w:p>
    <w:p w14:paraId="41100E95" w14:textId="77777777" w:rsidR="00A71608" w:rsidRPr="00A71608" w:rsidRDefault="00A71608" w:rsidP="00A71608">
      <w:pPr>
        <w:jc w:val="center"/>
      </w:pPr>
    </w:p>
    <w:p w14:paraId="200C53A1" w14:textId="77777777" w:rsidR="00A71608" w:rsidRPr="00A71608" w:rsidRDefault="00A71608" w:rsidP="00A71608">
      <w:pPr>
        <w:ind w:firstLine="708"/>
        <w:jc w:val="center"/>
        <w:rPr>
          <w:b/>
          <w:bCs/>
        </w:rPr>
      </w:pPr>
      <w:r w:rsidRPr="00A71608">
        <w:rPr>
          <w:b/>
          <w:bCs/>
        </w:rPr>
        <w:t>-0-</w:t>
      </w:r>
    </w:p>
    <w:p w14:paraId="13F117BD" w14:textId="77777777" w:rsidR="00A71608" w:rsidRPr="00A71608" w:rsidRDefault="00A71608" w:rsidP="00A71608">
      <w:pPr>
        <w:ind w:firstLine="708"/>
        <w:jc w:val="center"/>
        <w:rPr>
          <w:b/>
          <w:bCs/>
        </w:rPr>
      </w:pPr>
    </w:p>
    <w:p w14:paraId="31C6CF0A" w14:textId="50A259C6" w:rsidR="00294863" w:rsidRPr="00A71608" w:rsidRDefault="00A71608" w:rsidP="00A71608">
      <w:pPr>
        <w:keepNext/>
        <w:tabs>
          <w:tab w:val="num" w:pos="0"/>
        </w:tabs>
        <w:spacing w:before="120" w:after="120"/>
        <w:jc w:val="both"/>
        <w:outlineLvl w:val="1"/>
        <w:rPr>
          <w:rFonts w:eastAsia="Calibri"/>
          <w:color w:val="000099"/>
          <w:lang w:val="es-CR" w:eastAsia="es-CR"/>
        </w:rPr>
      </w:pPr>
      <w:r>
        <w:rPr>
          <w:b/>
          <w:bCs/>
          <w:lang w:val="es-CR"/>
        </w:rPr>
        <w:tab/>
      </w:r>
      <w:r w:rsidRPr="00A71608">
        <w:rPr>
          <w:b/>
          <w:bCs/>
          <w:lang w:val="es-CR"/>
        </w:rPr>
        <w:t xml:space="preserve">Se acordó: 1) </w:t>
      </w:r>
      <w:r w:rsidRPr="00A71608">
        <w:rPr>
          <w:lang w:val="es-CR"/>
        </w:rPr>
        <w:t xml:space="preserve">Tener por recibido el oficio </w:t>
      </w:r>
      <w:proofErr w:type="spellStart"/>
      <w:r w:rsidRPr="00A71608">
        <w:rPr>
          <w:lang w:val="es-CR" w:eastAsia="en-US"/>
        </w:rPr>
        <w:t>Nº</w:t>
      </w:r>
      <w:proofErr w:type="spellEnd"/>
      <w:r w:rsidRPr="00A71608">
        <w:rPr>
          <w:lang w:val="es-CR" w:eastAsia="en-US"/>
        </w:rPr>
        <w:t xml:space="preserve"> </w:t>
      </w:r>
      <w:r w:rsidRPr="00A71608">
        <w:rPr>
          <w:lang w:eastAsia="en-US"/>
        </w:rPr>
        <w:t xml:space="preserve">1331-PLA-ES-AP-2021 </w:t>
      </w:r>
      <w:r w:rsidRPr="00A71608">
        <w:rPr>
          <w:lang w:val="es-CR"/>
        </w:rPr>
        <w:t xml:space="preserve">de la Dirección de Planificación, mediante el cual se remite el informe </w:t>
      </w:r>
      <w:r w:rsidRPr="00A71608">
        <w:t>relacionado con el análisis y cuadros estadísticos sobre los movimientos de trabajo para cada una de las secciones que conforman el Departamento de Ciencias Forenses del Organismo de Investigación Judicial durante el 2020</w:t>
      </w:r>
      <w:r w:rsidRPr="00A71608">
        <w:rPr>
          <w:lang w:eastAsia="en-US"/>
        </w:rPr>
        <w:t xml:space="preserve">; para la correspondiente incorporación en el anuario estadístico de ese año </w:t>
      </w:r>
      <w:r w:rsidRPr="00A71608">
        <w:rPr>
          <w:lang w:val="es-CR"/>
        </w:rPr>
        <w:t xml:space="preserve">y, su publicación en Intranet y en la página Web del Poder Judicial. </w:t>
      </w:r>
      <w:r w:rsidRPr="00A71608">
        <w:rPr>
          <w:b/>
          <w:bCs/>
          <w:lang w:val="es-CR"/>
        </w:rPr>
        <w:t xml:space="preserve">2) </w:t>
      </w:r>
      <w:r w:rsidRPr="00A71608">
        <w:rPr>
          <w:lang w:val="es-CR"/>
        </w:rPr>
        <w:t xml:space="preserve">Hacer este acuerdo de conocimiento de la Dirección de Planificación, </w:t>
      </w:r>
      <w:r w:rsidRPr="00A71608">
        <w:t>el Departamento de Laboratorios de Ciencias Forenses y las secciones adscritas, la Dirección General del Organismo de Investigación Judicial y</w:t>
      </w:r>
      <w:r w:rsidRPr="00A71608">
        <w:rPr>
          <w:lang w:val="es-CR"/>
        </w:rPr>
        <w:t xml:space="preserve"> el Departamento de Prensa y Comunicación Organizacional, para lo de su cargo.  </w:t>
      </w:r>
      <w:r w:rsidRPr="00A71608">
        <w:rPr>
          <w:b/>
          <w:bCs/>
          <w:lang w:val="es-CR"/>
        </w:rPr>
        <w:t>Se declara acuerdo firme</w:t>
      </w:r>
      <w:r w:rsidR="00E003ED" w:rsidRPr="00A71608">
        <w:rPr>
          <w:b/>
          <w:bCs/>
          <w:i/>
          <w:iCs/>
        </w:rPr>
        <w:t>.</w:t>
      </w:r>
      <w:r w:rsidR="009F45D2" w:rsidRPr="00A71608">
        <w:rPr>
          <w:b/>
          <w:bCs/>
          <w:i/>
          <w:iCs/>
          <w:color w:val="000000" w:themeColor="text1"/>
        </w:rPr>
        <w:t>”</w:t>
      </w:r>
    </w:p>
    <w:p w14:paraId="3301832F" w14:textId="77777777" w:rsidR="00294863" w:rsidRPr="00A71608" w:rsidRDefault="00294863" w:rsidP="00A71608">
      <w:pPr>
        <w:widowControl w:val="0"/>
        <w:autoSpaceDE w:val="0"/>
        <w:autoSpaceDN w:val="0"/>
        <w:adjustRightInd w:val="0"/>
        <w:ind w:left="851" w:right="851"/>
        <w:jc w:val="both"/>
        <w:rPr>
          <w:color w:val="000000" w:themeColor="text1"/>
        </w:rPr>
      </w:pPr>
    </w:p>
    <w:p w14:paraId="5C125FAA" w14:textId="77777777" w:rsidR="009033DA" w:rsidRPr="00A71608" w:rsidRDefault="009033DA" w:rsidP="00A71608">
      <w:pPr>
        <w:widowControl w:val="0"/>
        <w:autoSpaceDE w:val="0"/>
        <w:autoSpaceDN w:val="0"/>
        <w:adjustRightInd w:val="0"/>
        <w:ind w:left="851" w:right="851"/>
        <w:jc w:val="both"/>
        <w:rPr>
          <w:color w:val="000000" w:themeColor="text1"/>
        </w:rPr>
      </w:pPr>
    </w:p>
    <w:p w14:paraId="47ECE26F" w14:textId="77777777" w:rsidR="003D6337" w:rsidRPr="00A71608" w:rsidRDefault="00561024" w:rsidP="00A71608">
      <w:pPr>
        <w:tabs>
          <w:tab w:val="left" w:pos="4295"/>
        </w:tabs>
        <w:ind w:left="4248"/>
        <w:jc w:val="both"/>
        <w:rPr>
          <w:b/>
          <w:bCs/>
          <w:color w:val="000000" w:themeColor="text1"/>
        </w:rPr>
      </w:pPr>
      <w:r w:rsidRPr="00A71608">
        <w:rPr>
          <w:b/>
          <w:bCs/>
          <w:color w:val="000000" w:themeColor="text1"/>
        </w:rPr>
        <w:t>A</w:t>
      </w:r>
      <w:r w:rsidR="003D6337" w:rsidRPr="00A71608">
        <w:rPr>
          <w:b/>
          <w:bCs/>
          <w:color w:val="000000" w:themeColor="text1"/>
        </w:rPr>
        <w:t xml:space="preserve">tentamente, </w:t>
      </w:r>
    </w:p>
    <w:p w14:paraId="65B7A8D2" w14:textId="77777777" w:rsidR="003D6337" w:rsidRPr="00A71608" w:rsidRDefault="003D6337" w:rsidP="00A71608">
      <w:pPr>
        <w:ind w:left="-708"/>
        <w:jc w:val="both"/>
        <w:rPr>
          <w:b/>
          <w:bCs/>
          <w:color w:val="000000" w:themeColor="text1"/>
        </w:rPr>
      </w:pPr>
    </w:p>
    <w:p w14:paraId="51D45ABA" w14:textId="77777777" w:rsidR="003D6337" w:rsidRPr="00A71608" w:rsidRDefault="003D6337" w:rsidP="00A71608">
      <w:pPr>
        <w:ind w:left="-708"/>
        <w:jc w:val="both"/>
        <w:rPr>
          <w:b/>
          <w:bCs/>
          <w:color w:val="000000" w:themeColor="text1"/>
        </w:rPr>
      </w:pPr>
    </w:p>
    <w:p w14:paraId="31EBFCE9" w14:textId="77777777" w:rsidR="00910D0C" w:rsidRPr="00A71608" w:rsidRDefault="00910D0C" w:rsidP="00A71608">
      <w:pPr>
        <w:ind w:left="708"/>
        <w:jc w:val="both"/>
        <w:rPr>
          <w:b/>
          <w:bCs/>
          <w:color w:val="000000" w:themeColor="text1"/>
          <w:lang w:val="es-ES_tradnl"/>
        </w:rPr>
      </w:pPr>
    </w:p>
    <w:p w14:paraId="455247DE" w14:textId="1EDF8477" w:rsidR="009F1C8E" w:rsidRPr="00A71608" w:rsidRDefault="009F1C8E" w:rsidP="00A71608">
      <w:pPr>
        <w:pStyle w:val="Ttulo53"/>
        <w:keepNext w:val="0"/>
        <w:tabs>
          <w:tab w:val="clear" w:pos="0"/>
        </w:tabs>
        <w:ind w:left="4248"/>
        <w:jc w:val="both"/>
        <w:rPr>
          <w:rFonts w:eastAsia="Times New Roman"/>
          <w:i w:val="0"/>
          <w:iCs w:val="0"/>
          <w:color w:val="000000" w:themeColor="text1"/>
          <w:sz w:val="24"/>
          <w:szCs w:val="24"/>
          <w:u w:val="none"/>
          <w:shd w:val="clear" w:color="auto" w:fill="auto"/>
          <w:lang w:val="es-CR"/>
        </w:rPr>
      </w:pPr>
      <w:r w:rsidRPr="00A71608">
        <w:rPr>
          <w:rFonts w:eastAsia="Times New Roman"/>
          <w:i w:val="0"/>
          <w:iCs w:val="0"/>
          <w:color w:val="000000" w:themeColor="text1"/>
          <w:sz w:val="24"/>
          <w:szCs w:val="24"/>
          <w:u w:val="none"/>
          <w:shd w:val="clear" w:color="auto" w:fill="auto"/>
          <w:lang w:val="es-CR"/>
        </w:rPr>
        <w:t>Kenneth Aguilar Hernández</w:t>
      </w:r>
    </w:p>
    <w:p w14:paraId="009BE598" w14:textId="2937942C" w:rsidR="00F833FF" w:rsidRPr="00A71608" w:rsidRDefault="009F1C8E" w:rsidP="00A71608">
      <w:pPr>
        <w:pStyle w:val="Ttulo53"/>
        <w:keepNext w:val="0"/>
        <w:tabs>
          <w:tab w:val="clear" w:pos="0"/>
        </w:tabs>
        <w:ind w:left="4248"/>
        <w:jc w:val="both"/>
        <w:rPr>
          <w:rFonts w:eastAsia="Times New Roman"/>
          <w:i w:val="0"/>
          <w:iCs w:val="0"/>
          <w:color w:val="000000" w:themeColor="text1"/>
          <w:sz w:val="24"/>
          <w:szCs w:val="24"/>
          <w:u w:val="none"/>
          <w:shd w:val="clear" w:color="auto" w:fill="auto"/>
          <w:lang w:val="es-CR"/>
        </w:rPr>
      </w:pPr>
      <w:r w:rsidRPr="00A71608">
        <w:rPr>
          <w:rFonts w:eastAsia="Times New Roman"/>
          <w:i w:val="0"/>
          <w:iCs w:val="0"/>
          <w:color w:val="000000" w:themeColor="text1"/>
          <w:sz w:val="24"/>
          <w:szCs w:val="24"/>
          <w:u w:val="none"/>
          <w:shd w:val="clear" w:color="auto" w:fill="auto"/>
          <w:lang w:val="es-CR"/>
        </w:rPr>
        <w:t>Prosecretario General</w:t>
      </w:r>
    </w:p>
    <w:p w14:paraId="7A07677B" w14:textId="77777777" w:rsidR="00007D52" w:rsidRPr="00A71608" w:rsidRDefault="00007D52" w:rsidP="00A71608">
      <w:pPr>
        <w:pStyle w:val="Ttulo53"/>
        <w:keepNext w:val="0"/>
        <w:tabs>
          <w:tab w:val="clear" w:pos="0"/>
          <w:tab w:val="left" w:pos="708"/>
        </w:tabs>
        <w:ind w:left="4248"/>
        <w:jc w:val="both"/>
        <w:rPr>
          <w:rFonts w:eastAsia="Times New Roman"/>
          <w:i w:val="0"/>
          <w:iCs w:val="0"/>
          <w:color w:val="000000" w:themeColor="text1"/>
          <w:sz w:val="24"/>
          <w:szCs w:val="24"/>
          <w:u w:val="none"/>
          <w:lang w:val="es-CR"/>
        </w:rPr>
      </w:pPr>
      <w:r w:rsidRPr="00A71608">
        <w:rPr>
          <w:rFonts w:eastAsia="Times New Roman"/>
          <w:i w:val="0"/>
          <w:iCs w:val="0"/>
          <w:color w:val="000000" w:themeColor="text1"/>
          <w:sz w:val="24"/>
          <w:szCs w:val="24"/>
          <w:u w:val="none"/>
          <w:lang w:val="es-CR"/>
        </w:rPr>
        <w:t>Secretaría General de la Corte</w:t>
      </w:r>
    </w:p>
    <w:p w14:paraId="2A95A6B5" w14:textId="77777777" w:rsidR="00186ADE" w:rsidRPr="00A71608" w:rsidRDefault="00186ADE" w:rsidP="00A71608">
      <w:pPr>
        <w:pStyle w:val="Ttulo51"/>
        <w:keepNext w:val="0"/>
        <w:tabs>
          <w:tab w:val="clear" w:pos="0"/>
        </w:tabs>
        <w:ind w:left="4248"/>
        <w:jc w:val="both"/>
        <w:rPr>
          <w:rFonts w:eastAsia="Times New Roman"/>
          <w:i w:val="0"/>
          <w:iCs w:val="0"/>
          <w:color w:val="000000" w:themeColor="text1"/>
          <w:sz w:val="24"/>
          <w:szCs w:val="24"/>
          <w:u w:val="none"/>
          <w:shd w:val="clear" w:color="auto" w:fill="auto"/>
          <w:lang w:val="es-CR"/>
        </w:rPr>
      </w:pPr>
    </w:p>
    <w:p w14:paraId="41618E3C" w14:textId="0C8A8D77" w:rsidR="00A46E36" w:rsidRPr="00A46E36" w:rsidRDefault="00790B81" w:rsidP="00A46E36">
      <w:pPr>
        <w:suppressAutoHyphens w:val="0"/>
        <w:rPr>
          <w:rFonts w:eastAsiaTheme="minorHAnsi"/>
          <w:color w:val="000000" w:themeColor="text1"/>
          <w:lang w:val="es-CR" w:eastAsia="en-US"/>
        </w:rPr>
      </w:pPr>
      <w:proofErr w:type="spellStart"/>
      <w:r w:rsidRPr="00A71608">
        <w:rPr>
          <w:color w:val="000000" w:themeColor="text1"/>
        </w:rPr>
        <w:t>C</w:t>
      </w:r>
      <w:r w:rsidR="00B46B14" w:rsidRPr="00A71608">
        <w:rPr>
          <w:color w:val="000000" w:themeColor="text1"/>
        </w:rPr>
        <w:t>c</w:t>
      </w:r>
      <w:proofErr w:type="spellEnd"/>
      <w:r w:rsidR="0029216A" w:rsidRPr="00A71608">
        <w:rPr>
          <w:color w:val="000000" w:themeColor="text1"/>
        </w:rPr>
        <w:t>:</w:t>
      </w:r>
      <w:r w:rsidR="009033DA" w:rsidRPr="00A71608">
        <w:rPr>
          <w:color w:val="000000" w:themeColor="text1"/>
        </w:rPr>
        <w:t xml:space="preserve"> </w:t>
      </w:r>
      <w:r w:rsidR="00154BA2" w:rsidRPr="00A71608">
        <w:rPr>
          <w:color w:val="000000" w:themeColor="text1"/>
        </w:rPr>
        <w:tab/>
      </w:r>
      <w:r w:rsidR="00A46E36">
        <w:rPr>
          <w:color w:val="000000" w:themeColor="text1"/>
        </w:rPr>
        <w:tab/>
      </w:r>
      <w:r w:rsidR="00A46E36" w:rsidRPr="00A46E36">
        <w:rPr>
          <w:rFonts w:eastAsiaTheme="minorHAnsi"/>
          <w:color w:val="000000" w:themeColor="text1"/>
          <w:lang w:val="es-CR" w:eastAsia="en-US"/>
        </w:rPr>
        <w:t xml:space="preserve">Dirección General del Organismo de Investigación Judicial </w:t>
      </w:r>
    </w:p>
    <w:p w14:paraId="569A5A4E"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Dirección de Planificación</w:t>
      </w:r>
    </w:p>
    <w:p w14:paraId="7A873940"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Departamento de Prensa y Comunicación Organizacional</w:t>
      </w:r>
    </w:p>
    <w:p w14:paraId="30AC4111"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Documentos Dudosos</w:t>
      </w:r>
    </w:p>
    <w:p w14:paraId="5B48E38B"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Biología Forense</w:t>
      </w:r>
    </w:p>
    <w:p w14:paraId="164E3872"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Bioquímica</w:t>
      </w:r>
    </w:p>
    <w:p w14:paraId="51D824EF"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Pericias Físicas</w:t>
      </w:r>
    </w:p>
    <w:p w14:paraId="6C0DD584"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lastRenderedPageBreak/>
        <w:t>Sección de Ingeniería Forense</w:t>
      </w:r>
    </w:p>
    <w:p w14:paraId="69C509FC"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Imagen y Sonido Forense</w:t>
      </w:r>
    </w:p>
    <w:p w14:paraId="471CEB14"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Química Analítica</w:t>
      </w:r>
    </w:p>
    <w:p w14:paraId="3B7332A3" w14:textId="77777777" w:rsidR="00A46E36" w:rsidRPr="00A46E36" w:rsidRDefault="00A46E36" w:rsidP="00A46E36">
      <w:pPr>
        <w:suppressAutoHyphens w:val="0"/>
        <w:ind w:left="708" w:firstLine="708"/>
        <w:rPr>
          <w:rFonts w:eastAsiaTheme="minorHAnsi"/>
          <w:color w:val="000000" w:themeColor="text1"/>
          <w:lang w:val="es-CR" w:eastAsia="en-US"/>
        </w:rPr>
      </w:pPr>
      <w:r w:rsidRPr="00A46E36">
        <w:rPr>
          <w:rFonts w:eastAsiaTheme="minorHAnsi"/>
          <w:color w:val="000000" w:themeColor="text1"/>
          <w:lang w:val="es-CR" w:eastAsia="en-US"/>
        </w:rPr>
        <w:t>Sección de Toxicología</w:t>
      </w:r>
    </w:p>
    <w:p w14:paraId="0B7B2DDB" w14:textId="70A57382" w:rsidR="0029216A" w:rsidRPr="00A71608" w:rsidRDefault="0029216A" w:rsidP="00A46E36">
      <w:pPr>
        <w:suppressAutoHyphens w:val="0"/>
        <w:ind w:left="708" w:firstLine="708"/>
        <w:jc w:val="both"/>
        <w:rPr>
          <w:color w:val="000000" w:themeColor="text1"/>
        </w:rPr>
      </w:pPr>
      <w:r w:rsidRPr="00A71608">
        <w:rPr>
          <w:color w:val="000000" w:themeColor="text1"/>
        </w:rPr>
        <w:t xml:space="preserve">Diligencias / </w:t>
      </w:r>
      <w:proofErr w:type="spellStart"/>
      <w:r w:rsidRPr="00A71608">
        <w:rPr>
          <w:color w:val="000000" w:themeColor="text1"/>
        </w:rPr>
        <w:t>Refs</w:t>
      </w:r>
      <w:proofErr w:type="spellEnd"/>
      <w:r w:rsidRPr="00A71608">
        <w:rPr>
          <w:color w:val="000000" w:themeColor="text1"/>
        </w:rPr>
        <w:t>: (</w:t>
      </w:r>
      <w:r w:rsidR="00A46E36" w:rsidRPr="00A46E36">
        <w:rPr>
          <w:b/>
          <w:bCs/>
          <w:color w:val="000000" w:themeColor="text1"/>
        </w:rPr>
        <w:t>13159-2021</w:t>
      </w:r>
      <w:r w:rsidRPr="00A71608">
        <w:rPr>
          <w:color w:val="000000" w:themeColor="text1"/>
        </w:rPr>
        <w:t xml:space="preserve">) </w:t>
      </w:r>
    </w:p>
    <w:p w14:paraId="44EB5DEE" w14:textId="2F9DF1E1" w:rsidR="009F45D2" w:rsidRPr="00A71608" w:rsidRDefault="00474806" w:rsidP="00A46E36">
      <w:pPr>
        <w:ind w:left="708" w:firstLine="708"/>
        <w:jc w:val="both"/>
        <w:rPr>
          <w:b/>
          <w:i/>
          <w:iCs/>
          <w:color w:val="000000" w:themeColor="text1"/>
          <w:shd w:val="clear" w:color="auto" w:fill="FFFFFF"/>
          <w:lang w:val="es-ES_tradnl"/>
        </w:rPr>
      </w:pPr>
      <w:r w:rsidRPr="00A71608">
        <w:rPr>
          <w:b/>
          <w:i/>
          <w:iCs/>
          <w:color w:val="000000" w:themeColor="text1"/>
          <w:shd w:val="clear" w:color="auto" w:fill="FFFFFF"/>
          <w:lang w:val="es-ES_tradnl"/>
        </w:rPr>
        <w:t>Bryan</w:t>
      </w:r>
    </w:p>
    <w:p w14:paraId="59550EFE" w14:textId="2F2D0057" w:rsidR="00B44943" w:rsidRPr="00A71608" w:rsidRDefault="00B44943" w:rsidP="00A71608">
      <w:pPr>
        <w:ind w:firstLine="708"/>
        <w:jc w:val="both"/>
        <w:rPr>
          <w:b/>
          <w:i/>
          <w:iCs/>
          <w:color w:val="000000" w:themeColor="text1"/>
          <w:shd w:val="clear" w:color="auto" w:fill="FFFFFF"/>
          <w:lang w:val="es-ES_tradnl"/>
        </w:rPr>
      </w:pPr>
    </w:p>
    <w:p w14:paraId="0A2AA044" w14:textId="2EE6C869" w:rsidR="00B44943" w:rsidRPr="00A71608" w:rsidRDefault="00B44943" w:rsidP="00A71608">
      <w:pPr>
        <w:jc w:val="both"/>
        <w:rPr>
          <w:color w:val="000000" w:themeColor="text1"/>
          <w:lang w:val="es-MX" w:eastAsia="es-MX"/>
        </w:rPr>
      </w:pPr>
    </w:p>
    <w:bookmarkEnd w:id="0"/>
    <w:p w14:paraId="6C72C9D1" w14:textId="77777777" w:rsidR="00B44943" w:rsidRPr="00A71608" w:rsidRDefault="00B44943" w:rsidP="00A71608">
      <w:pPr>
        <w:ind w:firstLine="708"/>
        <w:jc w:val="both"/>
        <w:rPr>
          <w:b/>
          <w:i/>
          <w:iCs/>
          <w:color w:val="000000" w:themeColor="text1"/>
          <w:shd w:val="clear" w:color="auto" w:fill="FFFFFF"/>
          <w:lang w:val="es-ES_tradnl"/>
        </w:rPr>
      </w:pPr>
    </w:p>
    <w:sectPr w:rsidR="00B44943" w:rsidRPr="00A71608" w:rsidSect="00186ADE">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8725" w14:textId="77777777" w:rsidR="00AF7410" w:rsidRDefault="00AF7410">
      <w:r>
        <w:separator/>
      </w:r>
    </w:p>
  </w:endnote>
  <w:endnote w:type="continuationSeparator" w:id="0">
    <w:p w14:paraId="3FD27F9E" w14:textId="77777777" w:rsidR="00AF7410" w:rsidRDefault="00AF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579" w14:textId="77777777" w:rsidR="00A71608" w:rsidRDefault="00A716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7FFB" w14:textId="77777777" w:rsidR="00A71608" w:rsidRDefault="00A7160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2295-3845 // 2295-3711</w:t>
    </w:r>
    <w:r>
      <w:rPr>
        <w:rFonts w:ascii="Times New Roman" w:hAnsi="Times New Roman" w:cs="Times New Roman"/>
        <w:b/>
        <w:sz w:val="16"/>
        <w:szCs w:val="16"/>
        <w:u w:val="none"/>
        <w:lang w:val="es-ES_tradnl"/>
      </w:rPr>
      <w:tab/>
      <w:t xml:space="preserve"> Correo: </w:t>
    </w:r>
    <w:hyperlink r:id="rId1" w:history="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14:paraId="7694B644" w14:textId="77777777" w:rsidR="00A71608" w:rsidRDefault="00A71608">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42215919" w14:textId="77777777" w:rsidR="00A71608" w:rsidRDefault="00A71608">
    <w:pPr>
      <w:jc w:val="center"/>
    </w:pPr>
    <w:r>
      <w:rPr>
        <w:b/>
        <w:sz w:val="16"/>
        <w:szCs w:val="16"/>
        <w:lang w:val="es-CR"/>
      </w:rPr>
      <w:fldChar w:fldCharType="begin"/>
    </w:r>
    <w:r>
      <w:rPr>
        <w:b/>
        <w:sz w:val="16"/>
        <w:szCs w:val="16"/>
        <w:lang w:val="es-CR"/>
      </w:rPr>
      <w:instrText xml:space="preserve"> PAGE </w:instrText>
    </w:r>
    <w:r>
      <w:rPr>
        <w:b/>
        <w:sz w:val="16"/>
        <w:szCs w:val="16"/>
        <w:lang w:val="es-CR"/>
      </w:rPr>
      <w:fldChar w:fldCharType="separate"/>
    </w:r>
    <w:r>
      <w:rPr>
        <w:b/>
        <w:noProof/>
        <w:sz w:val="16"/>
        <w:szCs w:val="16"/>
        <w:lang w:val="es-CR"/>
      </w:rPr>
      <w:t>1</w:t>
    </w:r>
    <w:r>
      <w:rPr>
        <w:b/>
        <w:sz w:val="16"/>
        <w:szCs w:val="16"/>
        <w:lang w:val="es-C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C7E" w14:textId="77777777" w:rsidR="00A71608" w:rsidRDefault="00A716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06D95" w14:textId="77777777" w:rsidR="00AF7410" w:rsidRDefault="00AF7410">
      <w:r>
        <w:separator/>
      </w:r>
    </w:p>
  </w:footnote>
  <w:footnote w:type="continuationSeparator" w:id="0">
    <w:p w14:paraId="4F1A02B5" w14:textId="77777777" w:rsidR="00AF7410" w:rsidRDefault="00AF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893F" w14:textId="77777777" w:rsidR="00A71608" w:rsidRDefault="00A716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4DA1" w14:textId="77777777" w:rsidR="00A71608" w:rsidRDefault="00EF1502">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pict w14:anchorId="056DDC23">
        <v:shapetype id="_x0000_t202" coordsize="21600,21600" o:spt="202" path="m,l,21600r21600,l21600,xe">
          <v:stroke joinstyle="miter"/>
          <v:path gradientshapeok="t" o:connecttype="rect"/>
        </v:shapetype>
        <v:shape id="_x0000_s2049" type="#_x0000_t202" style="position:absolute;margin-left:0;margin-top:-28.2pt;width:49.7pt;height:72.65pt;z-index:-251658752;mso-wrap-style:none;mso-wrap-distance-left:9.05pt;mso-wrap-distance-right:9.05pt" stroked="f">
          <v:fill color2="black"/>
          <v:textbox style="mso-fit-shape-to-text:t" inset="0,0,0,0">
            <w:txbxContent>
              <w:p w14:paraId="62A2E5C2" w14:textId="77777777" w:rsidR="00A71608" w:rsidRDefault="00A71608" w:rsidP="00186ADE">
                <w:pPr>
                  <w:ind w:right="3"/>
                </w:pPr>
                <w:r>
                  <w:rPr>
                    <w:noProof/>
                    <w:lang w:eastAsia="es-ES"/>
                  </w:rPr>
                  <w:drawing>
                    <wp:inline distT="0" distB="0" distL="0" distR="0" wp14:anchorId="3C707F0A" wp14:editId="42C663F8">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w:r>
    <w:r w:rsidR="00A71608">
      <w:rPr>
        <w:rFonts w:cs="Times New Roman"/>
        <w:u w:val="none"/>
        <w:shd w:val="clear" w:color="auto" w:fill="auto"/>
      </w:rPr>
      <w:t xml:space="preserve">                    </w:t>
    </w:r>
    <w:r w:rsidR="00A71608">
      <w:rPr>
        <w:rFonts w:ascii="Times New Roman" w:hAnsi="Times New Roman" w:cs="Times New Roman"/>
        <w:b/>
        <w:i/>
        <w:u w:val="none"/>
        <w:shd w:val="clear" w:color="auto" w:fill="auto"/>
        <w:lang w:val="es-CR"/>
      </w:rPr>
      <w:t>Corte Suprema de Justicia</w:t>
    </w:r>
  </w:p>
  <w:p w14:paraId="1203DAE7" w14:textId="77777777" w:rsidR="00A71608" w:rsidRDefault="00A71608">
    <w:pPr>
      <w:rPr>
        <w:b/>
        <w:bCs/>
        <w:i/>
        <w:iCs/>
        <w:lang w:val="es-ES_tradnl"/>
      </w:rPr>
    </w:pPr>
    <w:r>
      <w:rPr>
        <w:b/>
        <w:bCs/>
        <w:i/>
        <w:iCs/>
        <w:lang w:val="es-ES_tradnl"/>
      </w:rPr>
      <w:t xml:space="preserve">                           Secretaría General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EA08" w14:textId="77777777" w:rsidR="00A71608" w:rsidRDefault="00A716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F54879"/>
    <w:multiLevelType w:val="multilevel"/>
    <w:tmpl w:val="2BD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9B49A0"/>
    <w:multiLevelType w:val="hybridMultilevel"/>
    <w:tmpl w:val="ABA67CAA"/>
    <w:lvl w:ilvl="0" w:tplc="FA1829B8">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7D2250E">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068C28">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67E536E">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12EDD8">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6001910">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1815F4">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406954">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6CD0DA">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9B53B0"/>
    <w:multiLevelType w:val="hybridMultilevel"/>
    <w:tmpl w:val="8AEC1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0025258"/>
    <w:multiLevelType w:val="hybridMultilevel"/>
    <w:tmpl w:val="9A542F36"/>
    <w:lvl w:ilvl="0" w:tplc="7B84DA5A">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F50468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00F3E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58DB6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5A928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96BEF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7640C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1A767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729D9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4E3299"/>
    <w:multiLevelType w:val="hybridMultilevel"/>
    <w:tmpl w:val="8EF8478E"/>
    <w:lvl w:ilvl="0" w:tplc="00000000">
      <w:start w:val="1"/>
      <w:numFmt w:val="bullet"/>
      <w:lvlText w:val=""/>
      <w:lvlJc w:val="left"/>
      <w:pPr>
        <w:ind w:left="720" w:hanging="360"/>
      </w:pPr>
      <w:rPr>
        <w:rFonts w:ascii="Symbol" w:hAnsi="Symbol"/>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5104750"/>
    <w:multiLevelType w:val="hybridMultilevel"/>
    <w:tmpl w:val="FB101C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9D7067C"/>
    <w:multiLevelType w:val="hybridMultilevel"/>
    <w:tmpl w:val="D7AA2092"/>
    <w:lvl w:ilvl="0" w:tplc="DA709E10">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E62B5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52F10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0EECB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8A057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04A84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86001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42C09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0880C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037C19"/>
    <w:multiLevelType w:val="multilevel"/>
    <w:tmpl w:val="974A8E9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bCs/>
        <w:i w:val="0"/>
        <w:iCs w:val="0"/>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5" w15:restartNumberingAfterBreak="0">
    <w:nsid w:val="1DDA6B63"/>
    <w:multiLevelType w:val="hybridMultilevel"/>
    <w:tmpl w:val="06AC5946"/>
    <w:lvl w:ilvl="0" w:tplc="505E7EAE">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2498CE">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7369A08">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542366">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E663178">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D36EEEE">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9646BF2">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A2BAC8">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24B656">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7B7985"/>
    <w:multiLevelType w:val="hybridMultilevel"/>
    <w:tmpl w:val="7122A7AA"/>
    <w:lvl w:ilvl="0" w:tplc="BE2AC450">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64CFB56">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6F202F6">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D065DA">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FD68CC4">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60220AC">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BE162C">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324B4A">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9E32B8">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8" w15:restartNumberingAfterBreak="0">
    <w:nsid w:val="26594BB6"/>
    <w:multiLevelType w:val="hybridMultilevel"/>
    <w:tmpl w:val="B2F2873C"/>
    <w:lvl w:ilvl="0" w:tplc="977844B0">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98C8C6C">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F83D56">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14E524">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C88A3C">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3A2CBB6">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850DD30">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0BE83D6">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D2219A">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294E4C"/>
    <w:multiLevelType w:val="hybridMultilevel"/>
    <w:tmpl w:val="F8B4925E"/>
    <w:lvl w:ilvl="0" w:tplc="A9DE4C8E">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92AEE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B6010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C8BDB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46B81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58777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FACB3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F6734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8E23D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C87631"/>
    <w:multiLevelType w:val="multilevel"/>
    <w:tmpl w:val="0E86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9B1CFB"/>
    <w:multiLevelType w:val="hybridMultilevel"/>
    <w:tmpl w:val="1E26E51C"/>
    <w:lvl w:ilvl="0" w:tplc="F7424B68">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720AC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F8272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EA9BE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B2E86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B041A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0AAFC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182E9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C4108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B635E4"/>
    <w:multiLevelType w:val="hybridMultilevel"/>
    <w:tmpl w:val="5D8891D4"/>
    <w:lvl w:ilvl="0" w:tplc="EA7C1CA8">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8342F38">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98C1E0">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0C8378">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75881CE">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828C20">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CE43380">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45278F6">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DE28D00">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B411D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B84D90"/>
    <w:multiLevelType w:val="hybridMultilevel"/>
    <w:tmpl w:val="A0543164"/>
    <w:lvl w:ilvl="0" w:tplc="3AD8C09C">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98401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E8AB3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8EF3F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BC4C4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D868F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92FD6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CEFB4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7E82A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CC543C"/>
    <w:multiLevelType w:val="hybridMultilevel"/>
    <w:tmpl w:val="E940EC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30" w15:restartNumberingAfterBreak="0">
    <w:nsid w:val="45602DC0"/>
    <w:multiLevelType w:val="hybridMultilevel"/>
    <w:tmpl w:val="99F4D256"/>
    <w:lvl w:ilvl="0" w:tplc="EC32D404">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EFC727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30C64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32F29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D2C3C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B818B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F63A4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B980B4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F076C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5C854BA"/>
    <w:multiLevelType w:val="hybridMultilevel"/>
    <w:tmpl w:val="311A2E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47BC3313"/>
    <w:multiLevelType w:val="hybridMultilevel"/>
    <w:tmpl w:val="56F6715C"/>
    <w:lvl w:ilvl="0" w:tplc="748465FE">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3E5C4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FA315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2E2D8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22C03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9C08C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CA2A5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685C1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06B4C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5B6D36"/>
    <w:multiLevelType w:val="hybridMultilevel"/>
    <w:tmpl w:val="0D5024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4" w15:restartNumberingAfterBreak="0">
    <w:nsid w:val="4E624A75"/>
    <w:multiLevelType w:val="hybridMultilevel"/>
    <w:tmpl w:val="5D0028D2"/>
    <w:lvl w:ilvl="0" w:tplc="4CC0B80E">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F8C8F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B464A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BBADF5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B1ECBA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BEFBC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68DE1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4C030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620F1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205AA6"/>
    <w:multiLevelType w:val="multilevel"/>
    <w:tmpl w:val="092066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792C25"/>
    <w:multiLevelType w:val="multilevel"/>
    <w:tmpl w:val="88A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9"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40" w15:restartNumberingAfterBreak="0">
    <w:nsid w:val="548F3026"/>
    <w:multiLevelType w:val="hybridMultilevel"/>
    <w:tmpl w:val="77D0F7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42" w15:restartNumberingAfterBreak="0">
    <w:nsid w:val="5C0F72D8"/>
    <w:multiLevelType w:val="multilevel"/>
    <w:tmpl w:val="F558C63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ascii="Book Antiqua" w:hAnsi="Book Antiqua"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numFmt w:val="none"/>
      <w:lvlText w:val=""/>
      <w:lvlJc w:val="left"/>
      <w:pPr>
        <w:tabs>
          <w:tab w:val="num" w:pos="360"/>
        </w:tabs>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E00C7A"/>
    <w:multiLevelType w:val="hybridMultilevel"/>
    <w:tmpl w:val="C1FC7FAE"/>
    <w:lvl w:ilvl="0" w:tplc="D4846A98">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BCF11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68900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E0C85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F0FC5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349BE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0868E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F6E67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082F6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11318"/>
    <w:multiLevelType w:val="hybridMultilevel"/>
    <w:tmpl w:val="69C8AD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6CB53D84"/>
    <w:multiLevelType w:val="hybridMultilevel"/>
    <w:tmpl w:val="737E3B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6D77479C"/>
    <w:multiLevelType w:val="hybridMultilevel"/>
    <w:tmpl w:val="F6FE2196"/>
    <w:lvl w:ilvl="0" w:tplc="01F0A262">
      <w:start w:val="1"/>
      <w:numFmt w:val="bullet"/>
      <w:lvlText w:val="✓"/>
      <w:lvlJc w:val="left"/>
      <w:pPr>
        <w:ind w:left="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B6110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96632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EE026B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C127B2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C4B81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289E5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1EB43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ED4793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9755A1"/>
    <w:multiLevelType w:val="hybridMultilevel"/>
    <w:tmpl w:val="E7CAB2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0"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55D514F"/>
    <w:multiLevelType w:val="multilevel"/>
    <w:tmpl w:val="140A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92D06C6"/>
    <w:multiLevelType w:val="hybridMultilevel"/>
    <w:tmpl w:val="022CD51C"/>
    <w:lvl w:ilvl="0" w:tplc="1792B650">
      <w:start w:val="1"/>
      <w:numFmt w:val="lowerLetter"/>
      <w:lvlText w:val="%1)"/>
      <w:lvlJc w:val="left"/>
      <w:pPr>
        <w:ind w:left="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9F603C4">
      <w:start w:val="1"/>
      <w:numFmt w:val="lowerLetter"/>
      <w:lvlText w:val="%2"/>
      <w:lvlJc w:val="left"/>
      <w:pPr>
        <w:ind w:left="11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12F0CE">
      <w:start w:val="1"/>
      <w:numFmt w:val="lowerRoman"/>
      <w:lvlText w:val="%3"/>
      <w:lvlJc w:val="left"/>
      <w:pPr>
        <w:ind w:left="19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7AC982A">
      <w:start w:val="1"/>
      <w:numFmt w:val="decimal"/>
      <w:lvlText w:val="%4"/>
      <w:lvlJc w:val="left"/>
      <w:pPr>
        <w:ind w:left="26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AE3F28">
      <w:start w:val="1"/>
      <w:numFmt w:val="lowerLetter"/>
      <w:lvlText w:val="%5"/>
      <w:lvlJc w:val="left"/>
      <w:pPr>
        <w:ind w:left="3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52A922">
      <w:start w:val="1"/>
      <w:numFmt w:val="lowerRoman"/>
      <w:lvlText w:val="%6"/>
      <w:lvlJc w:val="left"/>
      <w:pPr>
        <w:ind w:left="4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A7C4B9E">
      <w:start w:val="1"/>
      <w:numFmt w:val="decimal"/>
      <w:lvlText w:val="%7"/>
      <w:lvlJc w:val="left"/>
      <w:pPr>
        <w:ind w:left="4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10EE4B8">
      <w:start w:val="1"/>
      <w:numFmt w:val="lowerLetter"/>
      <w:lvlText w:val="%8"/>
      <w:lvlJc w:val="left"/>
      <w:pPr>
        <w:ind w:left="5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448344">
      <w:start w:val="1"/>
      <w:numFmt w:val="lowerRoman"/>
      <w:lvlText w:val="%9"/>
      <w:lvlJc w:val="left"/>
      <w:pPr>
        <w:ind w:left="6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28"/>
  </w:num>
  <w:num w:numId="3">
    <w:abstractNumId w:val="8"/>
  </w:num>
  <w:num w:numId="4">
    <w:abstractNumId w:val="44"/>
  </w:num>
  <w:num w:numId="5">
    <w:abstractNumId w:val="1"/>
  </w:num>
  <w:num w:numId="6">
    <w:abstractNumId w:val="29"/>
  </w:num>
  <w:num w:numId="7">
    <w:abstractNumId w:val="0"/>
  </w:num>
  <w:num w:numId="8">
    <w:abstractNumId w:val="27"/>
  </w:num>
  <w:num w:numId="9">
    <w:abstractNumId w:val="49"/>
  </w:num>
  <w:num w:numId="10">
    <w:abstractNumId w:val="11"/>
  </w:num>
  <w:num w:numId="11">
    <w:abstractNumId w:val="31"/>
  </w:num>
  <w:num w:numId="12">
    <w:abstractNumId w:val="6"/>
  </w:num>
  <w:num w:numId="13">
    <w:abstractNumId w:val="21"/>
  </w:num>
  <w:num w:numId="14">
    <w:abstractNumId w:val="37"/>
  </w:num>
  <w:num w:numId="15">
    <w:abstractNumId w:val="40"/>
  </w:num>
  <w:num w:numId="16">
    <w:abstractNumId w:val="45"/>
  </w:num>
  <w:num w:numId="17">
    <w:abstractNumId w:val="12"/>
  </w:num>
  <w:num w:numId="18">
    <w:abstractNumId w:val="26"/>
  </w:num>
  <w:num w:numId="19">
    <w:abstractNumId w:val="42"/>
  </w:num>
  <w:num w:numId="20">
    <w:abstractNumId w:val="36"/>
  </w:num>
  <w:num w:numId="21">
    <w:abstractNumId w:val="24"/>
  </w:num>
  <w:num w:numId="22">
    <w:abstractNumId w:val="51"/>
  </w:num>
  <w:num w:numId="23">
    <w:abstractNumId w:val="33"/>
  </w:num>
  <w:num w:numId="24">
    <w:abstractNumId w:val="18"/>
  </w:num>
  <w:num w:numId="25">
    <w:abstractNumId w:val="22"/>
  </w:num>
  <w:num w:numId="26">
    <w:abstractNumId w:val="15"/>
  </w:num>
  <w:num w:numId="27">
    <w:abstractNumId w:val="30"/>
  </w:num>
  <w:num w:numId="28">
    <w:abstractNumId w:val="52"/>
  </w:num>
  <w:num w:numId="29">
    <w:abstractNumId w:val="16"/>
  </w:num>
  <w:num w:numId="30">
    <w:abstractNumId w:val="7"/>
  </w:num>
  <w:num w:numId="31">
    <w:abstractNumId w:val="47"/>
  </w:num>
  <w:num w:numId="32">
    <w:abstractNumId w:val="23"/>
  </w:num>
  <w:num w:numId="33">
    <w:abstractNumId w:val="43"/>
  </w:num>
  <w:num w:numId="34">
    <w:abstractNumId w:val="25"/>
  </w:num>
  <w:num w:numId="35">
    <w:abstractNumId w:val="13"/>
  </w:num>
  <w:num w:numId="36">
    <w:abstractNumId w:val="20"/>
  </w:num>
  <w:num w:numId="37">
    <w:abstractNumId w:val="32"/>
  </w:num>
  <w:num w:numId="38">
    <w:abstractNumId w:val="34"/>
  </w:num>
  <w:num w:numId="39">
    <w:abstractNumId w:val="10"/>
  </w:num>
  <w:num w:numId="40">
    <w:abstractNumId w:val="9"/>
  </w:num>
  <w:num w:numId="41">
    <w:abstractNumId w:val="14"/>
  </w:num>
  <w:num w:numId="42">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359FE"/>
    <w:rsid w:val="000414BA"/>
    <w:rsid w:val="00041C7B"/>
    <w:rsid w:val="00041CB5"/>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2CAE"/>
    <w:rsid w:val="00063144"/>
    <w:rsid w:val="00065108"/>
    <w:rsid w:val="00065742"/>
    <w:rsid w:val="00066A0E"/>
    <w:rsid w:val="00070A7A"/>
    <w:rsid w:val="000741D7"/>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A16C0"/>
    <w:rsid w:val="000A1B5C"/>
    <w:rsid w:val="000A330B"/>
    <w:rsid w:val="000A6438"/>
    <w:rsid w:val="000A6845"/>
    <w:rsid w:val="000A7900"/>
    <w:rsid w:val="000B20DB"/>
    <w:rsid w:val="000B2C0A"/>
    <w:rsid w:val="000B32F9"/>
    <w:rsid w:val="000B439D"/>
    <w:rsid w:val="000B63DE"/>
    <w:rsid w:val="000B674F"/>
    <w:rsid w:val="000C1A12"/>
    <w:rsid w:val="000C1AF3"/>
    <w:rsid w:val="000C3FA1"/>
    <w:rsid w:val="000C41FA"/>
    <w:rsid w:val="000C6E78"/>
    <w:rsid w:val="000D1963"/>
    <w:rsid w:val="000D212B"/>
    <w:rsid w:val="000D21EF"/>
    <w:rsid w:val="000D3427"/>
    <w:rsid w:val="000D41D7"/>
    <w:rsid w:val="000D5744"/>
    <w:rsid w:val="000D6FFD"/>
    <w:rsid w:val="000E0AC6"/>
    <w:rsid w:val="000E21F0"/>
    <w:rsid w:val="000E296A"/>
    <w:rsid w:val="000E3307"/>
    <w:rsid w:val="000E3584"/>
    <w:rsid w:val="000E4B24"/>
    <w:rsid w:val="000E525D"/>
    <w:rsid w:val="000E5915"/>
    <w:rsid w:val="000E71C5"/>
    <w:rsid w:val="000E7298"/>
    <w:rsid w:val="000F3332"/>
    <w:rsid w:val="000F533D"/>
    <w:rsid w:val="000F5F15"/>
    <w:rsid w:val="000F64A2"/>
    <w:rsid w:val="0010072B"/>
    <w:rsid w:val="001009D6"/>
    <w:rsid w:val="001019B6"/>
    <w:rsid w:val="00102490"/>
    <w:rsid w:val="00102735"/>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EF8"/>
    <w:rsid w:val="00143A3F"/>
    <w:rsid w:val="001506AD"/>
    <w:rsid w:val="0015357E"/>
    <w:rsid w:val="001540CA"/>
    <w:rsid w:val="001542B1"/>
    <w:rsid w:val="00154BA2"/>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6ADE"/>
    <w:rsid w:val="0019168D"/>
    <w:rsid w:val="0019247F"/>
    <w:rsid w:val="001970B3"/>
    <w:rsid w:val="001A174B"/>
    <w:rsid w:val="001A43FE"/>
    <w:rsid w:val="001A63E0"/>
    <w:rsid w:val="001A6DCB"/>
    <w:rsid w:val="001B577D"/>
    <w:rsid w:val="001B7697"/>
    <w:rsid w:val="001C0C6E"/>
    <w:rsid w:val="001C25C1"/>
    <w:rsid w:val="001C2813"/>
    <w:rsid w:val="001C2F5B"/>
    <w:rsid w:val="001C3300"/>
    <w:rsid w:val="001C348B"/>
    <w:rsid w:val="001C3D6F"/>
    <w:rsid w:val="001C4978"/>
    <w:rsid w:val="001E4C4F"/>
    <w:rsid w:val="001E4D6B"/>
    <w:rsid w:val="001E4E04"/>
    <w:rsid w:val="001E5171"/>
    <w:rsid w:val="001E53B9"/>
    <w:rsid w:val="001E5E1A"/>
    <w:rsid w:val="001E68CC"/>
    <w:rsid w:val="001F224B"/>
    <w:rsid w:val="001F66BE"/>
    <w:rsid w:val="002000CE"/>
    <w:rsid w:val="00203836"/>
    <w:rsid w:val="002059C1"/>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D74"/>
    <w:rsid w:val="0025018C"/>
    <w:rsid w:val="00254A9E"/>
    <w:rsid w:val="00255680"/>
    <w:rsid w:val="00255C02"/>
    <w:rsid w:val="002571E8"/>
    <w:rsid w:val="00261397"/>
    <w:rsid w:val="002630F8"/>
    <w:rsid w:val="002640A5"/>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3825"/>
    <w:rsid w:val="002B4078"/>
    <w:rsid w:val="002B4FAC"/>
    <w:rsid w:val="002B5738"/>
    <w:rsid w:val="002B6569"/>
    <w:rsid w:val="002C2AB8"/>
    <w:rsid w:val="002D02B8"/>
    <w:rsid w:val="002D04D5"/>
    <w:rsid w:val="002D3D71"/>
    <w:rsid w:val="002D592B"/>
    <w:rsid w:val="002D7BED"/>
    <w:rsid w:val="002E0EC3"/>
    <w:rsid w:val="002E5433"/>
    <w:rsid w:val="002E6C1A"/>
    <w:rsid w:val="002E7CB8"/>
    <w:rsid w:val="002F0FC1"/>
    <w:rsid w:val="002F43D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CE2"/>
    <w:rsid w:val="00330900"/>
    <w:rsid w:val="003318B5"/>
    <w:rsid w:val="00331C62"/>
    <w:rsid w:val="00335E22"/>
    <w:rsid w:val="00341137"/>
    <w:rsid w:val="00342756"/>
    <w:rsid w:val="003438E5"/>
    <w:rsid w:val="0034587C"/>
    <w:rsid w:val="00347438"/>
    <w:rsid w:val="00347A60"/>
    <w:rsid w:val="003547C3"/>
    <w:rsid w:val="00354E19"/>
    <w:rsid w:val="00357197"/>
    <w:rsid w:val="00364E01"/>
    <w:rsid w:val="00366149"/>
    <w:rsid w:val="003676E0"/>
    <w:rsid w:val="00370CF7"/>
    <w:rsid w:val="003715EF"/>
    <w:rsid w:val="003717D6"/>
    <w:rsid w:val="00372773"/>
    <w:rsid w:val="003809AA"/>
    <w:rsid w:val="003811C0"/>
    <w:rsid w:val="00381A26"/>
    <w:rsid w:val="00383FB1"/>
    <w:rsid w:val="00384DB7"/>
    <w:rsid w:val="00384E86"/>
    <w:rsid w:val="00384F7D"/>
    <w:rsid w:val="00385C26"/>
    <w:rsid w:val="003876FA"/>
    <w:rsid w:val="003909F9"/>
    <w:rsid w:val="003945E5"/>
    <w:rsid w:val="0039529E"/>
    <w:rsid w:val="00397368"/>
    <w:rsid w:val="003A2112"/>
    <w:rsid w:val="003A2752"/>
    <w:rsid w:val="003A305D"/>
    <w:rsid w:val="003A6762"/>
    <w:rsid w:val="003B023D"/>
    <w:rsid w:val="003B0A5B"/>
    <w:rsid w:val="003B1773"/>
    <w:rsid w:val="003B24FE"/>
    <w:rsid w:val="003B2689"/>
    <w:rsid w:val="003B2983"/>
    <w:rsid w:val="003B7827"/>
    <w:rsid w:val="003C1B14"/>
    <w:rsid w:val="003C1D06"/>
    <w:rsid w:val="003C1F66"/>
    <w:rsid w:val="003C2151"/>
    <w:rsid w:val="003C6FE1"/>
    <w:rsid w:val="003D4A18"/>
    <w:rsid w:val="003D4C7A"/>
    <w:rsid w:val="003D5B44"/>
    <w:rsid w:val="003D6337"/>
    <w:rsid w:val="003E2507"/>
    <w:rsid w:val="003E2D68"/>
    <w:rsid w:val="003E3EED"/>
    <w:rsid w:val="003E5F4D"/>
    <w:rsid w:val="003E6E93"/>
    <w:rsid w:val="003F12A9"/>
    <w:rsid w:val="003F12D3"/>
    <w:rsid w:val="003F1F3D"/>
    <w:rsid w:val="003F4783"/>
    <w:rsid w:val="003F7EDE"/>
    <w:rsid w:val="00404533"/>
    <w:rsid w:val="004065DF"/>
    <w:rsid w:val="00412BB4"/>
    <w:rsid w:val="00413808"/>
    <w:rsid w:val="00413877"/>
    <w:rsid w:val="00413D20"/>
    <w:rsid w:val="004158AD"/>
    <w:rsid w:val="0041639D"/>
    <w:rsid w:val="00420020"/>
    <w:rsid w:val="00420CF7"/>
    <w:rsid w:val="0042598D"/>
    <w:rsid w:val="004260F1"/>
    <w:rsid w:val="004329E2"/>
    <w:rsid w:val="004342DB"/>
    <w:rsid w:val="004346F6"/>
    <w:rsid w:val="004367BD"/>
    <w:rsid w:val="0044336E"/>
    <w:rsid w:val="004455D3"/>
    <w:rsid w:val="00446FE5"/>
    <w:rsid w:val="00447B5E"/>
    <w:rsid w:val="00452B12"/>
    <w:rsid w:val="004537C7"/>
    <w:rsid w:val="0045506E"/>
    <w:rsid w:val="004554B8"/>
    <w:rsid w:val="00455672"/>
    <w:rsid w:val="00456410"/>
    <w:rsid w:val="00463333"/>
    <w:rsid w:val="00463881"/>
    <w:rsid w:val="004661EE"/>
    <w:rsid w:val="00470B0D"/>
    <w:rsid w:val="00470D47"/>
    <w:rsid w:val="0047332E"/>
    <w:rsid w:val="00474806"/>
    <w:rsid w:val="004752F4"/>
    <w:rsid w:val="004776AF"/>
    <w:rsid w:val="00477DCD"/>
    <w:rsid w:val="004826D1"/>
    <w:rsid w:val="00483465"/>
    <w:rsid w:val="0048635C"/>
    <w:rsid w:val="0048715B"/>
    <w:rsid w:val="00487C30"/>
    <w:rsid w:val="00491E3A"/>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C77DA"/>
    <w:rsid w:val="004D2236"/>
    <w:rsid w:val="004D2E19"/>
    <w:rsid w:val="004D3A51"/>
    <w:rsid w:val="004D5A9B"/>
    <w:rsid w:val="004D6743"/>
    <w:rsid w:val="004E0F9F"/>
    <w:rsid w:val="004E1825"/>
    <w:rsid w:val="004E7220"/>
    <w:rsid w:val="004F4063"/>
    <w:rsid w:val="004F5297"/>
    <w:rsid w:val="004F5989"/>
    <w:rsid w:val="005008D6"/>
    <w:rsid w:val="00500FE2"/>
    <w:rsid w:val="0050238D"/>
    <w:rsid w:val="00505576"/>
    <w:rsid w:val="00506924"/>
    <w:rsid w:val="005164B8"/>
    <w:rsid w:val="0052204B"/>
    <w:rsid w:val="00526690"/>
    <w:rsid w:val="00530649"/>
    <w:rsid w:val="00530912"/>
    <w:rsid w:val="00531F4D"/>
    <w:rsid w:val="00532569"/>
    <w:rsid w:val="00543EFD"/>
    <w:rsid w:val="00546120"/>
    <w:rsid w:val="005475CC"/>
    <w:rsid w:val="005534FD"/>
    <w:rsid w:val="00554CBD"/>
    <w:rsid w:val="0055533A"/>
    <w:rsid w:val="00555B9F"/>
    <w:rsid w:val="0055789A"/>
    <w:rsid w:val="00561024"/>
    <w:rsid w:val="00561A56"/>
    <w:rsid w:val="005647D9"/>
    <w:rsid w:val="00564ABE"/>
    <w:rsid w:val="00564E8F"/>
    <w:rsid w:val="00565A22"/>
    <w:rsid w:val="0057194E"/>
    <w:rsid w:val="005750BD"/>
    <w:rsid w:val="0057579F"/>
    <w:rsid w:val="00575DC8"/>
    <w:rsid w:val="005826E2"/>
    <w:rsid w:val="00582DEA"/>
    <w:rsid w:val="005850CB"/>
    <w:rsid w:val="005854FE"/>
    <w:rsid w:val="005858DF"/>
    <w:rsid w:val="0059249B"/>
    <w:rsid w:val="005969C6"/>
    <w:rsid w:val="00597480"/>
    <w:rsid w:val="005A0EFF"/>
    <w:rsid w:val="005A6141"/>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6537"/>
    <w:rsid w:val="00646BF4"/>
    <w:rsid w:val="00652BC7"/>
    <w:rsid w:val="00653E57"/>
    <w:rsid w:val="00655E99"/>
    <w:rsid w:val="0065644F"/>
    <w:rsid w:val="006578E0"/>
    <w:rsid w:val="00662200"/>
    <w:rsid w:val="0066356A"/>
    <w:rsid w:val="0066595E"/>
    <w:rsid w:val="00667F65"/>
    <w:rsid w:val="00675D90"/>
    <w:rsid w:val="006774BA"/>
    <w:rsid w:val="00677782"/>
    <w:rsid w:val="00680056"/>
    <w:rsid w:val="00680D5A"/>
    <w:rsid w:val="00684F1D"/>
    <w:rsid w:val="006868D6"/>
    <w:rsid w:val="00692485"/>
    <w:rsid w:val="006938BD"/>
    <w:rsid w:val="00694993"/>
    <w:rsid w:val="00694CD1"/>
    <w:rsid w:val="0069543D"/>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C5D1C"/>
    <w:rsid w:val="006D034B"/>
    <w:rsid w:val="006D0C96"/>
    <w:rsid w:val="006D2394"/>
    <w:rsid w:val="006D591E"/>
    <w:rsid w:val="006D59A2"/>
    <w:rsid w:val="006D7B38"/>
    <w:rsid w:val="006E3055"/>
    <w:rsid w:val="006E3A23"/>
    <w:rsid w:val="006E3AC8"/>
    <w:rsid w:val="006F1102"/>
    <w:rsid w:val="006F170D"/>
    <w:rsid w:val="006F1C5C"/>
    <w:rsid w:val="006F5931"/>
    <w:rsid w:val="006F5DA1"/>
    <w:rsid w:val="006F642E"/>
    <w:rsid w:val="006F65D3"/>
    <w:rsid w:val="00700A14"/>
    <w:rsid w:val="00700DF8"/>
    <w:rsid w:val="007127E5"/>
    <w:rsid w:val="00716C8F"/>
    <w:rsid w:val="00723545"/>
    <w:rsid w:val="00725E31"/>
    <w:rsid w:val="0072695A"/>
    <w:rsid w:val="00732F11"/>
    <w:rsid w:val="007331DC"/>
    <w:rsid w:val="00735606"/>
    <w:rsid w:val="00735891"/>
    <w:rsid w:val="007410C4"/>
    <w:rsid w:val="00741726"/>
    <w:rsid w:val="00742A73"/>
    <w:rsid w:val="00746B73"/>
    <w:rsid w:val="00746FCB"/>
    <w:rsid w:val="00751CA6"/>
    <w:rsid w:val="00752E6E"/>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B81"/>
    <w:rsid w:val="00792BA3"/>
    <w:rsid w:val="00792DA2"/>
    <w:rsid w:val="00792E37"/>
    <w:rsid w:val="007A19CA"/>
    <w:rsid w:val="007A228E"/>
    <w:rsid w:val="007A66A4"/>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43AB"/>
    <w:rsid w:val="00816AE2"/>
    <w:rsid w:val="008172AE"/>
    <w:rsid w:val="00820C9B"/>
    <w:rsid w:val="008246F8"/>
    <w:rsid w:val="00824D7A"/>
    <w:rsid w:val="00826B64"/>
    <w:rsid w:val="008331D5"/>
    <w:rsid w:val="008341B8"/>
    <w:rsid w:val="00840A6F"/>
    <w:rsid w:val="00840BF5"/>
    <w:rsid w:val="008453B2"/>
    <w:rsid w:val="00847617"/>
    <w:rsid w:val="00850C88"/>
    <w:rsid w:val="00854F22"/>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E8C"/>
    <w:rsid w:val="00895F92"/>
    <w:rsid w:val="008A1FF1"/>
    <w:rsid w:val="008A2B82"/>
    <w:rsid w:val="008A323E"/>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446B"/>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EA3"/>
    <w:rsid w:val="008E3561"/>
    <w:rsid w:val="008E54B8"/>
    <w:rsid w:val="008E5561"/>
    <w:rsid w:val="008E6B09"/>
    <w:rsid w:val="008E763A"/>
    <w:rsid w:val="008F1384"/>
    <w:rsid w:val="008F24EB"/>
    <w:rsid w:val="008F2E44"/>
    <w:rsid w:val="008F3A9B"/>
    <w:rsid w:val="008F7BD8"/>
    <w:rsid w:val="00901F61"/>
    <w:rsid w:val="009033DA"/>
    <w:rsid w:val="0091084F"/>
    <w:rsid w:val="00910D0C"/>
    <w:rsid w:val="00911C10"/>
    <w:rsid w:val="00912119"/>
    <w:rsid w:val="00916994"/>
    <w:rsid w:val="00920158"/>
    <w:rsid w:val="00926F2E"/>
    <w:rsid w:val="0093170F"/>
    <w:rsid w:val="009322A3"/>
    <w:rsid w:val="00932AAE"/>
    <w:rsid w:val="00933DDB"/>
    <w:rsid w:val="00933FB3"/>
    <w:rsid w:val="0093452A"/>
    <w:rsid w:val="00934AB7"/>
    <w:rsid w:val="009413F0"/>
    <w:rsid w:val="009414E9"/>
    <w:rsid w:val="00941953"/>
    <w:rsid w:val="00942063"/>
    <w:rsid w:val="00942821"/>
    <w:rsid w:val="009447E0"/>
    <w:rsid w:val="00944E19"/>
    <w:rsid w:val="00944EFF"/>
    <w:rsid w:val="0094758F"/>
    <w:rsid w:val="00950671"/>
    <w:rsid w:val="00951B93"/>
    <w:rsid w:val="00953964"/>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550B"/>
    <w:rsid w:val="009A56DD"/>
    <w:rsid w:val="009A729B"/>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16DC"/>
    <w:rsid w:val="009D1921"/>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BEE"/>
    <w:rsid w:val="00A22C29"/>
    <w:rsid w:val="00A31821"/>
    <w:rsid w:val="00A415BA"/>
    <w:rsid w:val="00A43A40"/>
    <w:rsid w:val="00A44A11"/>
    <w:rsid w:val="00A44A32"/>
    <w:rsid w:val="00A45B9F"/>
    <w:rsid w:val="00A4668C"/>
    <w:rsid w:val="00A46E36"/>
    <w:rsid w:val="00A474D6"/>
    <w:rsid w:val="00A512C8"/>
    <w:rsid w:val="00A54113"/>
    <w:rsid w:val="00A54638"/>
    <w:rsid w:val="00A54F7D"/>
    <w:rsid w:val="00A5705E"/>
    <w:rsid w:val="00A60354"/>
    <w:rsid w:val="00A61076"/>
    <w:rsid w:val="00A629BB"/>
    <w:rsid w:val="00A64692"/>
    <w:rsid w:val="00A64A1F"/>
    <w:rsid w:val="00A656A0"/>
    <w:rsid w:val="00A66A2F"/>
    <w:rsid w:val="00A67428"/>
    <w:rsid w:val="00A6753F"/>
    <w:rsid w:val="00A70E73"/>
    <w:rsid w:val="00A71608"/>
    <w:rsid w:val="00A71EB3"/>
    <w:rsid w:val="00A74E52"/>
    <w:rsid w:val="00A75478"/>
    <w:rsid w:val="00A812E2"/>
    <w:rsid w:val="00A815D2"/>
    <w:rsid w:val="00A81A13"/>
    <w:rsid w:val="00A852CB"/>
    <w:rsid w:val="00A85501"/>
    <w:rsid w:val="00A91F21"/>
    <w:rsid w:val="00A94CF4"/>
    <w:rsid w:val="00A95FA0"/>
    <w:rsid w:val="00A963D1"/>
    <w:rsid w:val="00A9668F"/>
    <w:rsid w:val="00A979FF"/>
    <w:rsid w:val="00AA1E86"/>
    <w:rsid w:val="00AA3202"/>
    <w:rsid w:val="00AA5BE0"/>
    <w:rsid w:val="00AB144B"/>
    <w:rsid w:val="00AB2E62"/>
    <w:rsid w:val="00AB66F7"/>
    <w:rsid w:val="00AB73C6"/>
    <w:rsid w:val="00AC2BF6"/>
    <w:rsid w:val="00AC60EB"/>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34DF"/>
    <w:rsid w:val="00AF4146"/>
    <w:rsid w:val="00AF444C"/>
    <w:rsid w:val="00AF61B2"/>
    <w:rsid w:val="00AF6858"/>
    <w:rsid w:val="00AF7410"/>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4943"/>
    <w:rsid w:val="00B4521D"/>
    <w:rsid w:val="00B45FBD"/>
    <w:rsid w:val="00B46B14"/>
    <w:rsid w:val="00B550DC"/>
    <w:rsid w:val="00B5523E"/>
    <w:rsid w:val="00B56F14"/>
    <w:rsid w:val="00B57FA1"/>
    <w:rsid w:val="00B600D5"/>
    <w:rsid w:val="00B60D55"/>
    <w:rsid w:val="00B64E35"/>
    <w:rsid w:val="00B66120"/>
    <w:rsid w:val="00B70A30"/>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0297"/>
    <w:rsid w:val="00BC16E1"/>
    <w:rsid w:val="00BC1CB2"/>
    <w:rsid w:val="00BC2424"/>
    <w:rsid w:val="00BC27DF"/>
    <w:rsid w:val="00BD2F49"/>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68C"/>
    <w:rsid w:val="00C10D31"/>
    <w:rsid w:val="00C11293"/>
    <w:rsid w:val="00C1300A"/>
    <w:rsid w:val="00C148EA"/>
    <w:rsid w:val="00C155EB"/>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66D"/>
    <w:rsid w:val="00C4187C"/>
    <w:rsid w:val="00C44059"/>
    <w:rsid w:val="00C44302"/>
    <w:rsid w:val="00C44FDA"/>
    <w:rsid w:val="00C46B2C"/>
    <w:rsid w:val="00C4778A"/>
    <w:rsid w:val="00C501FF"/>
    <w:rsid w:val="00C52AEC"/>
    <w:rsid w:val="00C55463"/>
    <w:rsid w:val="00C55E7A"/>
    <w:rsid w:val="00C56D78"/>
    <w:rsid w:val="00C60376"/>
    <w:rsid w:val="00C61054"/>
    <w:rsid w:val="00C61122"/>
    <w:rsid w:val="00C63B34"/>
    <w:rsid w:val="00C63F7F"/>
    <w:rsid w:val="00C655B4"/>
    <w:rsid w:val="00C6702C"/>
    <w:rsid w:val="00C67D90"/>
    <w:rsid w:val="00C71B36"/>
    <w:rsid w:val="00C71E7A"/>
    <w:rsid w:val="00C74428"/>
    <w:rsid w:val="00C748ED"/>
    <w:rsid w:val="00C7642F"/>
    <w:rsid w:val="00C8068F"/>
    <w:rsid w:val="00C81BD6"/>
    <w:rsid w:val="00C82676"/>
    <w:rsid w:val="00C82B77"/>
    <w:rsid w:val="00C83D93"/>
    <w:rsid w:val="00C85883"/>
    <w:rsid w:val="00C8738D"/>
    <w:rsid w:val="00C96A3D"/>
    <w:rsid w:val="00CA00C9"/>
    <w:rsid w:val="00CA1F88"/>
    <w:rsid w:val="00CA72D8"/>
    <w:rsid w:val="00CB2160"/>
    <w:rsid w:val="00CB255E"/>
    <w:rsid w:val="00CB4A9A"/>
    <w:rsid w:val="00CB6AEB"/>
    <w:rsid w:val="00CC4555"/>
    <w:rsid w:val="00CC49D9"/>
    <w:rsid w:val="00CC61E3"/>
    <w:rsid w:val="00CD128B"/>
    <w:rsid w:val="00CD1D73"/>
    <w:rsid w:val="00CD7E69"/>
    <w:rsid w:val="00CE2FB4"/>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A95"/>
    <w:rsid w:val="00D735C7"/>
    <w:rsid w:val="00D73744"/>
    <w:rsid w:val="00D7602C"/>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D22C6"/>
    <w:rsid w:val="00DD5C37"/>
    <w:rsid w:val="00DD66AC"/>
    <w:rsid w:val="00DD6EF9"/>
    <w:rsid w:val="00DD7367"/>
    <w:rsid w:val="00DE0F6A"/>
    <w:rsid w:val="00DE4056"/>
    <w:rsid w:val="00DE4505"/>
    <w:rsid w:val="00DE4FA9"/>
    <w:rsid w:val="00DE726B"/>
    <w:rsid w:val="00DE74F4"/>
    <w:rsid w:val="00DF15E5"/>
    <w:rsid w:val="00DF1D18"/>
    <w:rsid w:val="00DF53A2"/>
    <w:rsid w:val="00DF6061"/>
    <w:rsid w:val="00DF6D74"/>
    <w:rsid w:val="00E003ED"/>
    <w:rsid w:val="00E02368"/>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D81"/>
    <w:rsid w:val="00E57405"/>
    <w:rsid w:val="00E60A06"/>
    <w:rsid w:val="00E6149C"/>
    <w:rsid w:val="00E6394B"/>
    <w:rsid w:val="00E64066"/>
    <w:rsid w:val="00E71977"/>
    <w:rsid w:val="00E7263D"/>
    <w:rsid w:val="00E748D0"/>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A6FC4"/>
    <w:rsid w:val="00EB04B0"/>
    <w:rsid w:val="00EB185A"/>
    <w:rsid w:val="00EB792F"/>
    <w:rsid w:val="00EC00E0"/>
    <w:rsid w:val="00EC10D9"/>
    <w:rsid w:val="00EC1B30"/>
    <w:rsid w:val="00EC342E"/>
    <w:rsid w:val="00EC373C"/>
    <w:rsid w:val="00EC4327"/>
    <w:rsid w:val="00EC6786"/>
    <w:rsid w:val="00ED0050"/>
    <w:rsid w:val="00ED0C24"/>
    <w:rsid w:val="00ED111C"/>
    <w:rsid w:val="00ED1476"/>
    <w:rsid w:val="00ED16C0"/>
    <w:rsid w:val="00EE1805"/>
    <w:rsid w:val="00EE2AC6"/>
    <w:rsid w:val="00EE3F0B"/>
    <w:rsid w:val="00EE610B"/>
    <w:rsid w:val="00EF1502"/>
    <w:rsid w:val="00EF156F"/>
    <w:rsid w:val="00EF20EE"/>
    <w:rsid w:val="00EF48D2"/>
    <w:rsid w:val="00EF52CC"/>
    <w:rsid w:val="00EF6FF8"/>
    <w:rsid w:val="00EF7506"/>
    <w:rsid w:val="00F02703"/>
    <w:rsid w:val="00F075B3"/>
    <w:rsid w:val="00F11251"/>
    <w:rsid w:val="00F11866"/>
    <w:rsid w:val="00F131F4"/>
    <w:rsid w:val="00F14DFD"/>
    <w:rsid w:val="00F16C95"/>
    <w:rsid w:val="00F17497"/>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70FDC"/>
    <w:rsid w:val="00F718AA"/>
    <w:rsid w:val="00F721FF"/>
    <w:rsid w:val="00F7603A"/>
    <w:rsid w:val="00F8043F"/>
    <w:rsid w:val="00F833FF"/>
    <w:rsid w:val="00F85644"/>
    <w:rsid w:val="00F86F59"/>
    <w:rsid w:val="00F90023"/>
    <w:rsid w:val="00F91BFB"/>
    <w:rsid w:val="00F91D55"/>
    <w:rsid w:val="00F92764"/>
    <w:rsid w:val="00F92909"/>
    <w:rsid w:val="00F94424"/>
    <w:rsid w:val="00F95C56"/>
    <w:rsid w:val="00F96207"/>
    <w:rsid w:val="00FA2A7F"/>
    <w:rsid w:val="00FA3CD5"/>
    <w:rsid w:val="00FA5667"/>
    <w:rsid w:val="00FA69D6"/>
    <w:rsid w:val="00FA7048"/>
    <w:rsid w:val="00FA77B0"/>
    <w:rsid w:val="00FB056B"/>
    <w:rsid w:val="00FB6C7E"/>
    <w:rsid w:val="00FB7640"/>
    <w:rsid w:val="00FB7B43"/>
    <w:rsid w:val="00FC1FFB"/>
    <w:rsid w:val="00FC64A9"/>
    <w:rsid w:val="00FD3058"/>
    <w:rsid w:val="00FD32B4"/>
    <w:rsid w:val="00FD6C8D"/>
    <w:rsid w:val="00FD6EC7"/>
    <w:rsid w:val="00FE1908"/>
    <w:rsid w:val="00FE24B0"/>
    <w:rsid w:val="00FF2C38"/>
    <w:rsid w:val="00FF397D"/>
    <w:rsid w:val="00FF4A54"/>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E75AA2"/>
  <w15:docId w15:val="{94F77FEB-BDE4-4554-B5CB-8E532FA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
    <w:link w:val="Ttulo2"/>
    <w:rsid w:val="00A70E73"/>
    <w:rPr>
      <w:rFonts w:ascii="Arial" w:hAnsi="Arial" w:cs="Arial"/>
      <w:b/>
      <w:bCs/>
      <w:i/>
      <w:iCs/>
      <w:sz w:val="28"/>
      <w:szCs w:val="28"/>
      <w:lang w:val="es-ES" w:eastAsia="ar-SA" w:bidi="ar-SA"/>
    </w:rPr>
  </w:style>
  <w:style w:type="character" w:customStyle="1" w:styleId="Ttulo3Car">
    <w:name w:val="Título 3 Car"/>
    <w:link w:val="Ttulo3"/>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E3584"/>
  </w:style>
  <w:style w:type="character" w:customStyle="1" w:styleId="WW-Absatz-Standardschriftart">
    <w:name w:val="WW-Absatz-Standardschriftart"/>
    <w:rsid w:val="000E3584"/>
  </w:style>
  <w:style w:type="character" w:customStyle="1" w:styleId="WW-Absatz-Standardschriftart1">
    <w:name w:val="WW-Absatz-Standardschriftart1"/>
    <w:rsid w:val="000E3584"/>
  </w:style>
  <w:style w:type="character" w:customStyle="1" w:styleId="WW-Absatz-Standardschriftart11">
    <w:name w:val="WW-Absatz-Standardschriftart11"/>
    <w:rsid w:val="000E3584"/>
  </w:style>
  <w:style w:type="character" w:customStyle="1" w:styleId="WW-Absatz-Standardschriftart111">
    <w:name w:val="WW-Absatz-Standardschriftart111"/>
    <w:rsid w:val="000E3584"/>
  </w:style>
  <w:style w:type="character" w:customStyle="1" w:styleId="WW-Absatz-Standardschriftart1111">
    <w:name w:val="WW-Absatz-Standardschriftart1111"/>
    <w:rsid w:val="000E3584"/>
  </w:style>
  <w:style w:type="character" w:customStyle="1" w:styleId="WW-Absatz-Standardschriftart11111">
    <w:name w:val="WW-Absatz-Standardschriftart11111"/>
    <w:rsid w:val="000E3584"/>
  </w:style>
  <w:style w:type="character" w:customStyle="1" w:styleId="WW-Absatz-Standardschriftart111111">
    <w:name w:val="WW-Absatz-Standardschriftart111111"/>
    <w:rsid w:val="000E3584"/>
  </w:style>
  <w:style w:type="character" w:customStyle="1" w:styleId="WW-Absatz-Standardschriftart1111111">
    <w:name w:val="WW-Absatz-Standardschriftart1111111"/>
    <w:rsid w:val="000E3584"/>
  </w:style>
  <w:style w:type="character" w:customStyle="1" w:styleId="WW-Absatz-Standardschriftart11111111">
    <w:name w:val="WW-Absatz-Standardschriftart11111111"/>
    <w:rsid w:val="000E3584"/>
  </w:style>
  <w:style w:type="character" w:customStyle="1" w:styleId="WW-Absatz-Standardschriftart111111111">
    <w:name w:val="WW-Absatz-Standardschriftart111111111"/>
    <w:rsid w:val="000E3584"/>
  </w:style>
  <w:style w:type="character" w:customStyle="1" w:styleId="WW-Absatz-Standardschriftart1111111111">
    <w:name w:val="WW-Absatz-Standardschriftart1111111111"/>
    <w:rsid w:val="000E3584"/>
  </w:style>
  <w:style w:type="character" w:customStyle="1" w:styleId="WW-Absatz-Standardschriftart11111111111">
    <w:name w:val="WW-Absatz-Standardschriftart11111111111"/>
    <w:rsid w:val="000E3584"/>
  </w:style>
  <w:style w:type="character" w:customStyle="1" w:styleId="WW-Absatz-Standardschriftart111111111111">
    <w:name w:val="WW-Absatz-Standardschriftart111111111111"/>
    <w:rsid w:val="000E3584"/>
  </w:style>
  <w:style w:type="character" w:customStyle="1" w:styleId="WW-Absatz-Standardschriftart1111111111111">
    <w:name w:val="WW-Absatz-Standardschriftart1111111111111"/>
    <w:rsid w:val="000E3584"/>
  </w:style>
  <w:style w:type="character" w:customStyle="1" w:styleId="WW-Absatz-Standardschriftart11111111111111">
    <w:name w:val="WW-Absatz-Standardschriftart11111111111111"/>
    <w:rsid w:val="000E3584"/>
  </w:style>
  <w:style w:type="character" w:customStyle="1" w:styleId="WW-Absatz-Standardschriftart111111111111111">
    <w:name w:val="WW-Absatz-Standardschriftart111111111111111"/>
    <w:rsid w:val="000E3584"/>
  </w:style>
  <w:style w:type="character" w:customStyle="1" w:styleId="WW-Absatz-Standardschriftart1111111111111111">
    <w:name w:val="WW-Absatz-Standardschriftart1111111111111111"/>
    <w:rsid w:val="000E3584"/>
  </w:style>
  <w:style w:type="character" w:customStyle="1" w:styleId="WW-Absatz-Standardschriftart11111111111111111">
    <w:name w:val="WW-Absatz-Standardschriftart11111111111111111"/>
    <w:rsid w:val="000E3584"/>
  </w:style>
  <w:style w:type="character" w:customStyle="1" w:styleId="WW-Absatz-Standardschriftart111111111111111111">
    <w:name w:val="WW-Absatz-Standardschriftart111111111111111111"/>
    <w:rsid w:val="000E3584"/>
  </w:style>
  <w:style w:type="character" w:customStyle="1" w:styleId="WW-Absatz-Standardschriftart1111111111111111111">
    <w:name w:val="WW-Absatz-Standardschriftart1111111111111111111"/>
    <w:rsid w:val="000E3584"/>
  </w:style>
  <w:style w:type="character" w:customStyle="1" w:styleId="WW-Absatz-Standardschriftart11111111111111111111">
    <w:name w:val="WW-Absatz-Standardschriftart11111111111111111111"/>
    <w:rsid w:val="000E3584"/>
  </w:style>
  <w:style w:type="character" w:customStyle="1" w:styleId="WW-Absatz-Standardschriftart111111111111111111111">
    <w:name w:val="WW-Absatz-Standardschriftart111111111111111111111"/>
    <w:rsid w:val="000E3584"/>
  </w:style>
  <w:style w:type="character" w:customStyle="1" w:styleId="WW-Absatz-Standardschriftart1111111111111111111111">
    <w:name w:val="WW-Absatz-Standardschriftart1111111111111111111111"/>
    <w:rsid w:val="000E3584"/>
  </w:style>
  <w:style w:type="character" w:customStyle="1" w:styleId="WW-Absatz-Standardschriftart11111111111111111111111">
    <w:name w:val="WW-Absatz-Standardschriftart11111111111111111111111"/>
    <w:rsid w:val="000E3584"/>
  </w:style>
  <w:style w:type="character" w:customStyle="1" w:styleId="WW-Absatz-Standardschriftart111111111111111111111111">
    <w:name w:val="WW-Absatz-Standardschriftart111111111111111111111111"/>
    <w:rsid w:val="000E3584"/>
  </w:style>
  <w:style w:type="character" w:customStyle="1" w:styleId="WW-Absatz-Standardschriftart1111111111111111111111111">
    <w:name w:val="WW-Absatz-Standardschriftart1111111111111111111111111"/>
    <w:rsid w:val="000E3584"/>
  </w:style>
  <w:style w:type="character" w:customStyle="1" w:styleId="WW-Absatz-Standardschriftart11111111111111111111111111">
    <w:name w:val="WW-Absatz-Standardschriftart11111111111111111111111111"/>
    <w:rsid w:val="000E3584"/>
  </w:style>
  <w:style w:type="character" w:customStyle="1" w:styleId="WW-Absatz-Standardschriftart111111111111111111111111111">
    <w:name w:val="WW-Absatz-Standardschriftart111111111111111111111111111"/>
    <w:rsid w:val="000E3584"/>
  </w:style>
  <w:style w:type="character" w:customStyle="1" w:styleId="WW-Absatz-Standardschriftart1111111111111111111111111111">
    <w:name w:val="WW-Absatz-Standardschriftart1111111111111111111111111111"/>
    <w:rsid w:val="000E3584"/>
  </w:style>
  <w:style w:type="character" w:customStyle="1" w:styleId="WW-Absatz-Standardschriftart11111111111111111111111111111">
    <w:name w:val="WW-Absatz-Standardschriftart11111111111111111111111111111"/>
    <w:rsid w:val="000E3584"/>
  </w:style>
  <w:style w:type="character" w:customStyle="1" w:styleId="WW-Absatz-Standardschriftart111111111111111111111111111111">
    <w:name w:val="WW-Absatz-Standardschriftart111111111111111111111111111111"/>
    <w:rsid w:val="000E3584"/>
  </w:style>
  <w:style w:type="character" w:customStyle="1" w:styleId="WW-Absatz-Standardschriftart1111111111111111111111111111111">
    <w:name w:val="WW-Absatz-Standardschriftart1111111111111111111111111111111"/>
    <w:rsid w:val="000E3584"/>
  </w:style>
  <w:style w:type="character" w:customStyle="1" w:styleId="WW-Absatz-Standardschriftart11111111111111111111111111111111">
    <w:name w:val="WW-Absatz-Standardschriftart11111111111111111111111111111111"/>
    <w:rsid w:val="000E3584"/>
  </w:style>
  <w:style w:type="character" w:customStyle="1" w:styleId="WW-Absatz-Standardschriftart111111111111111111111111111111111">
    <w:name w:val="WW-Absatz-Standardschriftart111111111111111111111111111111111"/>
    <w:rsid w:val="000E3584"/>
  </w:style>
  <w:style w:type="character" w:customStyle="1" w:styleId="WW-Absatz-Standardschriftart1111111111111111111111111111111111">
    <w:name w:val="WW-Absatz-Standardschriftart1111111111111111111111111111111111"/>
    <w:rsid w:val="000E3584"/>
  </w:style>
  <w:style w:type="character" w:customStyle="1" w:styleId="WW-Absatz-Standardschriftart11111111111111111111111111111111111">
    <w:name w:val="WW-Absatz-Standardschriftart11111111111111111111111111111111111"/>
    <w:rsid w:val="000E3584"/>
  </w:style>
  <w:style w:type="character" w:customStyle="1" w:styleId="WW-Absatz-Standardschriftart111111111111111111111111111111111111">
    <w:name w:val="WW-Absatz-Standardschriftart111111111111111111111111111111111111"/>
    <w:rsid w:val="000E3584"/>
  </w:style>
  <w:style w:type="character" w:customStyle="1" w:styleId="WW-Absatz-Standardschriftart1111111111111111111111111111111111111">
    <w:name w:val="WW-Absatz-Standardschriftart1111111111111111111111111111111111111"/>
    <w:rsid w:val="000E3584"/>
  </w:style>
  <w:style w:type="character" w:customStyle="1" w:styleId="WW-Absatz-Standardschriftart11111111111111111111111111111111111111">
    <w:name w:val="WW-Absatz-Standardschriftart11111111111111111111111111111111111111"/>
    <w:rsid w:val="000E3584"/>
  </w:style>
  <w:style w:type="character" w:customStyle="1" w:styleId="WW-Absatz-Standardschriftart111111111111111111111111111111111111111">
    <w:name w:val="WW-Absatz-Standardschriftart111111111111111111111111111111111111111"/>
    <w:rsid w:val="000E3584"/>
  </w:style>
  <w:style w:type="character" w:customStyle="1" w:styleId="WW-Absatz-Standardschriftart1111111111111111111111111111111111111111">
    <w:name w:val="WW-Absatz-Standardschriftart1111111111111111111111111111111111111111"/>
    <w:rsid w:val="000E3584"/>
  </w:style>
  <w:style w:type="character" w:customStyle="1" w:styleId="WW-Absatz-Standardschriftart11111111111111111111111111111111111111111">
    <w:name w:val="WW-Absatz-Standardschriftart11111111111111111111111111111111111111111"/>
    <w:rsid w:val="000E3584"/>
  </w:style>
  <w:style w:type="character" w:customStyle="1" w:styleId="WW-Absatz-Standardschriftart111111111111111111111111111111111111111111">
    <w:name w:val="WW-Absatz-Standardschriftart111111111111111111111111111111111111111111"/>
    <w:rsid w:val="000E3584"/>
  </w:style>
  <w:style w:type="character" w:customStyle="1" w:styleId="WW-Absatz-Standardschriftart1111111111111111111111111111111111111111111">
    <w:name w:val="WW-Absatz-Standardschriftart1111111111111111111111111111111111111111111"/>
    <w:rsid w:val="000E3584"/>
  </w:style>
  <w:style w:type="character" w:customStyle="1" w:styleId="WW-Absatz-Standardschriftart11111111111111111111111111111111111111111111">
    <w:name w:val="WW-Absatz-Standardschriftart11111111111111111111111111111111111111111111"/>
    <w:rsid w:val="000E3584"/>
  </w:style>
  <w:style w:type="character" w:customStyle="1" w:styleId="WW-Absatz-Standardschriftart111111111111111111111111111111111111111111111">
    <w:name w:val="WW-Absatz-Standardschriftart111111111111111111111111111111111111111111111"/>
    <w:rsid w:val="000E3584"/>
  </w:style>
  <w:style w:type="character" w:customStyle="1" w:styleId="WW-Absatz-Standardschriftart1111111111111111111111111111111111111111111111">
    <w:name w:val="WW-Absatz-Standardschriftart1111111111111111111111111111111111111111111111"/>
    <w:rsid w:val="000E3584"/>
  </w:style>
  <w:style w:type="character" w:customStyle="1" w:styleId="WW-Absatz-Standardschriftart11111111111111111111111111111111111111111111111">
    <w:name w:val="WW-Absatz-Standardschriftart11111111111111111111111111111111111111111111111"/>
    <w:rsid w:val="000E3584"/>
  </w:style>
  <w:style w:type="character" w:customStyle="1" w:styleId="WW-Absatz-Standardschriftart111111111111111111111111111111111111111111111111">
    <w:name w:val="WW-Absatz-Standardschriftart111111111111111111111111111111111111111111111111"/>
    <w:rsid w:val="000E3584"/>
  </w:style>
  <w:style w:type="character" w:customStyle="1" w:styleId="WW-Absatz-Standardschriftart1111111111111111111111111111111111111111111111111">
    <w:name w:val="WW-Absatz-Standardschriftart1111111111111111111111111111111111111111111111111"/>
    <w:rsid w:val="000E3584"/>
  </w:style>
  <w:style w:type="character" w:customStyle="1" w:styleId="WW-Absatz-Standardschriftart11111111111111111111111111111111111111111111111111">
    <w:name w:val="WW-Absatz-Standardschriftart11111111111111111111111111111111111111111111111111"/>
    <w:rsid w:val="000E3584"/>
  </w:style>
  <w:style w:type="character" w:customStyle="1" w:styleId="WW-Absatz-Standardschriftart111111111111111111111111111111111111111111111111111">
    <w:name w:val="WW-Absatz-Standardschriftart111111111111111111111111111111111111111111111111111"/>
    <w:rsid w:val="000E3584"/>
  </w:style>
  <w:style w:type="character" w:customStyle="1" w:styleId="WW-Absatz-Standardschriftart1111111111111111111111111111111111111111111111111111">
    <w:name w:val="WW-Absatz-Standardschriftart1111111111111111111111111111111111111111111111111111"/>
    <w:rsid w:val="000E3584"/>
  </w:style>
  <w:style w:type="character" w:customStyle="1" w:styleId="WW-Absatz-Standardschriftart11111111111111111111111111111111111111111111111111111">
    <w:name w:val="WW-Absatz-Standardschriftart11111111111111111111111111111111111111111111111111111"/>
    <w:rsid w:val="000E3584"/>
  </w:style>
  <w:style w:type="character" w:customStyle="1" w:styleId="WW-Absatz-Standardschriftart111111111111111111111111111111111111111111111111111111">
    <w:name w:val="WW-Absatz-Standardschriftart111111111111111111111111111111111111111111111111111111"/>
    <w:rsid w:val="000E3584"/>
  </w:style>
  <w:style w:type="character" w:customStyle="1" w:styleId="WW-Absatz-Standardschriftart1111111111111111111111111111111111111111111111111111111">
    <w:name w:val="WW-Absatz-Standardschriftart1111111111111111111111111111111111111111111111111111111"/>
    <w:rsid w:val="000E3584"/>
  </w:style>
  <w:style w:type="character" w:customStyle="1" w:styleId="WW-Absatz-Standardschriftart11111111111111111111111111111111111111111111111111111111">
    <w:name w:val="WW-Absatz-Standardschriftart11111111111111111111111111111111111111111111111111111111"/>
    <w:rsid w:val="000E3584"/>
  </w:style>
  <w:style w:type="character" w:customStyle="1" w:styleId="WW-Absatz-Standardschriftart111111111111111111111111111111111111111111111111111111111">
    <w:name w:val="WW-Absatz-Standardschriftart111111111111111111111111111111111111111111111111111111111"/>
    <w:rsid w:val="000E3584"/>
  </w:style>
  <w:style w:type="character" w:customStyle="1" w:styleId="WW-Absatz-Standardschriftart1111111111111111111111111111111111111111111111111111111111">
    <w:name w:val="WW-Absatz-Standardschriftart1111111111111111111111111111111111111111111111111111111111"/>
    <w:rsid w:val="000E3584"/>
  </w:style>
  <w:style w:type="character" w:customStyle="1" w:styleId="WW-Absatz-Standardschriftart11111111111111111111111111111111111111111111111111111111111">
    <w:name w:val="WW-Absatz-Standardschriftart11111111111111111111111111111111111111111111111111111111111"/>
    <w:rsid w:val="000E3584"/>
  </w:style>
  <w:style w:type="character" w:customStyle="1" w:styleId="WW-Absatz-Standardschriftart111111111111111111111111111111111111111111111111111111111111">
    <w:name w:val="WW-Absatz-Standardschriftart111111111111111111111111111111111111111111111111111111111111"/>
    <w:rsid w:val="000E3584"/>
  </w:style>
  <w:style w:type="character" w:customStyle="1" w:styleId="WW-Absatz-Standardschriftart1111111111111111111111111111111111111111111111111111111111111">
    <w:name w:val="WW-Absatz-Standardschriftart1111111111111111111111111111111111111111111111111111111111111"/>
    <w:rsid w:val="000E3584"/>
  </w:style>
  <w:style w:type="character" w:customStyle="1" w:styleId="WW-Absatz-Standardschriftart11111111111111111111111111111111111111111111111111111111111111">
    <w:name w:val="WW-Absatz-Standardschriftart11111111111111111111111111111111111111111111111111111111111111"/>
    <w:rsid w:val="000E3584"/>
  </w:style>
  <w:style w:type="character" w:customStyle="1" w:styleId="WW-Absatz-Standardschriftart111111111111111111111111111111111111111111111111111111111111111">
    <w:name w:val="WW-Absatz-Standardschriftart111111111111111111111111111111111111111111111111111111111111111"/>
    <w:rsid w:val="000E3584"/>
  </w:style>
  <w:style w:type="character" w:customStyle="1" w:styleId="WW-Absatz-Standardschriftart1111111111111111111111111111111111111111111111111111111111111111">
    <w:name w:val="WW-Absatz-Standardschriftart1111111111111111111111111111111111111111111111111111111111111111"/>
    <w:rsid w:val="000E3584"/>
  </w:style>
  <w:style w:type="character" w:customStyle="1" w:styleId="WW-Absatz-Standardschriftart11111111111111111111111111111111111111111111111111111111111111111">
    <w:name w:val="WW-Absatz-Standardschriftart11111111111111111111111111111111111111111111111111111111111111111"/>
    <w:rsid w:val="000E3584"/>
  </w:style>
  <w:style w:type="character" w:customStyle="1" w:styleId="WW-Absatz-Standardschriftart111111111111111111111111111111111111111111111111111111111111111111">
    <w:name w:val="WW-Absatz-Standardschriftart111111111111111111111111111111111111111111111111111111111111111111"/>
    <w:rsid w:val="000E3584"/>
  </w:style>
  <w:style w:type="character" w:customStyle="1" w:styleId="WW-Absatz-Standardschriftart1111111111111111111111111111111111111111111111111111111111111111111">
    <w:name w:val="WW-Absatz-Standardschriftart1111111111111111111111111111111111111111111111111111111111111111111"/>
    <w:rsid w:val="000E3584"/>
  </w:style>
  <w:style w:type="character" w:customStyle="1" w:styleId="WW-Absatz-Standardschriftart11111111111111111111111111111111111111111111111111111111111111111111">
    <w:name w:val="WW-Absatz-Standardschriftart11111111111111111111111111111111111111111111111111111111111111111111"/>
    <w:rsid w:val="000E3584"/>
  </w:style>
  <w:style w:type="character" w:customStyle="1" w:styleId="WW-Absatz-Standardschriftart111111111111111111111111111111111111111111111111111111111111111111111">
    <w:name w:val="WW-Absatz-Standardschriftart111111111111111111111111111111111111111111111111111111111111111111111"/>
    <w:rsid w:val="000E3584"/>
  </w:style>
  <w:style w:type="character" w:customStyle="1" w:styleId="WW-Absatz-Standardschriftart1111111111111111111111111111111111111111111111111111111111111111111111">
    <w:name w:val="WW-Absatz-Standardschriftart1111111111111111111111111111111111111111111111111111111111111111111111"/>
    <w:rsid w:val="000E3584"/>
  </w:style>
  <w:style w:type="character" w:customStyle="1" w:styleId="WW-Absatz-Standardschriftart11111111111111111111111111111111111111111111111111111111111111111111111">
    <w:name w:val="WW-Absatz-Standardschriftart11111111111111111111111111111111111111111111111111111111111111111111111"/>
    <w:rsid w:val="000E3584"/>
  </w:style>
  <w:style w:type="character" w:customStyle="1" w:styleId="WW-Absatz-Standardschriftart111111111111111111111111111111111111111111111111111111111111111111111111">
    <w:name w:val="WW-Absatz-Standardschriftart111111111111111111111111111111111111111111111111111111111111111111111111"/>
    <w:rsid w:val="000E3584"/>
  </w:style>
  <w:style w:type="character" w:customStyle="1" w:styleId="WW-Absatz-Standardschriftart1111111111111111111111111111111111111111111111111111111111111111111111111">
    <w:name w:val="WW-Absatz-Standardschriftart1111111111111111111111111111111111111111111111111111111111111111111111111"/>
    <w:rsid w:val="000E3584"/>
  </w:style>
  <w:style w:type="character" w:customStyle="1" w:styleId="WW-Absatz-Standardschriftart11111111111111111111111111111111111111111111111111111111111111111111111111">
    <w:name w:val="WW-Absatz-Standardschriftart11111111111111111111111111111111111111111111111111111111111111111111111111"/>
    <w:rsid w:val="000E3584"/>
  </w:style>
  <w:style w:type="character" w:customStyle="1" w:styleId="WW-Absatz-Standardschriftart111111111111111111111111111111111111111111111111111111111111111111111111111">
    <w:name w:val="WW-Absatz-Standardschriftart111111111111111111111111111111111111111111111111111111111111111111111111111"/>
    <w:rsid w:val="000E358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E358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E358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E3584"/>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E3584"/>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E358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E358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E3584"/>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E358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E358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E358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E358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E3584"/>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E3584"/>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E358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E3584"/>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2">
    <w:name w:val="Fuente de párrafo predeter.2"/>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customStyle="1" w:styleId="Fuentedeprrafopredeter1">
    <w:name w:val="Fuente de párrafo predeter.1"/>
    <w:rsid w:val="000E3584"/>
  </w:style>
  <w:style w:type="character" w:styleId="Hipervnculo">
    <w:name w:val="Hyperlink"/>
    <w:rsid w:val="000E3584"/>
    <w:rPr>
      <w:color w:val="000080"/>
      <w:u w:val="single"/>
    </w:rPr>
  </w:style>
  <w:style w:type="character" w:customStyle="1" w:styleId="Carcterdenumeracin">
    <w:name w:val="Carácter de numeración"/>
    <w:rsid w:val="000E3584"/>
  </w:style>
  <w:style w:type="character" w:customStyle="1" w:styleId="Vietas">
    <w:name w:val="Viñetas"/>
    <w:rsid w:val="000E3584"/>
    <w:rPr>
      <w:rFonts w:ascii="StarSymbol" w:eastAsia="StarSymbol" w:hAnsi="StarSymbol" w:cs="StarSymbol"/>
      <w:sz w:val="18"/>
      <w:szCs w:val="18"/>
    </w:rPr>
  </w:style>
  <w:style w:type="paragraph" w:customStyle="1" w:styleId="Encabezado2">
    <w:name w:val="Encabezado2"/>
    <w:basedOn w:val="Normal"/>
    <w:next w:val="Textoindependiente"/>
    <w:rsid w:val="000E3584"/>
    <w:pPr>
      <w:keepNext/>
      <w:spacing w:before="240" w:after="120"/>
    </w:pPr>
    <w:rPr>
      <w:rFonts w:ascii="Arial" w:eastAsia="Arial Unicode MS" w:hAnsi="Arial"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customStyle="1" w:styleId="Etiqueta">
    <w:name w:val="Etiqueta"/>
    <w:basedOn w:val="Normal"/>
    <w:rsid w:val="000E3584"/>
    <w:pPr>
      <w:suppressLineNumbers/>
      <w:spacing w:before="120" w:after="120"/>
    </w:pPr>
    <w:rPr>
      <w:rFonts w:cs="Tahoma"/>
      <w:i/>
      <w:iCs/>
    </w:rPr>
  </w:style>
  <w:style w:type="paragraph" w:customStyle="1" w:styleId="ndice">
    <w:name w:val="Índice"/>
    <w:basedOn w:val="Normal"/>
    <w:rsid w:val="000E3584"/>
    <w:pPr>
      <w:suppressLineNumbers/>
    </w:pPr>
    <w:rPr>
      <w:rFonts w:cs="Tahoma"/>
    </w:rPr>
  </w:style>
  <w:style w:type="paragraph" w:customStyle="1" w:styleId="Encabezado1">
    <w:name w:val="Encabezado1"/>
    <w:basedOn w:val="Normal"/>
    <w:next w:val="Textoindependiente"/>
    <w:rsid w:val="000E3584"/>
    <w:pPr>
      <w:keepNext/>
      <w:spacing w:before="240" w:after="120"/>
    </w:pPr>
    <w:rPr>
      <w:rFonts w:ascii="Arial" w:eastAsia="Arial Unicode MS" w:hAnsi="Arial"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E3584"/>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E3584"/>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E3584"/>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E3584"/>
    <w:pPr>
      <w:widowControl w:val="0"/>
      <w:suppressAutoHyphens/>
    </w:pPr>
    <w:rPr>
      <w:rFonts w:eastAsia="Arial Unicode MS"/>
      <w:sz w:val="28"/>
      <w:szCs w:val="28"/>
      <w:lang w:val="es-ES_tradnl" w:eastAsia="ar-SA"/>
    </w:rPr>
  </w:style>
  <w:style w:type="paragraph" w:customStyle="1" w:styleId="Ttulo5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E3584"/>
  </w:style>
  <w:style w:type="paragraph" w:customStyle="1" w:styleId="Contenidodelatabla">
    <w:name w:val="Contenido de la tabla"/>
    <w:basedOn w:val="Normal"/>
    <w:rsid w:val="000E3584"/>
    <w:pPr>
      <w:suppressLineNumbers/>
    </w:pPr>
  </w:style>
  <w:style w:type="paragraph" w:customStyle="1" w:styleId="Encabezadodelatabla">
    <w:name w:val="Encabezado de la tabla"/>
    <w:basedOn w:val="Contenidodelatabla"/>
    <w:rsid w:val="000E3584"/>
    <w:pPr>
      <w:jc w:val="center"/>
    </w:pPr>
    <w:rPr>
      <w:b/>
      <w:bCs/>
    </w:rPr>
  </w:style>
  <w:style w:type="paragraph" w:customStyle="1" w:styleId="style3">
    <w:name w:val="style3"/>
    <w:basedOn w:val="Normal"/>
    <w:rsid w:val="000E3584"/>
    <w:pPr>
      <w:spacing w:before="280" w:after="280"/>
    </w:pPr>
    <w:rPr>
      <w:b/>
      <w:bCs/>
      <w:color w:val="000000"/>
    </w:rPr>
  </w:style>
  <w:style w:type="paragraph" w:styleId="NormalWeb">
    <w:name w:val="Normal (Web)"/>
    <w:basedOn w:val="Normal"/>
    <w:link w:val="NormalWebCar"/>
    <w:uiPriority w:val="99"/>
    <w:qFormat/>
    <w:rsid w:val="000E3584"/>
    <w:pPr>
      <w:spacing w:before="280" w:after="280"/>
    </w:pPr>
  </w:style>
  <w:style w:type="paragraph" w:customStyle="1" w:styleId="Ttulo3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t,texto,Tex"/>
    <w:basedOn w:val="Normal"/>
    <w:link w:val="TextonotapieCar"/>
    <w:uiPriority w:val="99"/>
    <w:qFormat/>
    <w:rsid w:val="000E3584"/>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uiPriority w:val="99"/>
    <w:qFormat/>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aliases w:val="Bullet 1,Use Case List Paragraph,Lista vistosa - Énfasis 11,Párrafo de lista Car Car Car,Informe,Footnote,List Paragraph 1,Numbered List Paragraph,Main numbered paragraph,Bullets,List Paragraph (numbered (a)),Akapit z listą BS"/>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hadow/>
      <w:spacing w:val="15"/>
      <w:kern w:val="0"/>
      <w:sz w:val="28"/>
      <w:szCs w:val="22"/>
      <w:lang w:eastAsia="en-US" w:bidi="en-US"/>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Normal0">
    <w:name w:val="[Normal]"/>
    <w:uiPriority w:val="99"/>
    <w:qFormat/>
    <w:rsid w:val="00474806"/>
    <w:pPr>
      <w:widowControl w:val="0"/>
      <w:autoSpaceDE w:val="0"/>
      <w:autoSpaceDN w:val="0"/>
      <w:adjustRightInd w:val="0"/>
    </w:pPr>
    <w:rPr>
      <w:rFonts w:ascii="Arial" w:eastAsia="Calibri" w:hAnsi="Arial" w:cs="Arial"/>
      <w:sz w:val="24"/>
      <w:szCs w:val="24"/>
      <w:lang w:val="x-none" w:eastAsia="en-US"/>
    </w:rPr>
  </w:style>
  <w:style w:type="table" w:customStyle="1" w:styleId="Tablaconcuadrcula6">
    <w:name w:val="Tabla con cuadrícula6"/>
    <w:basedOn w:val="Tablanormal"/>
    <w:next w:val="Tablaconcuadrcula"/>
    <w:rsid w:val="002D592B"/>
    <w:pPr>
      <w:suppressAutoHyphens/>
    </w:pPr>
    <w:rPr>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unhideWhenUsed/>
    <w:rsid w:val="00B44943"/>
    <w:rPr>
      <w:rFonts w:asciiTheme="minorHAnsi" w:eastAsiaTheme="minorHAnsi" w:hAnsiTheme="minorHAnsi" w:cstheme="minorBidi"/>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C6786"/>
    <w:rPr>
      <w:rFonts w:ascii="Calibri" w:hAnsi="Calibri"/>
      <w:sz w:val="22"/>
      <w:szCs w:val="22"/>
      <w:lang w:val="es-CR" w:eastAsia="es-CR"/>
    </w:rPr>
    <w:tblPr>
      <w:tblCellMar>
        <w:top w:w="0" w:type="dxa"/>
        <w:left w:w="0" w:type="dxa"/>
        <w:bottom w:w="0" w:type="dxa"/>
        <w:right w:w="0" w:type="dxa"/>
      </w:tblCellMar>
    </w:tblPr>
  </w:style>
  <w:style w:type="character" w:customStyle="1" w:styleId="NormalWebCar1">
    <w:name w:val="Normal (Web) Car1"/>
    <w:uiPriority w:val="99"/>
    <w:locked/>
    <w:rsid w:val="008A323E"/>
    <w:rPr>
      <w:rFonts w:ascii="Times New Roman" w:eastAsia="Times New Roman" w:hAnsi="Times New Roman" w:cs="Times New Roman"/>
      <w:sz w:val="24"/>
      <w:szCs w:val="24"/>
      <w:lang w:val="es-ES" w:eastAsia="ar-SA"/>
    </w:rPr>
  </w:style>
  <w:style w:type="table" w:customStyle="1" w:styleId="TableGrid">
    <w:name w:val="TableGrid"/>
    <w:rsid w:val="00ED0050"/>
    <w:rPr>
      <w:rFonts w:asciiTheme="minorHAnsi" w:hAnsiTheme="minorHAnsi" w:cstheme="minorBidi"/>
      <w:sz w:val="22"/>
      <w:szCs w:val="22"/>
      <w:lang w:val="es-CR"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jleonce\Desktop\Llave%20maya\Teletrabajo\2020\An&#225;lisis%20asignados\Ciencias%20Forenses\Cuadros%20y%20Gr&#225;fic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jleonce\Desktop\Llave%20maya\Teletrabajo\2020\An&#225;lisis%20asignados\Ciencias%20Forenses\Cuadros%20y%20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normalizeH="0" baseline="0">
                <a:solidFill>
                  <a:sysClr val="windowText" lastClr="000000"/>
                </a:solidFill>
                <a:latin typeface="+mj-lt"/>
                <a:ea typeface="+mj-ea"/>
                <a:cs typeface="+mj-cs"/>
              </a:defRPr>
            </a:pPr>
            <a:r>
              <a:rPr lang="en-US" sz="1100" b="1">
                <a:solidFill>
                  <a:sysClr val="windowText" lastClr="000000"/>
                </a:solidFill>
              </a:rPr>
              <a:t>Gráfico 1. Distribución</a:t>
            </a:r>
            <a:r>
              <a:rPr lang="en-US" sz="1100" b="1" baseline="0">
                <a:solidFill>
                  <a:sysClr val="windowText" lastClr="000000"/>
                </a:solidFill>
              </a:rPr>
              <a:t> porcentual para el promedio de los casos entrados por sección.</a:t>
            </a:r>
          </a:p>
          <a:p>
            <a:pPr>
              <a:defRPr sz="1100">
                <a:solidFill>
                  <a:sysClr val="windowText" lastClr="000000"/>
                </a:solidFill>
              </a:defRPr>
            </a:pPr>
            <a:r>
              <a:rPr lang="en-US" sz="1100" b="1" baseline="0">
                <a:solidFill>
                  <a:sysClr val="windowText" lastClr="000000"/>
                </a:solidFill>
              </a:rPr>
              <a:t>Periodo 2018 - 2020.</a:t>
            </a:r>
            <a:endParaRPr lang="en-US"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ysClr val="windowText" lastClr="000000"/>
              </a:solidFill>
              <a:latin typeface="+mj-lt"/>
              <a:ea typeface="+mj-ea"/>
              <a:cs typeface="+mj-cs"/>
            </a:defRPr>
          </a:pPr>
          <a:endParaRPr lang="es-CR"/>
        </a:p>
      </c:txPr>
    </c:title>
    <c:autoTitleDeleted val="0"/>
    <c:plotArea>
      <c:layout>
        <c:manualLayout>
          <c:layoutTarget val="inner"/>
          <c:xMode val="edge"/>
          <c:yMode val="edge"/>
          <c:x val="0.1745562709357463"/>
          <c:y val="0.2351411806008325"/>
          <c:w val="0.62602579718971596"/>
          <c:h val="0.72172400822508653"/>
        </c:manualLayout>
      </c:layout>
      <c:pieChart>
        <c:varyColors val="1"/>
        <c:ser>
          <c:idx val="0"/>
          <c:order val="0"/>
          <c:tx>
            <c:strRef>
              <c:f>Entrados!$C$23</c:f>
              <c:strCache>
                <c:ptCount val="1"/>
                <c:pt idx="0">
                  <c:v>Participación</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83A-45D0-9C42-298033E9C97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83A-45D0-9C42-298033E9C97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83A-45D0-9C42-298033E9C97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83A-45D0-9C42-298033E9C97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83A-45D0-9C42-298033E9C97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D83A-45D0-9C42-298033E9C97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D83A-45D0-9C42-298033E9C979}"/>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D83A-45D0-9C42-298033E9C979}"/>
              </c:ext>
            </c:extLst>
          </c:dPt>
          <c:dLbls>
            <c:dLbl>
              <c:idx val="5"/>
              <c:layout>
                <c:manualLayout>
                  <c:x val="-0.14211293339713751"/>
                  <c:y val="0.1023223331160038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83A-45D0-9C42-298033E9C979}"/>
                </c:ext>
              </c:extLst>
            </c:dLbl>
            <c:dLbl>
              <c:idx val="6"/>
              <c:layout>
                <c:manualLayout>
                  <c:x val="-0.16996726410579893"/>
                  <c:y val="-3.674856432419631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83A-45D0-9C42-298033E9C979}"/>
                </c:ext>
              </c:extLst>
            </c:dLbl>
            <c:dLbl>
              <c:idx val="7"/>
              <c:layout>
                <c:manualLayout>
                  <c:x val="0.28156305738025839"/>
                  <c:y val="4.85932092883294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83A-45D0-9C42-298033E9C9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s-CR"/>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Entrados!$B$24:$B$31</c:f>
              <c:strCache>
                <c:ptCount val="8"/>
                <c:pt idx="0">
                  <c:v>Bioquímica</c:v>
                </c:pt>
                <c:pt idx="1">
                  <c:v>Química Analítica</c:v>
                </c:pt>
                <c:pt idx="2">
                  <c:v>Pericias Físicas</c:v>
                </c:pt>
                <c:pt idx="3">
                  <c:v>Toxicología</c:v>
                </c:pt>
                <c:pt idx="4">
                  <c:v>Biología Forense</c:v>
                </c:pt>
                <c:pt idx="5">
                  <c:v>Imagen y Sonido Forense</c:v>
                </c:pt>
                <c:pt idx="6">
                  <c:v>Ingeniería Forense</c:v>
                </c:pt>
                <c:pt idx="7">
                  <c:v>Documentos Dudosos</c:v>
                </c:pt>
              </c:strCache>
            </c:strRef>
          </c:cat>
          <c:val>
            <c:numRef>
              <c:f>Entrados!$C$24:$C$31</c:f>
              <c:numCache>
                <c:formatCode>#,##0</c:formatCode>
                <c:ptCount val="8"/>
                <c:pt idx="0">
                  <c:v>11553.666666666666</c:v>
                </c:pt>
                <c:pt idx="1">
                  <c:v>6575.666666666667</c:v>
                </c:pt>
                <c:pt idx="2">
                  <c:v>5400.666666666667</c:v>
                </c:pt>
                <c:pt idx="3">
                  <c:v>4949.666666666667</c:v>
                </c:pt>
                <c:pt idx="4">
                  <c:v>2857.3333333333335</c:v>
                </c:pt>
                <c:pt idx="5">
                  <c:v>1426</c:v>
                </c:pt>
                <c:pt idx="6">
                  <c:v>1161.6666666666667</c:v>
                </c:pt>
                <c:pt idx="7">
                  <c:v>859.66666666666663</c:v>
                </c:pt>
              </c:numCache>
            </c:numRef>
          </c:val>
          <c:extLst>
            <c:ext xmlns:c16="http://schemas.microsoft.com/office/drawing/2014/chart" uri="{C3380CC4-5D6E-409C-BE32-E72D297353CC}">
              <c16:uniqueId val="{00000010-D83A-45D0-9C42-298033E9C97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R"/>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Gráfico 2</a:t>
            </a:r>
          </a:p>
          <a:p>
            <a:pPr>
              <a:defRPr sz="1100" b="1"/>
            </a:pPr>
            <a:r>
              <a:rPr lang="en-US" sz="1100" b="1"/>
              <a:t>Cantidad promedio de casos</a:t>
            </a:r>
            <a:r>
              <a:rPr lang="en-US" sz="1100" b="1" baseline="0"/>
              <a:t> terminados por sección, periodo 2018 - 2020.</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6.3845819116032806E-2"/>
          <c:y val="0.17431725829170172"/>
          <c:w val="0.91845684834196772"/>
          <c:h val="0.67065908008471575"/>
        </c:manualLayout>
      </c:layout>
      <c:barChart>
        <c:barDir val="col"/>
        <c:grouping val="clustered"/>
        <c:varyColors val="0"/>
        <c:ser>
          <c:idx val="0"/>
          <c:order val="0"/>
          <c:tx>
            <c:strRef>
              <c:f>Terminados!$C$22</c:f>
              <c:strCache>
                <c:ptCount val="1"/>
                <c:pt idx="0">
                  <c:v>Participación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Terminados!$B$23:$B$30</c:f>
              <c:strCache>
                <c:ptCount val="8"/>
                <c:pt idx="0">
                  <c:v>Bioquímica</c:v>
                </c:pt>
                <c:pt idx="1">
                  <c:v>Química Analítica</c:v>
                </c:pt>
                <c:pt idx="2">
                  <c:v>Pericias Físicas</c:v>
                </c:pt>
                <c:pt idx="3">
                  <c:v>Toxicología</c:v>
                </c:pt>
                <c:pt idx="4">
                  <c:v>Biología Forense</c:v>
                </c:pt>
                <c:pt idx="5">
                  <c:v>Imagen y Sonido Forense</c:v>
                </c:pt>
                <c:pt idx="6">
                  <c:v>Ingeniería Forense</c:v>
                </c:pt>
                <c:pt idx="7">
                  <c:v>Documentos Dudosos</c:v>
                </c:pt>
              </c:strCache>
            </c:strRef>
          </c:cat>
          <c:val>
            <c:numRef>
              <c:f>Terminados!$C$23:$C$30</c:f>
              <c:numCache>
                <c:formatCode>#,##0</c:formatCode>
                <c:ptCount val="8"/>
                <c:pt idx="0">
                  <c:v>12358</c:v>
                </c:pt>
                <c:pt idx="1">
                  <c:v>7352</c:v>
                </c:pt>
                <c:pt idx="2">
                  <c:v>5735</c:v>
                </c:pt>
                <c:pt idx="3">
                  <c:v>5153.666666666667</c:v>
                </c:pt>
                <c:pt idx="4">
                  <c:v>3172.6666666666665</c:v>
                </c:pt>
                <c:pt idx="5">
                  <c:v>1441</c:v>
                </c:pt>
                <c:pt idx="6">
                  <c:v>1167</c:v>
                </c:pt>
                <c:pt idx="7">
                  <c:v>886.33333333333337</c:v>
                </c:pt>
              </c:numCache>
            </c:numRef>
          </c:val>
          <c:extLst>
            <c:ext xmlns:c16="http://schemas.microsoft.com/office/drawing/2014/chart" uri="{C3380CC4-5D6E-409C-BE32-E72D297353CC}">
              <c16:uniqueId val="{00000000-F364-4A45-9251-6327A49B4F40}"/>
            </c:ext>
          </c:extLst>
        </c:ser>
        <c:dLbls>
          <c:showLegendKey val="0"/>
          <c:showVal val="0"/>
          <c:showCatName val="0"/>
          <c:showSerName val="0"/>
          <c:showPercent val="0"/>
          <c:showBubbleSize val="0"/>
        </c:dLbls>
        <c:gapWidth val="150"/>
        <c:axId val="638617039"/>
        <c:axId val="638617455"/>
      </c:barChart>
      <c:catAx>
        <c:axId val="63861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s-CR"/>
          </a:p>
        </c:txPr>
        <c:crossAx val="638617455"/>
        <c:crosses val="autoZero"/>
        <c:auto val="1"/>
        <c:lblAlgn val="ctr"/>
        <c:lblOffset val="100"/>
        <c:noMultiLvlLbl val="0"/>
      </c:catAx>
      <c:valAx>
        <c:axId val="63861745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s-CR"/>
          </a:p>
        </c:txPr>
        <c:crossAx val="638617039"/>
        <c:crosses val="autoZero"/>
        <c:crossBetween val="between"/>
      </c:valAx>
      <c:spPr>
        <a:solidFill>
          <a:schemeClr val="accent4">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0.00275</cdr:x>
      <cdr:y>0.96338</cdr:y>
    </cdr:from>
    <cdr:to>
      <cdr:x>0.70442</cdr:x>
      <cdr:y>0.99514</cdr:y>
    </cdr:to>
    <cdr:sp macro="" textlink="">
      <cdr:nvSpPr>
        <cdr:cNvPr id="2" name="Text Box 1">
          <a:extLst xmlns:a="http://schemas.openxmlformats.org/drawingml/2006/main">
            <a:ext uri="{FF2B5EF4-FFF2-40B4-BE49-F238E27FC236}">
              <a16:creationId xmlns:a16="http://schemas.microsoft.com/office/drawing/2014/main" id="{780CD3A9-9316-4500-B7EE-F4E9C0521CDE}"/>
            </a:ext>
          </a:extLst>
        </cdr:cNvPr>
        <cdr:cNvSpPr txBox="1">
          <a:spLocks xmlns:a="http://schemas.openxmlformats.org/drawingml/2006/main" noChangeArrowheads="1"/>
        </cdr:cNvSpPr>
      </cdr:nvSpPr>
      <cdr:spPr bwMode="auto">
        <a:xfrm xmlns:a="http://schemas.openxmlformats.org/drawingml/2006/main">
          <a:off x="12624" y="3841750"/>
          <a:ext cx="3225876" cy="1266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drawings/drawing2.xml><?xml version="1.0" encoding="utf-8"?>
<c:userShapes xmlns:c="http://schemas.openxmlformats.org/drawingml/2006/chart">
  <cdr:relSizeAnchor xmlns:cdr="http://schemas.openxmlformats.org/drawingml/2006/chartDrawing">
    <cdr:from>
      <cdr:x>0.00241</cdr:x>
      <cdr:y>0.94818</cdr:y>
    </cdr:from>
    <cdr:to>
      <cdr:x>0.59176</cdr:x>
      <cdr:y>0.99183</cdr:y>
    </cdr:to>
    <cdr:sp macro="" textlink="">
      <cdr:nvSpPr>
        <cdr:cNvPr id="2" name="Text Box 1">
          <a:extLst xmlns:a="http://schemas.openxmlformats.org/drawingml/2006/main">
            <a:ext uri="{FF2B5EF4-FFF2-40B4-BE49-F238E27FC236}">
              <a16:creationId xmlns:a16="http://schemas.microsoft.com/office/drawing/2014/main" id="{A97FBAA5-DA34-4F71-A093-ABE453432715}"/>
            </a:ext>
          </a:extLst>
        </cdr:cNvPr>
        <cdr:cNvSpPr txBox="1">
          <a:spLocks xmlns:a="http://schemas.openxmlformats.org/drawingml/2006/main" noChangeArrowheads="1"/>
        </cdr:cNvSpPr>
      </cdr:nvSpPr>
      <cdr:spPr bwMode="auto">
        <a:xfrm xmlns:a="http://schemas.openxmlformats.org/drawingml/2006/main">
          <a:off x="13524" y="2660650"/>
          <a:ext cx="3307526" cy="12248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square" lIns="27432" tIns="18288" rIns="0" bIns="0" anchor="t"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r>
            <a:rPr lang="es-CR" sz="800" b="1" i="0" u="none" strike="noStrike" baseline="0">
              <a:solidFill>
                <a:srgbClr val="000000"/>
              </a:solidFill>
              <a:latin typeface="Times New Roman"/>
              <a:cs typeface="Times New Roman"/>
            </a:rPr>
            <a:t>Elaborado por: Sub Proceso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12311</Characters>
  <Application>Microsoft Office Word</Application>
  <DocSecurity>4</DocSecurity>
  <Lines>102</Lines>
  <Paragraphs>29</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14520</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Luis Alonso Bonilla Bastos</cp:lastModifiedBy>
  <cp:revision>2</cp:revision>
  <cp:lastPrinted>2016-02-03T19:46:00Z</cp:lastPrinted>
  <dcterms:created xsi:type="dcterms:W3CDTF">2022-01-20T19:11:00Z</dcterms:created>
  <dcterms:modified xsi:type="dcterms:W3CDTF">2022-01-20T19:11:00Z</dcterms:modified>
</cp:coreProperties>
</file>