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3345C0B6" w:rsidR="0029216A" w:rsidRPr="002C0DC3" w:rsidRDefault="006312AE" w:rsidP="002C0DC3">
      <w:pPr>
        <w:pStyle w:val="Ttulo7"/>
        <w:tabs>
          <w:tab w:val="clear" w:pos="0"/>
          <w:tab w:val="left" w:pos="4280"/>
        </w:tabs>
        <w:ind w:left="4248"/>
        <w:jc w:val="both"/>
        <w:rPr>
          <w:rFonts w:ascii="Times New Roman" w:hAnsi="Times New Roman"/>
          <w:bCs w:val="0"/>
          <w:u w:val="none"/>
          <w:lang w:val="es-ES_tradnl"/>
        </w:rPr>
      </w:pPr>
      <w:r w:rsidRPr="002C0DC3">
        <w:rPr>
          <w:rFonts w:ascii="Times New Roman" w:hAnsi="Times New Roman"/>
          <w:bCs w:val="0"/>
          <w:u w:val="none"/>
          <w:lang w:val="es-ES_tradnl"/>
        </w:rPr>
        <w:t>San José,</w:t>
      </w:r>
      <w:r w:rsidR="00D93E61" w:rsidRPr="002C0DC3">
        <w:rPr>
          <w:rFonts w:ascii="Times New Roman" w:hAnsi="Times New Roman"/>
          <w:bCs w:val="0"/>
          <w:u w:val="none"/>
          <w:lang w:val="es-ES_tradnl"/>
        </w:rPr>
        <w:t xml:space="preserve"> </w:t>
      </w:r>
      <w:r w:rsidR="00E821CF" w:rsidRPr="002C0DC3">
        <w:rPr>
          <w:rFonts w:ascii="Times New Roman" w:hAnsi="Times New Roman"/>
          <w:bCs w:val="0"/>
          <w:u w:val="none"/>
          <w:lang w:val="es-ES_tradnl"/>
        </w:rPr>
        <w:t>0</w:t>
      </w:r>
      <w:r w:rsidR="00DA7BDC" w:rsidRPr="002C0DC3">
        <w:rPr>
          <w:rFonts w:ascii="Times New Roman" w:hAnsi="Times New Roman"/>
          <w:bCs w:val="0"/>
          <w:u w:val="none"/>
          <w:lang w:val="es-ES_tradnl"/>
        </w:rPr>
        <w:t>4</w:t>
      </w:r>
      <w:r w:rsidR="003C3831" w:rsidRPr="002C0DC3">
        <w:rPr>
          <w:rFonts w:ascii="Times New Roman" w:hAnsi="Times New Roman"/>
          <w:bCs w:val="0"/>
          <w:u w:val="none"/>
          <w:lang w:val="es-ES_tradnl"/>
        </w:rPr>
        <w:t xml:space="preserve"> </w:t>
      </w:r>
      <w:r w:rsidR="006A694A" w:rsidRPr="002C0DC3">
        <w:rPr>
          <w:rFonts w:ascii="Times New Roman" w:hAnsi="Times New Roman"/>
          <w:bCs w:val="0"/>
          <w:u w:val="none"/>
          <w:lang w:val="es-ES_tradnl"/>
        </w:rPr>
        <w:t xml:space="preserve">de </w:t>
      </w:r>
      <w:r w:rsidR="00BD3C89" w:rsidRPr="002C0DC3">
        <w:rPr>
          <w:rFonts w:ascii="Times New Roman" w:hAnsi="Times New Roman"/>
          <w:bCs w:val="0"/>
          <w:u w:val="none"/>
          <w:lang w:val="es-ES_tradnl"/>
        </w:rPr>
        <w:t>noviembre</w:t>
      </w:r>
      <w:r w:rsidR="00860FA5" w:rsidRPr="002C0DC3">
        <w:rPr>
          <w:rFonts w:ascii="Times New Roman" w:hAnsi="Times New Roman"/>
          <w:bCs w:val="0"/>
          <w:u w:val="none"/>
          <w:lang w:val="es-ES_tradnl"/>
        </w:rPr>
        <w:t xml:space="preserve"> de 20</w:t>
      </w:r>
      <w:r w:rsidR="00041CB5" w:rsidRPr="002C0DC3">
        <w:rPr>
          <w:rFonts w:ascii="Times New Roman" w:hAnsi="Times New Roman"/>
          <w:bCs w:val="0"/>
          <w:u w:val="none"/>
          <w:lang w:val="es-ES_tradnl"/>
        </w:rPr>
        <w:t>2</w:t>
      </w:r>
      <w:r w:rsidR="00BE2779" w:rsidRPr="002C0DC3">
        <w:rPr>
          <w:rFonts w:ascii="Times New Roman" w:hAnsi="Times New Roman"/>
          <w:bCs w:val="0"/>
          <w:u w:val="none"/>
          <w:lang w:val="es-ES_tradnl"/>
        </w:rPr>
        <w:t>1</w:t>
      </w:r>
    </w:p>
    <w:p w14:paraId="54A54810" w14:textId="216D2A82" w:rsidR="0029216A" w:rsidRPr="002C0DC3" w:rsidRDefault="00860FA5" w:rsidP="002C0DC3">
      <w:pPr>
        <w:pStyle w:val="Ttulo7"/>
        <w:tabs>
          <w:tab w:val="clear" w:pos="0"/>
          <w:tab w:val="left" w:pos="4280"/>
        </w:tabs>
        <w:ind w:left="4248"/>
        <w:jc w:val="both"/>
        <w:rPr>
          <w:rFonts w:ascii="Times New Roman" w:hAnsi="Times New Roman"/>
          <w:u w:val="none"/>
          <w:lang w:val="es-ES_tradnl"/>
        </w:rPr>
      </w:pPr>
      <w:proofErr w:type="spellStart"/>
      <w:r w:rsidRPr="002C0DC3">
        <w:rPr>
          <w:rFonts w:ascii="Times New Roman" w:hAnsi="Times New Roman"/>
          <w:u w:val="none"/>
          <w:lang w:val="es-ES_tradnl"/>
        </w:rPr>
        <w:t>N°</w:t>
      </w:r>
      <w:proofErr w:type="spellEnd"/>
      <w:r w:rsidRPr="002C0DC3">
        <w:rPr>
          <w:rFonts w:ascii="Times New Roman" w:hAnsi="Times New Roman"/>
          <w:u w:val="none"/>
          <w:lang w:val="es-ES_tradnl"/>
        </w:rPr>
        <w:t xml:space="preserve"> </w:t>
      </w:r>
      <w:r w:rsidR="002C0DC3" w:rsidRPr="002C0DC3">
        <w:rPr>
          <w:rFonts w:ascii="Times New Roman" w:hAnsi="Times New Roman"/>
          <w:u w:val="none"/>
          <w:lang w:val="es-ES_tradnl"/>
        </w:rPr>
        <w:t>9952</w:t>
      </w:r>
      <w:r w:rsidR="00186ADE" w:rsidRPr="002C0DC3">
        <w:rPr>
          <w:rFonts w:ascii="Times New Roman" w:hAnsi="Times New Roman"/>
          <w:u w:val="none"/>
          <w:lang w:val="es-ES_tradnl"/>
        </w:rPr>
        <w:t>-</w:t>
      </w:r>
      <w:r w:rsidR="00BE2779" w:rsidRPr="002C0DC3">
        <w:rPr>
          <w:rFonts w:ascii="Times New Roman" w:hAnsi="Times New Roman"/>
          <w:u w:val="none"/>
          <w:lang w:val="es-ES_tradnl"/>
        </w:rPr>
        <w:t>2021</w:t>
      </w:r>
    </w:p>
    <w:p w14:paraId="63CA7B6E" w14:textId="77777777" w:rsidR="0029216A" w:rsidRPr="002C0DC3" w:rsidRDefault="0029216A" w:rsidP="002C0DC3">
      <w:pPr>
        <w:pStyle w:val="Ttulo7"/>
        <w:tabs>
          <w:tab w:val="clear" w:pos="0"/>
          <w:tab w:val="left" w:pos="4280"/>
        </w:tabs>
        <w:ind w:left="4248"/>
        <w:jc w:val="both"/>
        <w:rPr>
          <w:rFonts w:ascii="Times New Roman" w:hAnsi="Times New Roman"/>
          <w:u w:val="none"/>
          <w:lang w:val="es-CR"/>
        </w:rPr>
      </w:pPr>
      <w:r w:rsidRPr="002C0DC3">
        <w:rPr>
          <w:rFonts w:ascii="Times New Roman" w:hAnsi="Times New Roman"/>
          <w:u w:val="none"/>
          <w:lang w:val="es-CR"/>
        </w:rPr>
        <w:t>Al contestar refiérase a este # de oficio</w:t>
      </w:r>
    </w:p>
    <w:p w14:paraId="13736F65" w14:textId="77777777" w:rsidR="00302FF5" w:rsidRPr="002C0DC3" w:rsidRDefault="00302FF5" w:rsidP="002C0DC3">
      <w:pPr>
        <w:jc w:val="both"/>
        <w:rPr>
          <w:b/>
          <w:bCs/>
        </w:rPr>
      </w:pPr>
    </w:p>
    <w:p w14:paraId="01B75060" w14:textId="77777777" w:rsidR="002C0DC3" w:rsidRPr="002C0DC3" w:rsidRDefault="002C0DC3" w:rsidP="002C0DC3">
      <w:pPr>
        <w:jc w:val="both"/>
        <w:rPr>
          <w:b/>
          <w:bCs/>
          <w:lang w:eastAsia="hi-IN"/>
        </w:rPr>
      </w:pPr>
      <w:r w:rsidRPr="002C0DC3">
        <w:rPr>
          <w:b/>
          <w:bCs/>
          <w:lang w:eastAsia="hi-IN"/>
        </w:rPr>
        <w:t>Señora Magistrada</w:t>
      </w:r>
    </w:p>
    <w:p w14:paraId="70932AB2" w14:textId="77777777" w:rsidR="002C0DC3" w:rsidRPr="002C0DC3" w:rsidRDefault="002C0DC3" w:rsidP="002C0DC3">
      <w:pPr>
        <w:jc w:val="both"/>
        <w:rPr>
          <w:b/>
          <w:bCs/>
          <w:lang w:eastAsia="hi-IN"/>
        </w:rPr>
      </w:pPr>
      <w:r w:rsidRPr="002C0DC3">
        <w:rPr>
          <w:b/>
          <w:bCs/>
          <w:lang w:eastAsia="hi-IN"/>
        </w:rPr>
        <w:t>Dra. Damaris Vargas Vásquez, Coordinadora</w:t>
      </w:r>
    </w:p>
    <w:p w14:paraId="58D9D4DE" w14:textId="77777777" w:rsidR="002C0DC3" w:rsidRPr="002C0DC3" w:rsidRDefault="002C0DC3" w:rsidP="002C0DC3">
      <w:pPr>
        <w:jc w:val="both"/>
        <w:rPr>
          <w:b/>
          <w:bCs/>
          <w:lang w:eastAsia="hi-IN"/>
        </w:rPr>
      </w:pPr>
      <w:r w:rsidRPr="002C0DC3">
        <w:rPr>
          <w:b/>
          <w:bCs/>
          <w:lang w:eastAsia="hi-IN"/>
        </w:rPr>
        <w:t>Comisión de la Jurisdicción Civil</w:t>
      </w:r>
    </w:p>
    <w:p w14:paraId="37C83046" w14:textId="77777777" w:rsidR="002C0DC3" w:rsidRPr="002C0DC3" w:rsidRDefault="002C0DC3" w:rsidP="002C0DC3">
      <w:pPr>
        <w:autoSpaceDE w:val="0"/>
        <w:snapToGrid w:val="0"/>
        <w:rPr>
          <w:b/>
          <w:bCs/>
          <w:lang w:eastAsia="hi-IN"/>
        </w:rPr>
      </w:pPr>
    </w:p>
    <w:p w14:paraId="15F0CF4A" w14:textId="77777777" w:rsidR="002C0DC3" w:rsidRPr="002C0DC3" w:rsidRDefault="002C0DC3" w:rsidP="002C0DC3">
      <w:pPr>
        <w:jc w:val="both"/>
        <w:rPr>
          <w:b/>
          <w:bCs/>
          <w:lang w:eastAsia="hi-IN"/>
        </w:rPr>
      </w:pPr>
      <w:r w:rsidRPr="002C0DC3">
        <w:rPr>
          <w:b/>
          <w:bCs/>
          <w:lang w:eastAsia="hi-IN"/>
        </w:rPr>
        <w:t>Estimada señora:</w:t>
      </w:r>
    </w:p>
    <w:p w14:paraId="19D5094A" w14:textId="77777777" w:rsidR="009C666D" w:rsidRPr="002C0DC3" w:rsidRDefault="009C666D" w:rsidP="002C0DC3">
      <w:pPr>
        <w:jc w:val="both"/>
        <w:rPr>
          <w:b/>
          <w:bCs/>
          <w:lang w:val="es-CR"/>
        </w:rPr>
      </w:pPr>
    </w:p>
    <w:p w14:paraId="1CD21F2C" w14:textId="74BC0BCD" w:rsidR="0029216A" w:rsidRPr="002C0DC3" w:rsidRDefault="007E1A44" w:rsidP="002C0DC3">
      <w:pPr>
        <w:ind w:firstLine="708"/>
        <w:jc w:val="both"/>
      </w:pPr>
      <w:r>
        <w:t>Muy respetuosamente</w:t>
      </w:r>
      <w:r w:rsidR="0029216A" w:rsidRPr="002C0DC3">
        <w:t xml:space="preserve">, le transcribo el acuerdo tomado por el Consejo Superior del Poder Judicial, en sesión </w:t>
      </w:r>
      <w:proofErr w:type="spellStart"/>
      <w:r w:rsidR="0087670A" w:rsidRPr="002C0DC3">
        <w:rPr>
          <w:b/>
          <w:bCs/>
        </w:rPr>
        <w:t>N°</w:t>
      </w:r>
      <w:proofErr w:type="spellEnd"/>
      <w:r w:rsidR="009F45D2" w:rsidRPr="002C0DC3">
        <w:rPr>
          <w:b/>
          <w:bCs/>
        </w:rPr>
        <w:t xml:space="preserve"> </w:t>
      </w:r>
      <w:r w:rsidR="00BD3C89" w:rsidRPr="002C0DC3">
        <w:rPr>
          <w:b/>
          <w:bCs/>
        </w:rPr>
        <w:t>94</w:t>
      </w:r>
      <w:r w:rsidR="003011FF" w:rsidRPr="002C0DC3">
        <w:rPr>
          <w:b/>
          <w:bCs/>
        </w:rPr>
        <w:t>-</w:t>
      </w:r>
      <w:r w:rsidR="003C3831" w:rsidRPr="002C0DC3">
        <w:rPr>
          <w:b/>
          <w:bCs/>
        </w:rPr>
        <w:t>2021</w:t>
      </w:r>
      <w:r w:rsidR="00D930B6" w:rsidRPr="002C0DC3">
        <w:rPr>
          <w:b/>
          <w:bCs/>
        </w:rPr>
        <w:t xml:space="preserve"> </w:t>
      </w:r>
      <w:r w:rsidR="00D930B6" w:rsidRPr="002C0DC3">
        <w:rPr>
          <w:bCs/>
        </w:rPr>
        <w:t>c</w:t>
      </w:r>
      <w:r w:rsidR="0029216A" w:rsidRPr="002C0DC3">
        <w:t>elebrada el</w:t>
      </w:r>
      <w:r w:rsidR="004C65F3" w:rsidRPr="002C0DC3">
        <w:t xml:space="preserve"> </w:t>
      </w:r>
      <w:r w:rsidR="00952F7A" w:rsidRPr="002C0DC3">
        <w:rPr>
          <w:b/>
        </w:rPr>
        <w:t>0</w:t>
      </w:r>
      <w:r w:rsidR="00BD3C89" w:rsidRPr="002C0DC3">
        <w:rPr>
          <w:b/>
        </w:rPr>
        <w:t>2</w:t>
      </w:r>
      <w:r w:rsidR="00E02368" w:rsidRPr="002C0DC3">
        <w:rPr>
          <w:b/>
        </w:rPr>
        <w:t xml:space="preserve"> de </w:t>
      </w:r>
      <w:r w:rsidR="00BD3C89" w:rsidRPr="002C0DC3">
        <w:rPr>
          <w:b/>
        </w:rPr>
        <w:t>noviembre</w:t>
      </w:r>
      <w:r w:rsidR="006F5DA1" w:rsidRPr="002C0DC3">
        <w:rPr>
          <w:b/>
          <w:bCs/>
        </w:rPr>
        <w:t xml:space="preserve"> </w:t>
      </w:r>
      <w:r w:rsidR="003011FF" w:rsidRPr="002C0DC3">
        <w:rPr>
          <w:b/>
          <w:bCs/>
        </w:rPr>
        <w:t xml:space="preserve">del </w:t>
      </w:r>
      <w:r w:rsidR="003C3831" w:rsidRPr="002C0DC3">
        <w:rPr>
          <w:b/>
          <w:bCs/>
        </w:rPr>
        <w:t>2021</w:t>
      </w:r>
      <w:r w:rsidR="00B43F30" w:rsidRPr="002C0DC3">
        <w:rPr>
          <w:b/>
          <w:bCs/>
        </w:rPr>
        <w:t>,</w:t>
      </w:r>
      <w:r w:rsidR="0029216A" w:rsidRPr="002C0DC3">
        <w:t xml:space="preserve"> que literalmente dice:</w:t>
      </w:r>
    </w:p>
    <w:p w14:paraId="440292CE" w14:textId="77777777" w:rsidR="0029216A" w:rsidRPr="002C0DC3" w:rsidRDefault="0029216A" w:rsidP="002C0DC3">
      <w:pPr>
        <w:ind w:firstLine="15"/>
        <w:jc w:val="both"/>
      </w:pPr>
    </w:p>
    <w:p w14:paraId="1552AA47" w14:textId="77777777" w:rsidR="002C0DC3" w:rsidRDefault="00294863" w:rsidP="002C0DC3">
      <w:pPr>
        <w:keepNext/>
        <w:tabs>
          <w:tab w:val="num" w:pos="0"/>
        </w:tabs>
        <w:jc w:val="center"/>
        <w:outlineLvl w:val="1"/>
        <w:rPr>
          <w:b/>
          <w:bCs/>
          <w:u w:val="single"/>
        </w:rPr>
      </w:pPr>
      <w:r w:rsidRPr="002C0DC3">
        <w:t>“</w:t>
      </w:r>
      <w:bookmarkStart w:id="0" w:name="_Toc86759409"/>
      <w:r w:rsidR="002C0DC3" w:rsidRPr="002C0DC3">
        <w:rPr>
          <w:b/>
          <w:bCs/>
          <w:u w:val="single"/>
        </w:rPr>
        <w:t>ARTÍCULO XXXIX</w:t>
      </w:r>
    </w:p>
    <w:p w14:paraId="18221D9B" w14:textId="76AE3C77" w:rsidR="002C0DC3" w:rsidRPr="002C0DC3" w:rsidRDefault="002C0DC3" w:rsidP="002C0DC3">
      <w:pPr>
        <w:keepNext/>
        <w:tabs>
          <w:tab w:val="num" w:pos="0"/>
        </w:tabs>
        <w:jc w:val="center"/>
        <w:outlineLvl w:val="1"/>
        <w:rPr>
          <w:b/>
          <w:bCs/>
          <w:color w:val="FF0000"/>
          <w:u w:val="single"/>
        </w:rPr>
      </w:pPr>
      <w:r w:rsidRPr="002C0DC3">
        <w:rPr>
          <w:b/>
          <w:bCs/>
          <w:u w:val="single"/>
        </w:rPr>
        <w:t xml:space="preserve"> </w:t>
      </w:r>
      <w:bookmarkEnd w:id="0"/>
    </w:p>
    <w:p w14:paraId="6FD69235" w14:textId="77777777" w:rsidR="002C0DC3" w:rsidRPr="002C0DC3" w:rsidRDefault="002C0DC3" w:rsidP="002C0DC3">
      <w:pPr>
        <w:suppressAutoHyphens w:val="0"/>
        <w:rPr>
          <w:rFonts w:eastAsia="Calibri"/>
          <w:b/>
          <w:color w:val="00B050"/>
          <w:lang w:val="es-CR" w:eastAsia="en-US"/>
        </w:rPr>
      </w:pPr>
      <w:r w:rsidRPr="002C0DC3">
        <w:rPr>
          <w:rFonts w:eastAsia="Calibri"/>
          <w:b/>
          <w:lang w:val="es-CR" w:eastAsia="en-US"/>
        </w:rPr>
        <w:t xml:space="preserve">Documento </w:t>
      </w:r>
      <w:proofErr w:type="spellStart"/>
      <w:r w:rsidRPr="002C0DC3">
        <w:rPr>
          <w:rFonts w:eastAsia="Calibri"/>
          <w:b/>
          <w:lang w:val="es-CR" w:eastAsia="en-US"/>
        </w:rPr>
        <w:t>N°</w:t>
      </w:r>
      <w:proofErr w:type="spellEnd"/>
      <w:r w:rsidRPr="002C0DC3">
        <w:rPr>
          <w:rFonts w:eastAsia="Calibri"/>
          <w:b/>
          <w:lang w:val="es-CR" w:eastAsia="en-US"/>
        </w:rPr>
        <w:t xml:space="preserve"> 9472-2021</w:t>
      </w:r>
    </w:p>
    <w:p w14:paraId="15B3DF5C" w14:textId="77777777" w:rsidR="002C0DC3" w:rsidRPr="002C0DC3" w:rsidRDefault="002C0DC3" w:rsidP="002C0DC3">
      <w:pPr>
        <w:suppressAutoHyphens w:val="0"/>
        <w:rPr>
          <w:rFonts w:eastAsia="Calibri"/>
          <w:lang w:val="es-CR" w:eastAsia="en-US"/>
        </w:rPr>
      </w:pPr>
    </w:p>
    <w:p w14:paraId="308C99AD" w14:textId="4A287732" w:rsidR="002C0DC3" w:rsidRDefault="002C0DC3" w:rsidP="002C0DC3">
      <w:pPr>
        <w:suppressAutoHyphens w:val="0"/>
        <w:autoSpaceDE w:val="0"/>
        <w:autoSpaceDN w:val="0"/>
        <w:adjustRightInd w:val="0"/>
        <w:ind w:firstLine="708"/>
        <w:jc w:val="both"/>
        <w:rPr>
          <w:rFonts w:eastAsia="Calibri"/>
          <w:lang w:val="es-CR" w:eastAsia="en-US"/>
        </w:rPr>
      </w:pPr>
      <w:r w:rsidRPr="002C0DC3">
        <w:rPr>
          <w:rFonts w:eastAsia="Calibri"/>
          <w:lang w:val="es-CR" w:eastAsia="en-US"/>
        </w:rPr>
        <w:t xml:space="preserve">En oficio </w:t>
      </w:r>
      <w:proofErr w:type="spellStart"/>
      <w:r w:rsidRPr="002C0DC3">
        <w:rPr>
          <w:rFonts w:eastAsia="Calibri"/>
          <w:lang w:val="es-CR" w:eastAsia="en-US"/>
        </w:rPr>
        <w:t>Nº</w:t>
      </w:r>
      <w:proofErr w:type="spellEnd"/>
      <w:r w:rsidRPr="002C0DC3">
        <w:rPr>
          <w:rFonts w:eastAsia="Calibri"/>
          <w:lang w:val="es-CR" w:eastAsia="en-US"/>
        </w:rPr>
        <w:t xml:space="preserve"> 1003-PLA-ES-EV-AJ-2021 del 02 de setiembre de 2021, el ingeniero Dixon Li Morales, Jefe interino del Proceso de Ejecución de las Operaciones, de la Dirección de Planificación, remite el informe de la Licda. Ana Ericka Rodríguez Araya, Jefa del Subproceso de Estadística y la Inga. Elena Gabriela Picado González, Jefa interino del Subproceso de Evaluación, relacionado con el análisis y cuadros estadísticos, sobre los movimientos de trabajo en los Juzgados de Cobro, durante el 2020; que literalmente dice: </w:t>
      </w:r>
    </w:p>
    <w:p w14:paraId="0D719062" w14:textId="77777777" w:rsidR="002C0DC3" w:rsidRPr="002C0DC3" w:rsidRDefault="002C0DC3" w:rsidP="002C0DC3">
      <w:pPr>
        <w:suppressAutoHyphens w:val="0"/>
        <w:autoSpaceDE w:val="0"/>
        <w:autoSpaceDN w:val="0"/>
        <w:adjustRightInd w:val="0"/>
        <w:ind w:firstLine="708"/>
        <w:jc w:val="both"/>
        <w:rPr>
          <w:rFonts w:eastAsia="Calibri"/>
          <w:lang w:val="es-CR" w:eastAsia="en-US"/>
        </w:rPr>
      </w:pPr>
    </w:p>
    <w:p w14:paraId="1CF03FBE" w14:textId="77777777" w:rsidR="002C0DC3" w:rsidRPr="002C0DC3" w:rsidRDefault="002C0DC3" w:rsidP="002C0DC3">
      <w:pPr>
        <w:suppressAutoHyphens w:val="0"/>
        <w:ind w:left="851" w:right="851" w:firstLine="709"/>
        <w:jc w:val="both"/>
        <w:rPr>
          <w:lang w:val="es-CR" w:eastAsia="es-ES"/>
        </w:rPr>
      </w:pPr>
      <w:r w:rsidRPr="002C0DC3">
        <w:rPr>
          <w:lang w:val="es-CR" w:eastAsia="es-ES"/>
        </w:rPr>
        <w:t>“[…]</w:t>
      </w:r>
    </w:p>
    <w:p w14:paraId="47CA10D9" w14:textId="77777777" w:rsidR="002C0DC3" w:rsidRPr="002C0DC3" w:rsidRDefault="002C0DC3" w:rsidP="002C0DC3">
      <w:pPr>
        <w:suppressAutoHyphens w:val="0"/>
        <w:ind w:left="851" w:right="851" w:firstLine="709"/>
        <w:jc w:val="both"/>
        <w:rPr>
          <w:rFonts w:eastAsia="Calibri"/>
          <w:lang w:val="es-CR" w:eastAsia="en-US"/>
        </w:rPr>
      </w:pPr>
    </w:p>
    <w:p w14:paraId="2DF530D8" w14:textId="77777777" w:rsidR="002C0DC3" w:rsidRPr="002C0DC3" w:rsidRDefault="002C0DC3" w:rsidP="002C0DC3">
      <w:pPr>
        <w:suppressAutoHyphens w:val="0"/>
        <w:ind w:left="851" w:right="851" w:firstLine="709"/>
        <w:contextualSpacing/>
        <w:jc w:val="center"/>
        <w:rPr>
          <w:rFonts w:eastAsia="Calibri"/>
          <w:spacing w:val="-10"/>
          <w:kern w:val="28"/>
          <w:lang w:val="es-CR" w:eastAsia="en-US"/>
        </w:rPr>
      </w:pPr>
      <w:r w:rsidRPr="002C0DC3">
        <w:rPr>
          <w:rFonts w:eastAsia="Calibri"/>
          <w:b/>
          <w:spacing w:val="-10"/>
          <w:kern w:val="28"/>
          <w:lang w:val="es-CR" w:eastAsia="en-US"/>
        </w:rPr>
        <w:t>INFORME ANUAL DE SEGUIMIENTO ESTADÍSTICO</w:t>
      </w:r>
    </w:p>
    <w:p w14:paraId="325FAA68" w14:textId="77777777" w:rsidR="002C0DC3" w:rsidRPr="002C0DC3" w:rsidRDefault="002C0DC3" w:rsidP="002C0DC3">
      <w:pPr>
        <w:suppressAutoHyphens w:val="0"/>
        <w:ind w:left="851" w:right="851" w:firstLine="709"/>
        <w:contextualSpacing/>
        <w:jc w:val="center"/>
        <w:rPr>
          <w:rFonts w:eastAsia="Calibri"/>
          <w:b/>
          <w:spacing w:val="-10"/>
          <w:kern w:val="28"/>
          <w:lang w:val="es-CR" w:eastAsia="en-US"/>
        </w:rPr>
      </w:pPr>
      <w:r w:rsidRPr="002C0DC3">
        <w:rPr>
          <w:rFonts w:eastAsia="Calibri"/>
          <w:b/>
          <w:spacing w:val="-10"/>
          <w:kern w:val="28"/>
          <w:lang w:val="es-CR" w:eastAsia="en-US"/>
        </w:rPr>
        <w:t>Materia Cobratoria I Instancia</w:t>
      </w:r>
    </w:p>
    <w:p w14:paraId="1B192CC1" w14:textId="77777777" w:rsidR="002C0DC3" w:rsidRPr="002C0DC3" w:rsidRDefault="002C0DC3" w:rsidP="002C0DC3">
      <w:pPr>
        <w:suppressAutoHyphens w:val="0"/>
        <w:ind w:left="851" w:right="851" w:firstLine="709"/>
        <w:contextualSpacing/>
        <w:jc w:val="center"/>
        <w:rPr>
          <w:rFonts w:eastAsia="Calibri"/>
          <w:spacing w:val="-10"/>
          <w:kern w:val="28"/>
          <w:lang w:val="es-CR" w:eastAsia="en-US"/>
        </w:rPr>
      </w:pPr>
      <w:r w:rsidRPr="002C0DC3">
        <w:rPr>
          <w:rFonts w:eastAsia="Calibri"/>
          <w:b/>
          <w:spacing w:val="-10"/>
          <w:kern w:val="28"/>
          <w:lang w:val="es-CR" w:eastAsia="en-US"/>
        </w:rPr>
        <w:t>-2020-</w:t>
      </w:r>
    </w:p>
    <w:p w14:paraId="2FD69AD7" w14:textId="77777777" w:rsidR="002C0DC3" w:rsidRPr="002C0DC3" w:rsidRDefault="002C0DC3" w:rsidP="002C0DC3">
      <w:pPr>
        <w:suppressAutoHyphens w:val="0"/>
        <w:ind w:left="851" w:right="851" w:firstLine="709"/>
        <w:jc w:val="both"/>
        <w:rPr>
          <w:rFonts w:eastAsia="Calibri"/>
          <w:lang w:val="es-CR" w:eastAsia="en-US"/>
        </w:rPr>
      </w:pPr>
    </w:p>
    <w:p w14:paraId="56FF02D2" w14:textId="77777777" w:rsidR="002C0DC3" w:rsidRPr="002C0DC3" w:rsidRDefault="002C0DC3" w:rsidP="002C0DC3">
      <w:pPr>
        <w:keepNext/>
        <w:keepLines/>
        <w:suppressAutoHyphens w:val="0"/>
        <w:ind w:left="851" w:right="851" w:firstLine="709"/>
        <w:jc w:val="both"/>
        <w:rPr>
          <w:b/>
          <w:lang w:val="es-CR" w:eastAsia="en-US"/>
        </w:rPr>
      </w:pPr>
      <w:bookmarkStart w:id="1" w:name="_Toc74138063"/>
      <w:bookmarkStart w:id="2" w:name="_Toc80351017"/>
      <w:r w:rsidRPr="002C0DC3">
        <w:rPr>
          <w:b/>
          <w:lang w:val="es-CR" w:eastAsia="en-US"/>
        </w:rPr>
        <w:t>Capítulo 1: Análisis Estadístico Descriptivo</w:t>
      </w:r>
      <w:bookmarkEnd w:id="1"/>
      <w:bookmarkEnd w:id="2"/>
    </w:p>
    <w:p w14:paraId="101C0E87" w14:textId="77777777" w:rsidR="002C0DC3" w:rsidRPr="002C0DC3" w:rsidRDefault="002C0DC3" w:rsidP="002C0DC3">
      <w:pPr>
        <w:suppressAutoHyphens w:val="0"/>
        <w:ind w:left="851" w:right="851" w:firstLine="709"/>
        <w:jc w:val="both"/>
        <w:rPr>
          <w:rFonts w:eastAsia="Calibri"/>
          <w:lang w:val="es-CR" w:eastAsia="es-CR"/>
        </w:rPr>
      </w:pPr>
    </w:p>
    <w:p w14:paraId="1F661B86" w14:textId="5F46881C" w:rsidR="002C0DC3" w:rsidRDefault="002C0DC3" w:rsidP="002C0DC3">
      <w:pPr>
        <w:keepNext/>
        <w:keepLines/>
        <w:suppressAutoHyphens w:val="0"/>
        <w:ind w:left="851" w:right="851" w:firstLine="709"/>
        <w:jc w:val="both"/>
        <w:rPr>
          <w:b/>
          <w:lang w:val="es-CR" w:eastAsia="es-CR"/>
        </w:rPr>
      </w:pPr>
      <w:bookmarkStart w:id="3" w:name="_Toc74138064"/>
      <w:bookmarkStart w:id="4" w:name="_Toc80351018"/>
      <w:r w:rsidRPr="002C0DC3">
        <w:rPr>
          <w:b/>
          <w:lang w:val="es-CR" w:eastAsia="es-CR"/>
        </w:rPr>
        <w:t>Antecedentes</w:t>
      </w:r>
      <w:bookmarkEnd w:id="3"/>
      <w:bookmarkEnd w:id="4"/>
    </w:p>
    <w:p w14:paraId="2FE075E3" w14:textId="77777777" w:rsidR="002C0DC3" w:rsidRPr="002C0DC3" w:rsidRDefault="002C0DC3" w:rsidP="002C0DC3">
      <w:pPr>
        <w:keepNext/>
        <w:keepLines/>
        <w:suppressAutoHyphens w:val="0"/>
        <w:ind w:left="851" w:right="851" w:firstLine="709"/>
        <w:jc w:val="both"/>
        <w:rPr>
          <w:b/>
          <w:lang w:val="es-CR" w:eastAsia="es-CR"/>
        </w:rPr>
      </w:pPr>
    </w:p>
    <w:p w14:paraId="2B3AAC49" w14:textId="078F0A2E" w:rsidR="002C0DC3" w:rsidRDefault="002C0DC3" w:rsidP="00CE3D95">
      <w:pPr>
        <w:numPr>
          <w:ilvl w:val="1"/>
          <w:numId w:val="28"/>
        </w:numPr>
        <w:suppressAutoHyphens w:val="0"/>
        <w:ind w:left="851" w:right="851" w:firstLine="709"/>
        <w:contextualSpacing/>
        <w:jc w:val="both"/>
        <w:rPr>
          <w:rFonts w:eastAsia="Calibri"/>
          <w:lang w:eastAsia="en-US"/>
        </w:rPr>
      </w:pPr>
      <w:r w:rsidRPr="002C0DC3">
        <w:rPr>
          <w:rFonts w:eastAsia="Calibri"/>
          <w:lang w:val="es-CR" w:eastAsia="en-US"/>
        </w:rPr>
        <w:t xml:space="preserve"> La entrada en vigencia de la Ley 9342 “Reforma Procesal Civil y Ley de Cobro Judicial”, publicada en el diario oficial la Gaceta el pasado 04 de abril de 2016; se llevó a cabo a partir del 08 de octubre de 2018, por lo que, la Dirección de Planificación diseñó un plan de trabajo para dar sostenibilidad a la materia cobratoria en cuanto a reorganización y redistribución de cargas de trabajo con el fin de enfrentar positivamente los cambios dados por la Reforma </w:t>
      </w:r>
      <w:r w:rsidRPr="002C0DC3">
        <w:rPr>
          <w:rFonts w:eastAsia="Calibri"/>
          <w:lang w:val="es-CR" w:eastAsia="en-US"/>
        </w:rPr>
        <w:lastRenderedPageBreak/>
        <w:t>Civil, las tareas de reorganización y redistribución de cargas se continuaron realizando durante el año 2019</w:t>
      </w:r>
      <w:r w:rsidRPr="002C0DC3">
        <w:rPr>
          <w:rFonts w:eastAsia="Calibri"/>
          <w:lang w:eastAsia="en-US"/>
        </w:rPr>
        <w:t>.</w:t>
      </w:r>
    </w:p>
    <w:p w14:paraId="15864834" w14:textId="77777777" w:rsidR="002C0DC3" w:rsidRPr="002C0DC3" w:rsidRDefault="002C0DC3" w:rsidP="002C0DC3">
      <w:pPr>
        <w:suppressAutoHyphens w:val="0"/>
        <w:ind w:left="1560" w:right="851"/>
        <w:contextualSpacing/>
        <w:jc w:val="both"/>
        <w:rPr>
          <w:rFonts w:eastAsia="Calibri"/>
          <w:lang w:eastAsia="en-US"/>
        </w:rPr>
      </w:pPr>
    </w:p>
    <w:p w14:paraId="04F046BD" w14:textId="77777777" w:rsidR="002C0DC3" w:rsidRPr="002C0DC3" w:rsidRDefault="002C0DC3" w:rsidP="00CE3D95">
      <w:pPr>
        <w:widowControl w:val="0"/>
        <w:numPr>
          <w:ilvl w:val="1"/>
          <w:numId w:val="30"/>
        </w:numPr>
        <w:suppressAutoHyphens w:val="0"/>
        <w:autoSpaceDE w:val="0"/>
        <w:autoSpaceDN w:val="0"/>
        <w:adjustRightInd w:val="0"/>
        <w:ind w:left="851" w:right="851" w:firstLine="709"/>
        <w:contextualSpacing/>
        <w:jc w:val="both"/>
        <w:rPr>
          <w:rFonts w:eastAsia="Calibri"/>
          <w:lang w:val="es-CR" w:eastAsia="en-US"/>
        </w:rPr>
      </w:pPr>
      <w:r w:rsidRPr="002C0DC3">
        <w:rPr>
          <w:rFonts w:eastAsia="Calibri"/>
          <w:lang w:val="es-CR" w:eastAsia="en-US"/>
        </w:rPr>
        <w:t>Producto de la Reforma Procesal Civil, se reorganizaron los juzgados competentes en cobros mediante la especialización de algunos despachos, esta reorganización se hizo efectiva a partir del 8 de octubre del 2018, por lo que, durante el año 2019, los 19 juzgados de cobro establecidos son los siguientes:</w:t>
      </w:r>
    </w:p>
    <w:p w14:paraId="10D66873" w14:textId="77777777" w:rsidR="002C0DC3" w:rsidRPr="002C0DC3" w:rsidRDefault="002C0DC3" w:rsidP="002C0DC3">
      <w:pPr>
        <w:widowControl w:val="0"/>
        <w:suppressAutoHyphens w:val="0"/>
        <w:autoSpaceDE w:val="0"/>
        <w:autoSpaceDN w:val="0"/>
        <w:adjustRightInd w:val="0"/>
        <w:ind w:left="851" w:right="851" w:firstLine="709"/>
        <w:contextualSpacing/>
        <w:jc w:val="both"/>
        <w:rPr>
          <w:rFonts w:eastAsia="Calibri"/>
          <w:lang w:val="es-CR" w:eastAsia="en-US"/>
        </w:rPr>
      </w:pPr>
    </w:p>
    <w:p w14:paraId="0C71C891" w14:textId="77777777" w:rsidR="002C0DC3" w:rsidRPr="002C0DC3" w:rsidRDefault="002C0DC3" w:rsidP="002C0DC3">
      <w:pPr>
        <w:widowControl w:val="0"/>
        <w:suppressAutoHyphens w:val="0"/>
        <w:autoSpaceDE w:val="0"/>
        <w:autoSpaceDN w:val="0"/>
        <w:adjustRightInd w:val="0"/>
        <w:ind w:left="851" w:right="851" w:firstLine="709"/>
        <w:contextualSpacing/>
        <w:jc w:val="center"/>
        <w:rPr>
          <w:rFonts w:eastAsia="Calibri"/>
          <w:b/>
          <w:bCs/>
          <w:lang w:val="es-CR" w:eastAsia="en-US"/>
        </w:rPr>
      </w:pPr>
      <w:r w:rsidRPr="002C0DC3">
        <w:rPr>
          <w:rFonts w:eastAsia="Calibri"/>
          <w:b/>
          <w:bCs/>
          <w:lang w:val="es-CR" w:eastAsia="en-US"/>
        </w:rPr>
        <w:t>Cuadro N°1.1</w:t>
      </w:r>
    </w:p>
    <w:p w14:paraId="0F70F8A8" w14:textId="0DFDEAC2" w:rsidR="002C0DC3" w:rsidRPr="002C0DC3" w:rsidRDefault="002C0DC3" w:rsidP="002C0DC3">
      <w:pPr>
        <w:widowControl w:val="0"/>
        <w:suppressAutoHyphens w:val="0"/>
        <w:autoSpaceDE w:val="0"/>
        <w:autoSpaceDN w:val="0"/>
        <w:adjustRightInd w:val="0"/>
        <w:ind w:left="851" w:right="851" w:firstLine="709"/>
        <w:contextualSpacing/>
        <w:jc w:val="center"/>
        <w:rPr>
          <w:rFonts w:eastAsia="Calibri"/>
          <w:b/>
          <w:bCs/>
          <w:lang w:val="es-CR" w:eastAsia="en-US"/>
        </w:rPr>
      </w:pPr>
      <w:r w:rsidRPr="002C0DC3">
        <w:rPr>
          <w:rFonts w:eastAsia="Calibri"/>
          <w:b/>
          <w:bCs/>
          <w:lang w:val="es-CR" w:eastAsia="en-US"/>
        </w:rPr>
        <w:t>Juzgados que dan atención a la Materia Cobratoria de forma especializada</w:t>
      </w:r>
      <w:r>
        <w:rPr>
          <w:rFonts w:eastAsia="Calibri"/>
          <w:b/>
          <w:bCs/>
          <w:lang w:val="es-CR" w:eastAsia="en-US"/>
        </w:rPr>
        <w:t xml:space="preserve"> </w:t>
      </w:r>
      <w:r w:rsidRPr="002C0DC3">
        <w:rPr>
          <w:rFonts w:eastAsia="Calibri"/>
          <w:b/>
          <w:bCs/>
          <w:lang w:val="es-CR" w:eastAsia="en-US"/>
        </w:rPr>
        <w:t>o mixta, según código, para el período 2020</w:t>
      </w:r>
    </w:p>
    <w:p w14:paraId="7BFFF6B5" w14:textId="77777777" w:rsidR="002C0DC3" w:rsidRPr="002C0DC3" w:rsidRDefault="002C0DC3" w:rsidP="002C0DC3">
      <w:pPr>
        <w:widowControl w:val="0"/>
        <w:suppressAutoHyphens w:val="0"/>
        <w:autoSpaceDE w:val="0"/>
        <w:autoSpaceDN w:val="0"/>
        <w:adjustRightInd w:val="0"/>
        <w:ind w:left="851" w:right="851" w:firstLine="709"/>
        <w:contextualSpacing/>
        <w:jc w:val="center"/>
        <w:rPr>
          <w:rFonts w:eastAsia="Calibri"/>
          <w:b/>
          <w:bCs/>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7161"/>
        <w:gridCol w:w="1336"/>
      </w:tblGrid>
      <w:tr w:rsidR="002C0DC3" w:rsidRPr="002C0DC3" w14:paraId="48AAB7B8" w14:textId="77777777" w:rsidTr="002C0DC3">
        <w:trPr>
          <w:trHeight w:val="301"/>
          <w:tblHeader/>
          <w:jc w:val="center"/>
        </w:trPr>
        <w:tc>
          <w:tcPr>
            <w:tcW w:w="5000" w:type="pct"/>
            <w:gridSpan w:val="3"/>
            <w:shd w:val="clear" w:color="auto" w:fill="auto"/>
            <w:vAlign w:val="center"/>
            <w:hideMark/>
          </w:tcPr>
          <w:p w14:paraId="25A86801"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Juzgados Cobro</w:t>
            </w:r>
          </w:p>
        </w:tc>
      </w:tr>
      <w:tr w:rsidR="002C0DC3" w:rsidRPr="002C0DC3" w14:paraId="789597F8" w14:textId="77777777" w:rsidTr="002C0DC3">
        <w:trPr>
          <w:trHeight w:val="290"/>
          <w:tblHeader/>
          <w:jc w:val="center"/>
        </w:trPr>
        <w:tc>
          <w:tcPr>
            <w:tcW w:w="478" w:type="pct"/>
            <w:shd w:val="clear" w:color="auto" w:fill="auto"/>
            <w:vAlign w:val="center"/>
            <w:hideMark/>
          </w:tcPr>
          <w:p w14:paraId="5856E103"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 </w:t>
            </w:r>
          </w:p>
        </w:tc>
        <w:tc>
          <w:tcPr>
            <w:tcW w:w="3811" w:type="pct"/>
            <w:shd w:val="clear" w:color="auto" w:fill="auto"/>
            <w:vAlign w:val="center"/>
            <w:hideMark/>
          </w:tcPr>
          <w:p w14:paraId="180321C2"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Descripción despacho</w:t>
            </w:r>
          </w:p>
        </w:tc>
        <w:tc>
          <w:tcPr>
            <w:tcW w:w="712" w:type="pct"/>
            <w:shd w:val="clear" w:color="auto" w:fill="auto"/>
            <w:vAlign w:val="center"/>
            <w:hideMark/>
          </w:tcPr>
          <w:p w14:paraId="4B32D802"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Código</w:t>
            </w:r>
          </w:p>
        </w:tc>
      </w:tr>
      <w:tr w:rsidR="002C0DC3" w:rsidRPr="002C0DC3" w14:paraId="0D29E564" w14:textId="77777777" w:rsidTr="002C0DC3">
        <w:trPr>
          <w:trHeight w:val="290"/>
          <w:jc w:val="center"/>
        </w:trPr>
        <w:tc>
          <w:tcPr>
            <w:tcW w:w="478" w:type="pct"/>
            <w:shd w:val="clear" w:color="auto" w:fill="auto"/>
            <w:vAlign w:val="center"/>
            <w:hideMark/>
          </w:tcPr>
          <w:p w14:paraId="1DF3FDB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w:t>
            </w:r>
          </w:p>
        </w:tc>
        <w:tc>
          <w:tcPr>
            <w:tcW w:w="3811" w:type="pct"/>
            <w:shd w:val="clear" w:color="auto" w:fill="auto"/>
            <w:vAlign w:val="bottom"/>
            <w:hideMark/>
          </w:tcPr>
          <w:p w14:paraId="3459B37E"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Primero Especializado de Cobro I Circuito Judicial De San Jose</w:t>
            </w:r>
          </w:p>
        </w:tc>
        <w:tc>
          <w:tcPr>
            <w:tcW w:w="712" w:type="pct"/>
            <w:shd w:val="clear" w:color="auto" w:fill="auto"/>
            <w:vAlign w:val="center"/>
            <w:hideMark/>
          </w:tcPr>
          <w:p w14:paraId="7047CA54"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1044</w:t>
            </w:r>
          </w:p>
        </w:tc>
      </w:tr>
      <w:tr w:rsidR="002C0DC3" w:rsidRPr="002C0DC3" w14:paraId="4ADDA7EB" w14:textId="77777777" w:rsidTr="002C0DC3">
        <w:trPr>
          <w:trHeight w:val="290"/>
          <w:jc w:val="center"/>
        </w:trPr>
        <w:tc>
          <w:tcPr>
            <w:tcW w:w="478" w:type="pct"/>
            <w:shd w:val="clear" w:color="auto" w:fill="auto"/>
            <w:vAlign w:val="center"/>
            <w:hideMark/>
          </w:tcPr>
          <w:p w14:paraId="1B51DDF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w:t>
            </w:r>
          </w:p>
        </w:tc>
        <w:tc>
          <w:tcPr>
            <w:tcW w:w="3811" w:type="pct"/>
            <w:shd w:val="clear" w:color="auto" w:fill="auto"/>
            <w:vAlign w:val="bottom"/>
            <w:hideMark/>
          </w:tcPr>
          <w:p w14:paraId="2EBCD56C"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Segundo Especializado de Cobro I Circuito Judicial De San Jose</w:t>
            </w:r>
          </w:p>
        </w:tc>
        <w:tc>
          <w:tcPr>
            <w:tcW w:w="712" w:type="pct"/>
            <w:shd w:val="clear" w:color="auto" w:fill="auto"/>
            <w:vAlign w:val="center"/>
            <w:hideMark/>
          </w:tcPr>
          <w:p w14:paraId="1D546CC6"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1170</w:t>
            </w:r>
          </w:p>
        </w:tc>
      </w:tr>
      <w:tr w:rsidR="002C0DC3" w:rsidRPr="002C0DC3" w14:paraId="1CB3853B" w14:textId="77777777" w:rsidTr="002C0DC3">
        <w:trPr>
          <w:trHeight w:val="290"/>
          <w:jc w:val="center"/>
        </w:trPr>
        <w:tc>
          <w:tcPr>
            <w:tcW w:w="478" w:type="pct"/>
            <w:shd w:val="clear" w:color="auto" w:fill="auto"/>
            <w:vAlign w:val="center"/>
            <w:hideMark/>
          </w:tcPr>
          <w:p w14:paraId="347FC0D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w:t>
            </w:r>
          </w:p>
        </w:tc>
        <w:tc>
          <w:tcPr>
            <w:tcW w:w="3811" w:type="pct"/>
            <w:shd w:val="clear" w:color="auto" w:fill="auto"/>
            <w:vAlign w:val="bottom"/>
            <w:hideMark/>
          </w:tcPr>
          <w:p w14:paraId="24166D46"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Tercero Especializado de Cobro I Circuito Judicial De San Jose</w:t>
            </w:r>
          </w:p>
        </w:tc>
        <w:tc>
          <w:tcPr>
            <w:tcW w:w="712" w:type="pct"/>
            <w:shd w:val="clear" w:color="auto" w:fill="auto"/>
            <w:vAlign w:val="center"/>
            <w:hideMark/>
          </w:tcPr>
          <w:p w14:paraId="0B6AD67F"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1338</w:t>
            </w:r>
          </w:p>
        </w:tc>
      </w:tr>
      <w:tr w:rsidR="002C0DC3" w:rsidRPr="002C0DC3" w14:paraId="024B2926" w14:textId="77777777" w:rsidTr="002C0DC3">
        <w:trPr>
          <w:trHeight w:val="290"/>
          <w:jc w:val="center"/>
        </w:trPr>
        <w:tc>
          <w:tcPr>
            <w:tcW w:w="478" w:type="pct"/>
            <w:shd w:val="clear" w:color="auto" w:fill="auto"/>
            <w:vAlign w:val="center"/>
            <w:hideMark/>
          </w:tcPr>
          <w:p w14:paraId="2E0AD9A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w:t>
            </w:r>
          </w:p>
        </w:tc>
        <w:tc>
          <w:tcPr>
            <w:tcW w:w="3811" w:type="pct"/>
            <w:shd w:val="clear" w:color="auto" w:fill="auto"/>
            <w:vAlign w:val="bottom"/>
            <w:hideMark/>
          </w:tcPr>
          <w:p w14:paraId="714D0F32"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Especializado de Cobro II Circuito Judicial De San José, Sección Primera</w:t>
            </w:r>
          </w:p>
        </w:tc>
        <w:tc>
          <w:tcPr>
            <w:tcW w:w="712" w:type="pct"/>
            <w:shd w:val="clear" w:color="auto" w:fill="auto"/>
            <w:vAlign w:val="center"/>
            <w:hideMark/>
          </w:tcPr>
          <w:p w14:paraId="344CD319"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1763</w:t>
            </w:r>
          </w:p>
        </w:tc>
      </w:tr>
      <w:tr w:rsidR="002C0DC3" w:rsidRPr="002C0DC3" w14:paraId="7E6E2A7D" w14:textId="77777777" w:rsidTr="002C0DC3">
        <w:trPr>
          <w:trHeight w:val="290"/>
          <w:jc w:val="center"/>
        </w:trPr>
        <w:tc>
          <w:tcPr>
            <w:tcW w:w="478" w:type="pct"/>
            <w:shd w:val="clear" w:color="auto" w:fill="auto"/>
            <w:vAlign w:val="center"/>
            <w:hideMark/>
          </w:tcPr>
          <w:p w14:paraId="187639B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5</w:t>
            </w:r>
          </w:p>
        </w:tc>
        <w:tc>
          <w:tcPr>
            <w:tcW w:w="3811" w:type="pct"/>
            <w:shd w:val="clear" w:color="auto" w:fill="auto"/>
            <w:vAlign w:val="bottom"/>
            <w:hideMark/>
          </w:tcPr>
          <w:p w14:paraId="0A913A6A"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Especializado de Cobro II Circuito Judicial De San José, Sección Segunda</w:t>
            </w:r>
          </w:p>
        </w:tc>
        <w:tc>
          <w:tcPr>
            <w:tcW w:w="712" w:type="pct"/>
            <w:shd w:val="clear" w:color="auto" w:fill="auto"/>
            <w:vAlign w:val="center"/>
            <w:hideMark/>
          </w:tcPr>
          <w:p w14:paraId="007AB493"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1764</w:t>
            </w:r>
          </w:p>
        </w:tc>
      </w:tr>
      <w:tr w:rsidR="002C0DC3" w:rsidRPr="002C0DC3" w14:paraId="534C8EA3" w14:textId="77777777" w:rsidTr="002C0DC3">
        <w:trPr>
          <w:trHeight w:val="290"/>
          <w:jc w:val="center"/>
        </w:trPr>
        <w:tc>
          <w:tcPr>
            <w:tcW w:w="478" w:type="pct"/>
            <w:shd w:val="clear" w:color="auto" w:fill="auto"/>
            <w:vAlign w:val="center"/>
            <w:hideMark/>
          </w:tcPr>
          <w:p w14:paraId="6360FB5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w:t>
            </w:r>
          </w:p>
        </w:tc>
        <w:tc>
          <w:tcPr>
            <w:tcW w:w="3811" w:type="pct"/>
            <w:shd w:val="clear" w:color="auto" w:fill="auto"/>
            <w:vAlign w:val="bottom"/>
            <w:hideMark/>
          </w:tcPr>
          <w:p w14:paraId="1A981134"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Especializado de Cobro II Circuito Judicial De San José, Sección Tercera</w:t>
            </w:r>
          </w:p>
        </w:tc>
        <w:tc>
          <w:tcPr>
            <w:tcW w:w="712" w:type="pct"/>
            <w:shd w:val="clear" w:color="auto" w:fill="auto"/>
            <w:vAlign w:val="center"/>
            <w:hideMark/>
          </w:tcPr>
          <w:p w14:paraId="56D8B960"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1765</w:t>
            </w:r>
          </w:p>
        </w:tc>
      </w:tr>
      <w:tr w:rsidR="002C0DC3" w:rsidRPr="002C0DC3" w14:paraId="1C628289" w14:textId="77777777" w:rsidTr="002C0DC3">
        <w:trPr>
          <w:trHeight w:val="290"/>
          <w:jc w:val="center"/>
        </w:trPr>
        <w:tc>
          <w:tcPr>
            <w:tcW w:w="478" w:type="pct"/>
            <w:shd w:val="clear" w:color="auto" w:fill="auto"/>
            <w:vAlign w:val="center"/>
            <w:hideMark/>
          </w:tcPr>
          <w:p w14:paraId="3B08D93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7</w:t>
            </w:r>
          </w:p>
        </w:tc>
        <w:tc>
          <w:tcPr>
            <w:tcW w:w="3811" w:type="pct"/>
            <w:shd w:val="clear" w:color="auto" w:fill="auto"/>
            <w:vAlign w:val="bottom"/>
            <w:hideMark/>
          </w:tcPr>
          <w:p w14:paraId="5D829A5A"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del I Circuito Judicial De Alajuela</w:t>
            </w:r>
          </w:p>
        </w:tc>
        <w:tc>
          <w:tcPr>
            <w:tcW w:w="712" w:type="pct"/>
            <w:shd w:val="clear" w:color="auto" w:fill="auto"/>
            <w:vAlign w:val="center"/>
            <w:hideMark/>
          </w:tcPr>
          <w:p w14:paraId="76685A70"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1157</w:t>
            </w:r>
          </w:p>
        </w:tc>
      </w:tr>
      <w:tr w:rsidR="002C0DC3" w:rsidRPr="002C0DC3" w14:paraId="420E7EAE" w14:textId="77777777" w:rsidTr="002C0DC3">
        <w:trPr>
          <w:trHeight w:val="290"/>
          <w:jc w:val="center"/>
        </w:trPr>
        <w:tc>
          <w:tcPr>
            <w:tcW w:w="478" w:type="pct"/>
            <w:shd w:val="clear" w:color="auto" w:fill="auto"/>
            <w:vAlign w:val="center"/>
            <w:hideMark/>
          </w:tcPr>
          <w:p w14:paraId="0A368163"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8</w:t>
            </w:r>
          </w:p>
        </w:tc>
        <w:tc>
          <w:tcPr>
            <w:tcW w:w="3811" w:type="pct"/>
            <w:shd w:val="clear" w:color="auto" w:fill="auto"/>
            <w:vAlign w:val="bottom"/>
            <w:hideMark/>
          </w:tcPr>
          <w:p w14:paraId="680E6E9B"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del II Circuito Judicial De Alajuela</w:t>
            </w:r>
          </w:p>
        </w:tc>
        <w:tc>
          <w:tcPr>
            <w:tcW w:w="712" w:type="pct"/>
            <w:shd w:val="clear" w:color="auto" w:fill="auto"/>
            <w:vAlign w:val="center"/>
            <w:hideMark/>
          </w:tcPr>
          <w:p w14:paraId="0CB620A1"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1202</w:t>
            </w:r>
          </w:p>
        </w:tc>
      </w:tr>
      <w:tr w:rsidR="002C0DC3" w:rsidRPr="002C0DC3" w14:paraId="3501AA1E" w14:textId="77777777" w:rsidTr="002C0DC3">
        <w:trPr>
          <w:trHeight w:val="290"/>
          <w:jc w:val="center"/>
        </w:trPr>
        <w:tc>
          <w:tcPr>
            <w:tcW w:w="478" w:type="pct"/>
            <w:shd w:val="clear" w:color="auto" w:fill="auto"/>
            <w:vAlign w:val="center"/>
            <w:hideMark/>
          </w:tcPr>
          <w:p w14:paraId="411EA9E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9</w:t>
            </w:r>
          </w:p>
        </w:tc>
        <w:tc>
          <w:tcPr>
            <w:tcW w:w="3811" w:type="pct"/>
            <w:shd w:val="clear" w:color="auto" w:fill="auto"/>
            <w:vAlign w:val="bottom"/>
            <w:hideMark/>
          </w:tcPr>
          <w:p w14:paraId="50691B2C"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Juzgado De Cobro del III Circuito Judicial De Alajuela (San Ramón) </w:t>
            </w:r>
          </w:p>
        </w:tc>
        <w:tc>
          <w:tcPr>
            <w:tcW w:w="712" w:type="pct"/>
            <w:shd w:val="clear" w:color="auto" w:fill="auto"/>
            <w:vAlign w:val="center"/>
            <w:hideMark/>
          </w:tcPr>
          <w:p w14:paraId="6B44446B"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1203</w:t>
            </w:r>
          </w:p>
        </w:tc>
      </w:tr>
      <w:tr w:rsidR="002C0DC3" w:rsidRPr="002C0DC3" w14:paraId="07561843" w14:textId="77777777" w:rsidTr="002C0DC3">
        <w:trPr>
          <w:trHeight w:val="290"/>
          <w:jc w:val="center"/>
        </w:trPr>
        <w:tc>
          <w:tcPr>
            <w:tcW w:w="478" w:type="pct"/>
            <w:shd w:val="clear" w:color="auto" w:fill="auto"/>
            <w:vAlign w:val="center"/>
            <w:hideMark/>
          </w:tcPr>
          <w:p w14:paraId="1BE81472"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w:t>
            </w:r>
          </w:p>
        </w:tc>
        <w:tc>
          <w:tcPr>
            <w:tcW w:w="3811" w:type="pct"/>
            <w:shd w:val="clear" w:color="auto" w:fill="auto"/>
            <w:vAlign w:val="bottom"/>
            <w:hideMark/>
          </w:tcPr>
          <w:p w14:paraId="31652132"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 Grecia</w:t>
            </w:r>
          </w:p>
        </w:tc>
        <w:tc>
          <w:tcPr>
            <w:tcW w:w="712" w:type="pct"/>
            <w:shd w:val="clear" w:color="auto" w:fill="auto"/>
            <w:vAlign w:val="center"/>
            <w:hideMark/>
          </w:tcPr>
          <w:p w14:paraId="0FB75575"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1204</w:t>
            </w:r>
          </w:p>
        </w:tc>
      </w:tr>
      <w:tr w:rsidR="002C0DC3" w:rsidRPr="002C0DC3" w14:paraId="4695F45E" w14:textId="77777777" w:rsidTr="002C0DC3">
        <w:trPr>
          <w:trHeight w:val="290"/>
          <w:jc w:val="center"/>
        </w:trPr>
        <w:tc>
          <w:tcPr>
            <w:tcW w:w="478" w:type="pct"/>
            <w:shd w:val="clear" w:color="auto" w:fill="auto"/>
            <w:vAlign w:val="center"/>
            <w:hideMark/>
          </w:tcPr>
          <w:p w14:paraId="0CED8302"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11</w:t>
            </w:r>
          </w:p>
        </w:tc>
        <w:tc>
          <w:tcPr>
            <w:tcW w:w="3811" w:type="pct"/>
            <w:shd w:val="clear" w:color="auto" w:fill="auto"/>
            <w:vAlign w:val="bottom"/>
            <w:hideMark/>
          </w:tcPr>
          <w:p w14:paraId="0EC78DD7"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Especializado De Cobro De Cartago</w:t>
            </w:r>
          </w:p>
        </w:tc>
        <w:tc>
          <w:tcPr>
            <w:tcW w:w="712" w:type="pct"/>
            <w:shd w:val="clear" w:color="auto" w:fill="auto"/>
            <w:vAlign w:val="center"/>
            <w:hideMark/>
          </w:tcPr>
          <w:p w14:paraId="189927BB"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1164</w:t>
            </w:r>
          </w:p>
        </w:tc>
      </w:tr>
      <w:tr w:rsidR="002C0DC3" w:rsidRPr="002C0DC3" w14:paraId="2D0D5005" w14:textId="77777777" w:rsidTr="002C0DC3">
        <w:trPr>
          <w:trHeight w:val="290"/>
          <w:jc w:val="center"/>
        </w:trPr>
        <w:tc>
          <w:tcPr>
            <w:tcW w:w="478" w:type="pct"/>
            <w:shd w:val="clear" w:color="auto" w:fill="auto"/>
            <w:vAlign w:val="center"/>
            <w:hideMark/>
          </w:tcPr>
          <w:p w14:paraId="01CCA64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12</w:t>
            </w:r>
          </w:p>
        </w:tc>
        <w:tc>
          <w:tcPr>
            <w:tcW w:w="3811" w:type="pct"/>
            <w:shd w:val="clear" w:color="auto" w:fill="auto"/>
            <w:vAlign w:val="bottom"/>
            <w:hideMark/>
          </w:tcPr>
          <w:p w14:paraId="23138307"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 Heredia</w:t>
            </w:r>
          </w:p>
        </w:tc>
        <w:tc>
          <w:tcPr>
            <w:tcW w:w="712" w:type="pct"/>
            <w:shd w:val="clear" w:color="auto" w:fill="auto"/>
            <w:vAlign w:val="center"/>
            <w:hideMark/>
          </w:tcPr>
          <w:p w14:paraId="3E9674D8"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1158</w:t>
            </w:r>
          </w:p>
        </w:tc>
      </w:tr>
      <w:tr w:rsidR="002C0DC3" w:rsidRPr="002C0DC3" w14:paraId="22B95B8D" w14:textId="77777777" w:rsidTr="002C0DC3">
        <w:trPr>
          <w:trHeight w:val="290"/>
          <w:jc w:val="center"/>
        </w:trPr>
        <w:tc>
          <w:tcPr>
            <w:tcW w:w="478" w:type="pct"/>
            <w:shd w:val="clear" w:color="auto" w:fill="auto"/>
            <w:vAlign w:val="center"/>
            <w:hideMark/>
          </w:tcPr>
          <w:p w14:paraId="72C3A99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13</w:t>
            </w:r>
          </w:p>
        </w:tc>
        <w:tc>
          <w:tcPr>
            <w:tcW w:w="3811" w:type="pct"/>
            <w:shd w:val="clear" w:color="auto" w:fill="auto"/>
            <w:vAlign w:val="bottom"/>
            <w:hideMark/>
          </w:tcPr>
          <w:p w14:paraId="574D83D5"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I Circuito Judicial Guanacaste (Liberia)</w:t>
            </w:r>
          </w:p>
        </w:tc>
        <w:tc>
          <w:tcPr>
            <w:tcW w:w="712" w:type="pct"/>
            <w:shd w:val="clear" w:color="auto" w:fill="auto"/>
            <w:vAlign w:val="center"/>
            <w:hideMark/>
          </w:tcPr>
          <w:p w14:paraId="53C75FF7"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1205</w:t>
            </w:r>
          </w:p>
        </w:tc>
      </w:tr>
      <w:tr w:rsidR="002C0DC3" w:rsidRPr="002C0DC3" w14:paraId="5EAE862C" w14:textId="77777777" w:rsidTr="002C0DC3">
        <w:trPr>
          <w:trHeight w:val="290"/>
          <w:jc w:val="center"/>
        </w:trPr>
        <w:tc>
          <w:tcPr>
            <w:tcW w:w="478" w:type="pct"/>
            <w:shd w:val="clear" w:color="auto" w:fill="auto"/>
            <w:vAlign w:val="center"/>
            <w:hideMark/>
          </w:tcPr>
          <w:p w14:paraId="3BF9FB60"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14</w:t>
            </w:r>
          </w:p>
        </w:tc>
        <w:tc>
          <w:tcPr>
            <w:tcW w:w="3811" w:type="pct"/>
            <w:shd w:val="clear" w:color="auto" w:fill="auto"/>
            <w:vAlign w:val="bottom"/>
            <w:hideMark/>
          </w:tcPr>
          <w:p w14:paraId="002D72D6"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Del II Circuito Judicial Guanacaste (Santa Cruz)</w:t>
            </w:r>
          </w:p>
        </w:tc>
        <w:tc>
          <w:tcPr>
            <w:tcW w:w="712" w:type="pct"/>
            <w:shd w:val="clear" w:color="auto" w:fill="auto"/>
            <w:vAlign w:val="center"/>
            <w:hideMark/>
          </w:tcPr>
          <w:p w14:paraId="6A9B30DD"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1206</w:t>
            </w:r>
          </w:p>
        </w:tc>
      </w:tr>
      <w:tr w:rsidR="002C0DC3" w:rsidRPr="002C0DC3" w14:paraId="07C9B2CD" w14:textId="77777777" w:rsidTr="002C0DC3">
        <w:trPr>
          <w:trHeight w:val="290"/>
          <w:jc w:val="center"/>
        </w:trPr>
        <w:tc>
          <w:tcPr>
            <w:tcW w:w="478" w:type="pct"/>
            <w:shd w:val="clear" w:color="auto" w:fill="auto"/>
            <w:vAlign w:val="center"/>
            <w:hideMark/>
          </w:tcPr>
          <w:p w14:paraId="685E1FD2"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15</w:t>
            </w:r>
          </w:p>
        </w:tc>
        <w:tc>
          <w:tcPr>
            <w:tcW w:w="3811" w:type="pct"/>
            <w:shd w:val="clear" w:color="auto" w:fill="auto"/>
            <w:vAlign w:val="bottom"/>
            <w:hideMark/>
          </w:tcPr>
          <w:p w14:paraId="7DF7B352"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 Puntarenas</w:t>
            </w:r>
          </w:p>
        </w:tc>
        <w:tc>
          <w:tcPr>
            <w:tcW w:w="712" w:type="pct"/>
            <w:shd w:val="clear" w:color="auto" w:fill="auto"/>
            <w:vAlign w:val="center"/>
            <w:hideMark/>
          </w:tcPr>
          <w:p w14:paraId="22A7508B"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1207</w:t>
            </w:r>
          </w:p>
        </w:tc>
      </w:tr>
      <w:tr w:rsidR="002C0DC3" w:rsidRPr="002C0DC3" w14:paraId="309BBE16" w14:textId="77777777" w:rsidTr="002C0DC3">
        <w:trPr>
          <w:trHeight w:val="290"/>
          <w:jc w:val="center"/>
        </w:trPr>
        <w:tc>
          <w:tcPr>
            <w:tcW w:w="478" w:type="pct"/>
            <w:shd w:val="clear" w:color="auto" w:fill="auto"/>
            <w:vAlign w:val="center"/>
            <w:hideMark/>
          </w:tcPr>
          <w:p w14:paraId="5FDD0ED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16</w:t>
            </w:r>
          </w:p>
        </w:tc>
        <w:tc>
          <w:tcPr>
            <w:tcW w:w="3811" w:type="pct"/>
            <w:shd w:val="clear" w:color="auto" w:fill="auto"/>
            <w:vAlign w:val="bottom"/>
            <w:hideMark/>
          </w:tcPr>
          <w:p w14:paraId="3E8EC93C"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I Circuito Judicial Zona Sur (Pérez Zeledón)</w:t>
            </w:r>
          </w:p>
        </w:tc>
        <w:tc>
          <w:tcPr>
            <w:tcW w:w="712" w:type="pct"/>
            <w:shd w:val="clear" w:color="auto" w:fill="auto"/>
            <w:vAlign w:val="center"/>
            <w:hideMark/>
          </w:tcPr>
          <w:p w14:paraId="06CAE40F"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1200</w:t>
            </w:r>
          </w:p>
        </w:tc>
      </w:tr>
      <w:tr w:rsidR="002C0DC3" w:rsidRPr="002C0DC3" w14:paraId="7A87CBA4" w14:textId="77777777" w:rsidTr="002C0DC3">
        <w:trPr>
          <w:trHeight w:val="290"/>
          <w:jc w:val="center"/>
        </w:trPr>
        <w:tc>
          <w:tcPr>
            <w:tcW w:w="478" w:type="pct"/>
            <w:shd w:val="clear" w:color="auto" w:fill="auto"/>
            <w:vAlign w:val="center"/>
            <w:hideMark/>
          </w:tcPr>
          <w:p w14:paraId="61D8130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17</w:t>
            </w:r>
          </w:p>
        </w:tc>
        <w:tc>
          <w:tcPr>
            <w:tcW w:w="3811" w:type="pct"/>
            <w:shd w:val="clear" w:color="auto" w:fill="auto"/>
            <w:vAlign w:val="bottom"/>
            <w:hideMark/>
          </w:tcPr>
          <w:p w14:paraId="395EE6DC"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 Golfito</w:t>
            </w:r>
          </w:p>
        </w:tc>
        <w:tc>
          <w:tcPr>
            <w:tcW w:w="712" w:type="pct"/>
            <w:shd w:val="clear" w:color="auto" w:fill="auto"/>
            <w:vAlign w:val="center"/>
            <w:hideMark/>
          </w:tcPr>
          <w:p w14:paraId="08CB4E4E"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1201</w:t>
            </w:r>
          </w:p>
        </w:tc>
      </w:tr>
      <w:tr w:rsidR="002C0DC3" w:rsidRPr="002C0DC3" w14:paraId="106DEB7C" w14:textId="77777777" w:rsidTr="002C0DC3">
        <w:trPr>
          <w:trHeight w:val="290"/>
          <w:jc w:val="center"/>
        </w:trPr>
        <w:tc>
          <w:tcPr>
            <w:tcW w:w="478" w:type="pct"/>
            <w:shd w:val="clear" w:color="auto" w:fill="auto"/>
            <w:vAlign w:val="center"/>
            <w:hideMark/>
          </w:tcPr>
          <w:p w14:paraId="469C537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18</w:t>
            </w:r>
          </w:p>
        </w:tc>
        <w:tc>
          <w:tcPr>
            <w:tcW w:w="3811" w:type="pct"/>
            <w:shd w:val="clear" w:color="auto" w:fill="auto"/>
            <w:vAlign w:val="bottom"/>
            <w:hideMark/>
          </w:tcPr>
          <w:p w14:paraId="763A7329"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Del I Circuito Judicial Zona Atlántica (Limón)</w:t>
            </w:r>
          </w:p>
        </w:tc>
        <w:tc>
          <w:tcPr>
            <w:tcW w:w="712" w:type="pct"/>
            <w:shd w:val="clear" w:color="auto" w:fill="auto"/>
            <w:vAlign w:val="center"/>
            <w:hideMark/>
          </w:tcPr>
          <w:p w14:paraId="3B60ECEC"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1208</w:t>
            </w:r>
          </w:p>
        </w:tc>
      </w:tr>
      <w:tr w:rsidR="002C0DC3" w:rsidRPr="002C0DC3" w14:paraId="7F1D72DB" w14:textId="77777777" w:rsidTr="002C0DC3">
        <w:trPr>
          <w:trHeight w:val="290"/>
          <w:jc w:val="center"/>
        </w:trPr>
        <w:tc>
          <w:tcPr>
            <w:tcW w:w="478" w:type="pct"/>
            <w:shd w:val="clear" w:color="auto" w:fill="auto"/>
            <w:vAlign w:val="center"/>
            <w:hideMark/>
          </w:tcPr>
          <w:p w14:paraId="63EFAE0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19</w:t>
            </w:r>
          </w:p>
        </w:tc>
        <w:tc>
          <w:tcPr>
            <w:tcW w:w="3811" w:type="pct"/>
            <w:shd w:val="clear" w:color="auto" w:fill="auto"/>
            <w:vAlign w:val="bottom"/>
            <w:hideMark/>
          </w:tcPr>
          <w:p w14:paraId="7CF4A619"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 Pococí</w:t>
            </w:r>
          </w:p>
        </w:tc>
        <w:tc>
          <w:tcPr>
            <w:tcW w:w="712" w:type="pct"/>
            <w:shd w:val="clear" w:color="auto" w:fill="auto"/>
            <w:vAlign w:val="center"/>
            <w:hideMark/>
          </w:tcPr>
          <w:p w14:paraId="5094FF92" w14:textId="77777777" w:rsidR="002C0DC3" w:rsidRPr="002C0DC3" w:rsidRDefault="002C0DC3" w:rsidP="002C0DC3">
            <w:pPr>
              <w:suppressAutoHyphens w:val="0"/>
              <w:jc w:val="right"/>
              <w:rPr>
                <w:rFonts w:eastAsia="Calibri"/>
                <w:lang w:val="es-CR" w:eastAsia="es-CR"/>
              </w:rPr>
            </w:pPr>
            <w:r w:rsidRPr="002C0DC3">
              <w:rPr>
                <w:rFonts w:eastAsia="Calibri"/>
                <w:lang w:val="es-CR" w:eastAsia="es-CR"/>
              </w:rPr>
              <w:t>1209</w:t>
            </w:r>
          </w:p>
        </w:tc>
      </w:tr>
    </w:tbl>
    <w:p w14:paraId="27CC2E33" w14:textId="77777777" w:rsidR="002C0DC3" w:rsidRPr="002C0DC3" w:rsidRDefault="002C0DC3" w:rsidP="002C0DC3">
      <w:pPr>
        <w:widowControl w:val="0"/>
        <w:suppressAutoHyphens w:val="0"/>
        <w:autoSpaceDE w:val="0"/>
        <w:autoSpaceDN w:val="0"/>
        <w:adjustRightInd w:val="0"/>
        <w:ind w:left="357"/>
        <w:contextualSpacing/>
        <w:jc w:val="both"/>
        <w:rPr>
          <w:rFonts w:eastAsia="Calibri"/>
          <w:lang w:val="es-CR" w:eastAsia="en-US"/>
        </w:rPr>
      </w:pPr>
    </w:p>
    <w:p w14:paraId="5F153111" w14:textId="77777777" w:rsidR="002C0DC3" w:rsidRPr="002C0DC3" w:rsidRDefault="002C0DC3" w:rsidP="00CE3D95">
      <w:pPr>
        <w:widowControl w:val="0"/>
        <w:numPr>
          <w:ilvl w:val="1"/>
          <w:numId w:val="30"/>
        </w:numPr>
        <w:suppressAutoHyphens w:val="0"/>
        <w:autoSpaceDE w:val="0"/>
        <w:autoSpaceDN w:val="0"/>
        <w:adjustRightInd w:val="0"/>
        <w:ind w:left="851" w:right="851" w:firstLine="709"/>
        <w:contextualSpacing/>
        <w:jc w:val="both"/>
        <w:rPr>
          <w:rFonts w:eastAsia="Calibri"/>
          <w:lang w:val="es-CR" w:eastAsia="en-US"/>
        </w:rPr>
      </w:pPr>
      <w:r w:rsidRPr="002C0DC3">
        <w:rPr>
          <w:rFonts w:eastAsia="Calibri"/>
          <w:lang w:val="es-CR" w:eastAsia="es-CR"/>
        </w:rPr>
        <w:t xml:space="preserve">Durante el 2020 no se realizaron los inventarios en los 19 despachos </w:t>
      </w:r>
      <w:r w:rsidRPr="002C0DC3">
        <w:rPr>
          <w:rFonts w:eastAsia="Calibri"/>
          <w:lang w:val="es-CR" w:eastAsia="es-CR"/>
        </w:rPr>
        <w:lastRenderedPageBreak/>
        <w:t xml:space="preserve">que procesan la materia cobratoria, sin embargo, actualmente en coordinación con la Dirección de Tecnología de la Información, los gestores de la Comisión Civil y el Subproceso de Estadística se está desarrollando una herramienta que permita depurar los sistemas de información y gestión y así brindar un mejor servicio para la toma de decisiones.    </w:t>
      </w:r>
    </w:p>
    <w:p w14:paraId="4B085183" w14:textId="77777777" w:rsidR="002C0DC3" w:rsidRPr="002C0DC3" w:rsidRDefault="002C0DC3" w:rsidP="002C0DC3">
      <w:pPr>
        <w:suppressAutoHyphens w:val="0"/>
        <w:ind w:left="851" w:right="851" w:firstLine="709"/>
        <w:jc w:val="both"/>
        <w:rPr>
          <w:rFonts w:eastAsia="Calibri"/>
          <w:lang w:val="es-CR" w:eastAsia="en-US"/>
        </w:rPr>
      </w:pPr>
    </w:p>
    <w:p w14:paraId="192BDD7E" w14:textId="77777777" w:rsidR="002C0DC3" w:rsidRPr="002C0DC3" w:rsidRDefault="002C0DC3" w:rsidP="002C0DC3">
      <w:pPr>
        <w:keepNext/>
        <w:keepLines/>
        <w:suppressAutoHyphens w:val="0"/>
        <w:ind w:left="851" w:right="851" w:firstLine="709"/>
        <w:jc w:val="both"/>
        <w:rPr>
          <w:b/>
          <w:lang w:val="es-CR" w:eastAsia="es-CR"/>
        </w:rPr>
      </w:pPr>
      <w:bookmarkStart w:id="5" w:name="_Toc74138065"/>
      <w:bookmarkStart w:id="6" w:name="_Toc80351019"/>
      <w:r w:rsidRPr="002C0DC3">
        <w:rPr>
          <w:b/>
          <w:lang w:val="es-CR" w:eastAsia="es-CR"/>
        </w:rPr>
        <w:t>Hechos Relevantes</w:t>
      </w:r>
      <w:bookmarkEnd w:id="5"/>
      <w:bookmarkEnd w:id="6"/>
    </w:p>
    <w:p w14:paraId="42DCE884" w14:textId="77777777" w:rsidR="002C0DC3" w:rsidRPr="002C0DC3" w:rsidRDefault="002C0DC3" w:rsidP="002C0DC3">
      <w:pPr>
        <w:suppressAutoHyphens w:val="0"/>
        <w:ind w:left="851" w:right="851" w:firstLine="709"/>
        <w:jc w:val="both"/>
        <w:rPr>
          <w:lang w:eastAsia="es-ES"/>
        </w:rPr>
      </w:pPr>
    </w:p>
    <w:p w14:paraId="2FD0DD35" w14:textId="77777777" w:rsidR="002C0DC3" w:rsidRPr="002C0DC3" w:rsidRDefault="002C0DC3" w:rsidP="002C0DC3">
      <w:pPr>
        <w:suppressAutoHyphens w:val="0"/>
        <w:ind w:left="851" w:right="851" w:firstLine="709"/>
        <w:jc w:val="both"/>
        <w:rPr>
          <w:lang w:eastAsia="es-ES"/>
        </w:rPr>
      </w:pPr>
      <w:r w:rsidRPr="002C0DC3">
        <w:rPr>
          <w:lang w:eastAsia="es-ES"/>
        </w:rPr>
        <w:t xml:space="preserve">A continuación, se presentan los cambios reflejados por los principales indicadores de gestión judicial, vinculados a los Juzgados de Cobro, durante la última década. </w:t>
      </w:r>
    </w:p>
    <w:p w14:paraId="7AC2F824" w14:textId="77777777" w:rsidR="002C0DC3" w:rsidRPr="002C0DC3" w:rsidRDefault="002C0DC3" w:rsidP="002C0DC3">
      <w:pPr>
        <w:suppressAutoHyphens w:val="0"/>
        <w:ind w:left="851" w:right="851" w:firstLine="709"/>
        <w:jc w:val="both"/>
        <w:rPr>
          <w:lang w:eastAsia="es-ES"/>
        </w:rPr>
      </w:pPr>
    </w:p>
    <w:p w14:paraId="24B67EA2" w14:textId="77777777" w:rsidR="002C0DC3" w:rsidRPr="002C0DC3" w:rsidRDefault="002C0DC3" w:rsidP="002C0DC3">
      <w:pPr>
        <w:suppressAutoHyphens w:val="0"/>
        <w:jc w:val="both"/>
        <w:rPr>
          <w:lang w:eastAsia="es-ES"/>
        </w:rPr>
      </w:pPr>
      <w:r w:rsidRPr="002C0DC3">
        <w:rPr>
          <w:rFonts w:eastAsia="Calibri"/>
          <w:noProof/>
          <w:lang w:val="es-CR" w:eastAsia="es-CR"/>
        </w:rPr>
        <w:drawing>
          <wp:inline distT="0" distB="0" distL="0" distR="0" wp14:anchorId="27ADB398" wp14:editId="4DCF9194">
            <wp:extent cx="5715000" cy="4495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495800"/>
                    </a:xfrm>
                    <a:prstGeom prst="rect">
                      <a:avLst/>
                    </a:prstGeom>
                    <a:noFill/>
                    <a:ln>
                      <a:noFill/>
                    </a:ln>
                  </pic:spPr>
                </pic:pic>
              </a:graphicData>
            </a:graphic>
          </wp:inline>
        </w:drawing>
      </w:r>
    </w:p>
    <w:p w14:paraId="0824C294" w14:textId="77777777" w:rsidR="002C0DC3" w:rsidRPr="002C0DC3" w:rsidRDefault="002C0DC3" w:rsidP="002C0DC3">
      <w:pPr>
        <w:suppressAutoHyphens w:val="0"/>
        <w:ind w:left="851" w:right="851" w:firstLine="709"/>
        <w:jc w:val="both"/>
        <w:rPr>
          <w:lang w:eastAsia="es-ES"/>
        </w:rPr>
      </w:pPr>
      <w:r w:rsidRPr="002C0DC3">
        <w:rPr>
          <w:lang w:eastAsia="es-ES"/>
        </w:rPr>
        <w:t>Elaborado por: Subproceso de Estadística, Dirección de Planificación.</w:t>
      </w:r>
    </w:p>
    <w:p w14:paraId="05496450" w14:textId="77777777" w:rsidR="002C0DC3" w:rsidRPr="002C0DC3" w:rsidRDefault="002C0DC3" w:rsidP="002C0DC3">
      <w:pPr>
        <w:suppressAutoHyphens w:val="0"/>
        <w:ind w:left="851" w:right="851" w:firstLine="709"/>
        <w:jc w:val="both"/>
        <w:rPr>
          <w:rFonts w:eastAsia="Calibri"/>
          <w:lang w:val="es-CR" w:eastAsia="en-US"/>
        </w:rPr>
      </w:pPr>
    </w:p>
    <w:p w14:paraId="6B99FB8B" w14:textId="1C5F536F" w:rsidR="002C0DC3" w:rsidRDefault="002C0DC3" w:rsidP="00CE3D95">
      <w:pPr>
        <w:numPr>
          <w:ilvl w:val="1"/>
          <w:numId w:val="34"/>
        </w:numPr>
        <w:suppressAutoHyphens w:val="0"/>
        <w:ind w:left="851" w:right="851" w:firstLine="709"/>
        <w:contextualSpacing/>
        <w:jc w:val="both"/>
        <w:rPr>
          <w:lang w:eastAsia="es-ES"/>
        </w:rPr>
      </w:pPr>
      <w:r w:rsidRPr="002C0DC3">
        <w:rPr>
          <w:lang w:eastAsia="es-ES"/>
        </w:rPr>
        <w:lastRenderedPageBreak/>
        <w:t xml:space="preserve">En los Juzgados de Cobro acumuló un circulante de 832682 expedientes al finalizar el 2020, experimentando un importante aumento de 84526 asuntos versus las existencias registradas hace un año exacto, para un aumento porcentual de 11,3%. </w:t>
      </w:r>
    </w:p>
    <w:p w14:paraId="101077B5" w14:textId="77777777" w:rsidR="002C0DC3" w:rsidRPr="002C0DC3" w:rsidRDefault="002C0DC3" w:rsidP="002C0DC3">
      <w:pPr>
        <w:suppressAutoHyphens w:val="0"/>
        <w:ind w:left="1560" w:right="851"/>
        <w:contextualSpacing/>
        <w:jc w:val="both"/>
        <w:rPr>
          <w:lang w:eastAsia="es-ES"/>
        </w:rPr>
      </w:pPr>
    </w:p>
    <w:p w14:paraId="0D540354" w14:textId="62CD1EF0" w:rsidR="002C0DC3" w:rsidRPr="002C0DC3" w:rsidRDefault="002C0DC3" w:rsidP="00CE3D95">
      <w:pPr>
        <w:numPr>
          <w:ilvl w:val="1"/>
          <w:numId w:val="34"/>
        </w:numPr>
        <w:suppressAutoHyphens w:val="0"/>
        <w:ind w:left="851" w:right="851" w:firstLine="709"/>
        <w:contextualSpacing/>
        <w:jc w:val="both"/>
        <w:rPr>
          <w:lang w:eastAsia="es-ES"/>
        </w:rPr>
      </w:pPr>
      <w:r w:rsidRPr="002C0DC3">
        <w:rPr>
          <w:rFonts w:eastAsia="Calibri"/>
          <w:lang w:val="es-CR" w:eastAsia="en-US"/>
        </w:rPr>
        <w:t>Durante el 2020 se registra una variación ascendente en la carga de trabajo para esta materia, de tal forma que en los juzgados de cobro pasaron de tramitar poco mas 985 mil expedientes en 2019 a gestionar más de un millón de casos en 2020, para un aumento del 3.14% de la carga de trabajo.</w:t>
      </w:r>
    </w:p>
    <w:p w14:paraId="7228C243" w14:textId="77777777" w:rsidR="002C0DC3" w:rsidRPr="002C0DC3" w:rsidRDefault="002C0DC3" w:rsidP="002C0DC3">
      <w:pPr>
        <w:suppressAutoHyphens w:val="0"/>
        <w:ind w:right="851"/>
        <w:contextualSpacing/>
        <w:jc w:val="both"/>
        <w:rPr>
          <w:lang w:eastAsia="es-ES"/>
        </w:rPr>
      </w:pPr>
    </w:p>
    <w:p w14:paraId="6B105C7E" w14:textId="77777777" w:rsidR="002C0DC3" w:rsidRPr="002C0DC3" w:rsidRDefault="002C0DC3" w:rsidP="00CE3D95">
      <w:pPr>
        <w:numPr>
          <w:ilvl w:val="1"/>
          <w:numId w:val="34"/>
        </w:numPr>
        <w:suppressAutoHyphens w:val="0"/>
        <w:ind w:left="851" w:right="851" w:firstLine="709"/>
        <w:contextualSpacing/>
        <w:jc w:val="both"/>
        <w:rPr>
          <w:lang w:eastAsia="es-ES"/>
        </w:rPr>
      </w:pPr>
      <w:r w:rsidRPr="002C0DC3">
        <w:rPr>
          <w:rFonts w:eastAsia="Calibri"/>
          <w:lang w:val="es-CR" w:eastAsia="en-US"/>
        </w:rPr>
        <w:t xml:space="preserve">La </w:t>
      </w:r>
      <w:r w:rsidRPr="002C0DC3">
        <w:rPr>
          <w:rFonts w:eastAsia="Calibri"/>
          <w:i/>
          <w:iCs/>
          <w:lang w:val="es-CR" w:eastAsia="en-US"/>
        </w:rPr>
        <w:t>razón de congestión total</w:t>
      </w:r>
      <w:r w:rsidRPr="002C0DC3">
        <w:rPr>
          <w:rFonts w:eastAsia="Calibri"/>
          <w:lang w:val="es-CR" w:eastAsia="en-US"/>
        </w:rPr>
        <w:t xml:space="preserve"> para esta materia se vio incrementada de 10.03 a 11.58, lo que consecuentemente se reflejó sobre la </w:t>
      </w:r>
      <w:r w:rsidRPr="002C0DC3">
        <w:rPr>
          <w:rFonts w:eastAsia="Calibri"/>
          <w:i/>
          <w:iCs/>
          <w:lang w:val="es-CR" w:eastAsia="en-US"/>
        </w:rPr>
        <w:t xml:space="preserve">razón de congestión en trámite, la cual </w:t>
      </w:r>
      <w:r w:rsidRPr="002C0DC3">
        <w:rPr>
          <w:rFonts w:eastAsia="Calibri"/>
          <w:lang w:val="es-CR" w:eastAsia="en-US"/>
        </w:rPr>
        <w:t xml:space="preserve">experimenta un incremento de 7.89 a 8.73. </w:t>
      </w:r>
    </w:p>
    <w:p w14:paraId="6DB949B4" w14:textId="77777777" w:rsidR="002C0DC3" w:rsidRPr="002C0DC3" w:rsidRDefault="002C0DC3" w:rsidP="002C0DC3">
      <w:pPr>
        <w:suppressAutoHyphens w:val="0"/>
        <w:ind w:left="851" w:right="851" w:firstLine="709"/>
        <w:jc w:val="both"/>
        <w:rPr>
          <w:rFonts w:eastAsia="Calibri"/>
          <w:lang w:val="es-CR" w:eastAsia="en-US"/>
        </w:rPr>
      </w:pPr>
    </w:p>
    <w:p w14:paraId="784D6903"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2.3 Como era de esperarse en razón del crecimiento en el circulante para este período, la tasa de pendencia total experimenta un incrementó al pasar de 75.9% a 81.9%, existiendo un mayor acumulamiento de expedientes de “trámite (57.6%) que en “ejecución” (24.3%).</w:t>
      </w:r>
    </w:p>
    <w:p w14:paraId="4CC28436" w14:textId="77777777" w:rsidR="002C0DC3" w:rsidRPr="002C0DC3" w:rsidRDefault="002C0DC3" w:rsidP="002C0DC3">
      <w:pPr>
        <w:suppressAutoHyphens w:val="0"/>
        <w:ind w:left="851" w:right="851" w:firstLine="709"/>
        <w:jc w:val="both"/>
        <w:rPr>
          <w:rFonts w:eastAsia="Calibri"/>
          <w:lang w:val="es-CR" w:eastAsia="en-US"/>
        </w:rPr>
      </w:pPr>
    </w:p>
    <w:p w14:paraId="5D56E9A7"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2.4 En los juzgados de Cobros se reportó el ingreso de 182.485 procesos en 2020, mostrando una disminución del 23,2% (55.251 casos) con relación al año anterior. Es importante indicar que los casos entrados, al ser una variable independiente, no se puede determinar con certeza el motivo de su baja, pero la disminución puede ser producto de la afectación sufrida por todos los sectores de la administración de justicia, a raíz de la emergencia sanitaria por la pandemia del COVID 19, que conllevó incluso al cierre y restricción de actividades.</w:t>
      </w:r>
    </w:p>
    <w:p w14:paraId="6A4E83EE" w14:textId="77777777" w:rsidR="002C0DC3" w:rsidRPr="002C0DC3" w:rsidRDefault="002C0DC3" w:rsidP="002C0DC3">
      <w:pPr>
        <w:suppressAutoHyphens w:val="0"/>
        <w:ind w:left="851" w:right="851" w:firstLine="709"/>
        <w:jc w:val="both"/>
        <w:rPr>
          <w:rFonts w:eastAsia="Calibri"/>
          <w:lang w:val="es-CR" w:eastAsia="en-US"/>
        </w:rPr>
      </w:pPr>
    </w:p>
    <w:p w14:paraId="6128409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2.5 En 2020 se finiquitaron 98.230 expedientes, lo que significa en términos relativos una disminución de 25% (32.833 expedientes) en relación al año anterior, existiendo una mayor afectación sobre el Juzgado Segundo de Cobro Especializado de San José, el cual redujo su volumen de terminados en 11.493 asuntos casos.</w:t>
      </w:r>
    </w:p>
    <w:p w14:paraId="6043AA3D" w14:textId="77777777" w:rsidR="002C0DC3" w:rsidRPr="002C0DC3" w:rsidRDefault="002C0DC3" w:rsidP="002C0DC3">
      <w:pPr>
        <w:suppressAutoHyphens w:val="0"/>
        <w:ind w:left="851" w:right="851" w:firstLine="709"/>
        <w:jc w:val="both"/>
        <w:rPr>
          <w:rFonts w:eastAsia="Calibri"/>
          <w:lang w:val="es-CR" w:eastAsia="en-US"/>
        </w:rPr>
      </w:pPr>
    </w:p>
    <w:p w14:paraId="1EE6D2E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2.6 El número de sentencias dictadas por los despachos judiciales se incrementó en 2020, al pasar de 2.838 a 2.915 (+77). De este grupo de fallos destacan por su volumen las sentencias en principal escritas que representa el 98.2% (2.863).  </w:t>
      </w:r>
    </w:p>
    <w:p w14:paraId="1834F116" w14:textId="77777777" w:rsidR="002C0DC3" w:rsidRPr="002C0DC3" w:rsidRDefault="002C0DC3" w:rsidP="002C0DC3">
      <w:pPr>
        <w:suppressAutoHyphens w:val="0"/>
        <w:ind w:left="851" w:right="851" w:firstLine="709"/>
        <w:jc w:val="both"/>
        <w:rPr>
          <w:rFonts w:eastAsia="Calibri"/>
          <w:lang w:val="es-CR" w:eastAsia="en-US"/>
        </w:rPr>
      </w:pPr>
    </w:p>
    <w:p w14:paraId="42118952" w14:textId="556777F8" w:rsid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2.7 Para este año se registra un incremento en la duración promedio de los casos terminados respecto del año anterior, pasando de 26 meses y 3 semanas a 33 meses y una semana, en otras palabras, aumentó en 7 meses y dos semanas. </w:t>
      </w:r>
      <w:r w:rsidRPr="002C0DC3">
        <w:rPr>
          <w:rFonts w:eastAsia="Calibri"/>
          <w:lang w:val="es-CR" w:eastAsia="en-US"/>
        </w:rPr>
        <w:lastRenderedPageBreak/>
        <w:t>Las sentencias en principal promediaron 74 meses y 1 semana, mientras que los procesos de ejecución cumplida tardaron 57 meses en ser finalizados.</w:t>
      </w:r>
    </w:p>
    <w:p w14:paraId="7D724526" w14:textId="77777777" w:rsidR="002C0DC3" w:rsidRPr="002C0DC3" w:rsidRDefault="002C0DC3" w:rsidP="002C0DC3">
      <w:pPr>
        <w:suppressAutoHyphens w:val="0"/>
        <w:ind w:left="851" w:right="851" w:firstLine="709"/>
        <w:jc w:val="both"/>
        <w:rPr>
          <w:rFonts w:eastAsia="Calibri"/>
          <w:lang w:val="es-CR" w:eastAsia="en-US"/>
        </w:rPr>
      </w:pPr>
    </w:p>
    <w:p w14:paraId="35CDEEB3" w14:textId="77777777" w:rsidR="002C0DC3" w:rsidRPr="002C0DC3" w:rsidRDefault="002C0DC3" w:rsidP="002C0DC3">
      <w:pPr>
        <w:suppressAutoHyphens w:val="0"/>
        <w:ind w:left="851" w:right="851" w:firstLine="709"/>
        <w:jc w:val="center"/>
        <w:rPr>
          <w:b/>
          <w:lang w:val="es-CR" w:eastAsia="en-US"/>
        </w:rPr>
      </w:pPr>
      <w:r w:rsidRPr="002C0DC3">
        <w:rPr>
          <w:b/>
          <w:lang w:val="es-CR" w:eastAsia="en-US"/>
        </w:rPr>
        <w:t>Gráfico N°2.1</w:t>
      </w:r>
    </w:p>
    <w:p w14:paraId="384B0FAF" w14:textId="77777777" w:rsidR="002C0DC3" w:rsidRPr="002C0DC3" w:rsidRDefault="002C0DC3" w:rsidP="002C0DC3">
      <w:pPr>
        <w:suppressAutoHyphens w:val="0"/>
        <w:ind w:left="142" w:right="851"/>
        <w:jc w:val="center"/>
        <w:rPr>
          <w:b/>
          <w:lang w:val="es-CR" w:eastAsia="en-US"/>
        </w:rPr>
      </w:pPr>
      <w:r w:rsidRPr="002C0DC3">
        <w:rPr>
          <w:rFonts w:eastAsia="Calibri"/>
          <w:noProof/>
          <w:lang w:val="es-CR" w:eastAsia="es-CR"/>
        </w:rPr>
        <w:drawing>
          <wp:inline distT="0" distB="0" distL="0" distR="0" wp14:anchorId="2F10BFEC" wp14:editId="309F7C74">
            <wp:extent cx="5334000" cy="3194051"/>
            <wp:effectExtent l="0" t="0" r="0" b="6350"/>
            <wp:docPr id="17" name="Gráfico 17">
              <a:extLst xmlns:a="http://schemas.openxmlformats.org/drawingml/2006/main">
                <a:ext uri="{FF2B5EF4-FFF2-40B4-BE49-F238E27FC236}">
                  <a16:creationId xmlns:a16="http://schemas.microsoft.com/office/drawing/2014/main" id="{42200938-C23C-457A-9321-165EA9835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C8EF2C" w14:textId="77777777" w:rsidR="002C0DC3" w:rsidRPr="002C0DC3" w:rsidRDefault="002C0DC3" w:rsidP="002C0DC3">
      <w:pPr>
        <w:suppressAutoHyphens w:val="0"/>
        <w:jc w:val="both"/>
        <w:rPr>
          <w:rFonts w:eastAsia="Calibri"/>
          <w:lang w:val="es-CR" w:eastAsia="en-US"/>
        </w:rPr>
      </w:pPr>
    </w:p>
    <w:p w14:paraId="7B8C2606" w14:textId="77777777" w:rsidR="002C0DC3" w:rsidRPr="002C0DC3" w:rsidDel="009F6023" w:rsidRDefault="002C0DC3" w:rsidP="002C0DC3">
      <w:pPr>
        <w:suppressAutoHyphens w:val="0"/>
        <w:ind w:left="851" w:right="851" w:firstLine="709"/>
        <w:jc w:val="both"/>
        <w:rPr>
          <w:bCs/>
          <w:lang w:val="es-CR" w:eastAsia="en-US"/>
        </w:rPr>
      </w:pPr>
      <w:r w:rsidRPr="002C0DC3" w:rsidDel="009F6023">
        <w:rPr>
          <w:bCs/>
          <w:lang w:val="es-CR" w:eastAsia="en-US"/>
        </w:rPr>
        <w:t xml:space="preserve">De acuerdo con la gráfica se produce para el período analizado un incremento en la </w:t>
      </w:r>
      <w:r w:rsidRPr="002C0DC3" w:rsidDel="009F6023">
        <w:rPr>
          <w:bCs/>
          <w:i/>
          <w:iCs/>
          <w:lang w:val="es-CR" w:eastAsia="en-US"/>
        </w:rPr>
        <w:t xml:space="preserve">congestión total (+1.55) </w:t>
      </w:r>
      <w:r w:rsidRPr="002C0DC3" w:rsidDel="009F6023">
        <w:rPr>
          <w:bCs/>
          <w:lang w:val="es-CR" w:eastAsia="en-US"/>
        </w:rPr>
        <w:t xml:space="preserve">para esta materia y una </w:t>
      </w:r>
      <w:r w:rsidRPr="002C0DC3">
        <w:rPr>
          <w:bCs/>
          <w:lang w:val="es-CR" w:eastAsia="en-US"/>
        </w:rPr>
        <w:t>disminución</w:t>
      </w:r>
      <w:r w:rsidRPr="002C0DC3" w:rsidDel="009F6023">
        <w:rPr>
          <w:bCs/>
          <w:lang w:val="es-CR" w:eastAsia="en-US"/>
        </w:rPr>
        <w:t xml:space="preserve"> en la </w:t>
      </w:r>
      <w:r w:rsidRPr="002C0DC3" w:rsidDel="009F6023">
        <w:rPr>
          <w:bCs/>
          <w:i/>
          <w:iCs/>
          <w:lang w:val="es-CR" w:eastAsia="en-US"/>
        </w:rPr>
        <w:t>congestión en trámite (-3.06)</w:t>
      </w:r>
      <w:r w:rsidRPr="002C0DC3">
        <w:rPr>
          <w:bCs/>
          <w:i/>
          <w:iCs/>
          <w:lang w:val="es-CR" w:eastAsia="en-US"/>
        </w:rPr>
        <w:t xml:space="preserve">. </w:t>
      </w:r>
    </w:p>
    <w:p w14:paraId="4A9BB97A" w14:textId="77777777" w:rsidR="002C0DC3" w:rsidRPr="002C0DC3" w:rsidRDefault="002C0DC3" w:rsidP="002C0DC3">
      <w:pPr>
        <w:suppressAutoHyphens w:val="0"/>
        <w:ind w:left="851" w:right="851" w:firstLine="709"/>
        <w:jc w:val="both"/>
        <w:rPr>
          <w:bCs/>
          <w:lang w:val="es-CR" w:eastAsia="en-US"/>
        </w:rPr>
      </w:pPr>
    </w:p>
    <w:p w14:paraId="53275C8E" w14:textId="77777777" w:rsidR="002C0DC3" w:rsidRPr="002C0DC3" w:rsidRDefault="002C0DC3" w:rsidP="002C0DC3">
      <w:pPr>
        <w:suppressAutoHyphens w:val="0"/>
        <w:ind w:left="851" w:right="851" w:firstLine="709"/>
        <w:jc w:val="both"/>
        <w:rPr>
          <w:bCs/>
          <w:lang w:val="es-CR" w:eastAsia="en-US"/>
        </w:rPr>
      </w:pPr>
      <w:r w:rsidRPr="002C0DC3">
        <w:rPr>
          <w:bCs/>
          <w:lang w:val="es-CR" w:eastAsia="en-US"/>
        </w:rPr>
        <w:t>La siguiente gráfica permite establecer las tendencias seguidas por las tasas de pendencia total, Trámite y Ejecución, para esta materia, durante los últimos cinco años.</w:t>
      </w:r>
    </w:p>
    <w:p w14:paraId="03760932" w14:textId="77777777" w:rsidR="002C0DC3" w:rsidRPr="002C0DC3" w:rsidRDefault="002C0DC3" w:rsidP="002C0DC3">
      <w:pPr>
        <w:suppressAutoHyphens w:val="0"/>
        <w:ind w:left="851" w:right="851" w:firstLine="709"/>
        <w:jc w:val="center"/>
        <w:rPr>
          <w:b/>
          <w:lang w:val="es-CR" w:eastAsia="en-US"/>
        </w:rPr>
      </w:pPr>
    </w:p>
    <w:p w14:paraId="624B8600" w14:textId="77777777" w:rsidR="002C0DC3" w:rsidRPr="002C0DC3" w:rsidRDefault="002C0DC3" w:rsidP="002C0DC3">
      <w:pPr>
        <w:suppressAutoHyphens w:val="0"/>
        <w:ind w:left="851" w:right="851" w:firstLine="709"/>
        <w:jc w:val="center"/>
        <w:rPr>
          <w:b/>
          <w:lang w:val="es-CR" w:eastAsia="en-US"/>
        </w:rPr>
      </w:pPr>
      <w:r w:rsidRPr="002C0DC3">
        <w:rPr>
          <w:b/>
          <w:lang w:val="es-CR" w:eastAsia="en-US"/>
        </w:rPr>
        <w:t>Gráfico N°2.2</w:t>
      </w:r>
    </w:p>
    <w:p w14:paraId="066088BE" w14:textId="77777777" w:rsidR="002C0DC3" w:rsidRPr="002C0DC3" w:rsidRDefault="002C0DC3" w:rsidP="002C0DC3">
      <w:pPr>
        <w:suppressAutoHyphens w:val="0"/>
        <w:jc w:val="center"/>
        <w:rPr>
          <w:rFonts w:eastAsia="Calibri"/>
          <w:lang w:val="es-CR" w:eastAsia="en-US"/>
        </w:rPr>
      </w:pPr>
      <w:r w:rsidRPr="002C0DC3">
        <w:rPr>
          <w:rFonts w:eastAsia="Calibri"/>
          <w:noProof/>
          <w:lang w:val="es-CR" w:eastAsia="es-CR"/>
        </w:rPr>
        <w:lastRenderedPageBreak/>
        <w:drawing>
          <wp:inline distT="0" distB="0" distL="0" distR="0" wp14:anchorId="71763F0F" wp14:editId="605E293E">
            <wp:extent cx="5334000" cy="3003550"/>
            <wp:effectExtent l="0" t="0" r="0" b="6350"/>
            <wp:docPr id="7" name="Gráfico 7">
              <a:extLst xmlns:a="http://schemas.openxmlformats.org/drawingml/2006/main">
                <a:ext uri="{FF2B5EF4-FFF2-40B4-BE49-F238E27FC236}">
                  <a16:creationId xmlns:a16="http://schemas.microsoft.com/office/drawing/2014/main" id="{F33EF0E2-94F2-467E-8498-67ACDEC38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6A933A" w14:textId="77777777" w:rsidR="002C0DC3" w:rsidRPr="002C0DC3" w:rsidRDefault="002C0DC3" w:rsidP="002C0DC3">
      <w:pPr>
        <w:suppressAutoHyphens w:val="0"/>
        <w:jc w:val="both"/>
        <w:rPr>
          <w:rFonts w:eastAsia="Calibri"/>
          <w:lang w:val="es-CR" w:eastAsia="en-US"/>
        </w:rPr>
      </w:pPr>
    </w:p>
    <w:p w14:paraId="539EE65F"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Como puede apreciarse, durante el 2020 se produce un incremento para las tres tasas de pendencia cobratoria, siendo los valores calculados para este período los más elevados dentro del quinquenio analizado, en cuyo caso la pendencia total alcanzó por primera vez el 80%. Destaca con relación al año anterior, un mayor crecimiento de la tasa en ejecución (+3.7%), respecto del crecimiento registrado en la tasa de trámite (+2.2).</w:t>
      </w:r>
    </w:p>
    <w:p w14:paraId="11F89D3C" w14:textId="77777777" w:rsidR="002C0DC3" w:rsidRPr="002C0DC3" w:rsidRDefault="002C0DC3" w:rsidP="002C0DC3">
      <w:pPr>
        <w:suppressAutoHyphens w:val="0"/>
        <w:ind w:left="851" w:right="851" w:firstLine="709"/>
        <w:jc w:val="both"/>
        <w:rPr>
          <w:rFonts w:eastAsia="Calibri"/>
          <w:lang w:val="es-CR" w:eastAsia="en-US"/>
        </w:rPr>
      </w:pPr>
    </w:p>
    <w:p w14:paraId="09B4CEA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Seguidamente se analizan las tasas de resolución e inactividad acumulada para toda la materia cobratoria, período 2016-2020.</w:t>
      </w:r>
    </w:p>
    <w:p w14:paraId="7868BDEC" w14:textId="77777777" w:rsidR="002C0DC3" w:rsidRPr="002C0DC3" w:rsidRDefault="002C0DC3" w:rsidP="002C0DC3">
      <w:pPr>
        <w:suppressAutoHyphens w:val="0"/>
        <w:ind w:left="851" w:right="851" w:firstLine="709"/>
        <w:jc w:val="both"/>
        <w:rPr>
          <w:rFonts w:eastAsia="Calibri"/>
          <w:lang w:val="es-CR" w:eastAsia="en-US"/>
        </w:rPr>
      </w:pPr>
    </w:p>
    <w:p w14:paraId="654AFE1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Con relación a Tasas de Resolución e Inactividad, es posible determinar de acuerdo a los datos presentados en la siguiente gráfica, que ambos indicadores redujeron sus valores, llamando la atención la baja productiva en un 3.6%, situación que afectaría negativamente las circulantes iniciales del período 2021.</w:t>
      </w:r>
    </w:p>
    <w:p w14:paraId="0902C633"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 </w:t>
      </w:r>
    </w:p>
    <w:p w14:paraId="4A7A4015"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Gráfico N°2.3</w:t>
      </w:r>
    </w:p>
    <w:p w14:paraId="4EF95040" w14:textId="77777777" w:rsidR="002C0DC3" w:rsidRPr="002C0DC3" w:rsidRDefault="002C0DC3" w:rsidP="002C0DC3">
      <w:pPr>
        <w:suppressAutoHyphens w:val="0"/>
        <w:jc w:val="center"/>
        <w:rPr>
          <w:rFonts w:eastAsia="Calibri"/>
          <w:lang w:val="es-CR" w:eastAsia="en-US"/>
        </w:rPr>
      </w:pPr>
      <w:r w:rsidRPr="002C0DC3">
        <w:rPr>
          <w:rFonts w:eastAsia="Calibri"/>
          <w:noProof/>
          <w:lang w:val="es-CR" w:eastAsia="es-CR"/>
        </w:rPr>
        <w:lastRenderedPageBreak/>
        <w:drawing>
          <wp:inline distT="0" distB="0" distL="0" distR="0" wp14:anchorId="17612709" wp14:editId="0523533F">
            <wp:extent cx="5337175" cy="3009900"/>
            <wp:effectExtent l="0" t="0" r="15875" b="0"/>
            <wp:docPr id="8" name="Gráfico 8">
              <a:extLst xmlns:a="http://schemas.openxmlformats.org/drawingml/2006/main">
                <a:ext uri="{FF2B5EF4-FFF2-40B4-BE49-F238E27FC236}">
                  <a16:creationId xmlns:a16="http://schemas.microsoft.com/office/drawing/2014/main" id="{CC5AAB00-27D9-4A8B-9A99-53C9828A1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88934C" w14:textId="77777777" w:rsidR="002C0DC3" w:rsidRPr="002C0DC3" w:rsidRDefault="002C0DC3" w:rsidP="002C0DC3">
      <w:pPr>
        <w:suppressAutoHyphens w:val="0"/>
        <w:jc w:val="both"/>
        <w:rPr>
          <w:rFonts w:eastAsia="Calibri"/>
          <w:lang w:val="es-CR" w:eastAsia="en-US"/>
        </w:rPr>
      </w:pPr>
    </w:p>
    <w:p w14:paraId="0B87A19B"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Es importante indicar, que las dos tasas mantienen a lo largo del período estudiado una tendencia a la baja, conducta que ha sido ratificada en 2020, tras registrarse el valor más bajo para el caso de la Tasa de Inactividad (8.4%) y una disminución de 3.6 puntos porcentuales en la tasa de resolución para esta materia.</w:t>
      </w:r>
    </w:p>
    <w:p w14:paraId="6D4F665C" w14:textId="77777777" w:rsidR="002C0DC3" w:rsidRPr="002C0DC3" w:rsidRDefault="002C0DC3" w:rsidP="002C0DC3">
      <w:pPr>
        <w:suppressAutoHyphens w:val="0"/>
        <w:ind w:left="851" w:right="851" w:firstLine="709"/>
        <w:jc w:val="both"/>
        <w:rPr>
          <w:rFonts w:eastAsia="Calibri"/>
          <w:lang w:val="es-CR" w:eastAsia="en-US"/>
        </w:rPr>
      </w:pPr>
    </w:p>
    <w:p w14:paraId="1A16DA53"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La interpretación de estos cocientes determina que, por cada 100 expedientes admitidos en estos despachos judiciales durante el 2020, unos 90 se mantienen activos, cerca de 10 reciben una resolución que finaliza la demanda y también 8 se cancelan del circulante mediante la depuración de casillas (inactivar casos). </w:t>
      </w:r>
    </w:p>
    <w:p w14:paraId="79C26236" w14:textId="77777777" w:rsidR="002C0DC3" w:rsidRPr="002C0DC3" w:rsidRDefault="002C0DC3" w:rsidP="002C0DC3">
      <w:pPr>
        <w:suppressAutoHyphens w:val="0"/>
        <w:ind w:left="851" w:right="851" w:firstLine="709"/>
        <w:jc w:val="both"/>
        <w:rPr>
          <w:rFonts w:eastAsia="Calibri"/>
          <w:lang w:val="es-CR" w:eastAsia="en-US"/>
        </w:rPr>
      </w:pPr>
    </w:p>
    <w:p w14:paraId="313EBD6F" w14:textId="23D3BDC4" w:rsidR="002C0DC3" w:rsidRDefault="002C0DC3" w:rsidP="002C0DC3">
      <w:pPr>
        <w:keepNext/>
        <w:keepLines/>
        <w:suppressAutoHyphens w:val="0"/>
        <w:ind w:left="851" w:right="851" w:firstLine="709"/>
        <w:jc w:val="both"/>
        <w:rPr>
          <w:b/>
          <w:lang w:val="es-CR" w:eastAsia="es-CR"/>
        </w:rPr>
      </w:pPr>
      <w:bookmarkStart w:id="7" w:name="_Toc74138066"/>
      <w:bookmarkStart w:id="8" w:name="_Toc80351020"/>
      <w:r w:rsidRPr="002C0DC3">
        <w:rPr>
          <w:b/>
          <w:lang w:val="es-CR" w:eastAsia="es-CR"/>
        </w:rPr>
        <w:t>Casos Entrados</w:t>
      </w:r>
      <w:bookmarkEnd w:id="7"/>
      <w:bookmarkEnd w:id="8"/>
    </w:p>
    <w:p w14:paraId="0D23BE88" w14:textId="77777777" w:rsidR="002C0DC3" w:rsidRPr="002C0DC3" w:rsidRDefault="002C0DC3" w:rsidP="002C0DC3">
      <w:pPr>
        <w:keepNext/>
        <w:keepLines/>
        <w:suppressAutoHyphens w:val="0"/>
        <w:ind w:left="851" w:right="851" w:firstLine="709"/>
        <w:jc w:val="both"/>
        <w:rPr>
          <w:b/>
          <w:lang w:val="es-CR" w:eastAsia="es-CR"/>
        </w:rPr>
      </w:pPr>
    </w:p>
    <w:p w14:paraId="4EF62311"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Al analizar la siguiente tabla de referencia, es posible determinar con relación a la materia Cobratoria una operacionalización anual de poco más de 182.000 casos ingresados para el período en estudio, lo que implicó a su vez una importante baja porcentual de 23.2%, o lo que es igual a poco más de 55251 expedientes menos que el año anterior. De acuerdo con la información transcrita, el dato de ingreso obtenido en 2020 se consolida como el segundo más bajo dentro de los cinco años analizados y determina un quebrantamiento de la tendencia al alza que venía registrándose a inicios del citado quinquenio, según se aprecia a continuación. </w:t>
      </w:r>
    </w:p>
    <w:p w14:paraId="53AC118D" w14:textId="53A381C6" w:rsid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lastRenderedPageBreak/>
        <w:t>Es importante indicar que los casos entrados, al ser una variable independiente, no se puede determinar con certeza el motivo de su baja, pero la disminución en la línea anónima puede ser producto de la afectación sufrida por todos los sectores de la administración de justicia, a raíz de la emergencia sanitaria por la pandemia del COVID 19, que conllevó incluso al cierre y restricción de actividades.</w:t>
      </w:r>
    </w:p>
    <w:p w14:paraId="42B66B89" w14:textId="77777777" w:rsidR="002C0DC3" w:rsidRPr="002C0DC3" w:rsidRDefault="002C0DC3" w:rsidP="002C0DC3">
      <w:pPr>
        <w:suppressAutoHyphens w:val="0"/>
        <w:ind w:left="851" w:right="851" w:firstLine="709"/>
        <w:jc w:val="both"/>
        <w:rPr>
          <w:rFonts w:eastAsia="Calibri"/>
          <w:lang w:val="es-CR" w:eastAsia="en-US"/>
        </w:rPr>
      </w:pPr>
    </w:p>
    <w:p w14:paraId="0B2A27EA"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cuadro 3.1 se muestra el detalle de los casos entrados por Circuito Judicial</w:t>
      </w:r>
    </w:p>
    <w:p w14:paraId="6B49FFBE" w14:textId="77777777" w:rsidR="002C0DC3" w:rsidRPr="002C0DC3" w:rsidRDefault="002C0DC3" w:rsidP="002C0DC3">
      <w:pPr>
        <w:suppressAutoHyphens w:val="0"/>
        <w:ind w:left="851" w:right="851" w:firstLine="709"/>
        <w:jc w:val="both"/>
        <w:rPr>
          <w:rFonts w:eastAsia="Calibri"/>
          <w:lang w:val="es-CR" w:eastAsia="en-US"/>
        </w:rPr>
      </w:pPr>
    </w:p>
    <w:p w14:paraId="10E4FDA9" w14:textId="77777777" w:rsidR="002C0DC3" w:rsidRPr="002C0DC3" w:rsidRDefault="002C0DC3" w:rsidP="002C0DC3">
      <w:pPr>
        <w:suppressAutoHyphens w:val="0"/>
        <w:ind w:left="851" w:right="851" w:firstLine="709"/>
        <w:jc w:val="center"/>
        <w:rPr>
          <w:b/>
          <w:lang w:val="es-CR" w:eastAsia="en-US"/>
        </w:rPr>
      </w:pPr>
      <w:r w:rsidRPr="002C0DC3">
        <w:rPr>
          <w:b/>
          <w:lang w:val="es-CR" w:eastAsia="en-US"/>
        </w:rPr>
        <w:t>Cuadro N°3.1</w:t>
      </w:r>
    </w:p>
    <w:p w14:paraId="3BE3E395"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Casos entrados según Circuito Judicial</w:t>
      </w:r>
    </w:p>
    <w:p w14:paraId="309EA4E5"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durante el período 2016-2020</w:t>
      </w:r>
    </w:p>
    <w:p w14:paraId="5128AFE5"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lang w:val="es-CR" w:eastAsia="en-US"/>
        </w:rPr>
      </w:pPr>
    </w:p>
    <w:tbl>
      <w:tblPr>
        <w:tblW w:w="8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7"/>
        <w:gridCol w:w="1081"/>
        <w:gridCol w:w="1081"/>
        <w:gridCol w:w="1081"/>
        <w:gridCol w:w="1081"/>
        <w:gridCol w:w="1082"/>
      </w:tblGrid>
      <w:tr w:rsidR="002C0DC3" w:rsidRPr="002C0DC3" w14:paraId="7A97EDCB" w14:textId="77777777" w:rsidTr="002C0DC3">
        <w:trPr>
          <w:trHeight w:val="293"/>
          <w:tblHeader/>
          <w:jc w:val="center"/>
        </w:trPr>
        <w:tc>
          <w:tcPr>
            <w:tcW w:w="2787" w:type="dxa"/>
            <w:shd w:val="clear" w:color="auto" w:fill="auto"/>
            <w:noWrap/>
            <w:vAlign w:val="center"/>
            <w:hideMark/>
          </w:tcPr>
          <w:p w14:paraId="20F0C1B4" w14:textId="77777777" w:rsidR="002C0DC3" w:rsidRPr="002C0DC3" w:rsidRDefault="002C0DC3" w:rsidP="002C0DC3">
            <w:pPr>
              <w:widowControl w:val="0"/>
              <w:suppressAutoHyphens w:val="0"/>
              <w:autoSpaceDE w:val="0"/>
              <w:autoSpaceDN w:val="0"/>
              <w:adjustRightInd w:val="0"/>
              <w:jc w:val="center"/>
              <w:rPr>
                <w:rFonts w:eastAsia="Calibri"/>
                <w:lang w:val="es-CR" w:eastAsia="es-CR"/>
              </w:rPr>
            </w:pPr>
            <w:r w:rsidRPr="002C0DC3">
              <w:rPr>
                <w:rFonts w:eastAsia="Calibri"/>
                <w:lang w:val="es-CR" w:eastAsia="en-US"/>
              </w:rPr>
              <w:t> </w:t>
            </w:r>
          </w:p>
        </w:tc>
        <w:tc>
          <w:tcPr>
            <w:tcW w:w="5406" w:type="dxa"/>
            <w:gridSpan w:val="5"/>
            <w:shd w:val="clear" w:color="auto" w:fill="auto"/>
            <w:noWrap/>
            <w:vAlign w:val="center"/>
            <w:hideMark/>
          </w:tcPr>
          <w:p w14:paraId="4F43E43E"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Casos Entrados</w:t>
            </w:r>
          </w:p>
        </w:tc>
      </w:tr>
      <w:tr w:rsidR="002C0DC3" w:rsidRPr="002C0DC3" w14:paraId="525044C8" w14:textId="77777777" w:rsidTr="002C0DC3">
        <w:trPr>
          <w:trHeight w:val="293"/>
          <w:tblHeader/>
          <w:jc w:val="center"/>
        </w:trPr>
        <w:tc>
          <w:tcPr>
            <w:tcW w:w="2787" w:type="dxa"/>
            <w:shd w:val="clear" w:color="auto" w:fill="auto"/>
            <w:noWrap/>
            <w:vAlign w:val="center"/>
            <w:hideMark/>
          </w:tcPr>
          <w:p w14:paraId="318A8BB1"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Circuito Judicial</w:t>
            </w:r>
          </w:p>
        </w:tc>
        <w:tc>
          <w:tcPr>
            <w:tcW w:w="1081" w:type="dxa"/>
            <w:shd w:val="clear" w:color="auto" w:fill="auto"/>
            <w:noWrap/>
            <w:vAlign w:val="center"/>
            <w:hideMark/>
          </w:tcPr>
          <w:p w14:paraId="2B1DE463"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2016</w:t>
            </w:r>
          </w:p>
        </w:tc>
        <w:tc>
          <w:tcPr>
            <w:tcW w:w="1081" w:type="dxa"/>
            <w:shd w:val="clear" w:color="auto" w:fill="auto"/>
            <w:noWrap/>
            <w:vAlign w:val="center"/>
          </w:tcPr>
          <w:p w14:paraId="34CF70B3"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2017</w:t>
            </w:r>
          </w:p>
        </w:tc>
        <w:tc>
          <w:tcPr>
            <w:tcW w:w="1081" w:type="dxa"/>
            <w:shd w:val="clear" w:color="auto" w:fill="auto"/>
            <w:noWrap/>
            <w:vAlign w:val="center"/>
          </w:tcPr>
          <w:p w14:paraId="1523487D"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2018</w:t>
            </w:r>
          </w:p>
        </w:tc>
        <w:tc>
          <w:tcPr>
            <w:tcW w:w="1081" w:type="dxa"/>
            <w:shd w:val="clear" w:color="auto" w:fill="auto"/>
            <w:noWrap/>
            <w:vAlign w:val="center"/>
          </w:tcPr>
          <w:p w14:paraId="05A0A580"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2019</w:t>
            </w:r>
          </w:p>
        </w:tc>
        <w:tc>
          <w:tcPr>
            <w:tcW w:w="1082" w:type="dxa"/>
            <w:shd w:val="clear" w:color="auto" w:fill="auto"/>
            <w:noWrap/>
            <w:vAlign w:val="center"/>
          </w:tcPr>
          <w:p w14:paraId="7EF9DAEA"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2020</w:t>
            </w:r>
          </w:p>
        </w:tc>
      </w:tr>
      <w:tr w:rsidR="002C0DC3" w:rsidRPr="002C0DC3" w14:paraId="591A8929" w14:textId="77777777" w:rsidTr="002C0DC3">
        <w:trPr>
          <w:trHeight w:val="293"/>
          <w:jc w:val="center"/>
        </w:trPr>
        <w:tc>
          <w:tcPr>
            <w:tcW w:w="2787" w:type="dxa"/>
            <w:shd w:val="clear" w:color="auto" w:fill="auto"/>
            <w:noWrap/>
            <w:vAlign w:val="center"/>
            <w:hideMark/>
          </w:tcPr>
          <w:p w14:paraId="6C6B9D92"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Absolutos</w:t>
            </w:r>
          </w:p>
        </w:tc>
        <w:tc>
          <w:tcPr>
            <w:tcW w:w="1081" w:type="dxa"/>
            <w:shd w:val="clear" w:color="auto" w:fill="auto"/>
            <w:noWrap/>
            <w:vAlign w:val="center"/>
            <w:hideMark/>
          </w:tcPr>
          <w:p w14:paraId="7788DFF9"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164.522</w:t>
            </w:r>
          </w:p>
        </w:tc>
        <w:tc>
          <w:tcPr>
            <w:tcW w:w="1081" w:type="dxa"/>
            <w:shd w:val="clear" w:color="auto" w:fill="auto"/>
            <w:noWrap/>
            <w:vAlign w:val="center"/>
          </w:tcPr>
          <w:p w14:paraId="59055010"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199.706</w:t>
            </w:r>
          </w:p>
        </w:tc>
        <w:tc>
          <w:tcPr>
            <w:tcW w:w="1081" w:type="dxa"/>
            <w:shd w:val="clear" w:color="auto" w:fill="auto"/>
            <w:noWrap/>
            <w:vAlign w:val="center"/>
          </w:tcPr>
          <w:p w14:paraId="3BDD5259"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244.251</w:t>
            </w:r>
          </w:p>
        </w:tc>
        <w:tc>
          <w:tcPr>
            <w:tcW w:w="1081" w:type="dxa"/>
            <w:shd w:val="clear" w:color="auto" w:fill="auto"/>
            <w:noWrap/>
            <w:vAlign w:val="center"/>
          </w:tcPr>
          <w:p w14:paraId="34AD06AF"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237.736</w:t>
            </w:r>
          </w:p>
        </w:tc>
        <w:tc>
          <w:tcPr>
            <w:tcW w:w="1082" w:type="dxa"/>
            <w:shd w:val="clear" w:color="auto" w:fill="auto"/>
            <w:noWrap/>
            <w:vAlign w:val="center"/>
          </w:tcPr>
          <w:p w14:paraId="6CE6460E"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182.485</w:t>
            </w:r>
          </w:p>
        </w:tc>
      </w:tr>
      <w:tr w:rsidR="002C0DC3" w:rsidRPr="002C0DC3" w14:paraId="2C64FF8E" w14:textId="77777777" w:rsidTr="002C0DC3">
        <w:trPr>
          <w:trHeight w:val="293"/>
          <w:jc w:val="center"/>
        </w:trPr>
        <w:tc>
          <w:tcPr>
            <w:tcW w:w="2787" w:type="dxa"/>
            <w:shd w:val="clear" w:color="auto" w:fill="auto"/>
            <w:noWrap/>
            <w:vAlign w:val="center"/>
            <w:hideMark/>
          </w:tcPr>
          <w:p w14:paraId="6A0CD05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San José</w:t>
            </w:r>
          </w:p>
        </w:tc>
        <w:tc>
          <w:tcPr>
            <w:tcW w:w="1081" w:type="dxa"/>
            <w:shd w:val="clear" w:color="auto" w:fill="auto"/>
            <w:noWrap/>
            <w:vAlign w:val="center"/>
            <w:hideMark/>
          </w:tcPr>
          <w:p w14:paraId="08A0BF3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52.468</w:t>
            </w:r>
          </w:p>
        </w:tc>
        <w:tc>
          <w:tcPr>
            <w:tcW w:w="1081" w:type="dxa"/>
            <w:shd w:val="clear" w:color="auto" w:fill="auto"/>
            <w:noWrap/>
            <w:vAlign w:val="center"/>
          </w:tcPr>
          <w:p w14:paraId="19D5851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53.478</w:t>
            </w:r>
          </w:p>
        </w:tc>
        <w:tc>
          <w:tcPr>
            <w:tcW w:w="1081" w:type="dxa"/>
            <w:shd w:val="clear" w:color="auto" w:fill="auto"/>
            <w:noWrap/>
            <w:vAlign w:val="center"/>
          </w:tcPr>
          <w:p w14:paraId="2F60905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72.837</w:t>
            </w:r>
          </w:p>
        </w:tc>
        <w:tc>
          <w:tcPr>
            <w:tcW w:w="1081" w:type="dxa"/>
            <w:shd w:val="clear" w:color="auto" w:fill="auto"/>
            <w:noWrap/>
            <w:vAlign w:val="center"/>
          </w:tcPr>
          <w:p w14:paraId="268E152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58.121</w:t>
            </w:r>
          </w:p>
        </w:tc>
        <w:tc>
          <w:tcPr>
            <w:tcW w:w="1082" w:type="dxa"/>
            <w:shd w:val="clear" w:color="auto" w:fill="auto"/>
            <w:noWrap/>
            <w:vAlign w:val="center"/>
          </w:tcPr>
          <w:p w14:paraId="33CF225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51.092</w:t>
            </w:r>
          </w:p>
        </w:tc>
      </w:tr>
      <w:tr w:rsidR="002C0DC3" w:rsidRPr="002C0DC3" w14:paraId="06A0735A" w14:textId="77777777" w:rsidTr="002C0DC3">
        <w:trPr>
          <w:trHeight w:val="293"/>
          <w:jc w:val="center"/>
        </w:trPr>
        <w:tc>
          <w:tcPr>
            <w:tcW w:w="2787" w:type="dxa"/>
            <w:shd w:val="clear" w:color="auto" w:fill="auto"/>
            <w:noWrap/>
            <w:vAlign w:val="center"/>
            <w:hideMark/>
          </w:tcPr>
          <w:p w14:paraId="39ACBAE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San José</w:t>
            </w:r>
          </w:p>
        </w:tc>
        <w:tc>
          <w:tcPr>
            <w:tcW w:w="1081" w:type="dxa"/>
            <w:shd w:val="clear" w:color="auto" w:fill="auto"/>
            <w:noWrap/>
            <w:vAlign w:val="center"/>
            <w:hideMark/>
          </w:tcPr>
          <w:p w14:paraId="328B4BB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39.296</w:t>
            </w:r>
          </w:p>
        </w:tc>
        <w:tc>
          <w:tcPr>
            <w:tcW w:w="1081" w:type="dxa"/>
            <w:shd w:val="clear" w:color="auto" w:fill="auto"/>
            <w:noWrap/>
            <w:vAlign w:val="center"/>
          </w:tcPr>
          <w:p w14:paraId="24E3B75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37.963</w:t>
            </w:r>
          </w:p>
        </w:tc>
        <w:tc>
          <w:tcPr>
            <w:tcW w:w="1081" w:type="dxa"/>
            <w:shd w:val="clear" w:color="auto" w:fill="auto"/>
            <w:noWrap/>
            <w:vAlign w:val="center"/>
          </w:tcPr>
          <w:p w14:paraId="4EFD6FF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30.713</w:t>
            </w:r>
          </w:p>
        </w:tc>
        <w:tc>
          <w:tcPr>
            <w:tcW w:w="1081" w:type="dxa"/>
            <w:shd w:val="clear" w:color="auto" w:fill="auto"/>
            <w:noWrap/>
            <w:vAlign w:val="center"/>
          </w:tcPr>
          <w:p w14:paraId="6BBDAED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21.652</w:t>
            </w:r>
          </w:p>
        </w:tc>
        <w:tc>
          <w:tcPr>
            <w:tcW w:w="1082" w:type="dxa"/>
            <w:shd w:val="clear" w:color="auto" w:fill="auto"/>
            <w:noWrap/>
            <w:vAlign w:val="center"/>
          </w:tcPr>
          <w:p w14:paraId="66E8A8C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13.602</w:t>
            </w:r>
          </w:p>
        </w:tc>
      </w:tr>
      <w:tr w:rsidR="002C0DC3" w:rsidRPr="002C0DC3" w14:paraId="74E445F4" w14:textId="77777777" w:rsidTr="002C0DC3">
        <w:trPr>
          <w:trHeight w:val="293"/>
          <w:jc w:val="center"/>
        </w:trPr>
        <w:tc>
          <w:tcPr>
            <w:tcW w:w="2787" w:type="dxa"/>
            <w:shd w:val="clear" w:color="auto" w:fill="auto"/>
            <w:noWrap/>
            <w:vAlign w:val="center"/>
            <w:hideMark/>
          </w:tcPr>
          <w:p w14:paraId="547603F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Alajuela</w:t>
            </w:r>
          </w:p>
        </w:tc>
        <w:tc>
          <w:tcPr>
            <w:tcW w:w="1081" w:type="dxa"/>
            <w:shd w:val="clear" w:color="auto" w:fill="auto"/>
            <w:noWrap/>
            <w:vAlign w:val="center"/>
            <w:hideMark/>
          </w:tcPr>
          <w:p w14:paraId="4E83AE8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21.427</w:t>
            </w:r>
          </w:p>
        </w:tc>
        <w:tc>
          <w:tcPr>
            <w:tcW w:w="1081" w:type="dxa"/>
            <w:shd w:val="clear" w:color="auto" w:fill="auto"/>
            <w:noWrap/>
            <w:vAlign w:val="center"/>
          </w:tcPr>
          <w:p w14:paraId="2CCBD5B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24.271</w:t>
            </w:r>
          </w:p>
        </w:tc>
        <w:tc>
          <w:tcPr>
            <w:tcW w:w="1081" w:type="dxa"/>
            <w:shd w:val="clear" w:color="auto" w:fill="auto"/>
            <w:noWrap/>
            <w:vAlign w:val="center"/>
          </w:tcPr>
          <w:p w14:paraId="22D3022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36.871</w:t>
            </w:r>
          </w:p>
        </w:tc>
        <w:tc>
          <w:tcPr>
            <w:tcW w:w="1081" w:type="dxa"/>
            <w:shd w:val="clear" w:color="auto" w:fill="auto"/>
            <w:noWrap/>
            <w:vAlign w:val="center"/>
          </w:tcPr>
          <w:p w14:paraId="1405A9B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18.477</w:t>
            </w:r>
          </w:p>
        </w:tc>
        <w:tc>
          <w:tcPr>
            <w:tcW w:w="1082" w:type="dxa"/>
            <w:shd w:val="clear" w:color="auto" w:fill="auto"/>
            <w:noWrap/>
            <w:vAlign w:val="center"/>
          </w:tcPr>
          <w:p w14:paraId="384CC9B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16.334</w:t>
            </w:r>
          </w:p>
        </w:tc>
      </w:tr>
      <w:tr w:rsidR="002C0DC3" w:rsidRPr="002C0DC3" w14:paraId="76AD3F2F" w14:textId="77777777" w:rsidTr="002C0DC3">
        <w:trPr>
          <w:trHeight w:val="293"/>
          <w:jc w:val="center"/>
        </w:trPr>
        <w:tc>
          <w:tcPr>
            <w:tcW w:w="2787" w:type="dxa"/>
            <w:shd w:val="clear" w:color="auto" w:fill="auto"/>
            <w:noWrap/>
            <w:vAlign w:val="center"/>
            <w:hideMark/>
          </w:tcPr>
          <w:p w14:paraId="745C89DD"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Alajuela</w:t>
            </w:r>
          </w:p>
        </w:tc>
        <w:tc>
          <w:tcPr>
            <w:tcW w:w="1081" w:type="dxa"/>
            <w:shd w:val="clear" w:color="auto" w:fill="auto"/>
            <w:noWrap/>
            <w:vAlign w:val="center"/>
            <w:hideMark/>
          </w:tcPr>
          <w:p w14:paraId="1D21D69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2.407</w:t>
            </w:r>
          </w:p>
        </w:tc>
        <w:tc>
          <w:tcPr>
            <w:tcW w:w="1081" w:type="dxa"/>
            <w:shd w:val="clear" w:color="auto" w:fill="auto"/>
            <w:noWrap/>
            <w:vAlign w:val="center"/>
          </w:tcPr>
          <w:p w14:paraId="36329A6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5.831</w:t>
            </w:r>
          </w:p>
        </w:tc>
        <w:tc>
          <w:tcPr>
            <w:tcW w:w="1081" w:type="dxa"/>
            <w:shd w:val="clear" w:color="auto" w:fill="auto"/>
            <w:noWrap/>
            <w:vAlign w:val="center"/>
          </w:tcPr>
          <w:p w14:paraId="4E5A2DB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7.203</w:t>
            </w:r>
          </w:p>
        </w:tc>
        <w:tc>
          <w:tcPr>
            <w:tcW w:w="1081" w:type="dxa"/>
            <w:shd w:val="clear" w:color="auto" w:fill="auto"/>
            <w:noWrap/>
            <w:vAlign w:val="center"/>
          </w:tcPr>
          <w:p w14:paraId="7497DC0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14.234</w:t>
            </w:r>
          </w:p>
        </w:tc>
        <w:tc>
          <w:tcPr>
            <w:tcW w:w="1082" w:type="dxa"/>
            <w:shd w:val="clear" w:color="auto" w:fill="auto"/>
            <w:noWrap/>
            <w:vAlign w:val="center"/>
          </w:tcPr>
          <w:p w14:paraId="00E1EF7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8.916</w:t>
            </w:r>
          </w:p>
        </w:tc>
      </w:tr>
      <w:tr w:rsidR="002C0DC3" w:rsidRPr="002C0DC3" w14:paraId="162DE279" w14:textId="77777777" w:rsidTr="002C0DC3">
        <w:trPr>
          <w:trHeight w:val="293"/>
          <w:jc w:val="center"/>
        </w:trPr>
        <w:tc>
          <w:tcPr>
            <w:tcW w:w="2787" w:type="dxa"/>
            <w:shd w:val="clear" w:color="auto" w:fill="auto"/>
            <w:noWrap/>
            <w:vAlign w:val="center"/>
            <w:hideMark/>
          </w:tcPr>
          <w:p w14:paraId="6F5DF7C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Tercero Alajuela</w:t>
            </w:r>
          </w:p>
        </w:tc>
        <w:tc>
          <w:tcPr>
            <w:tcW w:w="1081" w:type="dxa"/>
            <w:shd w:val="clear" w:color="auto" w:fill="auto"/>
            <w:noWrap/>
            <w:vAlign w:val="center"/>
            <w:hideMark/>
          </w:tcPr>
          <w:p w14:paraId="02F806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8.492</w:t>
            </w:r>
          </w:p>
        </w:tc>
        <w:tc>
          <w:tcPr>
            <w:tcW w:w="1081" w:type="dxa"/>
            <w:shd w:val="clear" w:color="auto" w:fill="auto"/>
            <w:noWrap/>
            <w:vAlign w:val="center"/>
          </w:tcPr>
          <w:p w14:paraId="002141E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14.833</w:t>
            </w:r>
          </w:p>
        </w:tc>
        <w:tc>
          <w:tcPr>
            <w:tcW w:w="1081" w:type="dxa"/>
            <w:shd w:val="clear" w:color="auto" w:fill="auto"/>
            <w:noWrap/>
            <w:vAlign w:val="center"/>
          </w:tcPr>
          <w:p w14:paraId="16E9B7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15.349</w:t>
            </w:r>
          </w:p>
        </w:tc>
        <w:tc>
          <w:tcPr>
            <w:tcW w:w="1081" w:type="dxa"/>
            <w:shd w:val="clear" w:color="auto" w:fill="auto"/>
            <w:noWrap/>
            <w:vAlign w:val="center"/>
          </w:tcPr>
          <w:p w14:paraId="1F3BFFA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10.170</w:t>
            </w:r>
          </w:p>
        </w:tc>
        <w:tc>
          <w:tcPr>
            <w:tcW w:w="1082" w:type="dxa"/>
            <w:shd w:val="clear" w:color="auto" w:fill="auto"/>
            <w:noWrap/>
            <w:vAlign w:val="center"/>
          </w:tcPr>
          <w:p w14:paraId="5BCB028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7.473</w:t>
            </w:r>
          </w:p>
        </w:tc>
      </w:tr>
      <w:tr w:rsidR="002C0DC3" w:rsidRPr="002C0DC3" w14:paraId="179E366F" w14:textId="77777777" w:rsidTr="002C0DC3">
        <w:trPr>
          <w:trHeight w:val="293"/>
          <w:jc w:val="center"/>
        </w:trPr>
        <w:tc>
          <w:tcPr>
            <w:tcW w:w="2787" w:type="dxa"/>
            <w:shd w:val="clear" w:color="auto" w:fill="auto"/>
            <w:noWrap/>
            <w:vAlign w:val="center"/>
            <w:hideMark/>
          </w:tcPr>
          <w:p w14:paraId="7955EA1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Cartago</w:t>
            </w:r>
          </w:p>
        </w:tc>
        <w:tc>
          <w:tcPr>
            <w:tcW w:w="1081" w:type="dxa"/>
            <w:shd w:val="clear" w:color="auto" w:fill="auto"/>
            <w:noWrap/>
            <w:vAlign w:val="center"/>
            <w:hideMark/>
          </w:tcPr>
          <w:p w14:paraId="7003302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11.710</w:t>
            </w:r>
          </w:p>
        </w:tc>
        <w:tc>
          <w:tcPr>
            <w:tcW w:w="1081" w:type="dxa"/>
            <w:shd w:val="clear" w:color="auto" w:fill="auto"/>
            <w:noWrap/>
            <w:vAlign w:val="center"/>
          </w:tcPr>
          <w:p w14:paraId="455C1FD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23.599</w:t>
            </w:r>
          </w:p>
        </w:tc>
        <w:tc>
          <w:tcPr>
            <w:tcW w:w="1081" w:type="dxa"/>
            <w:shd w:val="clear" w:color="auto" w:fill="auto"/>
            <w:noWrap/>
            <w:vAlign w:val="center"/>
          </w:tcPr>
          <w:p w14:paraId="7A3F425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18.585</w:t>
            </w:r>
          </w:p>
        </w:tc>
        <w:tc>
          <w:tcPr>
            <w:tcW w:w="1081" w:type="dxa"/>
            <w:shd w:val="clear" w:color="auto" w:fill="auto"/>
            <w:noWrap/>
            <w:vAlign w:val="center"/>
          </w:tcPr>
          <w:p w14:paraId="67DFFFE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22.943</w:t>
            </w:r>
          </w:p>
        </w:tc>
        <w:tc>
          <w:tcPr>
            <w:tcW w:w="1082" w:type="dxa"/>
            <w:shd w:val="clear" w:color="auto" w:fill="auto"/>
            <w:noWrap/>
            <w:vAlign w:val="center"/>
          </w:tcPr>
          <w:p w14:paraId="17684EA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17.369</w:t>
            </w:r>
          </w:p>
        </w:tc>
      </w:tr>
      <w:tr w:rsidR="002C0DC3" w:rsidRPr="002C0DC3" w14:paraId="67F96759" w14:textId="77777777" w:rsidTr="002C0DC3">
        <w:trPr>
          <w:trHeight w:val="284"/>
          <w:jc w:val="center"/>
        </w:trPr>
        <w:tc>
          <w:tcPr>
            <w:tcW w:w="2787" w:type="dxa"/>
            <w:shd w:val="clear" w:color="auto" w:fill="auto"/>
            <w:noWrap/>
            <w:vAlign w:val="center"/>
            <w:hideMark/>
          </w:tcPr>
          <w:p w14:paraId="2B9B0B0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Heredia</w:t>
            </w:r>
          </w:p>
        </w:tc>
        <w:tc>
          <w:tcPr>
            <w:tcW w:w="1081" w:type="dxa"/>
            <w:shd w:val="clear" w:color="auto" w:fill="auto"/>
            <w:noWrap/>
            <w:vAlign w:val="center"/>
            <w:hideMark/>
          </w:tcPr>
          <w:p w14:paraId="7602E90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8.188</w:t>
            </w:r>
          </w:p>
        </w:tc>
        <w:tc>
          <w:tcPr>
            <w:tcW w:w="1081" w:type="dxa"/>
            <w:shd w:val="clear" w:color="auto" w:fill="auto"/>
            <w:noWrap/>
            <w:vAlign w:val="center"/>
          </w:tcPr>
          <w:p w14:paraId="68B38BE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9.499</w:t>
            </w:r>
          </w:p>
        </w:tc>
        <w:tc>
          <w:tcPr>
            <w:tcW w:w="1081" w:type="dxa"/>
            <w:shd w:val="clear" w:color="auto" w:fill="auto"/>
            <w:noWrap/>
            <w:vAlign w:val="center"/>
          </w:tcPr>
          <w:p w14:paraId="4B0C458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15.731</w:t>
            </w:r>
          </w:p>
        </w:tc>
        <w:tc>
          <w:tcPr>
            <w:tcW w:w="1081" w:type="dxa"/>
            <w:shd w:val="clear" w:color="auto" w:fill="auto"/>
            <w:noWrap/>
            <w:vAlign w:val="center"/>
          </w:tcPr>
          <w:p w14:paraId="30D4805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22.598</w:t>
            </w:r>
          </w:p>
        </w:tc>
        <w:tc>
          <w:tcPr>
            <w:tcW w:w="1082" w:type="dxa"/>
            <w:shd w:val="clear" w:color="auto" w:fill="auto"/>
            <w:noWrap/>
            <w:vAlign w:val="center"/>
          </w:tcPr>
          <w:p w14:paraId="634BA4A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17.698</w:t>
            </w:r>
          </w:p>
        </w:tc>
      </w:tr>
      <w:tr w:rsidR="002C0DC3" w:rsidRPr="002C0DC3" w14:paraId="6D06660C" w14:textId="77777777" w:rsidTr="002C0DC3">
        <w:trPr>
          <w:trHeight w:val="293"/>
          <w:jc w:val="center"/>
        </w:trPr>
        <w:tc>
          <w:tcPr>
            <w:tcW w:w="2787" w:type="dxa"/>
            <w:shd w:val="clear" w:color="auto" w:fill="auto"/>
            <w:noWrap/>
            <w:vAlign w:val="center"/>
            <w:hideMark/>
          </w:tcPr>
          <w:p w14:paraId="65FEADC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Guanacaste</w:t>
            </w:r>
          </w:p>
        </w:tc>
        <w:tc>
          <w:tcPr>
            <w:tcW w:w="1081" w:type="dxa"/>
            <w:shd w:val="clear" w:color="auto" w:fill="auto"/>
            <w:noWrap/>
            <w:vAlign w:val="center"/>
            <w:hideMark/>
          </w:tcPr>
          <w:p w14:paraId="765C98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2.192</w:t>
            </w:r>
          </w:p>
        </w:tc>
        <w:tc>
          <w:tcPr>
            <w:tcW w:w="1081" w:type="dxa"/>
            <w:shd w:val="clear" w:color="auto" w:fill="auto"/>
            <w:noWrap/>
            <w:vAlign w:val="center"/>
          </w:tcPr>
          <w:p w14:paraId="5956734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4.807</w:t>
            </w:r>
          </w:p>
        </w:tc>
        <w:tc>
          <w:tcPr>
            <w:tcW w:w="1081" w:type="dxa"/>
            <w:shd w:val="clear" w:color="auto" w:fill="auto"/>
            <w:noWrap/>
            <w:vAlign w:val="center"/>
          </w:tcPr>
          <w:p w14:paraId="649255D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8.076</w:t>
            </w:r>
          </w:p>
        </w:tc>
        <w:tc>
          <w:tcPr>
            <w:tcW w:w="1081" w:type="dxa"/>
            <w:shd w:val="clear" w:color="auto" w:fill="auto"/>
            <w:noWrap/>
            <w:vAlign w:val="center"/>
          </w:tcPr>
          <w:p w14:paraId="5CF3350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9.925</w:t>
            </w:r>
          </w:p>
        </w:tc>
        <w:tc>
          <w:tcPr>
            <w:tcW w:w="1082" w:type="dxa"/>
            <w:shd w:val="clear" w:color="auto" w:fill="auto"/>
            <w:noWrap/>
            <w:vAlign w:val="center"/>
          </w:tcPr>
          <w:p w14:paraId="7945276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6.798</w:t>
            </w:r>
          </w:p>
        </w:tc>
      </w:tr>
      <w:tr w:rsidR="002C0DC3" w:rsidRPr="002C0DC3" w14:paraId="1A6B9EE4" w14:textId="77777777" w:rsidTr="002C0DC3">
        <w:trPr>
          <w:trHeight w:val="293"/>
          <w:jc w:val="center"/>
        </w:trPr>
        <w:tc>
          <w:tcPr>
            <w:tcW w:w="2787" w:type="dxa"/>
            <w:shd w:val="clear" w:color="auto" w:fill="auto"/>
            <w:noWrap/>
            <w:vAlign w:val="center"/>
            <w:hideMark/>
          </w:tcPr>
          <w:p w14:paraId="2985D87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Guanacaste</w:t>
            </w:r>
          </w:p>
        </w:tc>
        <w:tc>
          <w:tcPr>
            <w:tcW w:w="1081" w:type="dxa"/>
            <w:shd w:val="clear" w:color="auto" w:fill="auto"/>
            <w:noWrap/>
            <w:vAlign w:val="center"/>
            <w:hideMark/>
          </w:tcPr>
          <w:p w14:paraId="0ECE1BA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3.001</w:t>
            </w:r>
          </w:p>
        </w:tc>
        <w:tc>
          <w:tcPr>
            <w:tcW w:w="1081" w:type="dxa"/>
            <w:shd w:val="clear" w:color="auto" w:fill="auto"/>
            <w:noWrap/>
            <w:vAlign w:val="center"/>
          </w:tcPr>
          <w:p w14:paraId="1408C2D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3.795</w:t>
            </w:r>
          </w:p>
        </w:tc>
        <w:tc>
          <w:tcPr>
            <w:tcW w:w="1081" w:type="dxa"/>
            <w:shd w:val="clear" w:color="auto" w:fill="auto"/>
            <w:noWrap/>
            <w:vAlign w:val="center"/>
          </w:tcPr>
          <w:p w14:paraId="2F28A4A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4.677</w:t>
            </w:r>
          </w:p>
        </w:tc>
        <w:tc>
          <w:tcPr>
            <w:tcW w:w="1081" w:type="dxa"/>
            <w:shd w:val="clear" w:color="auto" w:fill="auto"/>
            <w:noWrap/>
            <w:vAlign w:val="center"/>
          </w:tcPr>
          <w:p w14:paraId="4540702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8.634</w:t>
            </w:r>
          </w:p>
        </w:tc>
        <w:tc>
          <w:tcPr>
            <w:tcW w:w="1082" w:type="dxa"/>
            <w:shd w:val="clear" w:color="auto" w:fill="auto"/>
            <w:noWrap/>
            <w:vAlign w:val="center"/>
          </w:tcPr>
          <w:p w14:paraId="541A924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6.756</w:t>
            </w:r>
          </w:p>
        </w:tc>
      </w:tr>
      <w:tr w:rsidR="002C0DC3" w:rsidRPr="002C0DC3" w14:paraId="4D4BBAE3" w14:textId="77777777" w:rsidTr="002C0DC3">
        <w:trPr>
          <w:trHeight w:val="293"/>
          <w:jc w:val="center"/>
        </w:trPr>
        <w:tc>
          <w:tcPr>
            <w:tcW w:w="2787" w:type="dxa"/>
            <w:shd w:val="clear" w:color="auto" w:fill="auto"/>
            <w:noWrap/>
            <w:vAlign w:val="center"/>
            <w:hideMark/>
          </w:tcPr>
          <w:p w14:paraId="2DBB618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Puntarenas</w:t>
            </w:r>
          </w:p>
        </w:tc>
        <w:tc>
          <w:tcPr>
            <w:tcW w:w="1081" w:type="dxa"/>
            <w:shd w:val="clear" w:color="auto" w:fill="auto"/>
            <w:noWrap/>
            <w:vAlign w:val="center"/>
            <w:hideMark/>
          </w:tcPr>
          <w:p w14:paraId="0899439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2.163</w:t>
            </w:r>
          </w:p>
        </w:tc>
        <w:tc>
          <w:tcPr>
            <w:tcW w:w="1081" w:type="dxa"/>
            <w:shd w:val="clear" w:color="auto" w:fill="auto"/>
            <w:noWrap/>
            <w:vAlign w:val="center"/>
          </w:tcPr>
          <w:p w14:paraId="7AC2157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4.242</w:t>
            </w:r>
          </w:p>
        </w:tc>
        <w:tc>
          <w:tcPr>
            <w:tcW w:w="1081" w:type="dxa"/>
            <w:shd w:val="clear" w:color="auto" w:fill="auto"/>
            <w:noWrap/>
            <w:vAlign w:val="center"/>
          </w:tcPr>
          <w:p w14:paraId="02BEB03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8.911</w:t>
            </w:r>
          </w:p>
        </w:tc>
        <w:tc>
          <w:tcPr>
            <w:tcW w:w="1081" w:type="dxa"/>
            <w:shd w:val="clear" w:color="auto" w:fill="auto"/>
            <w:noWrap/>
            <w:vAlign w:val="center"/>
          </w:tcPr>
          <w:p w14:paraId="687A8E6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12.975</w:t>
            </w:r>
          </w:p>
        </w:tc>
        <w:tc>
          <w:tcPr>
            <w:tcW w:w="1082" w:type="dxa"/>
            <w:shd w:val="clear" w:color="auto" w:fill="auto"/>
            <w:noWrap/>
            <w:vAlign w:val="center"/>
          </w:tcPr>
          <w:p w14:paraId="40B7267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9.783</w:t>
            </w:r>
          </w:p>
        </w:tc>
      </w:tr>
      <w:tr w:rsidR="002C0DC3" w:rsidRPr="002C0DC3" w14:paraId="5A7FF22E" w14:textId="77777777" w:rsidTr="002C0DC3">
        <w:trPr>
          <w:trHeight w:val="293"/>
          <w:jc w:val="center"/>
        </w:trPr>
        <w:tc>
          <w:tcPr>
            <w:tcW w:w="2787" w:type="dxa"/>
            <w:shd w:val="clear" w:color="auto" w:fill="auto"/>
            <w:noWrap/>
            <w:vAlign w:val="center"/>
            <w:hideMark/>
          </w:tcPr>
          <w:p w14:paraId="6D4D628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Zona Sur</w:t>
            </w:r>
          </w:p>
        </w:tc>
        <w:tc>
          <w:tcPr>
            <w:tcW w:w="1081" w:type="dxa"/>
            <w:shd w:val="clear" w:color="auto" w:fill="auto"/>
            <w:noWrap/>
            <w:vAlign w:val="center"/>
            <w:hideMark/>
          </w:tcPr>
          <w:p w14:paraId="4CC949C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6.292</w:t>
            </w:r>
          </w:p>
        </w:tc>
        <w:tc>
          <w:tcPr>
            <w:tcW w:w="1081" w:type="dxa"/>
            <w:shd w:val="clear" w:color="auto" w:fill="auto"/>
            <w:noWrap/>
            <w:vAlign w:val="center"/>
          </w:tcPr>
          <w:p w14:paraId="6121346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7.424</w:t>
            </w:r>
          </w:p>
        </w:tc>
        <w:tc>
          <w:tcPr>
            <w:tcW w:w="1081" w:type="dxa"/>
            <w:shd w:val="clear" w:color="auto" w:fill="auto"/>
            <w:noWrap/>
            <w:vAlign w:val="center"/>
          </w:tcPr>
          <w:p w14:paraId="51E3778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8.221</w:t>
            </w:r>
          </w:p>
        </w:tc>
        <w:tc>
          <w:tcPr>
            <w:tcW w:w="1081" w:type="dxa"/>
            <w:shd w:val="clear" w:color="auto" w:fill="auto"/>
            <w:noWrap/>
            <w:vAlign w:val="center"/>
          </w:tcPr>
          <w:p w14:paraId="1E6E684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7.623</w:t>
            </w:r>
          </w:p>
        </w:tc>
        <w:tc>
          <w:tcPr>
            <w:tcW w:w="1082" w:type="dxa"/>
            <w:shd w:val="clear" w:color="auto" w:fill="auto"/>
            <w:noWrap/>
            <w:vAlign w:val="center"/>
          </w:tcPr>
          <w:p w14:paraId="0CA2BED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5.719</w:t>
            </w:r>
          </w:p>
        </w:tc>
      </w:tr>
      <w:tr w:rsidR="002C0DC3" w:rsidRPr="002C0DC3" w14:paraId="4BE68896" w14:textId="77777777" w:rsidTr="002C0DC3">
        <w:trPr>
          <w:trHeight w:val="293"/>
          <w:jc w:val="center"/>
        </w:trPr>
        <w:tc>
          <w:tcPr>
            <w:tcW w:w="2787" w:type="dxa"/>
            <w:shd w:val="clear" w:color="auto" w:fill="auto"/>
            <w:noWrap/>
            <w:vAlign w:val="center"/>
            <w:hideMark/>
          </w:tcPr>
          <w:p w14:paraId="797AB1C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Zona Sur</w:t>
            </w:r>
          </w:p>
        </w:tc>
        <w:tc>
          <w:tcPr>
            <w:tcW w:w="1081" w:type="dxa"/>
            <w:shd w:val="clear" w:color="auto" w:fill="auto"/>
            <w:noWrap/>
            <w:vAlign w:val="center"/>
            <w:hideMark/>
          </w:tcPr>
          <w:p w14:paraId="73028AF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1.382</w:t>
            </w:r>
          </w:p>
        </w:tc>
        <w:tc>
          <w:tcPr>
            <w:tcW w:w="1081" w:type="dxa"/>
            <w:shd w:val="clear" w:color="auto" w:fill="auto"/>
            <w:noWrap/>
            <w:vAlign w:val="center"/>
          </w:tcPr>
          <w:p w14:paraId="439ADD3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1.290</w:t>
            </w:r>
          </w:p>
        </w:tc>
        <w:tc>
          <w:tcPr>
            <w:tcW w:w="1081" w:type="dxa"/>
            <w:shd w:val="clear" w:color="auto" w:fill="auto"/>
            <w:noWrap/>
            <w:vAlign w:val="center"/>
          </w:tcPr>
          <w:p w14:paraId="2725173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2.311</w:t>
            </w:r>
          </w:p>
        </w:tc>
        <w:tc>
          <w:tcPr>
            <w:tcW w:w="1081" w:type="dxa"/>
            <w:shd w:val="clear" w:color="auto" w:fill="auto"/>
            <w:noWrap/>
            <w:vAlign w:val="center"/>
          </w:tcPr>
          <w:p w14:paraId="54F968F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6.360</w:t>
            </w:r>
          </w:p>
        </w:tc>
        <w:tc>
          <w:tcPr>
            <w:tcW w:w="1082" w:type="dxa"/>
            <w:shd w:val="clear" w:color="auto" w:fill="auto"/>
            <w:noWrap/>
            <w:vAlign w:val="center"/>
          </w:tcPr>
          <w:p w14:paraId="7F3C6B1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4.487</w:t>
            </w:r>
          </w:p>
        </w:tc>
      </w:tr>
      <w:tr w:rsidR="002C0DC3" w:rsidRPr="002C0DC3" w14:paraId="1B0DBB74" w14:textId="77777777" w:rsidTr="002C0DC3">
        <w:trPr>
          <w:trHeight w:val="293"/>
          <w:jc w:val="center"/>
        </w:trPr>
        <w:tc>
          <w:tcPr>
            <w:tcW w:w="2787" w:type="dxa"/>
            <w:shd w:val="clear" w:color="auto" w:fill="auto"/>
            <w:noWrap/>
            <w:vAlign w:val="center"/>
            <w:hideMark/>
          </w:tcPr>
          <w:p w14:paraId="6612B3F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Zona Atlántica</w:t>
            </w:r>
          </w:p>
        </w:tc>
        <w:tc>
          <w:tcPr>
            <w:tcW w:w="1081" w:type="dxa"/>
            <w:shd w:val="clear" w:color="auto" w:fill="auto"/>
            <w:noWrap/>
            <w:vAlign w:val="center"/>
            <w:hideMark/>
          </w:tcPr>
          <w:p w14:paraId="768DE90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2.533</w:t>
            </w:r>
          </w:p>
        </w:tc>
        <w:tc>
          <w:tcPr>
            <w:tcW w:w="1081" w:type="dxa"/>
            <w:shd w:val="clear" w:color="auto" w:fill="auto"/>
            <w:noWrap/>
            <w:vAlign w:val="center"/>
          </w:tcPr>
          <w:p w14:paraId="3D31D8D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4.239</w:t>
            </w:r>
          </w:p>
        </w:tc>
        <w:tc>
          <w:tcPr>
            <w:tcW w:w="1081" w:type="dxa"/>
            <w:shd w:val="clear" w:color="auto" w:fill="auto"/>
            <w:noWrap/>
            <w:vAlign w:val="center"/>
          </w:tcPr>
          <w:p w14:paraId="3C593AA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8.489</w:t>
            </w:r>
          </w:p>
        </w:tc>
        <w:tc>
          <w:tcPr>
            <w:tcW w:w="1081" w:type="dxa"/>
            <w:shd w:val="clear" w:color="auto" w:fill="auto"/>
            <w:noWrap/>
            <w:vAlign w:val="center"/>
          </w:tcPr>
          <w:p w14:paraId="462AE9A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10.225</w:t>
            </w:r>
          </w:p>
        </w:tc>
        <w:tc>
          <w:tcPr>
            <w:tcW w:w="1082" w:type="dxa"/>
            <w:shd w:val="clear" w:color="auto" w:fill="auto"/>
            <w:noWrap/>
            <w:vAlign w:val="center"/>
          </w:tcPr>
          <w:p w14:paraId="7751E01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7.167</w:t>
            </w:r>
          </w:p>
        </w:tc>
      </w:tr>
      <w:tr w:rsidR="002C0DC3" w:rsidRPr="002C0DC3" w14:paraId="23F598A0" w14:textId="77777777" w:rsidTr="002C0DC3">
        <w:trPr>
          <w:trHeight w:val="80"/>
          <w:jc w:val="center"/>
        </w:trPr>
        <w:tc>
          <w:tcPr>
            <w:tcW w:w="2787" w:type="dxa"/>
            <w:shd w:val="clear" w:color="auto" w:fill="auto"/>
            <w:noWrap/>
            <w:vAlign w:val="center"/>
            <w:hideMark/>
          </w:tcPr>
          <w:p w14:paraId="78DD0B8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Zona Atlántica</w:t>
            </w:r>
          </w:p>
        </w:tc>
        <w:tc>
          <w:tcPr>
            <w:tcW w:w="1081" w:type="dxa"/>
            <w:shd w:val="clear" w:color="auto" w:fill="auto"/>
            <w:noWrap/>
            <w:vAlign w:val="center"/>
            <w:hideMark/>
          </w:tcPr>
          <w:p w14:paraId="530F672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2.971</w:t>
            </w:r>
          </w:p>
        </w:tc>
        <w:tc>
          <w:tcPr>
            <w:tcW w:w="1081" w:type="dxa"/>
            <w:shd w:val="clear" w:color="auto" w:fill="auto"/>
            <w:noWrap/>
            <w:vAlign w:val="center"/>
          </w:tcPr>
          <w:p w14:paraId="10F5E10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4.435</w:t>
            </w:r>
          </w:p>
        </w:tc>
        <w:tc>
          <w:tcPr>
            <w:tcW w:w="1081" w:type="dxa"/>
            <w:shd w:val="clear" w:color="auto" w:fill="auto"/>
            <w:noWrap/>
            <w:vAlign w:val="center"/>
          </w:tcPr>
          <w:p w14:paraId="43C6551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6.277</w:t>
            </w:r>
          </w:p>
        </w:tc>
        <w:tc>
          <w:tcPr>
            <w:tcW w:w="1081" w:type="dxa"/>
            <w:shd w:val="clear" w:color="auto" w:fill="auto"/>
            <w:noWrap/>
            <w:vAlign w:val="center"/>
          </w:tcPr>
          <w:p w14:paraId="2ABADF6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13.799</w:t>
            </w:r>
          </w:p>
        </w:tc>
        <w:tc>
          <w:tcPr>
            <w:tcW w:w="1082" w:type="dxa"/>
            <w:shd w:val="clear" w:color="auto" w:fill="auto"/>
            <w:noWrap/>
            <w:vAlign w:val="center"/>
          </w:tcPr>
          <w:p w14:paraId="5E19EF1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9.291</w:t>
            </w:r>
          </w:p>
        </w:tc>
      </w:tr>
    </w:tbl>
    <w:p w14:paraId="1FECFB1C"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 xml:space="preserve">   </w:t>
      </w:r>
    </w:p>
    <w:p w14:paraId="616A1180"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    Elaborado por: Subproceso de Estadística, Dirección de Planificación.</w:t>
      </w:r>
    </w:p>
    <w:p w14:paraId="3D2E3B69" w14:textId="77777777" w:rsidR="002C0DC3" w:rsidRPr="002C0DC3" w:rsidRDefault="002C0DC3" w:rsidP="002C0DC3">
      <w:pPr>
        <w:widowControl w:val="0"/>
        <w:suppressAutoHyphens w:val="0"/>
        <w:autoSpaceDE w:val="0"/>
        <w:autoSpaceDN w:val="0"/>
        <w:adjustRightInd w:val="0"/>
        <w:ind w:left="851" w:right="851" w:firstLine="709"/>
        <w:jc w:val="both"/>
        <w:rPr>
          <w:bCs/>
          <w:lang w:val="es-CR" w:eastAsia="en-US"/>
        </w:rPr>
      </w:pPr>
    </w:p>
    <w:p w14:paraId="31A9F1CE" w14:textId="77777777" w:rsidR="002C0DC3" w:rsidRPr="002C0DC3" w:rsidRDefault="002C0DC3" w:rsidP="002C0DC3">
      <w:pPr>
        <w:widowControl w:val="0"/>
        <w:suppressAutoHyphens w:val="0"/>
        <w:autoSpaceDE w:val="0"/>
        <w:autoSpaceDN w:val="0"/>
        <w:adjustRightInd w:val="0"/>
        <w:ind w:left="851" w:right="851" w:firstLine="709"/>
        <w:jc w:val="both"/>
        <w:rPr>
          <w:bCs/>
          <w:lang w:val="es-CR" w:eastAsia="en-US"/>
        </w:rPr>
      </w:pPr>
      <w:r w:rsidRPr="002C0DC3">
        <w:rPr>
          <w:bCs/>
          <w:lang w:val="es-CR" w:eastAsia="en-US"/>
        </w:rPr>
        <w:t>Los dos despachos de cobro con sede en San José (Primero y Segundo de cobro) lideran el ingreso de demandas pese a darse bajas importantes (-7.029 y -8.050), registrando de forma conjunta, un promedio de 5.391 expedientes mensuales.</w:t>
      </w:r>
    </w:p>
    <w:p w14:paraId="5FAE2A53" w14:textId="77777777" w:rsidR="002C0DC3" w:rsidRPr="002C0DC3" w:rsidRDefault="002C0DC3" w:rsidP="002C0DC3">
      <w:pPr>
        <w:widowControl w:val="0"/>
        <w:suppressAutoHyphens w:val="0"/>
        <w:autoSpaceDE w:val="0"/>
        <w:autoSpaceDN w:val="0"/>
        <w:adjustRightInd w:val="0"/>
        <w:ind w:left="851" w:right="851" w:firstLine="709"/>
        <w:jc w:val="both"/>
        <w:rPr>
          <w:bCs/>
          <w:lang w:val="es-CR" w:eastAsia="en-US"/>
        </w:rPr>
      </w:pPr>
    </w:p>
    <w:p w14:paraId="379A9EB9" w14:textId="77777777" w:rsidR="002C0DC3" w:rsidRPr="002C0DC3" w:rsidRDefault="002C0DC3" w:rsidP="002C0DC3">
      <w:pPr>
        <w:widowControl w:val="0"/>
        <w:suppressAutoHyphens w:val="0"/>
        <w:autoSpaceDE w:val="0"/>
        <w:autoSpaceDN w:val="0"/>
        <w:adjustRightInd w:val="0"/>
        <w:ind w:left="851" w:right="851" w:firstLine="709"/>
        <w:jc w:val="both"/>
        <w:rPr>
          <w:bCs/>
          <w:lang w:val="es-CR" w:eastAsia="en-US"/>
        </w:rPr>
      </w:pPr>
      <w:r w:rsidRPr="002C0DC3">
        <w:rPr>
          <w:bCs/>
          <w:lang w:val="es-CR" w:eastAsia="en-US"/>
        </w:rPr>
        <w:lastRenderedPageBreak/>
        <w:t xml:space="preserve"> Por su parte, los tres juzgados en la provincia de Alajuela registran bajas en sus ingresos, siendo más notable la registrada en el caso del Juzgado Segundo de Cobro, en cuyo caso la baja se calculó en 5.318 demandas.</w:t>
      </w:r>
    </w:p>
    <w:p w14:paraId="41C8009D" w14:textId="77777777" w:rsidR="002C0DC3" w:rsidRPr="002C0DC3" w:rsidRDefault="002C0DC3" w:rsidP="002C0DC3">
      <w:pPr>
        <w:widowControl w:val="0"/>
        <w:suppressAutoHyphens w:val="0"/>
        <w:autoSpaceDE w:val="0"/>
        <w:autoSpaceDN w:val="0"/>
        <w:adjustRightInd w:val="0"/>
        <w:ind w:left="851" w:right="851" w:firstLine="709"/>
        <w:jc w:val="both"/>
        <w:rPr>
          <w:bCs/>
          <w:lang w:val="es-CR" w:eastAsia="en-US"/>
        </w:rPr>
      </w:pPr>
    </w:p>
    <w:p w14:paraId="30CC65F8" w14:textId="6B48421B" w:rsidR="002C0DC3" w:rsidRDefault="002C0DC3" w:rsidP="002C0DC3">
      <w:pPr>
        <w:widowControl w:val="0"/>
        <w:suppressAutoHyphens w:val="0"/>
        <w:autoSpaceDE w:val="0"/>
        <w:autoSpaceDN w:val="0"/>
        <w:adjustRightInd w:val="0"/>
        <w:ind w:left="851" w:right="851" w:firstLine="709"/>
        <w:jc w:val="both"/>
        <w:rPr>
          <w:bCs/>
          <w:lang w:val="es-CR" w:eastAsia="en-US"/>
        </w:rPr>
      </w:pPr>
      <w:r w:rsidRPr="002C0DC3">
        <w:rPr>
          <w:bCs/>
          <w:lang w:val="es-CR" w:eastAsia="en-US"/>
        </w:rPr>
        <w:t>Respecto del comportamiento de los casos entrados en Cartago, Heredia, la Zona Sur y Atlántica, se registra igualmente una tendencia a la baja, experimentándose disminuciones en proporciones muy similares a las ocurridas en otros despachos del territorio nacional.</w:t>
      </w:r>
    </w:p>
    <w:p w14:paraId="4E1CEFC2" w14:textId="77777777" w:rsidR="002C0DC3" w:rsidRPr="002C0DC3" w:rsidRDefault="002C0DC3" w:rsidP="002C0DC3">
      <w:pPr>
        <w:widowControl w:val="0"/>
        <w:suppressAutoHyphens w:val="0"/>
        <w:autoSpaceDE w:val="0"/>
        <w:autoSpaceDN w:val="0"/>
        <w:adjustRightInd w:val="0"/>
        <w:ind w:left="851" w:right="851" w:firstLine="709"/>
        <w:jc w:val="both"/>
        <w:rPr>
          <w:bCs/>
          <w:lang w:val="es-CR" w:eastAsia="en-US"/>
        </w:rPr>
      </w:pPr>
    </w:p>
    <w:p w14:paraId="2C70BA41" w14:textId="77777777" w:rsidR="002C0DC3" w:rsidRPr="002C0DC3" w:rsidRDefault="002C0DC3" w:rsidP="002C0DC3">
      <w:pPr>
        <w:suppressAutoHyphens w:val="0"/>
        <w:ind w:left="851" w:right="851" w:firstLine="709"/>
        <w:jc w:val="center"/>
        <w:rPr>
          <w:b/>
          <w:lang w:val="es-CR" w:eastAsia="en-US"/>
        </w:rPr>
      </w:pPr>
      <w:r w:rsidRPr="002C0DC3">
        <w:rPr>
          <w:b/>
          <w:lang w:val="es-CR" w:eastAsia="en-US"/>
        </w:rPr>
        <w:t>Gráfico N°3.1</w:t>
      </w:r>
    </w:p>
    <w:p w14:paraId="7BA61D50" w14:textId="77777777" w:rsidR="002C0DC3" w:rsidRPr="002C0DC3" w:rsidRDefault="002C0DC3" w:rsidP="002C0DC3">
      <w:pPr>
        <w:suppressAutoHyphens w:val="0"/>
        <w:jc w:val="center"/>
        <w:rPr>
          <w:bCs/>
          <w:lang w:val="es-CR" w:eastAsia="en-US"/>
        </w:rPr>
      </w:pPr>
      <w:r w:rsidRPr="002C0DC3">
        <w:rPr>
          <w:rFonts w:eastAsia="Calibri"/>
          <w:noProof/>
          <w:lang w:val="es-CR" w:eastAsia="es-CR"/>
        </w:rPr>
        <w:drawing>
          <wp:inline distT="0" distB="0" distL="0" distR="0" wp14:anchorId="373D5C99" wp14:editId="481622B6">
            <wp:extent cx="5362575" cy="3016250"/>
            <wp:effectExtent l="0" t="0" r="9525" b="12700"/>
            <wp:docPr id="9" name="Gráfico 9">
              <a:extLst xmlns:a="http://schemas.openxmlformats.org/drawingml/2006/main">
                <a:ext uri="{FF2B5EF4-FFF2-40B4-BE49-F238E27FC236}">
                  <a16:creationId xmlns:a16="http://schemas.microsoft.com/office/drawing/2014/main" id="{25C3B4A4-8D67-407E-B67C-C816F6848F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BF6DC4" w14:textId="77777777" w:rsidR="002C0DC3" w:rsidRPr="002C0DC3" w:rsidRDefault="002C0DC3" w:rsidP="002C0DC3">
      <w:pPr>
        <w:suppressAutoHyphens w:val="0"/>
        <w:jc w:val="both"/>
        <w:rPr>
          <w:bCs/>
          <w:lang w:val="es-CR" w:eastAsia="en-US"/>
        </w:rPr>
      </w:pPr>
    </w:p>
    <w:p w14:paraId="00E2BAAB"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r w:rsidRPr="002C0DC3">
        <w:rPr>
          <w:rFonts w:eastAsia="Calibri"/>
          <w:bCs/>
          <w:lang w:val="es-CR" w:eastAsia="en-US"/>
        </w:rPr>
        <w:t xml:space="preserve">Al analizar la gráfica N°3.1 y tomando en consideración la situación actual del país respecto a la emergencia por el COVID-19, es muy probable que la tendencia a la baja para esta variable se mantenga a la baja, estimando que los valores puedan ubicarse inclusive debajo de los 175 mil expedientes para el cierre del período 2021. </w:t>
      </w:r>
    </w:p>
    <w:p w14:paraId="151FEA05"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p>
    <w:p w14:paraId="046188A1"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r w:rsidRPr="002C0DC3">
        <w:rPr>
          <w:rFonts w:eastAsia="Calibri"/>
          <w:bCs/>
          <w:lang w:val="es-CR" w:eastAsia="en-US"/>
        </w:rPr>
        <w:t>El apartado N°7 de este informe presenta un modelo de proyección para esta variable.</w:t>
      </w:r>
    </w:p>
    <w:p w14:paraId="2CC33A0E"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p>
    <w:p w14:paraId="5896F7B3"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r w:rsidRPr="002C0DC3">
        <w:rPr>
          <w:rFonts w:eastAsia="Calibri"/>
          <w:bCs/>
          <w:lang w:val="es-CR" w:eastAsia="en-US"/>
        </w:rPr>
        <w:t xml:space="preserve">Seguidamente se detalla el desglose de casos entrados de acuerdo al </w:t>
      </w:r>
      <w:r w:rsidRPr="002C0DC3">
        <w:rPr>
          <w:rFonts w:eastAsia="Calibri"/>
          <w:bCs/>
          <w:i/>
          <w:iCs/>
          <w:lang w:val="es-CR" w:eastAsia="en-US"/>
        </w:rPr>
        <w:t>tipo de asunto</w:t>
      </w:r>
      <w:r w:rsidRPr="002C0DC3">
        <w:rPr>
          <w:rFonts w:eastAsia="Calibri"/>
          <w:bCs/>
          <w:lang w:val="es-CR" w:eastAsia="en-US"/>
        </w:rPr>
        <w:t>, para los últimos cinco períodos.</w:t>
      </w:r>
    </w:p>
    <w:p w14:paraId="32A97099"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p>
    <w:p w14:paraId="29516238"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p w14:paraId="3231C082"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N°3.2</w:t>
      </w:r>
    </w:p>
    <w:p w14:paraId="39B2FD9D"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Casos entrados según tipo de asunto y procedimiento, durante el período 2016-2020</w:t>
      </w:r>
    </w:p>
    <w:p w14:paraId="22B84754"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8"/>
        <w:gridCol w:w="3044"/>
        <w:gridCol w:w="994"/>
        <w:gridCol w:w="996"/>
        <w:gridCol w:w="996"/>
        <w:gridCol w:w="996"/>
        <w:gridCol w:w="1041"/>
      </w:tblGrid>
      <w:tr w:rsidR="002C0DC3" w:rsidRPr="002C0DC3" w14:paraId="70FB0614" w14:textId="77777777" w:rsidTr="002C0DC3">
        <w:trPr>
          <w:trHeight w:val="309"/>
          <w:tblHeader/>
        </w:trPr>
        <w:tc>
          <w:tcPr>
            <w:tcW w:w="2327" w:type="pct"/>
            <w:gridSpan w:val="2"/>
            <w:vMerge w:val="restart"/>
            <w:shd w:val="clear" w:color="auto" w:fill="auto"/>
            <w:vAlign w:val="center"/>
            <w:hideMark/>
          </w:tcPr>
          <w:p w14:paraId="12952C72"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Tipo de Asunto</w:t>
            </w:r>
          </w:p>
        </w:tc>
        <w:tc>
          <w:tcPr>
            <w:tcW w:w="2673" w:type="pct"/>
            <w:gridSpan w:val="5"/>
            <w:shd w:val="clear" w:color="auto" w:fill="auto"/>
            <w:vAlign w:val="center"/>
            <w:hideMark/>
          </w:tcPr>
          <w:p w14:paraId="7FD6DD76"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Casos Entrados</w:t>
            </w:r>
          </w:p>
        </w:tc>
      </w:tr>
      <w:tr w:rsidR="002C0DC3" w:rsidRPr="002C0DC3" w14:paraId="0F1728B9" w14:textId="77777777" w:rsidTr="002C0DC3">
        <w:trPr>
          <w:trHeight w:val="309"/>
          <w:tblHeader/>
        </w:trPr>
        <w:tc>
          <w:tcPr>
            <w:tcW w:w="2327" w:type="pct"/>
            <w:gridSpan w:val="2"/>
            <w:vMerge/>
            <w:vAlign w:val="center"/>
            <w:hideMark/>
          </w:tcPr>
          <w:p w14:paraId="6925242D" w14:textId="77777777" w:rsidR="002C0DC3" w:rsidRPr="002C0DC3" w:rsidRDefault="002C0DC3" w:rsidP="002C0DC3">
            <w:pPr>
              <w:suppressAutoHyphens w:val="0"/>
              <w:jc w:val="both"/>
              <w:rPr>
                <w:rFonts w:eastAsia="Calibri"/>
                <w:b/>
                <w:bCs/>
                <w:lang w:val="es-CR" w:eastAsia="en-US"/>
              </w:rPr>
            </w:pPr>
          </w:p>
        </w:tc>
        <w:tc>
          <w:tcPr>
            <w:tcW w:w="529" w:type="pct"/>
            <w:shd w:val="clear" w:color="auto" w:fill="auto"/>
            <w:noWrap/>
            <w:vAlign w:val="center"/>
            <w:hideMark/>
          </w:tcPr>
          <w:p w14:paraId="50E9B660"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2016</w:t>
            </w:r>
          </w:p>
        </w:tc>
        <w:tc>
          <w:tcPr>
            <w:tcW w:w="530" w:type="pct"/>
            <w:shd w:val="clear" w:color="auto" w:fill="auto"/>
            <w:noWrap/>
            <w:vAlign w:val="center"/>
          </w:tcPr>
          <w:p w14:paraId="31066D86"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2017</w:t>
            </w:r>
          </w:p>
        </w:tc>
        <w:tc>
          <w:tcPr>
            <w:tcW w:w="530" w:type="pct"/>
            <w:shd w:val="clear" w:color="auto" w:fill="auto"/>
            <w:noWrap/>
            <w:vAlign w:val="center"/>
            <w:hideMark/>
          </w:tcPr>
          <w:p w14:paraId="5EA46FB1"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2018</w:t>
            </w:r>
          </w:p>
        </w:tc>
        <w:tc>
          <w:tcPr>
            <w:tcW w:w="530" w:type="pct"/>
            <w:shd w:val="clear" w:color="auto" w:fill="auto"/>
            <w:noWrap/>
            <w:vAlign w:val="center"/>
          </w:tcPr>
          <w:p w14:paraId="655DB41D"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2019</w:t>
            </w:r>
          </w:p>
        </w:tc>
        <w:tc>
          <w:tcPr>
            <w:tcW w:w="554" w:type="pct"/>
            <w:shd w:val="clear" w:color="auto" w:fill="auto"/>
            <w:noWrap/>
            <w:vAlign w:val="center"/>
            <w:hideMark/>
          </w:tcPr>
          <w:p w14:paraId="56D39C11"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2020</w:t>
            </w:r>
          </w:p>
        </w:tc>
      </w:tr>
      <w:tr w:rsidR="002C0DC3" w:rsidRPr="002C0DC3" w14:paraId="32F18F6F" w14:textId="77777777" w:rsidTr="002C0DC3">
        <w:trPr>
          <w:trHeight w:val="325"/>
          <w:tblHeader/>
        </w:trPr>
        <w:tc>
          <w:tcPr>
            <w:tcW w:w="2327" w:type="pct"/>
            <w:gridSpan w:val="2"/>
            <w:shd w:val="clear" w:color="auto" w:fill="auto"/>
            <w:vAlign w:val="center"/>
            <w:hideMark/>
          </w:tcPr>
          <w:p w14:paraId="0681EDF1"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Total</w:t>
            </w:r>
          </w:p>
        </w:tc>
        <w:tc>
          <w:tcPr>
            <w:tcW w:w="529" w:type="pct"/>
            <w:shd w:val="clear" w:color="auto" w:fill="auto"/>
            <w:noWrap/>
            <w:vAlign w:val="center"/>
            <w:hideMark/>
          </w:tcPr>
          <w:p w14:paraId="4191FAE3"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164.522</w:t>
            </w:r>
          </w:p>
        </w:tc>
        <w:tc>
          <w:tcPr>
            <w:tcW w:w="530" w:type="pct"/>
            <w:shd w:val="clear" w:color="auto" w:fill="auto"/>
            <w:noWrap/>
            <w:vAlign w:val="center"/>
          </w:tcPr>
          <w:p w14:paraId="1852A31F"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199.706</w:t>
            </w:r>
          </w:p>
        </w:tc>
        <w:tc>
          <w:tcPr>
            <w:tcW w:w="530" w:type="pct"/>
            <w:shd w:val="clear" w:color="auto" w:fill="auto"/>
            <w:noWrap/>
            <w:vAlign w:val="center"/>
            <w:hideMark/>
          </w:tcPr>
          <w:p w14:paraId="354888C5"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244.251</w:t>
            </w:r>
          </w:p>
        </w:tc>
        <w:tc>
          <w:tcPr>
            <w:tcW w:w="530" w:type="pct"/>
            <w:shd w:val="clear" w:color="auto" w:fill="auto"/>
            <w:noWrap/>
            <w:vAlign w:val="center"/>
            <w:hideMark/>
          </w:tcPr>
          <w:p w14:paraId="3AB3C35C"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237.736</w:t>
            </w:r>
          </w:p>
        </w:tc>
        <w:tc>
          <w:tcPr>
            <w:tcW w:w="554" w:type="pct"/>
            <w:shd w:val="clear" w:color="auto" w:fill="auto"/>
            <w:noWrap/>
            <w:vAlign w:val="center"/>
          </w:tcPr>
          <w:p w14:paraId="1D5A7970" w14:textId="77777777" w:rsidR="002C0DC3" w:rsidRPr="002C0DC3" w:rsidRDefault="002C0DC3" w:rsidP="002C0DC3">
            <w:pPr>
              <w:suppressAutoHyphens w:val="0"/>
              <w:jc w:val="right"/>
              <w:rPr>
                <w:rFonts w:eastAsia="Calibri"/>
                <w:b/>
                <w:bCs/>
                <w:lang w:val="es-CR" w:eastAsia="en-US"/>
              </w:rPr>
            </w:pPr>
            <w:r w:rsidRPr="002C0DC3">
              <w:rPr>
                <w:rFonts w:eastAsia="Calibri"/>
                <w:b/>
                <w:bCs/>
                <w:lang w:val="es-CR" w:eastAsia="en-US"/>
              </w:rPr>
              <w:t>182.485</w:t>
            </w:r>
          </w:p>
        </w:tc>
      </w:tr>
      <w:tr w:rsidR="002C0DC3" w:rsidRPr="002C0DC3" w14:paraId="463FB2F5" w14:textId="77777777" w:rsidTr="002C0DC3">
        <w:trPr>
          <w:trHeight w:val="309"/>
        </w:trPr>
        <w:tc>
          <w:tcPr>
            <w:tcW w:w="707" w:type="pct"/>
            <w:vMerge w:val="restart"/>
            <w:shd w:val="clear" w:color="auto" w:fill="auto"/>
            <w:vAlign w:val="center"/>
            <w:hideMark/>
          </w:tcPr>
          <w:p w14:paraId="781875AE"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Procesos Monitorios</w:t>
            </w:r>
          </w:p>
        </w:tc>
        <w:tc>
          <w:tcPr>
            <w:tcW w:w="1619" w:type="pct"/>
            <w:shd w:val="clear" w:color="auto" w:fill="auto"/>
            <w:vAlign w:val="center"/>
          </w:tcPr>
          <w:p w14:paraId="5D6784AD"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Monitorios</w:t>
            </w:r>
          </w:p>
        </w:tc>
        <w:tc>
          <w:tcPr>
            <w:tcW w:w="529" w:type="pct"/>
            <w:shd w:val="clear" w:color="auto" w:fill="auto"/>
            <w:vAlign w:val="center"/>
            <w:hideMark/>
          </w:tcPr>
          <w:p w14:paraId="6759D369"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145.227</w:t>
            </w:r>
          </w:p>
        </w:tc>
        <w:tc>
          <w:tcPr>
            <w:tcW w:w="530" w:type="pct"/>
            <w:shd w:val="clear" w:color="auto" w:fill="auto"/>
            <w:vAlign w:val="center"/>
          </w:tcPr>
          <w:p w14:paraId="7C1058EE"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177.225</w:t>
            </w:r>
          </w:p>
        </w:tc>
        <w:tc>
          <w:tcPr>
            <w:tcW w:w="530" w:type="pct"/>
            <w:shd w:val="clear" w:color="auto" w:fill="auto"/>
            <w:vAlign w:val="center"/>
          </w:tcPr>
          <w:p w14:paraId="1A3090FC"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179.913</w:t>
            </w:r>
          </w:p>
        </w:tc>
        <w:tc>
          <w:tcPr>
            <w:tcW w:w="530" w:type="pct"/>
            <w:shd w:val="clear" w:color="auto" w:fill="auto"/>
            <w:vAlign w:val="center"/>
          </w:tcPr>
          <w:p w14:paraId="5436C406"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71.672</w:t>
            </w:r>
          </w:p>
        </w:tc>
        <w:tc>
          <w:tcPr>
            <w:tcW w:w="554" w:type="pct"/>
            <w:shd w:val="clear" w:color="auto" w:fill="auto"/>
            <w:noWrap/>
            <w:vAlign w:val="center"/>
          </w:tcPr>
          <w:p w14:paraId="540B0806"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37.951</w:t>
            </w:r>
          </w:p>
        </w:tc>
      </w:tr>
      <w:tr w:rsidR="002C0DC3" w:rsidRPr="002C0DC3" w14:paraId="3B8FB60D" w14:textId="77777777" w:rsidTr="002C0DC3">
        <w:trPr>
          <w:trHeight w:val="309"/>
        </w:trPr>
        <w:tc>
          <w:tcPr>
            <w:tcW w:w="707" w:type="pct"/>
            <w:vMerge/>
            <w:vAlign w:val="center"/>
            <w:hideMark/>
          </w:tcPr>
          <w:p w14:paraId="14C1469C"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55BE8DD6"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Dinerario</w:t>
            </w:r>
          </w:p>
        </w:tc>
        <w:tc>
          <w:tcPr>
            <w:tcW w:w="529" w:type="pct"/>
            <w:shd w:val="clear" w:color="auto" w:fill="auto"/>
            <w:vAlign w:val="center"/>
            <w:hideMark/>
          </w:tcPr>
          <w:p w14:paraId="0A54294E"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59C151A7"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46.901</w:t>
            </w:r>
          </w:p>
        </w:tc>
        <w:tc>
          <w:tcPr>
            <w:tcW w:w="530" w:type="pct"/>
            <w:shd w:val="clear" w:color="auto" w:fill="auto"/>
            <w:vAlign w:val="center"/>
          </w:tcPr>
          <w:p w14:paraId="686655F9"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38FD1749"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143.810</w:t>
            </w:r>
          </w:p>
        </w:tc>
        <w:tc>
          <w:tcPr>
            <w:tcW w:w="554" w:type="pct"/>
            <w:shd w:val="clear" w:color="auto" w:fill="auto"/>
            <w:noWrap/>
            <w:vAlign w:val="center"/>
          </w:tcPr>
          <w:p w14:paraId="60731F96"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126.978</w:t>
            </w:r>
          </w:p>
        </w:tc>
      </w:tr>
      <w:tr w:rsidR="002C0DC3" w:rsidRPr="002C0DC3" w14:paraId="775DB1FD" w14:textId="77777777" w:rsidTr="002C0DC3">
        <w:trPr>
          <w:trHeight w:val="325"/>
        </w:trPr>
        <w:tc>
          <w:tcPr>
            <w:tcW w:w="707" w:type="pct"/>
            <w:vMerge/>
            <w:vAlign w:val="center"/>
            <w:hideMark/>
          </w:tcPr>
          <w:p w14:paraId="1347F488"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4A7CB6C9"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Monitorios arrendaticios</w:t>
            </w:r>
          </w:p>
        </w:tc>
        <w:tc>
          <w:tcPr>
            <w:tcW w:w="529" w:type="pct"/>
            <w:shd w:val="clear" w:color="auto" w:fill="auto"/>
            <w:vAlign w:val="center"/>
            <w:hideMark/>
          </w:tcPr>
          <w:p w14:paraId="2D7D0B65"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312AFB62"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3</w:t>
            </w:r>
          </w:p>
        </w:tc>
        <w:tc>
          <w:tcPr>
            <w:tcW w:w="530" w:type="pct"/>
            <w:shd w:val="clear" w:color="auto" w:fill="auto"/>
            <w:vAlign w:val="center"/>
          </w:tcPr>
          <w:p w14:paraId="58FAA256"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1</w:t>
            </w:r>
          </w:p>
        </w:tc>
        <w:tc>
          <w:tcPr>
            <w:tcW w:w="530" w:type="pct"/>
            <w:shd w:val="clear" w:color="auto" w:fill="auto"/>
            <w:vAlign w:val="center"/>
          </w:tcPr>
          <w:p w14:paraId="22329EE0"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6</w:t>
            </w:r>
          </w:p>
        </w:tc>
        <w:tc>
          <w:tcPr>
            <w:tcW w:w="554" w:type="pct"/>
            <w:shd w:val="clear" w:color="auto" w:fill="auto"/>
            <w:noWrap/>
            <w:vAlign w:val="center"/>
          </w:tcPr>
          <w:p w14:paraId="0B05C4DB"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7</w:t>
            </w:r>
          </w:p>
        </w:tc>
      </w:tr>
      <w:tr w:rsidR="002C0DC3" w:rsidRPr="002C0DC3" w14:paraId="1A6208D4" w14:textId="77777777" w:rsidTr="002C0DC3">
        <w:trPr>
          <w:trHeight w:val="309"/>
        </w:trPr>
        <w:tc>
          <w:tcPr>
            <w:tcW w:w="707" w:type="pct"/>
            <w:vMerge w:val="restart"/>
            <w:shd w:val="clear" w:color="auto" w:fill="auto"/>
            <w:vAlign w:val="center"/>
            <w:hideMark/>
          </w:tcPr>
          <w:p w14:paraId="60822C19"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Ejecución</w:t>
            </w:r>
          </w:p>
        </w:tc>
        <w:tc>
          <w:tcPr>
            <w:tcW w:w="1619" w:type="pct"/>
            <w:shd w:val="clear" w:color="auto" w:fill="auto"/>
            <w:vAlign w:val="center"/>
          </w:tcPr>
          <w:p w14:paraId="7CE29837"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Hipotecaria</w:t>
            </w:r>
          </w:p>
        </w:tc>
        <w:tc>
          <w:tcPr>
            <w:tcW w:w="529" w:type="pct"/>
            <w:shd w:val="clear" w:color="auto" w:fill="auto"/>
            <w:vAlign w:val="center"/>
            <w:hideMark/>
          </w:tcPr>
          <w:p w14:paraId="1BF66DB8"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14.349</w:t>
            </w:r>
          </w:p>
        </w:tc>
        <w:tc>
          <w:tcPr>
            <w:tcW w:w="530" w:type="pct"/>
            <w:shd w:val="clear" w:color="auto" w:fill="auto"/>
            <w:vAlign w:val="center"/>
          </w:tcPr>
          <w:p w14:paraId="57DBE982"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11.033</w:t>
            </w:r>
          </w:p>
        </w:tc>
        <w:tc>
          <w:tcPr>
            <w:tcW w:w="530" w:type="pct"/>
            <w:shd w:val="clear" w:color="auto" w:fill="auto"/>
            <w:vAlign w:val="center"/>
          </w:tcPr>
          <w:p w14:paraId="2A9A0CE0"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12.830</w:t>
            </w:r>
          </w:p>
        </w:tc>
        <w:tc>
          <w:tcPr>
            <w:tcW w:w="530" w:type="pct"/>
            <w:shd w:val="clear" w:color="auto" w:fill="auto"/>
            <w:vAlign w:val="center"/>
          </w:tcPr>
          <w:p w14:paraId="72ECAF62"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8.061</w:t>
            </w:r>
          </w:p>
        </w:tc>
        <w:tc>
          <w:tcPr>
            <w:tcW w:w="554" w:type="pct"/>
            <w:shd w:val="clear" w:color="auto" w:fill="auto"/>
            <w:noWrap/>
            <w:vAlign w:val="center"/>
          </w:tcPr>
          <w:p w14:paraId="7D1143C6"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8.672</w:t>
            </w:r>
          </w:p>
        </w:tc>
      </w:tr>
      <w:tr w:rsidR="002C0DC3" w:rsidRPr="002C0DC3" w14:paraId="323A4ECD" w14:textId="77777777" w:rsidTr="002C0DC3">
        <w:trPr>
          <w:trHeight w:val="309"/>
        </w:trPr>
        <w:tc>
          <w:tcPr>
            <w:tcW w:w="707" w:type="pct"/>
            <w:vMerge/>
            <w:vAlign w:val="center"/>
            <w:hideMark/>
          </w:tcPr>
          <w:p w14:paraId="3DF97745"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26616C22"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Prendaria</w:t>
            </w:r>
          </w:p>
        </w:tc>
        <w:tc>
          <w:tcPr>
            <w:tcW w:w="529" w:type="pct"/>
            <w:shd w:val="clear" w:color="auto" w:fill="auto"/>
            <w:vAlign w:val="center"/>
            <w:hideMark/>
          </w:tcPr>
          <w:p w14:paraId="027E1492"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4.717</w:t>
            </w:r>
          </w:p>
        </w:tc>
        <w:tc>
          <w:tcPr>
            <w:tcW w:w="530" w:type="pct"/>
            <w:shd w:val="clear" w:color="auto" w:fill="auto"/>
            <w:vAlign w:val="center"/>
          </w:tcPr>
          <w:p w14:paraId="39E7CBB4"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6.227</w:t>
            </w:r>
          </w:p>
        </w:tc>
        <w:tc>
          <w:tcPr>
            <w:tcW w:w="530" w:type="pct"/>
            <w:shd w:val="clear" w:color="auto" w:fill="auto"/>
            <w:vAlign w:val="center"/>
          </w:tcPr>
          <w:p w14:paraId="0C7E87BF"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6.697</w:t>
            </w:r>
          </w:p>
        </w:tc>
        <w:tc>
          <w:tcPr>
            <w:tcW w:w="530" w:type="pct"/>
            <w:shd w:val="clear" w:color="auto" w:fill="auto"/>
            <w:vAlign w:val="center"/>
          </w:tcPr>
          <w:p w14:paraId="6D2A5C36"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4.134</w:t>
            </w:r>
          </w:p>
        </w:tc>
        <w:tc>
          <w:tcPr>
            <w:tcW w:w="554" w:type="pct"/>
            <w:shd w:val="clear" w:color="auto" w:fill="auto"/>
            <w:noWrap/>
            <w:vAlign w:val="center"/>
          </w:tcPr>
          <w:p w14:paraId="0D207BCE"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3.948</w:t>
            </w:r>
          </w:p>
        </w:tc>
      </w:tr>
      <w:tr w:rsidR="002C0DC3" w:rsidRPr="002C0DC3" w14:paraId="24CD31A1" w14:textId="77777777" w:rsidTr="002C0DC3">
        <w:trPr>
          <w:trHeight w:val="309"/>
        </w:trPr>
        <w:tc>
          <w:tcPr>
            <w:tcW w:w="707" w:type="pct"/>
            <w:vMerge/>
            <w:vAlign w:val="center"/>
            <w:hideMark/>
          </w:tcPr>
          <w:p w14:paraId="01EDD476"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1BFC5902"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Procesos de ejecución (no especifica)</w:t>
            </w:r>
          </w:p>
        </w:tc>
        <w:tc>
          <w:tcPr>
            <w:tcW w:w="529" w:type="pct"/>
            <w:shd w:val="clear" w:color="auto" w:fill="auto"/>
            <w:vAlign w:val="center"/>
            <w:hideMark/>
          </w:tcPr>
          <w:p w14:paraId="3AEF66AA"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0D425670"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2.321</w:t>
            </w:r>
          </w:p>
        </w:tc>
        <w:tc>
          <w:tcPr>
            <w:tcW w:w="530" w:type="pct"/>
            <w:shd w:val="clear" w:color="auto" w:fill="auto"/>
            <w:vAlign w:val="center"/>
          </w:tcPr>
          <w:p w14:paraId="44FAAF86"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602C814B"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7.350</w:t>
            </w:r>
          </w:p>
        </w:tc>
        <w:tc>
          <w:tcPr>
            <w:tcW w:w="554" w:type="pct"/>
            <w:shd w:val="clear" w:color="auto" w:fill="auto"/>
            <w:noWrap/>
            <w:vAlign w:val="center"/>
          </w:tcPr>
          <w:p w14:paraId="2668FD61"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3.623</w:t>
            </w:r>
          </w:p>
        </w:tc>
      </w:tr>
      <w:tr w:rsidR="002C0DC3" w:rsidRPr="002C0DC3" w14:paraId="12339E5F" w14:textId="77777777" w:rsidTr="002C0DC3">
        <w:trPr>
          <w:trHeight w:val="309"/>
        </w:trPr>
        <w:tc>
          <w:tcPr>
            <w:tcW w:w="707" w:type="pct"/>
            <w:vMerge/>
            <w:vAlign w:val="center"/>
            <w:hideMark/>
          </w:tcPr>
          <w:p w14:paraId="6EF5BA96"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6404092C"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 xml:space="preserve">    Ejecución de garantía mobiliaria</w:t>
            </w:r>
          </w:p>
        </w:tc>
        <w:tc>
          <w:tcPr>
            <w:tcW w:w="529" w:type="pct"/>
            <w:shd w:val="clear" w:color="auto" w:fill="auto"/>
            <w:vAlign w:val="center"/>
            <w:hideMark/>
          </w:tcPr>
          <w:p w14:paraId="09E0C06B"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0E427DC6"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109</w:t>
            </w:r>
          </w:p>
        </w:tc>
        <w:tc>
          <w:tcPr>
            <w:tcW w:w="530" w:type="pct"/>
            <w:shd w:val="clear" w:color="auto" w:fill="auto"/>
            <w:vAlign w:val="center"/>
          </w:tcPr>
          <w:p w14:paraId="27DFD18C"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13</w:t>
            </w:r>
          </w:p>
        </w:tc>
        <w:tc>
          <w:tcPr>
            <w:tcW w:w="530" w:type="pct"/>
            <w:shd w:val="clear" w:color="auto" w:fill="auto"/>
            <w:vAlign w:val="center"/>
          </w:tcPr>
          <w:p w14:paraId="5076BFAD"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1.626</w:t>
            </w:r>
          </w:p>
        </w:tc>
        <w:tc>
          <w:tcPr>
            <w:tcW w:w="554" w:type="pct"/>
            <w:shd w:val="clear" w:color="auto" w:fill="auto"/>
            <w:noWrap/>
            <w:vAlign w:val="center"/>
          </w:tcPr>
          <w:p w14:paraId="76A42530"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181</w:t>
            </w:r>
          </w:p>
        </w:tc>
      </w:tr>
      <w:tr w:rsidR="002C0DC3" w:rsidRPr="002C0DC3" w14:paraId="02329CF0" w14:textId="77777777" w:rsidTr="002C0DC3">
        <w:trPr>
          <w:trHeight w:val="325"/>
        </w:trPr>
        <w:tc>
          <w:tcPr>
            <w:tcW w:w="707" w:type="pct"/>
            <w:vMerge/>
            <w:vAlign w:val="center"/>
            <w:hideMark/>
          </w:tcPr>
          <w:p w14:paraId="614F66C5"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3E267F9D"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 xml:space="preserve">    Reposesión de garantía mobiliaria</w:t>
            </w:r>
          </w:p>
        </w:tc>
        <w:tc>
          <w:tcPr>
            <w:tcW w:w="529" w:type="pct"/>
            <w:shd w:val="clear" w:color="auto" w:fill="auto"/>
            <w:vAlign w:val="center"/>
            <w:hideMark/>
          </w:tcPr>
          <w:p w14:paraId="65FA8106"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5634BEF6"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107</w:t>
            </w:r>
          </w:p>
        </w:tc>
        <w:tc>
          <w:tcPr>
            <w:tcW w:w="530" w:type="pct"/>
            <w:shd w:val="clear" w:color="auto" w:fill="auto"/>
            <w:vAlign w:val="center"/>
          </w:tcPr>
          <w:p w14:paraId="408EBFE7"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49</w:t>
            </w:r>
          </w:p>
        </w:tc>
        <w:tc>
          <w:tcPr>
            <w:tcW w:w="530" w:type="pct"/>
            <w:shd w:val="clear" w:color="auto" w:fill="auto"/>
            <w:vAlign w:val="center"/>
          </w:tcPr>
          <w:p w14:paraId="3F64E745"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60</w:t>
            </w:r>
          </w:p>
        </w:tc>
        <w:tc>
          <w:tcPr>
            <w:tcW w:w="554" w:type="pct"/>
            <w:shd w:val="clear" w:color="auto" w:fill="auto"/>
            <w:noWrap/>
            <w:vAlign w:val="center"/>
          </w:tcPr>
          <w:p w14:paraId="1D09208E"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18</w:t>
            </w:r>
          </w:p>
        </w:tc>
      </w:tr>
      <w:tr w:rsidR="002C0DC3" w:rsidRPr="002C0DC3" w14:paraId="0EF876B7" w14:textId="77777777" w:rsidTr="002C0DC3">
        <w:trPr>
          <w:trHeight w:val="309"/>
        </w:trPr>
        <w:tc>
          <w:tcPr>
            <w:tcW w:w="707" w:type="pct"/>
            <w:vMerge w:val="restart"/>
            <w:shd w:val="clear" w:color="auto" w:fill="auto"/>
            <w:vAlign w:val="center"/>
            <w:hideMark/>
          </w:tcPr>
          <w:p w14:paraId="6ABB6340"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Medida cautelar</w:t>
            </w:r>
          </w:p>
        </w:tc>
        <w:tc>
          <w:tcPr>
            <w:tcW w:w="1619" w:type="pct"/>
            <w:shd w:val="clear" w:color="auto" w:fill="auto"/>
            <w:vAlign w:val="center"/>
          </w:tcPr>
          <w:p w14:paraId="31DB73B5"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 xml:space="preserve">Embargo Preventivo </w:t>
            </w:r>
          </w:p>
        </w:tc>
        <w:tc>
          <w:tcPr>
            <w:tcW w:w="529" w:type="pct"/>
            <w:shd w:val="clear" w:color="auto" w:fill="auto"/>
            <w:vAlign w:val="center"/>
            <w:hideMark/>
          </w:tcPr>
          <w:p w14:paraId="4AF2AEFC"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141</w:t>
            </w:r>
          </w:p>
        </w:tc>
        <w:tc>
          <w:tcPr>
            <w:tcW w:w="530" w:type="pct"/>
            <w:shd w:val="clear" w:color="auto" w:fill="auto"/>
            <w:vAlign w:val="center"/>
          </w:tcPr>
          <w:p w14:paraId="5B2FD748"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159</w:t>
            </w:r>
          </w:p>
        </w:tc>
        <w:tc>
          <w:tcPr>
            <w:tcW w:w="530" w:type="pct"/>
            <w:shd w:val="clear" w:color="auto" w:fill="auto"/>
            <w:vAlign w:val="center"/>
          </w:tcPr>
          <w:p w14:paraId="5562C7E9"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104</w:t>
            </w:r>
          </w:p>
        </w:tc>
        <w:tc>
          <w:tcPr>
            <w:tcW w:w="530" w:type="pct"/>
            <w:shd w:val="clear" w:color="auto" w:fill="auto"/>
            <w:vAlign w:val="center"/>
          </w:tcPr>
          <w:p w14:paraId="499C1EEB"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623</w:t>
            </w:r>
          </w:p>
        </w:tc>
        <w:tc>
          <w:tcPr>
            <w:tcW w:w="554" w:type="pct"/>
            <w:shd w:val="clear" w:color="auto" w:fill="auto"/>
            <w:noWrap/>
            <w:vAlign w:val="center"/>
          </w:tcPr>
          <w:p w14:paraId="055AFF15"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285</w:t>
            </w:r>
          </w:p>
        </w:tc>
      </w:tr>
      <w:tr w:rsidR="002C0DC3" w:rsidRPr="002C0DC3" w14:paraId="59B5FA9C" w14:textId="77777777" w:rsidTr="002C0DC3">
        <w:trPr>
          <w:trHeight w:val="309"/>
        </w:trPr>
        <w:tc>
          <w:tcPr>
            <w:tcW w:w="707" w:type="pct"/>
            <w:vMerge/>
            <w:vAlign w:val="center"/>
            <w:hideMark/>
          </w:tcPr>
          <w:p w14:paraId="6CEEF2CA"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25E524F2"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Medidas Cautelares Mixtas</w:t>
            </w:r>
          </w:p>
        </w:tc>
        <w:tc>
          <w:tcPr>
            <w:tcW w:w="529" w:type="pct"/>
            <w:shd w:val="clear" w:color="auto" w:fill="auto"/>
            <w:vAlign w:val="center"/>
            <w:hideMark/>
          </w:tcPr>
          <w:p w14:paraId="62C7319A"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0EC6CB0C"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5</w:t>
            </w:r>
          </w:p>
        </w:tc>
        <w:tc>
          <w:tcPr>
            <w:tcW w:w="530" w:type="pct"/>
            <w:shd w:val="clear" w:color="auto" w:fill="auto"/>
            <w:vAlign w:val="center"/>
          </w:tcPr>
          <w:p w14:paraId="7B6846A0"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6A6A5BF6"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6</w:t>
            </w:r>
          </w:p>
        </w:tc>
        <w:tc>
          <w:tcPr>
            <w:tcW w:w="554" w:type="pct"/>
            <w:shd w:val="clear" w:color="auto" w:fill="auto"/>
            <w:noWrap/>
            <w:vAlign w:val="center"/>
          </w:tcPr>
          <w:p w14:paraId="0D56E5AE"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5</w:t>
            </w:r>
          </w:p>
        </w:tc>
      </w:tr>
      <w:tr w:rsidR="002C0DC3" w:rsidRPr="002C0DC3" w14:paraId="04CF0C4E" w14:textId="77777777" w:rsidTr="002C0DC3">
        <w:trPr>
          <w:trHeight w:val="309"/>
        </w:trPr>
        <w:tc>
          <w:tcPr>
            <w:tcW w:w="707" w:type="pct"/>
            <w:vMerge/>
            <w:vAlign w:val="center"/>
            <w:hideMark/>
          </w:tcPr>
          <w:p w14:paraId="355C0791"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269B17CD"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Típicas especiales</w:t>
            </w:r>
          </w:p>
        </w:tc>
        <w:tc>
          <w:tcPr>
            <w:tcW w:w="529" w:type="pct"/>
            <w:shd w:val="clear" w:color="auto" w:fill="auto"/>
            <w:vAlign w:val="center"/>
            <w:hideMark/>
          </w:tcPr>
          <w:p w14:paraId="26ECC9F3"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650C24C6"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2</w:t>
            </w:r>
          </w:p>
        </w:tc>
        <w:tc>
          <w:tcPr>
            <w:tcW w:w="530" w:type="pct"/>
            <w:shd w:val="clear" w:color="auto" w:fill="auto"/>
            <w:vAlign w:val="center"/>
          </w:tcPr>
          <w:p w14:paraId="1DEBB44C"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76707E74"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6</w:t>
            </w:r>
          </w:p>
        </w:tc>
        <w:tc>
          <w:tcPr>
            <w:tcW w:w="554" w:type="pct"/>
            <w:shd w:val="clear" w:color="auto" w:fill="auto"/>
            <w:noWrap/>
            <w:vAlign w:val="center"/>
          </w:tcPr>
          <w:p w14:paraId="54B026D8"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6</w:t>
            </w:r>
          </w:p>
        </w:tc>
      </w:tr>
      <w:tr w:rsidR="002C0DC3" w:rsidRPr="002C0DC3" w14:paraId="010F33F0" w14:textId="77777777" w:rsidTr="002C0DC3">
        <w:trPr>
          <w:trHeight w:val="309"/>
        </w:trPr>
        <w:tc>
          <w:tcPr>
            <w:tcW w:w="707" w:type="pct"/>
            <w:vMerge/>
            <w:vAlign w:val="center"/>
          </w:tcPr>
          <w:p w14:paraId="1617CC07"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29FAEB28"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Medidas Cautelares Atípicas</w:t>
            </w:r>
          </w:p>
        </w:tc>
        <w:tc>
          <w:tcPr>
            <w:tcW w:w="529" w:type="pct"/>
            <w:shd w:val="clear" w:color="auto" w:fill="auto"/>
            <w:vAlign w:val="center"/>
          </w:tcPr>
          <w:p w14:paraId="1A1C235E"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44858BB7"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0</w:t>
            </w:r>
          </w:p>
        </w:tc>
        <w:tc>
          <w:tcPr>
            <w:tcW w:w="530" w:type="pct"/>
            <w:shd w:val="clear" w:color="auto" w:fill="auto"/>
            <w:vAlign w:val="center"/>
          </w:tcPr>
          <w:p w14:paraId="524DB8A8" w14:textId="77777777" w:rsidR="002C0DC3" w:rsidRPr="002C0DC3" w:rsidRDefault="002C0DC3" w:rsidP="002C0DC3">
            <w:pPr>
              <w:suppressAutoHyphens w:val="0"/>
              <w:jc w:val="right"/>
              <w:rPr>
                <w:rFonts w:eastAsia="Calibri"/>
                <w:bCs/>
                <w:lang w:val="es-CR" w:eastAsia="en-US"/>
              </w:rPr>
            </w:pPr>
            <w:r w:rsidRPr="002C0DC3">
              <w:rPr>
                <w:rFonts w:eastAsia="Calibri"/>
                <w:lang w:val="es-CR" w:eastAsia="en-US"/>
              </w:rPr>
              <w:t>0</w:t>
            </w:r>
          </w:p>
        </w:tc>
        <w:tc>
          <w:tcPr>
            <w:tcW w:w="530" w:type="pct"/>
            <w:shd w:val="clear" w:color="auto" w:fill="auto"/>
            <w:vAlign w:val="center"/>
          </w:tcPr>
          <w:p w14:paraId="0AB1E252"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5</w:t>
            </w:r>
          </w:p>
        </w:tc>
        <w:tc>
          <w:tcPr>
            <w:tcW w:w="554" w:type="pct"/>
            <w:shd w:val="clear" w:color="auto" w:fill="auto"/>
            <w:noWrap/>
            <w:vAlign w:val="center"/>
          </w:tcPr>
          <w:p w14:paraId="65441CBC"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9</w:t>
            </w:r>
          </w:p>
        </w:tc>
      </w:tr>
      <w:tr w:rsidR="002C0DC3" w:rsidRPr="002C0DC3" w14:paraId="0BFAA58B" w14:textId="77777777" w:rsidTr="002C0DC3">
        <w:trPr>
          <w:trHeight w:val="309"/>
        </w:trPr>
        <w:tc>
          <w:tcPr>
            <w:tcW w:w="707" w:type="pct"/>
            <w:vMerge/>
            <w:vAlign w:val="center"/>
          </w:tcPr>
          <w:p w14:paraId="3F483749"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507DAEBB"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Anotación de demanda</w:t>
            </w:r>
          </w:p>
        </w:tc>
        <w:tc>
          <w:tcPr>
            <w:tcW w:w="529" w:type="pct"/>
            <w:shd w:val="clear" w:color="auto" w:fill="auto"/>
            <w:vAlign w:val="center"/>
          </w:tcPr>
          <w:p w14:paraId="00A51E9E"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59944F57"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0</w:t>
            </w:r>
          </w:p>
        </w:tc>
        <w:tc>
          <w:tcPr>
            <w:tcW w:w="530" w:type="pct"/>
            <w:shd w:val="clear" w:color="auto" w:fill="auto"/>
            <w:vAlign w:val="center"/>
          </w:tcPr>
          <w:p w14:paraId="29B4A270" w14:textId="77777777" w:rsidR="002C0DC3" w:rsidRPr="002C0DC3" w:rsidRDefault="002C0DC3" w:rsidP="002C0DC3">
            <w:pPr>
              <w:suppressAutoHyphens w:val="0"/>
              <w:jc w:val="right"/>
              <w:rPr>
                <w:rFonts w:eastAsia="Calibri"/>
                <w:bCs/>
                <w:lang w:val="es-CR" w:eastAsia="en-US"/>
              </w:rPr>
            </w:pPr>
            <w:r w:rsidRPr="002C0DC3">
              <w:rPr>
                <w:rFonts w:eastAsia="Calibri"/>
                <w:lang w:val="es-CR" w:eastAsia="en-US"/>
              </w:rPr>
              <w:t>0</w:t>
            </w:r>
          </w:p>
        </w:tc>
        <w:tc>
          <w:tcPr>
            <w:tcW w:w="530" w:type="pct"/>
            <w:shd w:val="clear" w:color="auto" w:fill="auto"/>
            <w:vAlign w:val="center"/>
          </w:tcPr>
          <w:p w14:paraId="11C85BDC"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12</w:t>
            </w:r>
          </w:p>
        </w:tc>
        <w:tc>
          <w:tcPr>
            <w:tcW w:w="554" w:type="pct"/>
            <w:shd w:val="clear" w:color="auto" w:fill="auto"/>
            <w:noWrap/>
            <w:vAlign w:val="center"/>
          </w:tcPr>
          <w:p w14:paraId="4E78D11A"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4</w:t>
            </w:r>
          </w:p>
        </w:tc>
      </w:tr>
      <w:tr w:rsidR="002C0DC3" w:rsidRPr="002C0DC3" w14:paraId="152C38C1" w14:textId="77777777" w:rsidTr="002C0DC3">
        <w:trPr>
          <w:trHeight w:val="309"/>
        </w:trPr>
        <w:tc>
          <w:tcPr>
            <w:tcW w:w="707" w:type="pct"/>
            <w:vMerge/>
            <w:vAlign w:val="center"/>
          </w:tcPr>
          <w:p w14:paraId="29AD89D5"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018D7D09" w14:textId="77777777" w:rsidR="002C0DC3" w:rsidRPr="002C0DC3" w:rsidRDefault="002C0DC3" w:rsidP="002C0DC3">
            <w:pPr>
              <w:suppressAutoHyphens w:val="0"/>
              <w:jc w:val="center"/>
              <w:rPr>
                <w:rFonts w:eastAsia="Calibri"/>
                <w:bCs/>
                <w:lang w:val="es-CR" w:eastAsia="en-US"/>
              </w:rPr>
            </w:pPr>
            <w:proofErr w:type="spellStart"/>
            <w:r w:rsidRPr="002C0DC3">
              <w:rPr>
                <w:rFonts w:eastAsia="Calibri"/>
                <w:bCs/>
                <w:lang w:val="es-CR" w:eastAsia="en-US"/>
              </w:rPr>
              <w:t>Proh</w:t>
            </w:r>
            <w:proofErr w:type="spellEnd"/>
            <w:r w:rsidRPr="002C0DC3">
              <w:rPr>
                <w:rFonts w:eastAsia="Calibri"/>
                <w:bCs/>
                <w:lang w:val="es-CR" w:eastAsia="en-US"/>
              </w:rPr>
              <w:t>. Innovar, modificar, contratar o cesar actividad</w:t>
            </w:r>
          </w:p>
        </w:tc>
        <w:tc>
          <w:tcPr>
            <w:tcW w:w="529" w:type="pct"/>
            <w:shd w:val="clear" w:color="auto" w:fill="auto"/>
            <w:vAlign w:val="center"/>
          </w:tcPr>
          <w:p w14:paraId="2C026EC7"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74609E16"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0</w:t>
            </w:r>
          </w:p>
        </w:tc>
        <w:tc>
          <w:tcPr>
            <w:tcW w:w="530" w:type="pct"/>
            <w:shd w:val="clear" w:color="auto" w:fill="auto"/>
            <w:vAlign w:val="center"/>
          </w:tcPr>
          <w:p w14:paraId="399D9682" w14:textId="77777777" w:rsidR="002C0DC3" w:rsidRPr="002C0DC3" w:rsidRDefault="002C0DC3" w:rsidP="002C0DC3">
            <w:pPr>
              <w:suppressAutoHyphens w:val="0"/>
              <w:jc w:val="right"/>
              <w:rPr>
                <w:rFonts w:eastAsia="Calibri"/>
                <w:bCs/>
                <w:lang w:val="es-CR" w:eastAsia="en-US"/>
              </w:rPr>
            </w:pPr>
            <w:r w:rsidRPr="002C0DC3">
              <w:rPr>
                <w:rFonts w:eastAsia="Calibri"/>
                <w:lang w:val="es-CR" w:eastAsia="en-US"/>
              </w:rPr>
              <w:t>0</w:t>
            </w:r>
          </w:p>
        </w:tc>
        <w:tc>
          <w:tcPr>
            <w:tcW w:w="530" w:type="pct"/>
            <w:shd w:val="clear" w:color="auto" w:fill="auto"/>
            <w:vAlign w:val="center"/>
          </w:tcPr>
          <w:p w14:paraId="6DA3D9A8"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w:t>
            </w:r>
          </w:p>
        </w:tc>
        <w:tc>
          <w:tcPr>
            <w:tcW w:w="554" w:type="pct"/>
            <w:shd w:val="clear" w:color="auto" w:fill="auto"/>
            <w:noWrap/>
            <w:vAlign w:val="center"/>
          </w:tcPr>
          <w:p w14:paraId="41E1F978"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0</w:t>
            </w:r>
          </w:p>
        </w:tc>
      </w:tr>
      <w:tr w:rsidR="002C0DC3" w:rsidRPr="002C0DC3" w14:paraId="79A663F1" w14:textId="77777777" w:rsidTr="002C0DC3">
        <w:trPr>
          <w:trHeight w:val="309"/>
        </w:trPr>
        <w:tc>
          <w:tcPr>
            <w:tcW w:w="707" w:type="pct"/>
            <w:vMerge/>
            <w:vAlign w:val="center"/>
          </w:tcPr>
          <w:p w14:paraId="5C89F484"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337652D5"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Medida cautelar (no especifica)</w:t>
            </w:r>
          </w:p>
        </w:tc>
        <w:tc>
          <w:tcPr>
            <w:tcW w:w="529" w:type="pct"/>
            <w:shd w:val="clear" w:color="auto" w:fill="auto"/>
            <w:vAlign w:val="center"/>
          </w:tcPr>
          <w:p w14:paraId="5D5477EA"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0C89313D"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0</w:t>
            </w:r>
          </w:p>
        </w:tc>
        <w:tc>
          <w:tcPr>
            <w:tcW w:w="530" w:type="pct"/>
            <w:shd w:val="clear" w:color="auto" w:fill="auto"/>
            <w:vAlign w:val="center"/>
          </w:tcPr>
          <w:p w14:paraId="0632B3DA" w14:textId="77777777" w:rsidR="002C0DC3" w:rsidRPr="002C0DC3" w:rsidRDefault="002C0DC3" w:rsidP="002C0DC3">
            <w:pPr>
              <w:suppressAutoHyphens w:val="0"/>
              <w:jc w:val="right"/>
              <w:rPr>
                <w:rFonts w:eastAsia="Calibri"/>
                <w:bCs/>
                <w:lang w:val="es-CR" w:eastAsia="en-US"/>
              </w:rPr>
            </w:pPr>
            <w:r w:rsidRPr="002C0DC3">
              <w:rPr>
                <w:rFonts w:eastAsia="Calibri"/>
                <w:lang w:val="es-CR" w:eastAsia="en-US"/>
              </w:rPr>
              <w:t>0</w:t>
            </w:r>
          </w:p>
        </w:tc>
        <w:tc>
          <w:tcPr>
            <w:tcW w:w="530" w:type="pct"/>
            <w:shd w:val="clear" w:color="auto" w:fill="auto"/>
            <w:vAlign w:val="center"/>
          </w:tcPr>
          <w:p w14:paraId="622A58A2"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22</w:t>
            </w:r>
          </w:p>
        </w:tc>
        <w:tc>
          <w:tcPr>
            <w:tcW w:w="554" w:type="pct"/>
            <w:shd w:val="clear" w:color="auto" w:fill="auto"/>
            <w:noWrap/>
            <w:vAlign w:val="center"/>
          </w:tcPr>
          <w:p w14:paraId="0D971FAA"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38</w:t>
            </w:r>
          </w:p>
        </w:tc>
      </w:tr>
      <w:tr w:rsidR="002C0DC3" w:rsidRPr="002C0DC3" w14:paraId="543FAE1A" w14:textId="77777777" w:rsidTr="002C0DC3">
        <w:trPr>
          <w:trHeight w:val="309"/>
        </w:trPr>
        <w:tc>
          <w:tcPr>
            <w:tcW w:w="707" w:type="pct"/>
            <w:vMerge/>
            <w:vAlign w:val="center"/>
          </w:tcPr>
          <w:p w14:paraId="7F5514AD"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7E072210"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Depósito de Bienes</w:t>
            </w:r>
          </w:p>
        </w:tc>
        <w:tc>
          <w:tcPr>
            <w:tcW w:w="529" w:type="pct"/>
            <w:shd w:val="clear" w:color="auto" w:fill="auto"/>
            <w:vAlign w:val="center"/>
          </w:tcPr>
          <w:p w14:paraId="72B2AB55"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4B63CEE5"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0</w:t>
            </w:r>
          </w:p>
        </w:tc>
        <w:tc>
          <w:tcPr>
            <w:tcW w:w="530" w:type="pct"/>
            <w:shd w:val="clear" w:color="auto" w:fill="auto"/>
            <w:vAlign w:val="center"/>
          </w:tcPr>
          <w:p w14:paraId="4F04FA23"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0CFCED7B"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0</w:t>
            </w:r>
          </w:p>
        </w:tc>
        <w:tc>
          <w:tcPr>
            <w:tcW w:w="554" w:type="pct"/>
            <w:shd w:val="clear" w:color="auto" w:fill="auto"/>
            <w:noWrap/>
            <w:vAlign w:val="center"/>
          </w:tcPr>
          <w:p w14:paraId="5E2F3636"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1</w:t>
            </w:r>
          </w:p>
        </w:tc>
      </w:tr>
      <w:tr w:rsidR="002C0DC3" w:rsidRPr="002C0DC3" w14:paraId="022C9823" w14:textId="77777777" w:rsidTr="002C0DC3">
        <w:trPr>
          <w:trHeight w:val="325"/>
        </w:trPr>
        <w:tc>
          <w:tcPr>
            <w:tcW w:w="707" w:type="pct"/>
            <w:vMerge/>
            <w:vAlign w:val="center"/>
            <w:hideMark/>
          </w:tcPr>
          <w:p w14:paraId="2A06F848"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686FBE04"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 xml:space="preserve">Adm e </w:t>
            </w:r>
            <w:proofErr w:type="spellStart"/>
            <w:r w:rsidRPr="002C0DC3">
              <w:rPr>
                <w:rFonts w:eastAsia="Calibri"/>
                <w:bCs/>
                <w:lang w:val="es-CR" w:eastAsia="en-US"/>
              </w:rPr>
              <w:t>interv</w:t>
            </w:r>
            <w:proofErr w:type="spellEnd"/>
            <w:r w:rsidRPr="002C0DC3">
              <w:rPr>
                <w:rFonts w:eastAsia="Calibri"/>
                <w:bCs/>
                <w:lang w:val="es-CR" w:eastAsia="en-US"/>
              </w:rPr>
              <w:t xml:space="preserve"> bienes productivos</w:t>
            </w:r>
          </w:p>
        </w:tc>
        <w:tc>
          <w:tcPr>
            <w:tcW w:w="529" w:type="pct"/>
            <w:shd w:val="clear" w:color="auto" w:fill="auto"/>
            <w:vAlign w:val="center"/>
            <w:hideMark/>
          </w:tcPr>
          <w:p w14:paraId="21D993D2"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33089623"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2</w:t>
            </w:r>
          </w:p>
        </w:tc>
        <w:tc>
          <w:tcPr>
            <w:tcW w:w="530" w:type="pct"/>
            <w:shd w:val="clear" w:color="auto" w:fill="auto"/>
            <w:vAlign w:val="center"/>
          </w:tcPr>
          <w:p w14:paraId="6B74950E"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728719D7"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24</w:t>
            </w:r>
          </w:p>
        </w:tc>
        <w:tc>
          <w:tcPr>
            <w:tcW w:w="554" w:type="pct"/>
            <w:shd w:val="clear" w:color="auto" w:fill="auto"/>
            <w:noWrap/>
            <w:vAlign w:val="center"/>
          </w:tcPr>
          <w:p w14:paraId="43F752B4"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5</w:t>
            </w:r>
          </w:p>
        </w:tc>
      </w:tr>
      <w:tr w:rsidR="002C0DC3" w:rsidRPr="002C0DC3" w14:paraId="12ABFB16" w14:textId="77777777" w:rsidTr="002C0DC3">
        <w:trPr>
          <w:trHeight w:val="309"/>
        </w:trPr>
        <w:tc>
          <w:tcPr>
            <w:tcW w:w="707" w:type="pct"/>
            <w:vMerge w:val="restart"/>
            <w:shd w:val="clear" w:color="auto" w:fill="auto"/>
            <w:vAlign w:val="center"/>
            <w:hideMark/>
          </w:tcPr>
          <w:p w14:paraId="03D53AE7"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Pruebas anticipadas</w:t>
            </w:r>
          </w:p>
        </w:tc>
        <w:tc>
          <w:tcPr>
            <w:tcW w:w="1619" w:type="pct"/>
            <w:shd w:val="clear" w:color="auto" w:fill="auto"/>
            <w:vAlign w:val="center"/>
          </w:tcPr>
          <w:p w14:paraId="26416EA3"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Prueba anticipada mixta</w:t>
            </w:r>
          </w:p>
        </w:tc>
        <w:tc>
          <w:tcPr>
            <w:tcW w:w="529" w:type="pct"/>
            <w:shd w:val="clear" w:color="auto" w:fill="auto"/>
            <w:vAlign w:val="center"/>
            <w:hideMark/>
          </w:tcPr>
          <w:p w14:paraId="373E2EF5"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679C5018"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14</w:t>
            </w:r>
          </w:p>
        </w:tc>
        <w:tc>
          <w:tcPr>
            <w:tcW w:w="530" w:type="pct"/>
            <w:shd w:val="clear" w:color="auto" w:fill="auto"/>
            <w:vAlign w:val="center"/>
          </w:tcPr>
          <w:p w14:paraId="72B99E34"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55F729E6"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103</w:t>
            </w:r>
          </w:p>
        </w:tc>
        <w:tc>
          <w:tcPr>
            <w:tcW w:w="554" w:type="pct"/>
            <w:shd w:val="clear" w:color="auto" w:fill="auto"/>
            <w:noWrap/>
            <w:vAlign w:val="center"/>
          </w:tcPr>
          <w:p w14:paraId="060F43E2"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82</w:t>
            </w:r>
          </w:p>
        </w:tc>
      </w:tr>
      <w:tr w:rsidR="002C0DC3" w:rsidRPr="002C0DC3" w14:paraId="017AA192" w14:textId="77777777" w:rsidTr="002C0DC3">
        <w:trPr>
          <w:trHeight w:val="309"/>
        </w:trPr>
        <w:tc>
          <w:tcPr>
            <w:tcW w:w="707" w:type="pct"/>
            <w:vMerge/>
            <w:vAlign w:val="center"/>
            <w:hideMark/>
          </w:tcPr>
          <w:p w14:paraId="6ACC477E"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39DF9812"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Declaración de parte</w:t>
            </w:r>
          </w:p>
        </w:tc>
        <w:tc>
          <w:tcPr>
            <w:tcW w:w="529" w:type="pct"/>
            <w:shd w:val="clear" w:color="auto" w:fill="auto"/>
            <w:vAlign w:val="center"/>
            <w:hideMark/>
          </w:tcPr>
          <w:p w14:paraId="51D9C893"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2AF087AB"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7</w:t>
            </w:r>
          </w:p>
        </w:tc>
        <w:tc>
          <w:tcPr>
            <w:tcW w:w="530" w:type="pct"/>
            <w:shd w:val="clear" w:color="auto" w:fill="auto"/>
            <w:vAlign w:val="center"/>
          </w:tcPr>
          <w:p w14:paraId="689183E9"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317E64DA"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88</w:t>
            </w:r>
          </w:p>
        </w:tc>
        <w:tc>
          <w:tcPr>
            <w:tcW w:w="554" w:type="pct"/>
            <w:shd w:val="clear" w:color="auto" w:fill="auto"/>
            <w:noWrap/>
            <w:vAlign w:val="center"/>
          </w:tcPr>
          <w:p w14:paraId="58EFC58D"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132</w:t>
            </w:r>
          </w:p>
        </w:tc>
      </w:tr>
      <w:tr w:rsidR="002C0DC3" w:rsidRPr="002C0DC3" w14:paraId="7C6A4759" w14:textId="77777777" w:rsidTr="002C0DC3">
        <w:trPr>
          <w:trHeight w:val="309"/>
        </w:trPr>
        <w:tc>
          <w:tcPr>
            <w:tcW w:w="707" w:type="pct"/>
            <w:vMerge/>
            <w:vAlign w:val="center"/>
            <w:hideMark/>
          </w:tcPr>
          <w:p w14:paraId="58950E5E"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69550C0E"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Documental</w:t>
            </w:r>
          </w:p>
        </w:tc>
        <w:tc>
          <w:tcPr>
            <w:tcW w:w="529" w:type="pct"/>
            <w:shd w:val="clear" w:color="auto" w:fill="auto"/>
            <w:vAlign w:val="center"/>
            <w:hideMark/>
          </w:tcPr>
          <w:p w14:paraId="7EBC6D91"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1DC456E1"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2</w:t>
            </w:r>
          </w:p>
        </w:tc>
        <w:tc>
          <w:tcPr>
            <w:tcW w:w="530" w:type="pct"/>
            <w:shd w:val="clear" w:color="auto" w:fill="auto"/>
            <w:vAlign w:val="center"/>
          </w:tcPr>
          <w:p w14:paraId="1045AB51"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5BC9F108"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12</w:t>
            </w:r>
          </w:p>
        </w:tc>
        <w:tc>
          <w:tcPr>
            <w:tcW w:w="554" w:type="pct"/>
            <w:shd w:val="clear" w:color="auto" w:fill="auto"/>
            <w:noWrap/>
            <w:vAlign w:val="center"/>
          </w:tcPr>
          <w:p w14:paraId="6D3098FE"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48</w:t>
            </w:r>
          </w:p>
        </w:tc>
      </w:tr>
      <w:tr w:rsidR="002C0DC3" w:rsidRPr="002C0DC3" w14:paraId="6D584113" w14:textId="77777777" w:rsidTr="002C0DC3">
        <w:trPr>
          <w:trHeight w:val="309"/>
        </w:trPr>
        <w:tc>
          <w:tcPr>
            <w:tcW w:w="707" w:type="pct"/>
            <w:vMerge/>
            <w:vAlign w:val="center"/>
            <w:hideMark/>
          </w:tcPr>
          <w:p w14:paraId="144023EF"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7BAF5260"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Reconocimiento judicial</w:t>
            </w:r>
          </w:p>
        </w:tc>
        <w:tc>
          <w:tcPr>
            <w:tcW w:w="529" w:type="pct"/>
            <w:shd w:val="clear" w:color="auto" w:fill="auto"/>
            <w:vAlign w:val="center"/>
            <w:hideMark/>
          </w:tcPr>
          <w:p w14:paraId="0FF822D1"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3D5C5BCE"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w:t>
            </w:r>
          </w:p>
        </w:tc>
        <w:tc>
          <w:tcPr>
            <w:tcW w:w="530" w:type="pct"/>
            <w:shd w:val="clear" w:color="auto" w:fill="auto"/>
            <w:vAlign w:val="center"/>
          </w:tcPr>
          <w:p w14:paraId="1B3ACA4D"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396FA4FE"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4</w:t>
            </w:r>
          </w:p>
        </w:tc>
        <w:tc>
          <w:tcPr>
            <w:tcW w:w="554" w:type="pct"/>
            <w:shd w:val="clear" w:color="auto" w:fill="auto"/>
            <w:noWrap/>
            <w:vAlign w:val="center"/>
          </w:tcPr>
          <w:p w14:paraId="0B1986E2"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2</w:t>
            </w:r>
          </w:p>
        </w:tc>
      </w:tr>
      <w:tr w:rsidR="002C0DC3" w:rsidRPr="002C0DC3" w14:paraId="547557AC" w14:textId="77777777" w:rsidTr="002C0DC3">
        <w:trPr>
          <w:trHeight w:val="309"/>
        </w:trPr>
        <w:tc>
          <w:tcPr>
            <w:tcW w:w="707" w:type="pct"/>
            <w:vMerge/>
            <w:vAlign w:val="center"/>
          </w:tcPr>
          <w:p w14:paraId="6DC55FD9"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47FB020A"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Prueba anticipada pericial</w:t>
            </w:r>
          </w:p>
        </w:tc>
        <w:tc>
          <w:tcPr>
            <w:tcW w:w="529" w:type="pct"/>
            <w:shd w:val="clear" w:color="auto" w:fill="auto"/>
            <w:vAlign w:val="center"/>
          </w:tcPr>
          <w:p w14:paraId="038A1D5E"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6495498E"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0</w:t>
            </w:r>
          </w:p>
        </w:tc>
        <w:tc>
          <w:tcPr>
            <w:tcW w:w="530" w:type="pct"/>
            <w:shd w:val="clear" w:color="auto" w:fill="auto"/>
            <w:vAlign w:val="center"/>
          </w:tcPr>
          <w:p w14:paraId="4E33C572" w14:textId="77777777" w:rsidR="002C0DC3" w:rsidRPr="002C0DC3" w:rsidRDefault="002C0DC3" w:rsidP="002C0DC3">
            <w:pPr>
              <w:suppressAutoHyphens w:val="0"/>
              <w:jc w:val="right"/>
              <w:rPr>
                <w:rFonts w:eastAsia="Calibri"/>
                <w:bCs/>
                <w:lang w:val="es-CR" w:eastAsia="en-US"/>
              </w:rPr>
            </w:pPr>
            <w:r w:rsidRPr="002C0DC3">
              <w:rPr>
                <w:rFonts w:eastAsia="Calibri"/>
                <w:lang w:val="es-CR" w:eastAsia="en-US"/>
              </w:rPr>
              <w:t>0</w:t>
            </w:r>
          </w:p>
        </w:tc>
        <w:tc>
          <w:tcPr>
            <w:tcW w:w="530" w:type="pct"/>
            <w:shd w:val="clear" w:color="auto" w:fill="auto"/>
            <w:vAlign w:val="center"/>
          </w:tcPr>
          <w:p w14:paraId="332A7FBB"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w:t>
            </w:r>
          </w:p>
        </w:tc>
        <w:tc>
          <w:tcPr>
            <w:tcW w:w="554" w:type="pct"/>
            <w:shd w:val="clear" w:color="auto" w:fill="auto"/>
            <w:noWrap/>
            <w:vAlign w:val="center"/>
          </w:tcPr>
          <w:p w14:paraId="0072F032"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0</w:t>
            </w:r>
          </w:p>
        </w:tc>
      </w:tr>
      <w:tr w:rsidR="002C0DC3" w:rsidRPr="002C0DC3" w14:paraId="4B670116" w14:textId="77777777" w:rsidTr="002C0DC3">
        <w:trPr>
          <w:trHeight w:val="309"/>
        </w:trPr>
        <w:tc>
          <w:tcPr>
            <w:tcW w:w="707" w:type="pct"/>
            <w:vMerge/>
            <w:vAlign w:val="center"/>
          </w:tcPr>
          <w:p w14:paraId="34B15374"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11DB52A6"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Prueba anticipada (no especifica)</w:t>
            </w:r>
          </w:p>
        </w:tc>
        <w:tc>
          <w:tcPr>
            <w:tcW w:w="529" w:type="pct"/>
            <w:shd w:val="clear" w:color="auto" w:fill="auto"/>
            <w:vAlign w:val="center"/>
          </w:tcPr>
          <w:p w14:paraId="25FE650D"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2B7766C9"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0</w:t>
            </w:r>
          </w:p>
        </w:tc>
        <w:tc>
          <w:tcPr>
            <w:tcW w:w="530" w:type="pct"/>
            <w:shd w:val="clear" w:color="auto" w:fill="auto"/>
            <w:vAlign w:val="center"/>
          </w:tcPr>
          <w:p w14:paraId="1EAEF64D" w14:textId="77777777" w:rsidR="002C0DC3" w:rsidRPr="002C0DC3" w:rsidRDefault="002C0DC3" w:rsidP="002C0DC3">
            <w:pPr>
              <w:suppressAutoHyphens w:val="0"/>
              <w:jc w:val="right"/>
              <w:rPr>
                <w:rFonts w:eastAsia="Calibri"/>
                <w:bCs/>
                <w:lang w:val="es-CR" w:eastAsia="en-US"/>
              </w:rPr>
            </w:pPr>
            <w:r w:rsidRPr="002C0DC3">
              <w:rPr>
                <w:rFonts w:eastAsia="Calibri"/>
                <w:lang w:val="es-CR" w:eastAsia="en-US"/>
              </w:rPr>
              <w:t>0</w:t>
            </w:r>
          </w:p>
        </w:tc>
        <w:tc>
          <w:tcPr>
            <w:tcW w:w="530" w:type="pct"/>
            <w:shd w:val="clear" w:color="auto" w:fill="auto"/>
            <w:vAlign w:val="center"/>
          </w:tcPr>
          <w:p w14:paraId="392BB42D"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3</w:t>
            </w:r>
          </w:p>
        </w:tc>
        <w:tc>
          <w:tcPr>
            <w:tcW w:w="554" w:type="pct"/>
            <w:shd w:val="clear" w:color="auto" w:fill="auto"/>
            <w:noWrap/>
            <w:vAlign w:val="center"/>
          </w:tcPr>
          <w:p w14:paraId="5CABF1C5"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0</w:t>
            </w:r>
          </w:p>
        </w:tc>
      </w:tr>
      <w:tr w:rsidR="002C0DC3" w:rsidRPr="002C0DC3" w14:paraId="40D9423C" w14:textId="77777777" w:rsidTr="002C0DC3">
        <w:trPr>
          <w:trHeight w:val="325"/>
        </w:trPr>
        <w:tc>
          <w:tcPr>
            <w:tcW w:w="707" w:type="pct"/>
            <w:vMerge/>
            <w:vAlign w:val="center"/>
            <w:hideMark/>
          </w:tcPr>
          <w:p w14:paraId="49A17FC2"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53AF1C5A"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Prueba anticipada científica</w:t>
            </w:r>
          </w:p>
        </w:tc>
        <w:tc>
          <w:tcPr>
            <w:tcW w:w="529" w:type="pct"/>
            <w:shd w:val="clear" w:color="auto" w:fill="auto"/>
            <w:vAlign w:val="center"/>
            <w:hideMark/>
          </w:tcPr>
          <w:p w14:paraId="7FDF9197"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3EE15973"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w:t>
            </w:r>
          </w:p>
        </w:tc>
        <w:tc>
          <w:tcPr>
            <w:tcW w:w="530" w:type="pct"/>
            <w:shd w:val="clear" w:color="auto" w:fill="auto"/>
            <w:vAlign w:val="center"/>
          </w:tcPr>
          <w:p w14:paraId="66315389"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0D5EA8E8"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10</w:t>
            </w:r>
          </w:p>
        </w:tc>
        <w:tc>
          <w:tcPr>
            <w:tcW w:w="554" w:type="pct"/>
            <w:shd w:val="clear" w:color="auto" w:fill="auto"/>
            <w:noWrap/>
            <w:vAlign w:val="center"/>
          </w:tcPr>
          <w:p w14:paraId="0382829C"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11</w:t>
            </w:r>
          </w:p>
        </w:tc>
      </w:tr>
      <w:tr w:rsidR="002C0DC3" w:rsidRPr="002C0DC3" w14:paraId="34284078" w14:textId="77777777" w:rsidTr="002C0DC3">
        <w:trPr>
          <w:trHeight w:val="309"/>
        </w:trPr>
        <w:tc>
          <w:tcPr>
            <w:tcW w:w="707" w:type="pct"/>
            <w:vMerge w:val="restart"/>
            <w:shd w:val="clear" w:color="auto" w:fill="auto"/>
            <w:vAlign w:val="center"/>
            <w:hideMark/>
          </w:tcPr>
          <w:p w14:paraId="69CECE0A"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Procesos otras materias</w:t>
            </w:r>
          </w:p>
        </w:tc>
        <w:tc>
          <w:tcPr>
            <w:tcW w:w="1619" w:type="pct"/>
            <w:shd w:val="clear" w:color="auto" w:fill="auto"/>
            <w:vAlign w:val="center"/>
          </w:tcPr>
          <w:p w14:paraId="3DC33218"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Asunto de otras Jurisdicciones</w:t>
            </w:r>
          </w:p>
        </w:tc>
        <w:tc>
          <w:tcPr>
            <w:tcW w:w="529" w:type="pct"/>
            <w:shd w:val="clear" w:color="auto" w:fill="auto"/>
            <w:vAlign w:val="center"/>
            <w:hideMark/>
          </w:tcPr>
          <w:p w14:paraId="0465A21B"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56</w:t>
            </w:r>
          </w:p>
        </w:tc>
        <w:tc>
          <w:tcPr>
            <w:tcW w:w="530" w:type="pct"/>
            <w:shd w:val="clear" w:color="auto" w:fill="auto"/>
            <w:vAlign w:val="center"/>
          </w:tcPr>
          <w:p w14:paraId="4A08A20D"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76</w:t>
            </w:r>
          </w:p>
        </w:tc>
        <w:tc>
          <w:tcPr>
            <w:tcW w:w="530" w:type="pct"/>
            <w:shd w:val="clear" w:color="auto" w:fill="auto"/>
            <w:vAlign w:val="center"/>
          </w:tcPr>
          <w:p w14:paraId="483DA80F"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64</w:t>
            </w:r>
          </w:p>
        </w:tc>
        <w:tc>
          <w:tcPr>
            <w:tcW w:w="530" w:type="pct"/>
            <w:shd w:val="clear" w:color="auto" w:fill="auto"/>
            <w:vAlign w:val="center"/>
          </w:tcPr>
          <w:p w14:paraId="00653167"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22</w:t>
            </w:r>
          </w:p>
        </w:tc>
        <w:tc>
          <w:tcPr>
            <w:tcW w:w="554" w:type="pct"/>
            <w:shd w:val="clear" w:color="auto" w:fill="auto"/>
            <w:noWrap/>
            <w:vAlign w:val="center"/>
          </w:tcPr>
          <w:p w14:paraId="4524E9C0"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39</w:t>
            </w:r>
          </w:p>
        </w:tc>
      </w:tr>
      <w:tr w:rsidR="002C0DC3" w:rsidRPr="002C0DC3" w14:paraId="5EBC3335" w14:textId="77777777" w:rsidTr="002C0DC3">
        <w:trPr>
          <w:trHeight w:val="309"/>
        </w:trPr>
        <w:tc>
          <w:tcPr>
            <w:tcW w:w="707" w:type="pct"/>
            <w:vMerge/>
            <w:vAlign w:val="center"/>
            <w:hideMark/>
          </w:tcPr>
          <w:p w14:paraId="073E1C08"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74C6099D"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Disciplinario</w:t>
            </w:r>
          </w:p>
        </w:tc>
        <w:tc>
          <w:tcPr>
            <w:tcW w:w="529" w:type="pct"/>
            <w:shd w:val="clear" w:color="auto" w:fill="auto"/>
            <w:vAlign w:val="center"/>
            <w:hideMark/>
          </w:tcPr>
          <w:p w14:paraId="6C6BBA67"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7BDAF0AF"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7</w:t>
            </w:r>
          </w:p>
        </w:tc>
        <w:tc>
          <w:tcPr>
            <w:tcW w:w="530" w:type="pct"/>
            <w:shd w:val="clear" w:color="auto" w:fill="auto"/>
            <w:vAlign w:val="center"/>
          </w:tcPr>
          <w:p w14:paraId="19505FBD"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0</w:t>
            </w:r>
          </w:p>
        </w:tc>
        <w:tc>
          <w:tcPr>
            <w:tcW w:w="530" w:type="pct"/>
            <w:shd w:val="clear" w:color="auto" w:fill="auto"/>
            <w:vAlign w:val="center"/>
          </w:tcPr>
          <w:p w14:paraId="3B759A5F" w14:textId="77777777" w:rsidR="002C0DC3" w:rsidRPr="002C0DC3" w:rsidRDefault="002C0DC3" w:rsidP="002C0DC3">
            <w:pPr>
              <w:suppressAutoHyphens w:val="0"/>
              <w:jc w:val="right"/>
              <w:rPr>
                <w:rFonts w:eastAsia="Calibri"/>
                <w:lang w:val="es-CR" w:eastAsia="en-US"/>
              </w:rPr>
            </w:pPr>
            <w:r w:rsidRPr="002C0DC3">
              <w:rPr>
                <w:rFonts w:eastAsia="Calibri"/>
                <w:bCs/>
                <w:lang w:val="es-CR" w:eastAsia="en-US"/>
              </w:rPr>
              <w:t>11</w:t>
            </w:r>
          </w:p>
        </w:tc>
        <w:tc>
          <w:tcPr>
            <w:tcW w:w="554" w:type="pct"/>
            <w:shd w:val="clear" w:color="auto" w:fill="auto"/>
            <w:noWrap/>
            <w:vAlign w:val="center"/>
          </w:tcPr>
          <w:p w14:paraId="29AFF7A5" w14:textId="77777777" w:rsidR="002C0DC3" w:rsidRPr="002C0DC3" w:rsidRDefault="002C0DC3" w:rsidP="002C0DC3">
            <w:pPr>
              <w:suppressAutoHyphens w:val="0"/>
              <w:jc w:val="right"/>
              <w:rPr>
                <w:rFonts w:eastAsia="Calibri"/>
                <w:bCs/>
                <w:lang w:val="es-CR" w:eastAsia="en-US"/>
              </w:rPr>
            </w:pPr>
            <w:r w:rsidRPr="002C0DC3">
              <w:rPr>
                <w:rFonts w:eastAsia="Calibri"/>
                <w:bCs/>
                <w:lang w:val="es-CR" w:eastAsia="en-US"/>
              </w:rPr>
              <w:t>0</w:t>
            </w:r>
          </w:p>
        </w:tc>
      </w:tr>
      <w:tr w:rsidR="002C0DC3" w:rsidRPr="002C0DC3" w14:paraId="4354FD83" w14:textId="77777777" w:rsidTr="002C0DC3">
        <w:trPr>
          <w:trHeight w:val="325"/>
        </w:trPr>
        <w:tc>
          <w:tcPr>
            <w:tcW w:w="707" w:type="pct"/>
            <w:vMerge/>
            <w:vAlign w:val="center"/>
            <w:hideMark/>
          </w:tcPr>
          <w:p w14:paraId="75054FEB" w14:textId="77777777" w:rsidR="002C0DC3" w:rsidRPr="002C0DC3" w:rsidRDefault="002C0DC3" w:rsidP="002C0DC3">
            <w:pPr>
              <w:suppressAutoHyphens w:val="0"/>
              <w:jc w:val="both"/>
              <w:rPr>
                <w:rFonts w:eastAsia="Calibri"/>
                <w:b/>
                <w:bCs/>
                <w:lang w:val="es-CR" w:eastAsia="en-US"/>
              </w:rPr>
            </w:pPr>
          </w:p>
        </w:tc>
        <w:tc>
          <w:tcPr>
            <w:tcW w:w="1619" w:type="pct"/>
            <w:shd w:val="clear" w:color="auto" w:fill="auto"/>
            <w:vAlign w:val="center"/>
          </w:tcPr>
          <w:p w14:paraId="67D7D824" w14:textId="77777777" w:rsidR="002C0DC3" w:rsidRPr="002C0DC3" w:rsidRDefault="002C0DC3" w:rsidP="002C0DC3">
            <w:pPr>
              <w:suppressAutoHyphens w:val="0"/>
              <w:jc w:val="center"/>
              <w:rPr>
                <w:rFonts w:eastAsia="Calibri"/>
                <w:bCs/>
                <w:lang w:val="es-CR" w:eastAsia="en-US"/>
              </w:rPr>
            </w:pPr>
            <w:r w:rsidRPr="002C0DC3">
              <w:rPr>
                <w:rFonts w:eastAsia="Calibri"/>
                <w:bCs/>
                <w:lang w:val="es-CR" w:eastAsia="en-US"/>
              </w:rPr>
              <w:t>Otros</w:t>
            </w:r>
          </w:p>
        </w:tc>
        <w:tc>
          <w:tcPr>
            <w:tcW w:w="529" w:type="pct"/>
            <w:shd w:val="clear" w:color="auto" w:fill="auto"/>
            <w:vAlign w:val="center"/>
            <w:hideMark/>
          </w:tcPr>
          <w:p w14:paraId="5E8BBAF6"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32</w:t>
            </w:r>
          </w:p>
        </w:tc>
        <w:tc>
          <w:tcPr>
            <w:tcW w:w="530" w:type="pct"/>
            <w:shd w:val="clear" w:color="auto" w:fill="auto"/>
            <w:vAlign w:val="center"/>
          </w:tcPr>
          <w:p w14:paraId="3190600F"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49</w:t>
            </w:r>
          </w:p>
        </w:tc>
        <w:tc>
          <w:tcPr>
            <w:tcW w:w="530" w:type="pct"/>
            <w:shd w:val="clear" w:color="auto" w:fill="auto"/>
            <w:vAlign w:val="center"/>
          </w:tcPr>
          <w:p w14:paraId="0AC2007C"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35</w:t>
            </w:r>
          </w:p>
        </w:tc>
        <w:tc>
          <w:tcPr>
            <w:tcW w:w="530" w:type="pct"/>
            <w:shd w:val="clear" w:color="auto" w:fill="auto"/>
            <w:vAlign w:val="center"/>
          </w:tcPr>
          <w:p w14:paraId="4F995124"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64</w:t>
            </w:r>
          </w:p>
        </w:tc>
        <w:tc>
          <w:tcPr>
            <w:tcW w:w="554" w:type="pct"/>
            <w:shd w:val="clear" w:color="auto" w:fill="auto"/>
            <w:noWrap/>
            <w:vAlign w:val="center"/>
          </w:tcPr>
          <w:p w14:paraId="47CA9F7B"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440</w:t>
            </w:r>
          </w:p>
        </w:tc>
      </w:tr>
    </w:tbl>
    <w:p w14:paraId="2E8E5D89"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Elaborado por: Subproceso de Estadística, Dirección de Planificación.</w:t>
      </w:r>
    </w:p>
    <w:p w14:paraId="26A72D88" w14:textId="77777777" w:rsidR="002C0DC3" w:rsidRPr="002C0DC3" w:rsidRDefault="002C0DC3" w:rsidP="002C0DC3">
      <w:pPr>
        <w:suppressAutoHyphens w:val="0"/>
        <w:ind w:left="851" w:right="851" w:firstLine="709"/>
        <w:jc w:val="both"/>
        <w:rPr>
          <w:rFonts w:eastAsia="Calibri"/>
          <w:lang w:val="es-CR" w:eastAsia="en-US"/>
        </w:rPr>
      </w:pPr>
    </w:p>
    <w:p w14:paraId="768A8F4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De acuerdo con los datos suministrados, es posible determinar cómo los procesos Monitorios constituyen el tipo de demanda más frecuente a tramitar por este colectivo (90%), siendo los expedientes de tipo </w:t>
      </w:r>
      <w:r w:rsidRPr="002C0DC3">
        <w:rPr>
          <w:rFonts w:eastAsia="Calibri"/>
          <w:i/>
          <w:iCs/>
          <w:lang w:val="es-CR" w:eastAsia="en-US"/>
        </w:rPr>
        <w:t>dinerario</w:t>
      </w:r>
      <w:r w:rsidRPr="002C0DC3">
        <w:rPr>
          <w:rFonts w:eastAsia="Calibri"/>
          <w:lang w:val="es-CR" w:eastAsia="en-US"/>
        </w:rPr>
        <w:t xml:space="preserve"> los que encabezan dicha frecuencia de ingreso, comprendiendo entre el 60% y 70% de este grupo de casos de nuevo ingreso. La participación obtenida para el año en cuestión fue de un 69.6% y registra en términos absolutos una baja de 16.832 expedientes respecto del año anterior. Resulta importante acotar para efectos del contenido del cuadro N°3.2, los datos de los procesos monitorios-dinerarios no fueron separados del rubro de monitorios para los períodos 2016-2018.</w:t>
      </w:r>
    </w:p>
    <w:p w14:paraId="3CA84F18" w14:textId="77777777" w:rsidR="002C0DC3" w:rsidRPr="002C0DC3" w:rsidRDefault="002C0DC3" w:rsidP="002C0DC3">
      <w:pPr>
        <w:suppressAutoHyphens w:val="0"/>
        <w:ind w:left="851" w:right="851" w:firstLine="709"/>
        <w:jc w:val="both"/>
        <w:rPr>
          <w:rFonts w:eastAsia="Calibri"/>
          <w:lang w:val="es-CR" w:eastAsia="en-US"/>
        </w:rPr>
      </w:pPr>
    </w:p>
    <w:p w14:paraId="1FEF288F"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Continuando en orden de importancia se encuentran los procesos denominados de </w:t>
      </w:r>
      <w:r w:rsidRPr="002C0DC3">
        <w:rPr>
          <w:rFonts w:eastAsia="Calibri"/>
          <w:i/>
          <w:iCs/>
          <w:lang w:val="es-CR" w:eastAsia="en-US"/>
        </w:rPr>
        <w:t>Ejecución</w:t>
      </w:r>
      <w:r w:rsidRPr="002C0DC3">
        <w:rPr>
          <w:rFonts w:eastAsia="Calibri"/>
          <w:lang w:val="es-CR" w:eastAsia="en-US"/>
        </w:rPr>
        <w:t xml:space="preserve">, los cuales experimentan en 2020 una baja equivalente a 4.789 expedientes y se consolida como la cifra más baja registrada en los últimos cinco años de operación. Dentro de este grupo de casos destacan por su volumen los procesos de ejecución </w:t>
      </w:r>
      <w:r w:rsidRPr="002C0DC3">
        <w:rPr>
          <w:rFonts w:eastAsia="Calibri"/>
          <w:i/>
          <w:iCs/>
          <w:lang w:val="es-CR" w:eastAsia="en-US"/>
        </w:rPr>
        <w:t>Hipotecaria y Prendaria</w:t>
      </w:r>
      <w:r w:rsidRPr="002C0DC3">
        <w:rPr>
          <w:rFonts w:eastAsia="Calibri"/>
          <w:lang w:val="es-CR" w:eastAsia="en-US"/>
        </w:rPr>
        <w:t>, los cuales comprenden el 52.7% y 24%.</w:t>
      </w:r>
    </w:p>
    <w:p w14:paraId="34F3AB73" w14:textId="77777777" w:rsidR="002C0DC3" w:rsidRPr="002C0DC3" w:rsidRDefault="002C0DC3" w:rsidP="002C0DC3">
      <w:pPr>
        <w:suppressAutoHyphens w:val="0"/>
        <w:ind w:left="851" w:right="851" w:firstLine="709"/>
        <w:jc w:val="both"/>
        <w:rPr>
          <w:rFonts w:eastAsia="Calibri"/>
          <w:lang w:val="es-CR" w:eastAsia="en-US"/>
        </w:rPr>
      </w:pPr>
    </w:p>
    <w:p w14:paraId="030528C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caso de las medidas cautelares, estas se redujeron casi a la mitad (49.6%) entre un período, siendo las cautelas denominadas “</w:t>
      </w:r>
      <w:r w:rsidRPr="002C0DC3">
        <w:rPr>
          <w:rFonts w:eastAsia="Calibri"/>
          <w:i/>
          <w:iCs/>
          <w:lang w:val="es-CR" w:eastAsia="en-US"/>
        </w:rPr>
        <w:t>embargos preventivos”</w:t>
      </w:r>
      <w:r w:rsidRPr="002C0DC3">
        <w:rPr>
          <w:rFonts w:eastAsia="Calibri"/>
          <w:lang w:val="es-CR" w:eastAsia="en-US"/>
        </w:rPr>
        <w:t xml:space="preserve"> las más afectadas tras un declive de 338 medidas menos con relación al año anterior.</w:t>
      </w:r>
    </w:p>
    <w:p w14:paraId="77FA3780" w14:textId="77777777" w:rsidR="002C0DC3" w:rsidRPr="002C0DC3" w:rsidRDefault="002C0DC3" w:rsidP="002C0DC3">
      <w:pPr>
        <w:suppressAutoHyphens w:val="0"/>
        <w:ind w:left="851" w:right="851" w:firstLine="709"/>
        <w:jc w:val="both"/>
        <w:rPr>
          <w:rFonts w:eastAsia="Calibri"/>
          <w:lang w:val="es-CR" w:eastAsia="en-US"/>
        </w:rPr>
      </w:pPr>
    </w:p>
    <w:p w14:paraId="55302835"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Otros procesos como las </w:t>
      </w:r>
      <w:r w:rsidRPr="002C0DC3">
        <w:rPr>
          <w:rFonts w:eastAsia="Calibri"/>
          <w:i/>
          <w:iCs/>
          <w:lang w:val="es-CR" w:eastAsia="en-US"/>
        </w:rPr>
        <w:t>pruebas anticipadas</w:t>
      </w:r>
      <w:r w:rsidRPr="002C0DC3">
        <w:rPr>
          <w:rFonts w:eastAsia="Calibri"/>
          <w:lang w:val="es-CR" w:eastAsia="en-US"/>
        </w:rPr>
        <w:t xml:space="preserve"> registran como única excepción a la regla un crecimiento de 54 pruebas respecto al año anterior, destacando las </w:t>
      </w:r>
      <w:r w:rsidRPr="002C0DC3">
        <w:rPr>
          <w:rFonts w:eastAsia="Calibri"/>
          <w:i/>
          <w:iCs/>
          <w:lang w:val="es-CR" w:eastAsia="en-US"/>
        </w:rPr>
        <w:t>declaraciones de parte (+44)</w:t>
      </w:r>
      <w:r w:rsidRPr="002C0DC3">
        <w:rPr>
          <w:rFonts w:eastAsia="Calibri"/>
          <w:lang w:val="es-CR" w:eastAsia="en-US"/>
        </w:rPr>
        <w:t xml:space="preserve"> y las pruebas </w:t>
      </w:r>
      <w:r w:rsidRPr="002C0DC3">
        <w:rPr>
          <w:rFonts w:eastAsia="Calibri"/>
          <w:i/>
          <w:iCs/>
          <w:lang w:val="es-CR" w:eastAsia="en-US"/>
        </w:rPr>
        <w:t xml:space="preserve">documentales (+36) </w:t>
      </w:r>
      <w:r w:rsidRPr="002C0DC3">
        <w:rPr>
          <w:rFonts w:eastAsia="Calibri"/>
          <w:lang w:val="es-CR" w:eastAsia="en-US"/>
        </w:rPr>
        <w:t xml:space="preserve">como las más representativas de dicho incremento. </w:t>
      </w:r>
      <w:r w:rsidRPr="002C0DC3">
        <w:rPr>
          <w:rFonts w:eastAsia="Calibri"/>
          <w:i/>
          <w:iCs/>
          <w:lang w:val="es-CR" w:eastAsia="en-US"/>
        </w:rPr>
        <w:t xml:space="preserve"> </w:t>
      </w:r>
      <w:r w:rsidRPr="002C0DC3">
        <w:rPr>
          <w:rFonts w:eastAsia="Calibri"/>
          <w:lang w:val="es-CR" w:eastAsia="en-US"/>
        </w:rPr>
        <w:t xml:space="preserve"> </w:t>
      </w:r>
    </w:p>
    <w:p w14:paraId="338349A7" w14:textId="77777777" w:rsidR="002C0DC3" w:rsidRPr="002C0DC3" w:rsidRDefault="002C0DC3" w:rsidP="002C0DC3">
      <w:pPr>
        <w:suppressAutoHyphens w:val="0"/>
        <w:ind w:left="851" w:right="851" w:firstLine="709"/>
        <w:jc w:val="both"/>
        <w:rPr>
          <w:rFonts w:eastAsia="Calibri"/>
          <w:lang w:val="es-CR" w:eastAsia="en-US"/>
        </w:rPr>
      </w:pPr>
    </w:p>
    <w:p w14:paraId="6C89647E" w14:textId="59BAB71A"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lastRenderedPageBreak/>
        <w:t xml:space="preserve">A continuación, se muestran los juzgados con mayores y menores pretensiones de ingreso para el período 2020.  </w:t>
      </w:r>
    </w:p>
    <w:p w14:paraId="6DE12185"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p w14:paraId="70CFCCF2"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N°3.3</w:t>
      </w:r>
    </w:p>
    <w:p w14:paraId="6EF653D3"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Despachos con mayores y menores cifras</w:t>
      </w:r>
    </w:p>
    <w:p w14:paraId="7AFAC5DA"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de casos entrados durante el 2020</w:t>
      </w:r>
    </w:p>
    <w:p w14:paraId="0185344F"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lang w:val="es-CR" w:eastAsia="en-US"/>
        </w:rPr>
      </w:pP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9"/>
        <w:gridCol w:w="1196"/>
        <w:gridCol w:w="1199"/>
      </w:tblGrid>
      <w:tr w:rsidR="002C0DC3" w:rsidRPr="002C0DC3" w14:paraId="0253C87C" w14:textId="77777777" w:rsidTr="002C0DC3">
        <w:trPr>
          <w:trHeight w:val="231"/>
          <w:tblHeader/>
          <w:jc w:val="center"/>
        </w:trPr>
        <w:tc>
          <w:tcPr>
            <w:tcW w:w="6319" w:type="dxa"/>
            <w:shd w:val="clear" w:color="auto" w:fill="auto"/>
            <w:noWrap/>
            <w:vAlign w:val="center"/>
            <w:hideMark/>
          </w:tcPr>
          <w:p w14:paraId="6E3474C4"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n-US"/>
              </w:rPr>
              <w:t> </w:t>
            </w:r>
          </w:p>
        </w:tc>
        <w:tc>
          <w:tcPr>
            <w:tcW w:w="1196" w:type="dxa"/>
            <w:shd w:val="clear" w:color="auto" w:fill="auto"/>
            <w:noWrap/>
            <w:vAlign w:val="center"/>
            <w:hideMark/>
          </w:tcPr>
          <w:p w14:paraId="6D707AA3"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Casos</w:t>
            </w:r>
          </w:p>
        </w:tc>
        <w:tc>
          <w:tcPr>
            <w:tcW w:w="1199" w:type="dxa"/>
            <w:shd w:val="clear" w:color="auto" w:fill="auto"/>
            <w:noWrap/>
            <w:vAlign w:val="center"/>
            <w:hideMark/>
          </w:tcPr>
          <w:p w14:paraId="0F1DB92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r>
      <w:tr w:rsidR="002C0DC3" w:rsidRPr="002C0DC3" w14:paraId="42B81A97" w14:textId="77777777" w:rsidTr="002C0DC3">
        <w:trPr>
          <w:trHeight w:val="223"/>
          <w:tblHeader/>
          <w:jc w:val="center"/>
        </w:trPr>
        <w:tc>
          <w:tcPr>
            <w:tcW w:w="6319" w:type="dxa"/>
            <w:shd w:val="clear" w:color="auto" w:fill="auto"/>
            <w:noWrap/>
            <w:vAlign w:val="center"/>
            <w:hideMark/>
          </w:tcPr>
          <w:p w14:paraId="633EF7F0"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Juzgado</w:t>
            </w:r>
          </w:p>
        </w:tc>
        <w:tc>
          <w:tcPr>
            <w:tcW w:w="1196" w:type="dxa"/>
            <w:shd w:val="clear" w:color="auto" w:fill="auto"/>
            <w:noWrap/>
            <w:vAlign w:val="center"/>
            <w:hideMark/>
          </w:tcPr>
          <w:p w14:paraId="01BAA98E"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Entrados</w:t>
            </w:r>
          </w:p>
        </w:tc>
        <w:tc>
          <w:tcPr>
            <w:tcW w:w="1199" w:type="dxa"/>
            <w:shd w:val="clear" w:color="auto" w:fill="auto"/>
            <w:noWrap/>
            <w:vAlign w:val="center"/>
            <w:hideMark/>
          </w:tcPr>
          <w:p w14:paraId="71075E43"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Detalle</w:t>
            </w:r>
          </w:p>
        </w:tc>
      </w:tr>
      <w:tr w:rsidR="002C0DC3" w:rsidRPr="002C0DC3" w14:paraId="74D5DC96" w14:textId="77777777" w:rsidTr="002C0DC3">
        <w:trPr>
          <w:trHeight w:val="231"/>
          <w:jc w:val="center"/>
        </w:trPr>
        <w:tc>
          <w:tcPr>
            <w:tcW w:w="6319" w:type="dxa"/>
            <w:shd w:val="clear" w:color="auto" w:fill="auto"/>
            <w:noWrap/>
            <w:vAlign w:val="center"/>
            <w:hideMark/>
          </w:tcPr>
          <w:p w14:paraId="2BE0F324"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1196" w:type="dxa"/>
            <w:shd w:val="clear" w:color="auto" w:fill="auto"/>
            <w:noWrap/>
            <w:vAlign w:val="center"/>
            <w:hideMark/>
          </w:tcPr>
          <w:p w14:paraId="6FDC6F36"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1199" w:type="dxa"/>
            <w:shd w:val="clear" w:color="auto" w:fill="auto"/>
            <w:noWrap/>
            <w:vAlign w:val="center"/>
            <w:hideMark/>
          </w:tcPr>
          <w:p w14:paraId="76A3613A"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p>
        </w:tc>
      </w:tr>
      <w:tr w:rsidR="002C0DC3" w:rsidRPr="002C0DC3" w14:paraId="66E62F01" w14:textId="77777777" w:rsidTr="002C0DC3">
        <w:trPr>
          <w:trHeight w:val="66"/>
          <w:jc w:val="center"/>
        </w:trPr>
        <w:tc>
          <w:tcPr>
            <w:tcW w:w="6319" w:type="dxa"/>
            <w:shd w:val="clear" w:color="auto" w:fill="auto"/>
            <w:noWrap/>
            <w:hideMark/>
          </w:tcPr>
          <w:p w14:paraId="4B7C63B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Primero Especializado de Cobro I Circ. Jud. San José</w:t>
            </w:r>
          </w:p>
        </w:tc>
        <w:tc>
          <w:tcPr>
            <w:tcW w:w="1196" w:type="dxa"/>
            <w:shd w:val="clear" w:color="auto" w:fill="auto"/>
            <w:noWrap/>
          </w:tcPr>
          <w:p w14:paraId="7E099195"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21.047</w:t>
            </w:r>
          </w:p>
        </w:tc>
        <w:tc>
          <w:tcPr>
            <w:tcW w:w="1199" w:type="dxa"/>
            <w:vMerge w:val="restart"/>
            <w:shd w:val="clear" w:color="auto" w:fill="auto"/>
            <w:vAlign w:val="center"/>
            <w:hideMark/>
          </w:tcPr>
          <w:p w14:paraId="5022ECE0"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Mayores Cifras</w:t>
            </w:r>
          </w:p>
        </w:tc>
      </w:tr>
      <w:tr w:rsidR="002C0DC3" w:rsidRPr="002C0DC3" w14:paraId="17B8F1FA" w14:textId="77777777" w:rsidTr="002C0DC3">
        <w:trPr>
          <w:trHeight w:val="212"/>
          <w:jc w:val="center"/>
        </w:trPr>
        <w:tc>
          <w:tcPr>
            <w:tcW w:w="6319" w:type="dxa"/>
            <w:shd w:val="clear" w:color="auto" w:fill="auto"/>
            <w:noWrap/>
            <w:hideMark/>
          </w:tcPr>
          <w:p w14:paraId="27A62D3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de Cobro de Heredia</w:t>
            </w:r>
          </w:p>
        </w:tc>
        <w:tc>
          <w:tcPr>
            <w:tcW w:w="1196" w:type="dxa"/>
            <w:shd w:val="clear" w:color="auto" w:fill="auto"/>
            <w:noWrap/>
            <w:hideMark/>
          </w:tcPr>
          <w:p w14:paraId="2D20F6B0"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17.698</w:t>
            </w:r>
          </w:p>
        </w:tc>
        <w:tc>
          <w:tcPr>
            <w:tcW w:w="1199" w:type="dxa"/>
            <w:vMerge/>
            <w:vAlign w:val="center"/>
            <w:hideMark/>
          </w:tcPr>
          <w:p w14:paraId="64A48CC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06BC30FE" w14:textId="77777777" w:rsidTr="002C0DC3">
        <w:trPr>
          <w:trHeight w:val="208"/>
          <w:jc w:val="center"/>
        </w:trPr>
        <w:tc>
          <w:tcPr>
            <w:tcW w:w="6319" w:type="dxa"/>
            <w:shd w:val="clear" w:color="auto" w:fill="auto"/>
            <w:noWrap/>
          </w:tcPr>
          <w:p w14:paraId="2D27D53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Especializado de Cobro Cartago</w:t>
            </w:r>
          </w:p>
        </w:tc>
        <w:tc>
          <w:tcPr>
            <w:tcW w:w="1196" w:type="dxa"/>
            <w:shd w:val="clear" w:color="auto" w:fill="auto"/>
            <w:noWrap/>
            <w:hideMark/>
          </w:tcPr>
          <w:p w14:paraId="6C2A9CAE"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17.369</w:t>
            </w:r>
          </w:p>
        </w:tc>
        <w:tc>
          <w:tcPr>
            <w:tcW w:w="1199" w:type="dxa"/>
            <w:vMerge/>
            <w:vAlign w:val="center"/>
            <w:hideMark/>
          </w:tcPr>
          <w:p w14:paraId="39C99DE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1F340ED5" w14:textId="77777777" w:rsidTr="002C0DC3">
        <w:trPr>
          <w:trHeight w:val="216"/>
          <w:jc w:val="center"/>
        </w:trPr>
        <w:tc>
          <w:tcPr>
            <w:tcW w:w="6319" w:type="dxa"/>
            <w:shd w:val="clear" w:color="auto" w:fill="auto"/>
            <w:noWrap/>
            <w:vAlign w:val="center"/>
            <w:hideMark/>
          </w:tcPr>
          <w:p w14:paraId="7CB033F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de Cobro III Circ. Jud. Alajuela (San Ramón)</w:t>
            </w:r>
          </w:p>
        </w:tc>
        <w:tc>
          <w:tcPr>
            <w:tcW w:w="1196" w:type="dxa"/>
            <w:shd w:val="clear" w:color="auto" w:fill="auto"/>
            <w:noWrap/>
            <w:vAlign w:val="center"/>
          </w:tcPr>
          <w:p w14:paraId="0EC6BE0A"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3.235</w:t>
            </w:r>
          </w:p>
        </w:tc>
        <w:tc>
          <w:tcPr>
            <w:tcW w:w="1199" w:type="dxa"/>
            <w:vMerge w:val="restart"/>
            <w:shd w:val="clear" w:color="auto" w:fill="auto"/>
            <w:vAlign w:val="center"/>
            <w:hideMark/>
          </w:tcPr>
          <w:p w14:paraId="79752C5E"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Menores Cifras</w:t>
            </w:r>
          </w:p>
        </w:tc>
      </w:tr>
      <w:tr w:rsidR="002C0DC3" w:rsidRPr="002C0DC3" w14:paraId="3DF1F5E8" w14:textId="77777777" w:rsidTr="002C0DC3">
        <w:trPr>
          <w:trHeight w:val="208"/>
          <w:jc w:val="center"/>
        </w:trPr>
        <w:tc>
          <w:tcPr>
            <w:tcW w:w="6319" w:type="dxa"/>
            <w:shd w:val="clear" w:color="auto" w:fill="auto"/>
            <w:noWrap/>
            <w:vAlign w:val="center"/>
            <w:hideMark/>
          </w:tcPr>
          <w:p w14:paraId="2B29BE7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de Cobro de Grecia</w:t>
            </w:r>
          </w:p>
        </w:tc>
        <w:tc>
          <w:tcPr>
            <w:tcW w:w="1196" w:type="dxa"/>
            <w:shd w:val="clear" w:color="auto" w:fill="auto"/>
            <w:noWrap/>
            <w:vAlign w:val="center"/>
          </w:tcPr>
          <w:p w14:paraId="7B7BF6AC"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4.238</w:t>
            </w:r>
          </w:p>
        </w:tc>
        <w:tc>
          <w:tcPr>
            <w:tcW w:w="1199" w:type="dxa"/>
            <w:vMerge/>
            <w:vAlign w:val="center"/>
            <w:hideMark/>
          </w:tcPr>
          <w:p w14:paraId="5DB32DD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5222E5E5" w14:textId="77777777" w:rsidTr="002C0DC3">
        <w:trPr>
          <w:trHeight w:val="208"/>
          <w:jc w:val="center"/>
        </w:trPr>
        <w:tc>
          <w:tcPr>
            <w:tcW w:w="6319" w:type="dxa"/>
            <w:shd w:val="clear" w:color="auto" w:fill="auto"/>
            <w:noWrap/>
            <w:vAlign w:val="center"/>
          </w:tcPr>
          <w:p w14:paraId="0673A199"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Juzgado Especializado Cobro II Circ. San José, Sección Tercera</w:t>
            </w:r>
          </w:p>
        </w:tc>
        <w:tc>
          <w:tcPr>
            <w:tcW w:w="1196" w:type="dxa"/>
            <w:shd w:val="clear" w:color="auto" w:fill="auto"/>
            <w:noWrap/>
            <w:vAlign w:val="center"/>
          </w:tcPr>
          <w:p w14:paraId="1D0B15AB"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4.250</w:t>
            </w:r>
          </w:p>
        </w:tc>
        <w:tc>
          <w:tcPr>
            <w:tcW w:w="1199" w:type="dxa"/>
            <w:vMerge/>
            <w:vAlign w:val="center"/>
            <w:hideMark/>
          </w:tcPr>
          <w:p w14:paraId="4D4B059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1A81A89E" w14:textId="77777777" w:rsidTr="002C0DC3">
        <w:trPr>
          <w:trHeight w:val="192"/>
          <w:jc w:val="center"/>
        </w:trPr>
        <w:tc>
          <w:tcPr>
            <w:tcW w:w="8714" w:type="dxa"/>
            <w:gridSpan w:val="3"/>
            <w:shd w:val="clear" w:color="auto" w:fill="auto"/>
            <w:noWrap/>
            <w:vAlign w:val="center"/>
          </w:tcPr>
          <w:p w14:paraId="1FDA733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Elaborado por: Subproceso de Estadística, Dirección de Planificación.</w:t>
            </w:r>
          </w:p>
        </w:tc>
      </w:tr>
    </w:tbl>
    <w:p w14:paraId="7B2E875E" w14:textId="77777777" w:rsidR="002C0DC3" w:rsidRPr="002C0DC3" w:rsidRDefault="002C0DC3" w:rsidP="002C0DC3">
      <w:pPr>
        <w:suppressAutoHyphens w:val="0"/>
        <w:jc w:val="both"/>
        <w:rPr>
          <w:bCs/>
          <w:lang w:val="es-CR" w:eastAsia="en-US"/>
        </w:rPr>
      </w:pPr>
    </w:p>
    <w:p w14:paraId="430C1669" w14:textId="77777777" w:rsidR="002C0DC3" w:rsidRPr="002C0DC3" w:rsidRDefault="002C0DC3" w:rsidP="002C0DC3">
      <w:pPr>
        <w:suppressAutoHyphens w:val="0"/>
        <w:ind w:left="851" w:right="851" w:firstLine="709"/>
        <w:jc w:val="both"/>
        <w:rPr>
          <w:bCs/>
          <w:lang w:val="es-CR" w:eastAsia="en-US"/>
        </w:rPr>
      </w:pPr>
      <w:r w:rsidRPr="002C0DC3">
        <w:rPr>
          <w:bCs/>
          <w:lang w:val="es-CR" w:eastAsia="en-US"/>
        </w:rPr>
        <w:t xml:space="preserve">De forma histórica, el Primero Especializado de San José ha sido el despacho con el mayor registro de nuevas demandas con cada año. Para el período analizado registra un total de 21.047 nuevos casos y se muestra como el único despacho a nivel nacional que </w:t>
      </w:r>
      <w:proofErr w:type="spellStart"/>
      <w:r w:rsidRPr="002C0DC3">
        <w:rPr>
          <w:bCs/>
          <w:lang w:val="es-CR" w:eastAsia="en-US"/>
        </w:rPr>
        <w:t>recepciona</w:t>
      </w:r>
      <w:proofErr w:type="spellEnd"/>
      <w:r w:rsidRPr="002C0DC3">
        <w:rPr>
          <w:bCs/>
          <w:lang w:val="es-CR" w:eastAsia="en-US"/>
        </w:rPr>
        <w:t xml:space="preserve"> más de 20 mil causas anuales. Heredia y Cartago se ubican como segundos en importancia respecto a mayores cifras en materia de cobro, siendo que para este año Heredia registra un ligero aumento sobre el segundo de 329 casos.</w:t>
      </w:r>
    </w:p>
    <w:p w14:paraId="41C49E53" w14:textId="77777777" w:rsidR="002C0DC3" w:rsidRPr="002C0DC3" w:rsidRDefault="002C0DC3" w:rsidP="002C0DC3">
      <w:pPr>
        <w:suppressAutoHyphens w:val="0"/>
        <w:ind w:left="851" w:right="851" w:firstLine="709"/>
        <w:jc w:val="both"/>
        <w:rPr>
          <w:bCs/>
          <w:lang w:val="es-CR" w:eastAsia="en-US"/>
        </w:rPr>
      </w:pPr>
    </w:p>
    <w:p w14:paraId="2EFAAA60"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r w:rsidRPr="002C0DC3">
        <w:rPr>
          <w:lang w:eastAsia="es-ES"/>
        </w:rPr>
        <w:t>El Juzgado de Cobro y Menor Cuantía III Circuito Judicial de Alajuela (San Ramón) muestra la menor cifra de entrados con 3.235.</w:t>
      </w:r>
    </w:p>
    <w:p w14:paraId="6166DEA5" w14:textId="77777777" w:rsidR="002C0DC3" w:rsidRPr="002C0DC3" w:rsidRDefault="002C0DC3" w:rsidP="002C0DC3">
      <w:pPr>
        <w:suppressAutoHyphens w:val="0"/>
        <w:ind w:left="851" w:right="851" w:firstLine="709"/>
        <w:jc w:val="both"/>
        <w:rPr>
          <w:rFonts w:eastAsia="Calibri"/>
          <w:lang w:val="es-CR" w:eastAsia="en-US"/>
        </w:rPr>
      </w:pPr>
    </w:p>
    <w:p w14:paraId="42783B81" w14:textId="77777777" w:rsidR="002C0DC3" w:rsidRPr="002C0DC3" w:rsidRDefault="002C0DC3" w:rsidP="002C0DC3">
      <w:pPr>
        <w:keepNext/>
        <w:keepLines/>
        <w:suppressAutoHyphens w:val="0"/>
        <w:ind w:left="851" w:right="851" w:firstLine="709"/>
        <w:jc w:val="both"/>
        <w:rPr>
          <w:b/>
          <w:lang w:val="es-CR" w:eastAsia="es-CR"/>
        </w:rPr>
      </w:pPr>
      <w:bookmarkStart w:id="9" w:name="_Toc80351021"/>
      <w:r w:rsidRPr="002C0DC3">
        <w:rPr>
          <w:b/>
          <w:lang w:val="es-CR" w:eastAsia="es-CR"/>
        </w:rPr>
        <w:t>Casos Terminados</w:t>
      </w:r>
      <w:bookmarkEnd w:id="9"/>
    </w:p>
    <w:p w14:paraId="198F9C5B" w14:textId="77777777" w:rsidR="002C0DC3" w:rsidRPr="002C0DC3" w:rsidRDefault="002C0DC3" w:rsidP="002C0DC3">
      <w:pPr>
        <w:suppressAutoHyphens w:val="0"/>
        <w:ind w:left="851" w:right="851" w:firstLine="709"/>
        <w:jc w:val="both"/>
        <w:rPr>
          <w:rFonts w:eastAsia="Calibri"/>
          <w:b/>
          <w:bCs/>
          <w:lang w:val="es-CR" w:eastAsia="en-US"/>
        </w:rPr>
      </w:pPr>
    </w:p>
    <w:p w14:paraId="356E1664" w14:textId="77777777" w:rsidR="002C0DC3" w:rsidRPr="002C0DC3" w:rsidRDefault="002C0DC3" w:rsidP="002C0DC3">
      <w:pPr>
        <w:suppressAutoHyphens w:val="0"/>
        <w:ind w:left="851" w:right="851" w:firstLine="709"/>
        <w:jc w:val="both"/>
        <w:rPr>
          <w:bCs/>
          <w:lang w:val="es-CR" w:eastAsia="en-US"/>
        </w:rPr>
      </w:pPr>
      <w:r w:rsidRPr="002C0DC3">
        <w:rPr>
          <w:bCs/>
          <w:lang w:val="es-CR" w:eastAsia="en-US"/>
        </w:rPr>
        <w:t>Seguidamente, se exponen los principales puntos relacionados con los aspectos productivos de esta materia, a partir de un análisis retrospectivo de cinco años. La siguiente tendencia muestra el volumen de asuntos finalizados por este colectivo para el período indicado.</w:t>
      </w:r>
      <w:r w:rsidRPr="002C0DC3">
        <w:rPr>
          <w:rFonts w:eastAsia="Calibri"/>
          <w:lang w:val="es-CR" w:eastAsia="en-US"/>
        </w:rPr>
        <w:t xml:space="preserve">  </w:t>
      </w:r>
    </w:p>
    <w:p w14:paraId="5B5DD12B"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p w14:paraId="392E4C77"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N°4.1</w:t>
      </w:r>
    </w:p>
    <w:p w14:paraId="40385602"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Casos Terminados según Circuito Judicial</w:t>
      </w:r>
    </w:p>
    <w:p w14:paraId="4C487054"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lastRenderedPageBreak/>
        <w:t>durante el período 2016-2020</w:t>
      </w:r>
    </w:p>
    <w:p w14:paraId="120A2C0C"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lang w:val="es-CR" w:eastAsia="en-US"/>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1"/>
        <w:gridCol w:w="1054"/>
        <w:gridCol w:w="1054"/>
        <w:gridCol w:w="1054"/>
        <w:gridCol w:w="1054"/>
        <w:gridCol w:w="1055"/>
      </w:tblGrid>
      <w:tr w:rsidR="002C0DC3" w:rsidRPr="002C0DC3" w14:paraId="0B28D503" w14:textId="77777777" w:rsidTr="002C0DC3">
        <w:trPr>
          <w:trHeight w:val="267"/>
          <w:tblHeader/>
          <w:jc w:val="center"/>
        </w:trPr>
        <w:tc>
          <w:tcPr>
            <w:tcW w:w="2521" w:type="dxa"/>
            <w:shd w:val="clear" w:color="auto" w:fill="auto"/>
            <w:noWrap/>
            <w:vAlign w:val="center"/>
            <w:hideMark/>
          </w:tcPr>
          <w:p w14:paraId="2B48808F" w14:textId="77777777" w:rsidR="002C0DC3" w:rsidRPr="002C0DC3" w:rsidRDefault="002C0DC3" w:rsidP="002C0DC3">
            <w:pPr>
              <w:widowControl w:val="0"/>
              <w:suppressAutoHyphens w:val="0"/>
              <w:autoSpaceDE w:val="0"/>
              <w:autoSpaceDN w:val="0"/>
              <w:adjustRightInd w:val="0"/>
              <w:jc w:val="center"/>
              <w:rPr>
                <w:rFonts w:eastAsia="Calibri"/>
                <w:lang w:val="es-CR" w:eastAsia="es-CR"/>
              </w:rPr>
            </w:pPr>
            <w:r w:rsidRPr="002C0DC3">
              <w:rPr>
                <w:rFonts w:eastAsia="Calibri"/>
                <w:lang w:val="es-CR" w:eastAsia="en-US"/>
              </w:rPr>
              <w:t> </w:t>
            </w:r>
          </w:p>
        </w:tc>
        <w:tc>
          <w:tcPr>
            <w:tcW w:w="5271" w:type="dxa"/>
            <w:gridSpan w:val="5"/>
            <w:shd w:val="clear" w:color="auto" w:fill="auto"/>
            <w:noWrap/>
            <w:vAlign w:val="center"/>
            <w:hideMark/>
          </w:tcPr>
          <w:p w14:paraId="1778AA4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Casos Terminados</w:t>
            </w:r>
          </w:p>
        </w:tc>
      </w:tr>
      <w:tr w:rsidR="002C0DC3" w:rsidRPr="002C0DC3" w14:paraId="05D60E11" w14:textId="77777777" w:rsidTr="002C0DC3">
        <w:trPr>
          <w:trHeight w:val="267"/>
          <w:tblHeader/>
          <w:jc w:val="center"/>
        </w:trPr>
        <w:tc>
          <w:tcPr>
            <w:tcW w:w="2521" w:type="dxa"/>
            <w:shd w:val="clear" w:color="auto" w:fill="auto"/>
            <w:noWrap/>
            <w:vAlign w:val="center"/>
            <w:hideMark/>
          </w:tcPr>
          <w:p w14:paraId="3880938E"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Circuito Judicial</w:t>
            </w:r>
          </w:p>
        </w:tc>
        <w:tc>
          <w:tcPr>
            <w:tcW w:w="1054" w:type="dxa"/>
            <w:shd w:val="clear" w:color="auto" w:fill="auto"/>
            <w:noWrap/>
            <w:hideMark/>
          </w:tcPr>
          <w:p w14:paraId="37A982A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2016</w:t>
            </w:r>
          </w:p>
        </w:tc>
        <w:tc>
          <w:tcPr>
            <w:tcW w:w="1054" w:type="dxa"/>
            <w:shd w:val="clear" w:color="auto" w:fill="auto"/>
            <w:noWrap/>
          </w:tcPr>
          <w:p w14:paraId="7D063939"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2017</w:t>
            </w:r>
          </w:p>
        </w:tc>
        <w:tc>
          <w:tcPr>
            <w:tcW w:w="1054" w:type="dxa"/>
            <w:shd w:val="clear" w:color="auto" w:fill="auto"/>
            <w:noWrap/>
          </w:tcPr>
          <w:p w14:paraId="72CE49DF"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2018</w:t>
            </w:r>
          </w:p>
        </w:tc>
        <w:tc>
          <w:tcPr>
            <w:tcW w:w="1054" w:type="dxa"/>
            <w:shd w:val="clear" w:color="auto" w:fill="auto"/>
            <w:noWrap/>
            <w:vAlign w:val="center"/>
          </w:tcPr>
          <w:p w14:paraId="6EF4EE1D"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2019</w:t>
            </w:r>
          </w:p>
        </w:tc>
        <w:tc>
          <w:tcPr>
            <w:tcW w:w="1055" w:type="dxa"/>
            <w:shd w:val="clear" w:color="auto" w:fill="auto"/>
            <w:noWrap/>
            <w:vAlign w:val="center"/>
          </w:tcPr>
          <w:p w14:paraId="455FC359"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2020</w:t>
            </w:r>
          </w:p>
        </w:tc>
      </w:tr>
      <w:tr w:rsidR="002C0DC3" w:rsidRPr="002C0DC3" w14:paraId="02FB3442" w14:textId="77777777" w:rsidTr="002C0DC3">
        <w:trPr>
          <w:trHeight w:val="267"/>
          <w:jc w:val="center"/>
        </w:trPr>
        <w:tc>
          <w:tcPr>
            <w:tcW w:w="2521" w:type="dxa"/>
            <w:shd w:val="clear" w:color="auto" w:fill="auto"/>
            <w:noWrap/>
            <w:vAlign w:val="center"/>
            <w:hideMark/>
          </w:tcPr>
          <w:p w14:paraId="7FE668C1"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Absolutos</w:t>
            </w:r>
          </w:p>
        </w:tc>
        <w:tc>
          <w:tcPr>
            <w:tcW w:w="1054" w:type="dxa"/>
            <w:shd w:val="clear" w:color="auto" w:fill="auto"/>
            <w:noWrap/>
            <w:vAlign w:val="center"/>
            <w:hideMark/>
          </w:tcPr>
          <w:p w14:paraId="454DB85D"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73.979</w:t>
            </w:r>
          </w:p>
        </w:tc>
        <w:tc>
          <w:tcPr>
            <w:tcW w:w="1054" w:type="dxa"/>
            <w:shd w:val="clear" w:color="auto" w:fill="auto"/>
            <w:noWrap/>
            <w:vAlign w:val="center"/>
          </w:tcPr>
          <w:p w14:paraId="51A69230"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71.290</w:t>
            </w:r>
          </w:p>
        </w:tc>
        <w:tc>
          <w:tcPr>
            <w:tcW w:w="1054" w:type="dxa"/>
            <w:shd w:val="clear" w:color="auto" w:fill="auto"/>
            <w:noWrap/>
            <w:vAlign w:val="center"/>
          </w:tcPr>
          <w:p w14:paraId="7E43236F"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80.961</w:t>
            </w:r>
          </w:p>
        </w:tc>
        <w:tc>
          <w:tcPr>
            <w:tcW w:w="1054" w:type="dxa"/>
            <w:shd w:val="clear" w:color="auto" w:fill="auto"/>
            <w:noWrap/>
            <w:vAlign w:val="center"/>
          </w:tcPr>
          <w:p w14:paraId="70B35E05"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131.063</w:t>
            </w:r>
          </w:p>
        </w:tc>
        <w:tc>
          <w:tcPr>
            <w:tcW w:w="1055" w:type="dxa"/>
            <w:shd w:val="clear" w:color="auto" w:fill="auto"/>
            <w:noWrap/>
            <w:vAlign w:val="center"/>
          </w:tcPr>
          <w:p w14:paraId="2C2ADA08"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98.230</w:t>
            </w:r>
          </w:p>
        </w:tc>
      </w:tr>
      <w:tr w:rsidR="002C0DC3" w:rsidRPr="002C0DC3" w14:paraId="7DB8F91E" w14:textId="77777777" w:rsidTr="002C0DC3">
        <w:trPr>
          <w:trHeight w:val="267"/>
          <w:jc w:val="center"/>
        </w:trPr>
        <w:tc>
          <w:tcPr>
            <w:tcW w:w="2521" w:type="dxa"/>
            <w:shd w:val="clear" w:color="auto" w:fill="auto"/>
            <w:noWrap/>
            <w:vAlign w:val="center"/>
            <w:hideMark/>
          </w:tcPr>
          <w:p w14:paraId="7A10892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San José</w:t>
            </w:r>
          </w:p>
        </w:tc>
        <w:tc>
          <w:tcPr>
            <w:tcW w:w="1054" w:type="dxa"/>
            <w:shd w:val="clear" w:color="auto" w:fill="auto"/>
            <w:noWrap/>
            <w:vAlign w:val="center"/>
            <w:hideMark/>
          </w:tcPr>
          <w:p w14:paraId="676AEB2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19.263</w:t>
            </w:r>
          </w:p>
        </w:tc>
        <w:tc>
          <w:tcPr>
            <w:tcW w:w="1054" w:type="dxa"/>
            <w:shd w:val="clear" w:color="auto" w:fill="auto"/>
            <w:noWrap/>
            <w:vAlign w:val="center"/>
          </w:tcPr>
          <w:p w14:paraId="0BCBE7F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21.035</w:t>
            </w:r>
          </w:p>
        </w:tc>
        <w:tc>
          <w:tcPr>
            <w:tcW w:w="1054" w:type="dxa"/>
            <w:shd w:val="clear" w:color="auto" w:fill="auto"/>
            <w:noWrap/>
            <w:vAlign w:val="center"/>
          </w:tcPr>
          <w:p w14:paraId="288E124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18.524</w:t>
            </w:r>
          </w:p>
        </w:tc>
        <w:tc>
          <w:tcPr>
            <w:tcW w:w="1054" w:type="dxa"/>
            <w:shd w:val="clear" w:color="auto" w:fill="auto"/>
            <w:noWrap/>
            <w:vAlign w:val="center"/>
          </w:tcPr>
          <w:p w14:paraId="6D5FB55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30.503</w:t>
            </w:r>
          </w:p>
        </w:tc>
        <w:tc>
          <w:tcPr>
            <w:tcW w:w="1055" w:type="dxa"/>
            <w:shd w:val="clear" w:color="auto" w:fill="auto"/>
            <w:noWrap/>
            <w:vAlign w:val="center"/>
          </w:tcPr>
          <w:p w14:paraId="0BBD718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21.592</w:t>
            </w:r>
          </w:p>
        </w:tc>
      </w:tr>
      <w:tr w:rsidR="002C0DC3" w:rsidRPr="002C0DC3" w14:paraId="6C582C7A" w14:textId="77777777" w:rsidTr="002C0DC3">
        <w:trPr>
          <w:trHeight w:val="267"/>
          <w:jc w:val="center"/>
        </w:trPr>
        <w:tc>
          <w:tcPr>
            <w:tcW w:w="2521" w:type="dxa"/>
            <w:shd w:val="clear" w:color="auto" w:fill="auto"/>
            <w:noWrap/>
            <w:vAlign w:val="center"/>
            <w:hideMark/>
          </w:tcPr>
          <w:p w14:paraId="3C39F32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San José</w:t>
            </w:r>
          </w:p>
        </w:tc>
        <w:tc>
          <w:tcPr>
            <w:tcW w:w="1054" w:type="dxa"/>
            <w:shd w:val="clear" w:color="auto" w:fill="auto"/>
            <w:noWrap/>
            <w:vAlign w:val="center"/>
            <w:hideMark/>
          </w:tcPr>
          <w:p w14:paraId="1630FCF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20.855</w:t>
            </w:r>
          </w:p>
        </w:tc>
        <w:tc>
          <w:tcPr>
            <w:tcW w:w="1054" w:type="dxa"/>
            <w:shd w:val="clear" w:color="auto" w:fill="auto"/>
            <w:noWrap/>
            <w:vAlign w:val="center"/>
          </w:tcPr>
          <w:p w14:paraId="7064C67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22.269</w:t>
            </w:r>
          </w:p>
        </w:tc>
        <w:tc>
          <w:tcPr>
            <w:tcW w:w="1054" w:type="dxa"/>
            <w:shd w:val="clear" w:color="auto" w:fill="auto"/>
            <w:noWrap/>
            <w:vAlign w:val="center"/>
          </w:tcPr>
          <w:p w14:paraId="651E114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21.605</w:t>
            </w:r>
          </w:p>
        </w:tc>
        <w:tc>
          <w:tcPr>
            <w:tcW w:w="1054" w:type="dxa"/>
            <w:shd w:val="clear" w:color="auto" w:fill="auto"/>
            <w:noWrap/>
            <w:vAlign w:val="center"/>
          </w:tcPr>
          <w:p w14:paraId="4D88BE9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31.405</w:t>
            </w:r>
          </w:p>
        </w:tc>
        <w:tc>
          <w:tcPr>
            <w:tcW w:w="1055" w:type="dxa"/>
            <w:shd w:val="clear" w:color="auto" w:fill="auto"/>
            <w:noWrap/>
            <w:vAlign w:val="center"/>
          </w:tcPr>
          <w:p w14:paraId="120531E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19.462</w:t>
            </w:r>
          </w:p>
        </w:tc>
      </w:tr>
      <w:tr w:rsidR="002C0DC3" w:rsidRPr="002C0DC3" w14:paraId="00132644" w14:textId="77777777" w:rsidTr="002C0DC3">
        <w:trPr>
          <w:trHeight w:val="267"/>
          <w:jc w:val="center"/>
        </w:trPr>
        <w:tc>
          <w:tcPr>
            <w:tcW w:w="2521" w:type="dxa"/>
            <w:shd w:val="clear" w:color="auto" w:fill="auto"/>
            <w:noWrap/>
            <w:vAlign w:val="center"/>
            <w:hideMark/>
          </w:tcPr>
          <w:p w14:paraId="0DAF420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Alajuela</w:t>
            </w:r>
          </w:p>
        </w:tc>
        <w:tc>
          <w:tcPr>
            <w:tcW w:w="1054" w:type="dxa"/>
            <w:shd w:val="clear" w:color="auto" w:fill="auto"/>
            <w:noWrap/>
            <w:vAlign w:val="center"/>
            <w:hideMark/>
          </w:tcPr>
          <w:p w14:paraId="1785BEC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5.648</w:t>
            </w:r>
          </w:p>
        </w:tc>
        <w:tc>
          <w:tcPr>
            <w:tcW w:w="1054" w:type="dxa"/>
            <w:shd w:val="clear" w:color="auto" w:fill="auto"/>
            <w:noWrap/>
            <w:vAlign w:val="center"/>
          </w:tcPr>
          <w:p w14:paraId="00F4617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5.098</w:t>
            </w:r>
          </w:p>
        </w:tc>
        <w:tc>
          <w:tcPr>
            <w:tcW w:w="1054" w:type="dxa"/>
            <w:shd w:val="clear" w:color="auto" w:fill="auto"/>
            <w:noWrap/>
            <w:vAlign w:val="center"/>
          </w:tcPr>
          <w:p w14:paraId="3A4ABF4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13.115</w:t>
            </w:r>
          </w:p>
        </w:tc>
        <w:tc>
          <w:tcPr>
            <w:tcW w:w="1054" w:type="dxa"/>
            <w:shd w:val="clear" w:color="auto" w:fill="auto"/>
            <w:noWrap/>
            <w:vAlign w:val="center"/>
          </w:tcPr>
          <w:p w14:paraId="609A075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16.458</w:t>
            </w:r>
          </w:p>
        </w:tc>
        <w:tc>
          <w:tcPr>
            <w:tcW w:w="1055" w:type="dxa"/>
            <w:shd w:val="clear" w:color="auto" w:fill="auto"/>
            <w:noWrap/>
            <w:vAlign w:val="center"/>
          </w:tcPr>
          <w:p w14:paraId="1017E75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15.157</w:t>
            </w:r>
          </w:p>
        </w:tc>
      </w:tr>
      <w:tr w:rsidR="002C0DC3" w:rsidRPr="002C0DC3" w14:paraId="04EDE92A" w14:textId="77777777" w:rsidTr="002C0DC3">
        <w:trPr>
          <w:trHeight w:val="282"/>
          <w:jc w:val="center"/>
        </w:trPr>
        <w:tc>
          <w:tcPr>
            <w:tcW w:w="2521" w:type="dxa"/>
            <w:shd w:val="clear" w:color="auto" w:fill="auto"/>
            <w:noWrap/>
            <w:vAlign w:val="center"/>
            <w:hideMark/>
          </w:tcPr>
          <w:p w14:paraId="79AFA58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Alajuela</w:t>
            </w:r>
          </w:p>
        </w:tc>
        <w:tc>
          <w:tcPr>
            <w:tcW w:w="1054" w:type="dxa"/>
            <w:shd w:val="clear" w:color="auto" w:fill="auto"/>
            <w:noWrap/>
            <w:vAlign w:val="center"/>
            <w:hideMark/>
          </w:tcPr>
          <w:p w14:paraId="626D963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1.589</w:t>
            </w:r>
          </w:p>
        </w:tc>
        <w:tc>
          <w:tcPr>
            <w:tcW w:w="1054" w:type="dxa"/>
            <w:shd w:val="clear" w:color="auto" w:fill="auto"/>
            <w:noWrap/>
            <w:vAlign w:val="center"/>
          </w:tcPr>
          <w:p w14:paraId="21298F2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1.700</w:t>
            </w:r>
          </w:p>
        </w:tc>
        <w:tc>
          <w:tcPr>
            <w:tcW w:w="1054" w:type="dxa"/>
            <w:shd w:val="clear" w:color="auto" w:fill="auto"/>
            <w:noWrap/>
            <w:vAlign w:val="center"/>
          </w:tcPr>
          <w:p w14:paraId="5266BC9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1.711</w:t>
            </w:r>
          </w:p>
        </w:tc>
        <w:tc>
          <w:tcPr>
            <w:tcW w:w="1054" w:type="dxa"/>
            <w:shd w:val="clear" w:color="auto" w:fill="auto"/>
            <w:noWrap/>
            <w:vAlign w:val="center"/>
          </w:tcPr>
          <w:p w14:paraId="4A5CCCE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3.132</w:t>
            </w:r>
          </w:p>
        </w:tc>
        <w:tc>
          <w:tcPr>
            <w:tcW w:w="1055" w:type="dxa"/>
            <w:shd w:val="clear" w:color="auto" w:fill="auto"/>
            <w:noWrap/>
            <w:vAlign w:val="center"/>
          </w:tcPr>
          <w:p w14:paraId="652CDB8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3.226</w:t>
            </w:r>
          </w:p>
        </w:tc>
      </w:tr>
      <w:tr w:rsidR="002C0DC3" w:rsidRPr="002C0DC3" w14:paraId="4AC57A76" w14:textId="77777777" w:rsidTr="002C0DC3">
        <w:trPr>
          <w:trHeight w:val="267"/>
          <w:jc w:val="center"/>
        </w:trPr>
        <w:tc>
          <w:tcPr>
            <w:tcW w:w="2521" w:type="dxa"/>
            <w:shd w:val="clear" w:color="auto" w:fill="auto"/>
            <w:noWrap/>
            <w:vAlign w:val="center"/>
            <w:hideMark/>
          </w:tcPr>
          <w:p w14:paraId="3616A90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Tercero Alajuela</w:t>
            </w:r>
          </w:p>
        </w:tc>
        <w:tc>
          <w:tcPr>
            <w:tcW w:w="1054" w:type="dxa"/>
            <w:shd w:val="clear" w:color="auto" w:fill="auto"/>
            <w:noWrap/>
            <w:vAlign w:val="center"/>
            <w:hideMark/>
          </w:tcPr>
          <w:p w14:paraId="1E604BC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3.321</w:t>
            </w:r>
          </w:p>
        </w:tc>
        <w:tc>
          <w:tcPr>
            <w:tcW w:w="1054" w:type="dxa"/>
            <w:shd w:val="clear" w:color="auto" w:fill="auto"/>
            <w:noWrap/>
            <w:vAlign w:val="center"/>
          </w:tcPr>
          <w:p w14:paraId="6F4845B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3.169</w:t>
            </w:r>
          </w:p>
        </w:tc>
        <w:tc>
          <w:tcPr>
            <w:tcW w:w="1054" w:type="dxa"/>
            <w:shd w:val="clear" w:color="auto" w:fill="auto"/>
            <w:noWrap/>
            <w:vAlign w:val="center"/>
          </w:tcPr>
          <w:p w14:paraId="42A78CA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3.869</w:t>
            </w:r>
          </w:p>
        </w:tc>
        <w:tc>
          <w:tcPr>
            <w:tcW w:w="1054" w:type="dxa"/>
            <w:shd w:val="clear" w:color="auto" w:fill="auto"/>
            <w:noWrap/>
            <w:vAlign w:val="center"/>
          </w:tcPr>
          <w:p w14:paraId="30CC5A7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5.791</w:t>
            </w:r>
          </w:p>
        </w:tc>
        <w:tc>
          <w:tcPr>
            <w:tcW w:w="1055" w:type="dxa"/>
            <w:shd w:val="clear" w:color="auto" w:fill="auto"/>
            <w:noWrap/>
            <w:vAlign w:val="center"/>
          </w:tcPr>
          <w:p w14:paraId="2AB7084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5.080</w:t>
            </w:r>
          </w:p>
        </w:tc>
      </w:tr>
      <w:tr w:rsidR="002C0DC3" w:rsidRPr="002C0DC3" w14:paraId="1ACD9415" w14:textId="77777777" w:rsidTr="002C0DC3">
        <w:trPr>
          <w:trHeight w:val="267"/>
          <w:jc w:val="center"/>
        </w:trPr>
        <w:tc>
          <w:tcPr>
            <w:tcW w:w="2521" w:type="dxa"/>
            <w:shd w:val="clear" w:color="auto" w:fill="auto"/>
            <w:noWrap/>
            <w:vAlign w:val="center"/>
            <w:hideMark/>
          </w:tcPr>
          <w:p w14:paraId="14F7E59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Cartago</w:t>
            </w:r>
          </w:p>
        </w:tc>
        <w:tc>
          <w:tcPr>
            <w:tcW w:w="1054" w:type="dxa"/>
            <w:shd w:val="clear" w:color="auto" w:fill="auto"/>
            <w:noWrap/>
            <w:vAlign w:val="center"/>
            <w:hideMark/>
          </w:tcPr>
          <w:p w14:paraId="052EF0A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3.883</w:t>
            </w:r>
          </w:p>
        </w:tc>
        <w:tc>
          <w:tcPr>
            <w:tcW w:w="1054" w:type="dxa"/>
            <w:shd w:val="clear" w:color="auto" w:fill="auto"/>
            <w:noWrap/>
            <w:vAlign w:val="center"/>
          </w:tcPr>
          <w:p w14:paraId="74D3E02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3.391</w:t>
            </w:r>
          </w:p>
        </w:tc>
        <w:tc>
          <w:tcPr>
            <w:tcW w:w="1054" w:type="dxa"/>
            <w:shd w:val="clear" w:color="auto" w:fill="auto"/>
            <w:noWrap/>
            <w:vAlign w:val="center"/>
          </w:tcPr>
          <w:p w14:paraId="7F4A568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5.697</w:t>
            </w:r>
          </w:p>
        </w:tc>
        <w:tc>
          <w:tcPr>
            <w:tcW w:w="1054" w:type="dxa"/>
            <w:shd w:val="clear" w:color="auto" w:fill="auto"/>
            <w:noWrap/>
            <w:vAlign w:val="center"/>
          </w:tcPr>
          <w:p w14:paraId="61E6AC0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6.562</w:t>
            </w:r>
          </w:p>
        </w:tc>
        <w:tc>
          <w:tcPr>
            <w:tcW w:w="1055" w:type="dxa"/>
            <w:shd w:val="clear" w:color="auto" w:fill="auto"/>
            <w:noWrap/>
            <w:vAlign w:val="center"/>
          </w:tcPr>
          <w:p w14:paraId="69631FF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7.453</w:t>
            </w:r>
          </w:p>
        </w:tc>
      </w:tr>
      <w:tr w:rsidR="002C0DC3" w:rsidRPr="002C0DC3" w14:paraId="10194083" w14:textId="77777777" w:rsidTr="002C0DC3">
        <w:trPr>
          <w:trHeight w:val="282"/>
          <w:jc w:val="center"/>
        </w:trPr>
        <w:tc>
          <w:tcPr>
            <w:tcW w:w="2521" w:type="dxa"/>
            <w:shd w:val="clear" w:color="auto" w:fill="auto"/>
            <w:noWrap/>
            <w:vAlign w:val="center"/>
            <w:hideMark/>
          </w:tcPr>
          <w:p w14:paraId="5BB6A53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Heredia</w:t>
            </w:r>
          </w:p>
        </w:tc>
        <w:tc>
          <w:tcPr>
            <w:tcW w:w="1054" w:type="dxa"/>
            <w:shd w:val="clear" w:color="auto" w:fill="auto"/>
            <w:noWrap/>
            <w:vAlign w:val="center"/>
            <w:hideMark/>
          </w:tcPr>
          <w:p w14:paraId="08EC588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4.857</w:t>
            </w:r>
          </w:p>
        </w:tc>
        <w:tc>
          <w:tcPr>
            <w:tcW w:w="1054" w:type="dxa"/>
            <w:shd w:val="clear" w:color="auto" w:fill="auto"/>
            <w:noWrap/>
            <w:vAlign w:val="center"/>
          </w:tcPr>
          <w:p w14:paraId="6E0C824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3.474</w:t>
            </w:r>
          </w:p>
        </w:tc>
        <w:tc>
          <w:tcPr>
            <w:tcW w:w="1054" w:type="dxa"/>
            <w:shd w:val="clear" w:color="auto" w:fill="auto"/>
            <w:noWrap/>
            <w:vAlign w:val="center"/>
          </w:tcPr>
          <w:p w14:paraId="70EE3B0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3.998</w:t>
            </w:r>
          </w:p>
        </w:tc>
        <w:tc>
          <w:tcPr>
            <w:tcW w:w="1054" w:type="dxa"/>
            <w:shd w:val="clear" w:color="auto" w:fill="auto"/>
            <w:noWrap/>
            <w:vAlign w:val="center"/>
          </w:tcPr>
          <w:p w14:paraId="7E5B4A9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6.507</w:t>
            </w:r>
          </w:p>
        </w:tc>
        <w:tc>
          <w:tcPr>
            <w:tcW w:w="1055" w:type="dxa"/>
            <w:shd w:val="clear" w:color="auto" w:fill="auto"/>
            <w:noWrap/>
            <w:vAlign w:val="center"/>
          </w:tcPr>
          <w:p w14:paraId="0F4974F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5.463</w:t>
            </w:r>
          </w:p>
        </w:tc>
      </w:tr>
      <w:tr w:rsidR="002C0DC3" w:rsidRPr="002C0DC3" w14:paraId="59E8C3CA" w14:textId="77777777" w:rsidTr="002C0DC3">
        <w:trPr>
          <w:trHeight w:val="267"/>
          <w:jc w:val="center"/>
        </w:trPr>
        <w:tc>
          <w:tcPr>
            <w:tcW w:w="2521" w:type="dxa"/>
            <w:shd w:val="clear" w:color="auto" w:fill="auto"/>
            <w:noWrap/>
            <w:vAlign w:val="center"/>
            <w:hideMark/>
          </w:tcPr>
          <w:p w14:paraId="33CCA31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Guanacaste</w:t>
            </w:r>
          </w:p>
        </w:tc>
        <w:tc>
          <w:tcPr>
            <w:tcW w:w="1054" w:type="dxa"/>
            <w:shd w:val="clear" w:color="auto" w:fill="auto"/>
            <w:noWrap/>
            <w:vAlign w:val="center"/>
            <w:hideMark/>
          </w:tcPr>
          <w:p w14:paraId="4C9906A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1.398</w:t>
            </w:r>
          </w:p>
        </w:tc>
        <w:tc>
          <w:tcPr>
            <w:tcW w:w="1054" w:type="dxa"/>
            <w:shd w:val="clear" w:color="auto" w:fill="auto"/>
            <w:noWrap/>
            <w:vAlign w:val="center"/>
          </w:tcPr>
          <w:p w14:paraId="25A17D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1.172</w:t>
            </w:r>
          </w:p>
        </w:tc>
        <w:tc>
          <w:tcPr>
            <w:tcW w:w="1054" w:type="dxa"/>
            <w:shd w:val="clear" w:color="auto" w:fill="auto"/>
            <w:noWrap/>
            <w:vAlign w:val="center"/>
          </w:tcPr>
          <w:p w14:paraId="3F6302D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1.569</w:t>
            </w:r>
          </w:p>
        </w:tc>
        <w:tc>
          <w:tcPr>
            <w:tcW w:w="1054" w:type="dxa"/>
            <w:shd w:val="clear" w:color="auto" w:fill="auto"/>
            <w:noWrap/>
            <w:vAlign w:val="center"/>
          </w:tcPr>
          <w:p w14:paraId="54712A9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4.413</w:t>
            </w:r>
          </w:p>
        </w:tc>
        <w:tc>
          <w:tcPr>
            <w:tcW w:w="1055" w:type="dxa"/>
            <w:shd w:val="clear" w:color="auto" w:fill="auto"/>
            <w:noWrap/>
            <w:vAlign w:val="center"/>
          </w:tcPr>
          <w:p w14:paraId="147B514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2.610</w:t>
            </w:r>
          </w:p>
        </w:tc>
      </w:tr>
      <w:tr w:rsidR="002C0DC3" w:rsidRPr="002C0DC3" w14:paraId="66956648" w14:textId="77777777" w:rsidTr="002C0DC3">
        <w:trPr>
          <w:trHeight w:val="282"/>
          <w:jc w:val="center"/>
        </w:trPr>
        <w:tc>
          <w:tcPr>
            <w:tcW w:w="2521" w:type="dxa"/>
            <w:shd w:val="clear" w:color="auto" w:fill="auto"/>
            <w:noWrap/>
            <w:vAlign w:val="center"/>
            <w:hideMark/>
          </w:tcPr>
          <w:p w14:paraId="51ABF76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Guanacaste</w:t>
            </w:r>
          </w:p>
        </w:tc>
        <w:tc>
          <w:tcPr>
            <w:tcW w:w="1054" w:type="dxa"/>
            <w:shd w:val="clear" w:color="auto" w:fill="auto"/>
            <w:noWrap/>
            <w:vAlign w:val="center"/>
            <w:hideMark/>
          </w:tcPr>
          <w:p w14:paraId="4D3FB84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1.608</w:t>
            </w:r>
          </w:p>
        </w:tc>
        <w:tc>
          <w:tcPr>
            <w:tcW w:w="1054" w:type="dxa"/>
            <w:shd w:val="clear" w:color="auto" w:fill="auto"/>
            <w:noWrap/>
            <w:vAlign w:val="center"/>
          </w:tcPr>
          <w:p w14:paraId="208E92E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1.688</w:t>
            </w:r>
          </w:p>
        </w:tc>
        <w:tc>
          <w:tcPr>
            <w:tcW w:w="1054" w:type="dxa"/>
            <w:shd w:val="clear" w:color="auto" w:fill="auto"/>
            <w:noWrap/>
            <w:vAlign w:val="center"/>
          </w:tcPr>
          <w:p w14:paraId="18A595F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1.719</w:t>
            </w:r>
          </w:p>
        </w:tc>
        <w:tc>
          <w:tcPr>
            <w:tcW w:w="1054" w:type="dxa"/>
            <w:shd w:val="clear" w:color="auto" w:fill="auto"/>
            <w:noWrap/>
            <w:vAlign w:val="center"/>
          </w:tcPr>
          <w:p w14:paraId="2376B82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2.481</w:t>
            </w:r>
          </w:p>
        </w:tc>
        <w:tc>
          <w:tcPr>
            <w:tcW w:w="1055" w:type="dxa"/>
            <w:shd w:val="clear" w:color="auto" w:fill="auto"/>
            <w:noWrap/>
            <w:vAlign w:val="center"/>
          </w:tcPr>
          <w:p w14:paraId="1C82F24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2.129</w:t>
            </w:r>
          </w:p>
        </w:tc>
      </w:tr>
      <w:tr w:rsidR="002C0DC3" w:rsidRPr="002C0DC3" w14:paraId="5B128314" w14:textId="77777777" w:rsidTr="002C0DC3">
        <w:trPr>
          <w:trHeight w:val="267"/>
          <w:jc w:val="center"/>
        </w:trPr>
        <w:tc>
          <w:tcPr>
            <w:tcW w:w="2521" w:type="dxa"/>
            <w:shd w:val="clear" w:color="auto" w:fill="auto"/>
            <w:noWrap/>
            <w:vAlign w:val="center"/>
            <w:hideMark/>
          </w:tcPr>
          <w:p w14:paraId="0C81C5D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Puntarenas</w:t>
            </w:r>
          </w:p>
        </w:tc>
        <w:tc>
          <w:tcPr>
            <w:tcW w:w="1054" w:type="dxa"/>
            <w:shd w:val="clear" w:color="auto" w:fill="auto"/>
            <w:noWrap/>
            <w:vAlign w:val="center"/>
            <w:hideMark/>
          </w:tcPr>
          <w:p w14:paraId="6990130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1.424</w:t>
            </w:r>
          </w:p>
        </w:tc>
        <w:tc>
          <w:tcPr>
            <w:tcW w:w="1054" w:type="dxa"/>
            <w:shd w:val="clear" w:color="auto" w:fill="auto"/>
            <w:noWrap/>
            <w:vAlign w:val="center"/>
          </w:tcPr>
          <w:p w14:paraId="57372E1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1.524</w:t>
            </w:r>
          </w:p>
        </w:tc>
        <w:tc>
          <w:tcPr>
            <w:tcW w:w="1054" w:type="dxa"/>
            <w:shd w:val="clear" w:color="auto" w:fill="auto"/>
            <w:noWrap/>
            <w:vAlign w:val="center"/>
          </w:tcPr>
          <w:p w14:paraId="7AF0F34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1.374</w:t>
            </w:r>
          </w:p>
        </w:tc>
        <w:tc>
          <w:tcPr>
            <w:tcW w:w="1054" w:type="dxa"/>
            <w:shd w:val="clear" w:color="auto" w:fill="auto"/>
            <w:noWrap/>
            <w:vAlign w:val="center"/>
          </w:tcPr>
          <w:p w14:paraId="08B329A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5.597</w:t>
            </w:r>
          </w:p>
        </w:tc>
        <w:tc>
          <w:tcPr>
            <w:tcW w:w="1055" w:type="dxa"/>
            <w:shd w:val="clear" w:color="auto" w:fill="auto"/>
            <w:noWrap/>
            <w:vAlign w:val="center"/>
          </w:tcPr>
          <w:p w14:paraId="5C52444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5.055</w:t>
            </w:r>
          </w:p>
        </w:tc>
      </w:tr>
      <w:tr w:rsidR="002C0DC3" w:rsidRPr="002C0DC3" w14:paraId="6A4E7D1B" w14:textId="77777777" w:rsidTr="002C0DC3">
        <w:trPr>
          <w:trHeight w:val="267"/>
          <w:jc w:val="center"/>
        </w:trPr>
        <w:tc>
          <w:tcPr>
            <w:tcW w:w="2521" w:type="dxa"/>
            <w:shd w:val="clear" w:color="auto" w:fill="auto"/>
            <w:noWrap/>
            <w:vAlign w:val="center"/>
            <w:hideMark/>
          </w:tcPr>
          <w:p w14:paraId="703B78F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Zona Sur</w:t>
            </w:r>
          </w:p>
        </w:tc>
        <w:tc>
          <w:tcPr>
            <w:tcW w:w="1054" w:type="dxa"/>
            <w:shd w:val="clear" w:color="auto" w:fill="auto"/>
            <w:noWrap/>
            <w:vAlign w:val="center"/>
            <w:hideMark/>
          </w:tcPr>
          <w:p w14:paraId="349BBE3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4.597</w:t>
            </w:r>
          </w:p>
        </w:tc>
        <w:tc>
          <w:tcPr>
            <w:tcW w:w="1054" w:type="dxa"/>
            <w:shd w:val="clear" w:color="auto" w:fill="auto"/>
            <w:noWrap/>
            <w:vAlign w:val="center"/>
          </w:tcPr>
          <w:p w14:paraId="55DD502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4.043</w:t>
            </w:r>
          </w:p>
        </w:tc>
        <w:tc>
          <w:tcPr>
            <w:tcW w:w="1054" w:type="dxa"/>
            <w:shd w:val="clear" w:color="auto" w:fill="auto"/>
            <w:noWrap/>
            <w:vAlign w:val="center"/>
          </w:tcPr>
          <w:p w14:paraId="26597C0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4.112</w:t>
            </w:r>
          </w:p>
        </w:tc>
        <w:tc>
          <w:tcPr>
            <w:tcW w:w="1054" w:type="dxa"/>
            <w:shd w:val="clear" w:color="auto" w:fill="auto"/>
            <w:noWrap/>
            <w:vAlign w:val="center"/>
          </w:tcPr>
          <w:p w14:paraId="51F8F74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7.079</w:t>
            </w:r>
          </w:p>
        </w:tc>
        <w:tc>
          <w:tcPr>
            <w:tcW w:w="1055" w:type="dxa"/>
            <w:shd w:val="clear" w:color="auto" w:fill="auto"/>
            <w:noWrap/>
            <w:vAlign w:val="center"/>
          </w:tcPr>
          <w:p w14:paraId="573368F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3.244</w:t>
            </w:r>
          </w:p>
        </w:tc>
      </w:tr>
      <w:tr w:rsidR="002C0DC3" w:rsidRPr="002C0DC3" w14:paraId="2D6B0DFC" w14:textId="77777777" w:rsidTr="002C0DC3">
        <w:trPr>
          <w:trHeight w:val="282"/>
          <w:jc w:val="center"/>
        </w:trPr>
        <w:tc>
          <w:tcPr>
            <w:tcW w:w="2521" w:type="dxa"/>
            <w:shd w:val="clear" w:color="auto" w:fill="auto"/>
            <w:noWrap/>
            <w:vAlign w:val="center"/>
            <w:hideMark/>
          </w:tcPr>
          <w:p w14:paraId="6022698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Zona Sur</w:t>
            </w:r>
          </w:p>
        </w:tc>
        <w:tc>
          <w:tcPr>
            <w:tcW w:w="1054" w:type="dxa"/>
            <w:shd w:val="clear" w:color="auto" w:fill="auto"/>
            <w:noWrap/>
            <w:vAlign w:val="center"/>
            <w:hideMark/>
          </w:tcPr>
          <w:p w14:paraId="2337F98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568</w:t>
            </w:r>
          </w:p>
        </w:tc>
        <w:tc>
          <w:tcPr>
            <w:tcW w:w="1054" w:type="dxa"/>
            <w:shd w:val="clear" w:color="auto" w:fill="auto"/>
            <w:noWrap/>
            <w:vAlign w:val="center"/>
          </w:tcPr>
          <w:p w14:paraId="356D59F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394</w:t>
            </w:r>
          </w:p>
        </w:tc>
        <w:tc>
          <w:tcPr>
            <w:tcW w:w="1054" w:type="dxa"/>
            <w:shd w:val="clear" w:color="auto" w:fill="auto"/>
            <w:noWrap/>
            <w:vAlign w:val="center"/>
          </w:tcPr>
          <w:p w14:paraId="3F20EDA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670</w:t>
            </w:r>
          </w:p>
        </w:tc>
        <w:tc>
          <w:tcPr>
            <w:tcW w:w="1054" w:type="dxa"/>
            <w:shd w:val="clear" w:color="auto" w:fill="auto"/>
            <w:noWrap/>
            <w:vAlign w:val="center"/>
          </w:tcPr>
          <w:p w14:paraId="6D4953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1.753</w:t>
            </w:r>
          </w:p>
        </w:tc>
        <w:tc>
          <w:tcPr>
            <w:tcW w:w="1055" w:type="dxa"/>
            <w:shd w:val="clear" w:color="auto" w:fill="auto"/>
            <w:noWrap/>
            <w:vAlign w:val="center"/>
          </w:tcPr>
          <w:p w14:paraId="311C801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1.686</w:t>
            </w:r>
          </w:p>
        </w:tc>
      </w:tr>
      <w:tr w:rsidR="002C0DC3" w:rsidRPr="002C0DC3" w14:paraId="1A1A455D" w14:textId="77777777" w:rsidTr="002C0DC3">
        <w:trPr>
          <w:trHeight w:val="259"/>
          <w:jc w:val="center"/>
        </w:trPr>
        <w:tc>
          <w:tcPr>
            <w:tcW w:w="2521" w:type="dxa"/>
            <w:shd w:val="clear" w:color="auto" w:fill="auto"/>
            <w:noWrap/>
            <w:vAlign w:val="center"/>
            <w:hideMark/>
          </w:tcPr>
          <w:p w14:paraId="7F043A4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Zona Atlántica</w:t>
            </w:r>
          </w:p>
        </w:tc>
        <w:tc>
          <w:tcPr>
            <w:tcW w:w="1054" w:type="dxa"/>
            <w:shd w:val="clear" w:color="auto" w:fill="auto"/>
            <w:noWrap/>
            <w:vAlign w:val="center"/>
            <w:hideMark/>
          </w:tcPr>
          <w:p w14:paraId="603CF62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1.518</w:t>
            </w:r>
          </w:p>
        </w:tc>
        <w:tc>
          <w:tcPr>
            <w:tcW w:w="1054" w:type="dxa"/>
            <w:shd w:val="clear" w:color="auto" w:fill="auto"/>
            <w:noWrap/>
            <w:vAlign w:val="center"/>
          </w:tcPr>
          <w:p w14:paraId="1DBB5AA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1.185</w:t>
            </w:r>
          </w:p>
        </w:tc>
        <w:tc>
          <w:tcPr>
            <w:tcW w:w="1054" w:type="dxa"/>
            <w:shd w:val="clear" w:color="auto" w:fill="auto"/>
            <w:noWrap/>
            <w:vAlign w:val="center"/>
          </w:tcPr>
          <w:p w14:paraId="3792A75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1.648</w:t>
            </w:r>
          </w:p>
        </w:tc>
        <w:tc>
          <w:tcPr>
            <w:tcW w:w="1054" w:type="dxa"/>
            <w:shd w:val="clear" w:color="auto" w:fill="auto"/>
            <w:noWrap/>
            <w:vAlign w:val="center"/>
          </w:tcPr>
          <w:p w14:paraId="102B990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5.910</w:t>
            </w:r>
          </w:p>
        </w:tc>
        <w:tc>
          <w:tcPr>
            <w:tcW w:w="1055" w:type="dxa"/>
            <w:shd w:val="clear" w:color="auto" w:fill="auto"/>
            <w:noWrap/>
            <w:vAlign w:val="center"/>
          </w:tcPr>
          <w:p w14:paraId="739AF0F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3.461</w:t>
            </w:r>
          </w:p>
        </w:tc>
      </w:tr>
      <w:tr w:rsidR="002C0DC3" w:rsidRPr="002C0DC3" w14:paraId="1711E4BF" w14:textId="77777777" w:rsidTr="002C0DC3">
        <w:trPr>
          <w:trHeight w:val="277"/>
          <w:jc w:val="center"/>
        </w:trPr>
        <w:tc>
          <w:tcPr>
            <w:tcW w:w="2521" w:type="dxa"/>
            <w:shd w:val="clear" w:color="auto" w:fill="auto"/>
            <w:noWrap/>
            <w:vAlign w:val="center"/>
            <w:hideMark/>
          </w:tcPr>
          <w:p w14:paraId="7CE3C55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Zona Atlántica</w:t>
            </w:r>
          </w:p>
        </w:tc>
        <w:tc>
          <w:tcPr>
            <w:tcW w:w="1054" w:type="dxa"/>
            <w:shd w:val="clear" w:color="auto" w:fill="auto"/>
            <w:noWrap/>
            <w:vAlign w:val="center"/>
            <w:hideMark/>
          </w:tcPr>
          <w:p w14:paraId="4916A28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3.450</w:t>
            </w:r>
          </w:p>
        </w:tc>
        <w:tc>
          <w:tcPr>
            <w:tcW w:w="1054" w:type="dxa"/>
            <w:shd w:val="clear" w:color="auto" w:fill="auto"/>
            <w:noWrap/>
            <w:vAlign w:val="center"/>
          </w:tcPr>
          <w:p w14:paraId="0465DBB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1.148</w:t>
            </w:r>
          </w:p>
        </w:tc>
        <w:tc>
          <w:tcPr>
            <w:tcW w:w="1054" w:type="dxa"/>
            <w:shd w:val="clear" w:color="auto" w:fill="auto"/>
            <w:noWrap/>
            <w:vAlign w:val="center"/>
          </w:tcPr>
          <w:p w14:paraId="52AA46E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1.350</w:t>
            </w:r>
          </w:p>
        </w:tc>
        <w:tc>
          <w:tcPr>
            <w:tcW w:w="1054" w:type="dxa"/>
            <w:shd w:val="clear" w:color="auto" w:fill="auto"/>
            <w:noWrap/>
            <w:vAlign w:val="center"/>
          </w:tcPr>
          <w:p w14:paraId="696E124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3.472</w:t>
            </w:r>
          </w:p>
        </w:tc>
        <w:tc>
          <w:tcPr>
            <w:tcW w:w="1055" w:type="dxa"/>
            <w:shd w:val="clear" w:color="auto" w:fill="auto"/>
            <w:noWrap/>
            <w:vAlign w:val="center"/>
          </w:tcPr>
          <w:p w14:paraId="3EC1421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2.612</w:t>
            </w:r>
          </w:p>
        </w:tc>
      </w:tr>
      <w:tr w:rsidR="002C0DC3" w:rsidRPr="002C0DC3" w14:paraId="0A88D4C7" w14:textId="77777777" w:rsidTr="002C0DC3">
        <w:trPr>
          <w:trHeight w:val="445"/>
          <w:jc w:val="center"/>
        </w:trPr>
        <w:tc>
          <w:tcPr>
            <w:tcW w:w="7792" w:type="dxa"/>
            <w:gridSpan w:val="6"/>
            <w:shd w:val="clear" w:color="auto" w:fill="auto"/>
            <w:noWrap/>
            <w:vAlign w:val="center"/>
          </w:tcPr>
          <w:p w14:paraId="24812C2F"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Elaborado por: Subproceso de Estadística, Dirección de Planificación.</w:t>
            </w:r>
          </w:p>
        </w:tc>
      </w:tr>
    </w:tbl>
    <w:p w14:paraId="3E5797A2" w14:textId="77777777" w:rsidR="002C0DC3" w:rsidRPr="002C0DC3" w:rsidRDefault="002C0DC3" w:rsidP="002C0DC3">
      <w:pPr>
        <w:suppressAutoHyphens w:val="0"/>
        <w:jc w:val="center"/>
        <w:rPr>
          <w:bCs/>
          <w:lang w:val="es-CR" w:eastAsia="en-US"/>
        </w:rPr>
      </w:pPr>
    </w:p>
    <w:p w14:paraId="4160E450" w14:textId="6B0F3736" w:rsidR="002C0DC3" w:rsidRDefault="002C0DC3" w:rsidP="002C0DC3">
      <w:pPr>
        <w:suppressAutoHyphens w:val="0"/>
        <w:ind w:left="851" w:right="851" w:firstLine="709"/>
        <w:jc w:val="both"/>
        <w:rPr>
          <w:bCs/>
          <w:lang w:val="es-CR" w:eastAsia="en-US"/>
        </w:rPr>
      </w:pPr>
      <w:r w:rsidRPr="002C0DC3">
        <w:rPr>
          <w:bCs/>
          <w:lang w:val="es-CR" w:eastAsia="en-US"/>
        </w:rPr>
        <w:t xml:space="preserve">De acuerdo con el cuadro N°4.1, con excepción de Cartago, los restantes juzgados que atienden la materia cobratoria experimentaron decrecimientos en su gestión productiva durante el 2020, destacando algunas diferencias muy pronunciadas, como lo acontecido con el </w:t>
      </w:r>
      <w:r w:rsidRPr="002C0DC3">
        <w:rPr>
          <w:bCs/>
          <w:i/>
          <w:iCs/>
          <w:lang w:val="es-CR" w:eastAsia="en-US"/>
        </w:rPr>
        <w:t>Primero y Segundo de San José</w:t>
      </w:r>
      <w:r w:rsidRPr="002C0DC3">
        <w:rPr>
          <w:bCs/>
          <w:lang w:val="es-CR" w:eastAsia="en-US"/>
        </w:rPr>
        <w:t>, en cuyo caso los valores se redujeron en 8.911 y 11.943 casos respectivamente.</w:t>
      </w:r>
    </w:p>
    <w:p w14:paraId="41C5F97E" w14:textId="77777777" w:rsidR="002C0DC3" w:rsidRPr="002C0DC3" w:rsidRDefault="002C0DC3" w:rsidP="002C0DC3">
      <w:pPr>
        <w:suppressAutoHyphens w:val="0"/>
        <w:ind w:left="851" w:right="851" w:firstLine="709"/>
        <w:jc w:val="both"/>
        <w:rPr>
          <w:bCs/>
          <w:lang w:val="es-CR" w:eastAsia="en-US"/>
        </w:rPr>
      </w:pPr>
    </w:p>
    <w:p w14:paraId="3D23AF53" w14:textId="77777777" w:rsidR="002C0DC3" w:rsidRPr="002C0DC3" w:rsidRDefault="002C0DC3" w:rsidP="002C0DC3">
      <w:pPr>
        <w:suppressAutoHyphens w:val="0"/>
        <w:ind w:left="851" w:right="851" w:firstLine="709"/>
        <w:jc w:val="both"/>
        <w:rPr>
          <w:bCs/>
          <w:lang w:val="es-CR" w:eastAsia="en-US"/>
        </w:rPr>
      </w:pPr>
      <w:r w:rsidRPr="002C0DC3">
        <w:rPr>
          <w:bCs/>
          <w:lang w:val="es-CR" w:eastAsia="en-US"/>
        </w:rPr>
        <w:t>Es dable indicar que lo acontecido en San José en cuanto a la magnitud del descenso productivo, no se reflejó en provincias de alta incidencia como lo son Alajuela y Heredia, ya que las bajas asociadas a estos despachos ligeramente exceden de mil asuntos.</w:t>
      </w:r>
    </w:p>
    <w:p w14:paraId="1D09C9F6" w14:textId="77777777" w:rsidR="002C0DC3" w:rsidRPr="002C0DC3" w:rsidRDefault="002C0DC3" w:rsidP="002C0DC3">
      <w:pPr>
        <w:suppressAutoHyphens w:val="0"/>
        <w:ind w:left="851" w:right="851" w:firstLine="709"/>
        <w:jc w:val="both"/>
        <w:rPr>
          <w:bCs/>
          <w:lang w:val="es-CR" w:eastAsia="en-US"/>
        </w:rPr>
      </w:pPr>
      <w:r w:rsidRPr="002C0DC3">
        <w:rPr>
          <w:bCs/>
          <w:lang w:val="es-CR" w:eastAsia="en-US"/>
        </w:rPr>
        <w:t xml:space="preserve"> </w:t>
      </w:r>
    </w:p>
    <w:p w14:paraId="1B95AECC" w14:textId="77777777" w:rsidR="002C0DC3" w:rsidRPr="002C0DC3" w:rsidRDefault="002C0DC3" w:rsidP="002C0DC3">
      <w:pPr>
        <w:suppressAutoHyphens w:val="0"/>
        <w:ind w:left="851" w:right="851" w:firstLine="709"/>
        <w:jc w:val="both"/>
        <w:rPr>
          <w:bCs/>
          <w:lang w:val="es-CR" w:eastAsia="en-US"/>
        </w:rPr>
      </w:pPr>
      <w:r w:rsidRPr="002C0DC3">
        <w:rPr>
          <w:bCs/>
          <w:lang w:val="es-CR" w:eastAsia="en-US"/>
        </w:rPr>
        <w:t xml:space="preserve">Como se indicó previamente, Cartago fue el único Juzgado que registró un aumento de los casos terminados en 2020, pasando de 6.562 a 7.453, es decir, 891 expedientes finalizados más. </w:t>
      </w:r>
    </w:p>
    <w:p w14:paraId="585F8613" w14:textId="77777777" w:rsidR="002C0DC3" w:rsidRPr="002C0DC3" w:rsidRDefault="002C0DC3" w:rsidP="002C0DC3">
      <w:pPr>
        <w:suppressAutoHyphens w:val="0"/>
        <w:ind w:right="851"/>
        <w:rPr>
          <w:b/>
          <w:lang w:val="es-CR" w:eastAsia="en-US"/>
        </w:rPr>
      </w:pPr>
    </w:p>
    <w:p w14:paraId="63A7690E" w14:textId="77777777" w:rsidR="002C0DC3" w:rsidRPr="002C0DC3" w:rsidRDefault="002C0DC3" w:rsidP="002C0DC3">
      <w:pPr>
        <w:suppressAutoHyphens w:val="0"/>
        <w:ind w:left="851" w:right="851" w:firstLine="709"/>
        <w:jc w:val="center"/>
        <w:rPr>
          <w:b/>
          <w:lang w:val="es-CR" w:eastAsia="en-US"/>
        </w:rPr>
      </w:pPr>
      <w:r w:rsidRPr="002C0DC3">
        <w:rPr>
          <w:b/>
          <w:lang w:val="es-CR" w:eastAsia="en-US"/>
        </w:rPr>
        <w:t>Gráfico N°4.1</w:t>
      </w:r>
    </w:p>
    <w:p w14:paraId="28763C58" w14:textId="77777777" w:rsidR="002C0DC3" w:rsidRPr="002C0DC3" w:rsidRDefault="002C0DC3" w:rsidP="002C0DC3">
      <w:pPr>
        <w:suppressAutoHyphens w:val="0"/>
        <w:jc w:val="center"/>
        <w:rPr>
          <w:rFonts w:eastAsia="Calibri"/>
          <w:lang w:val="es-CR" w:eastAsia="en-US"/>
        </w:rPr>
      </w:pPr>
      <w:r w:rsidRPr="002C0DC3">
        <w:rPr>
          <w:rFonts w:eastAsia="Calibri"/>
          <w:noProof/>
          <w:lang w:val="es-CR" w:eastAsia="es-CR"/>
        </w:rPr>
        <w:lastRenderedPageBreak/>
        <w:drawing>
          <wp:inline distT="0" distB="0" distL="0" distR="0" wp14:anchorId="143E84C0" wp14:editId="3D776B0E">
            <wp:extent cx="5318125" cy="3194050"/>
            <wp:effectExtent l="0" t="0" r="15875" b="6350"/>
            <wp:docPr id="13" name="Gráfico 13">
              <a:extLst xmlns:a="http://schemas.openxmlformats.org/drawingml/2006/main">
                <a:ext uri="{FF2B5EF4-FFF2-40B4-BE49-F238E27FC236}">
                  <a16:creationId xmlns:a16="http://schemas.microsoft.com/office/drawing/2014/main" id="{35E19E02-18CF-46E1-B789-92A3A1FF0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F5B1EA" w14:textId="77777777" w:rsidR="002C0DC3" w:rsidRPr="002C0DC3" w:rsidRDefault="002C0DC3" w:rsidP="002C0DC3">
      <w:pPr>
        <w:suppressAutoHyphens w:val="0"/>
        <w:jc w:val="both"/>
        <w:rPr>
          <w:rFonts w:eastAsia="Calibri"/>
          <w:lang w:val="es-CR" w:eastAsia="en-US"/>
        </w:rPr>
      </w:pPr>
    </w:p>
    <w:p w14:paraId="1EB755D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 el gráfico 4.1 se visualiza la disminución de los casos terminados, de tal forma que se produce una interrupción en la tendencia que venía mostrando la variable a partir del período 2018 y que se habría consolidado en 2019 tras el aumento de los casos terminados de poco más de 131 mil casos. Es importante recordar que la emergencia sanitaria producto del COVID-19 necesariamente afectó el desempeño de estos despachos hasta el día de hoy.  </w:t>
      </w:r>
    </w:p>
    <w:p w14:paraId="7A641DC5" w14:textId="77777777" w:rsidR="002C0DC3" w:rsidRPr="002C0DC3" w:rsidRDefault="002C0DC3" w:rsidP="002C0DC3">
      <w:pPr>
        <w:suppressAutoHyphens w:val="0"/>
        <w:ind w:left="851" w:right="851" w:firstLine="709"/>
        <w:jc w:val="both"/>
        <w:rPr>
          <w:rFonts w:eastAsia="Calibri"/>
          <w:lang w:val="es-CR" w:eastAsia="en-US"/>
        </w:rPr>
      </w:pPr>
    </w:p>
    <w:p w14:paraId="6DD70F8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eastAsia="en-US"/>
        </w:rPr>
        <w:t>Adicionalmente, la manera de terminar los procesos cobratorios depende en gran medida- del logro que experimente la parte demandante, en las gestiones de embargo de las cuentas bancarias, de los salarios o de atribuirse ciertos bienes embargables de la parte demandada, pues con ello, se presiona hacia la realización de arreglos extrajudiciales, así como de giros de dinero, entre otras acciones</w:t>
      </w:r>
    </w:p>
    <w:p w14:paraId="6E7B2C04" w14:textId="77777777" w:rsidR="002C0DC3" w:rsidRPr="002C0DC3" w:rsidRDefault="002C0DC3" w:rsidP="002C0DC3">
      <w:pPr>
        <w:suppressAutoHyphens w:val="0"/>
        <w:ind w:left="851" w:right="851" w:firstLine="709"/>
        <w:jc w:val="both"/>
        <w:rPr>
          <w:rFonts w:eastAsia="Calibri"/>
          <w:lang w:val="es-CR" w:eastAsia="en-US"/>
        </w:rPr>
      </w:pPr>
    </w:p>
    <w:p w14:paraId="0654996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A continuación, se presentan los pesos absolutos y relativos para los casos terminados en materia cobratoria, de acuerdo al motivo de término para el presente quinquenio.</w:t>
      </w:r>
    </w:p>
    <w:p w14:paraId="768DD94F" w14:textId="77777777" w:rsidR="002C0DC3" w:rsidRPr="002C0DC3" w:rsidRDefault="002C0DC3" w:rsidP="002C0DC3">
      <w:pPr>
        <w:widowControl w:val="0"/>
        <w:suppressAutoHyphens w:val="0"/>
        <w:autoSpaceDE w:val="0"/>
        <w:autoSpaceDN w:val="0"/>
        <w:adjustRightInd w:val="0"/>
        <w:ind w:right="851"/>
        <w:rPr>
          <w:rFonts w:eastAsia="Calibri"/>
          <w:b/>
          <w:lang w:val="es-CR" w:eastAsia="en-US"/>
        </w:rPr>
      </w:pPr>
    </w:p>
    <w:p w14:paraId="3AD6A42F"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N°4.2</w:t>
      </w:r>
    </w:p>
    <w:p w14:paraId="57657BE9"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Casos Terminados según motivo</w:t>
      </w:r>
    </w:p>
    <w:p w14:paraId="6B4F7581"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de término, período 2016-2020</w:t>
      </w:r>
    </w:p>
    <w:p w14:paraId="625BCA3A" w14:textId="77777777" w:rsidR="002C0DC3" w:rsidRPr="002C0DC3" w:rsidRDefault="002C0DC3" w:rsidP="002C0DC3">
      <w:pPr>
        <w:widowControl w:val="0"/>
        <w:suppressAutoHyphens w:val="0"/>
        <w:autoSpaceDE w:val="0"/>
        <w:autoSpaceDN w:val="0"/>
        <w:adjustRightInd w:val="0"/>
        <w:ind w:left="851" w:right="851"/>
        <w:jc w:val="center"/>
        <w:rPr>
          <w:rFonts w:eastAsia="Calibri"/>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8"/>
        <w:gridCol w:w="752"/>
        <w:gridCol w:w="752"/>
        <w:gridCol w:w="753"/>
        <w:gridCol w:w="753"/>
        <w:gridCol w:w="753"/>
        <w:gridCol w:w="596"/>
        <w:gridCol w:w="543"/>
        <w:gridCol w:w="543"/>
        <w:gridCol w:w="543"/>
        <w:gridCol w:w="539"/>
      </w:tblGrid>
      <w:tr w:rsidR="002C0DC3" w:rsidRPr="002C0DC3" w14:paraId="2F164D7B" w14:textId="77777777" w:rsidTr="002C0DC3">
        <w:trPr>
          <w:trHeight w:val="261"/>
          <w:tblHeader/>
          <w:jc w:val="center"/>
        </w:trPr>
        <w:tc>
          <w:tcPr>
            <w:tcW w:w="1526" w:type="pct"/>
            <w:shd w:val="clear" w:color="auto" w:fill="auto"/>
            <w:noWrap/>
            <w:vAlign w:val="center"/>
            <w:hideMark/>
          </w:tcPr>
          <w:p w14:paraId="7669F05A"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n-US"/>
              </w:rPr>
              <w:t> </w:t>
            </w:r>
          </w:p>
        </w:tc>
        <w:tc>
          <w:tcPr>
            <w:tcW w:w="2003" w:type="pct"/>
            <w:gridSpan w:val="5"/>
            <w:shd w:val="clear" w:color="auto" w:fill="auto"/>
            <w:noWrap/>
            <w:vAlign w:val="center"/>
            <w:hideMark/>
          </w:tcPr>
          <w:p w14:paraId="5936B25E"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Casos Terminados</w:t>
            </w:r>
          </w:p>
        </w:tc>
        <w:tc>
          <w:tcPr>
            <w:tcW w:w="1471" w:type="pct"/>
            <w:gridSpan w:val="5"/>
            <w:shd w:val="clear" w:color="auto" w:fill="auto"/>
            <w:noWrap/>
            <w:vAlign w:val="center"/>
            <w:hideMark/>
          </w:tcPr>
          <w:p w14:paraId="22659BCA"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Porcentajes</w:t>
            </w:r>
          </w:p>
        </w:tc>
      </w:tr>
      <w:tr w:rsidR="002C0DC3" w:rsidRPr="002C0DC3" w14:paraId="0BB9C03B" w14:textId="77777777" w:rsidTr="002C0DC3">
        <w:trPr>
          <w:trHeight w:val="271"/>
          <w:tblHeader/>
          <w:jc w:val="center"/>
        </w:trPr>
        <w:tc>
          <w:tcPr>
            <w:tcW w:w="1526" w:type="pct"/>
            <w:shd w:val="clear" w:color="auto" w:fill="auto"/>
            <w:noWrap/>
            <w:vAlign w:val="center"/>
            <w:hideMark/>
          </w:tcPr>
          <w:p w14:paraId="05A72AE6"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Motivo de Término</w:t>
            </w:r>
          </w:p>
        </w:tc>
        <w:tc>
          <w:tcPr>
            <w:tcW w:w="400" w:type="pct"/>
            <w:shd w:val="clear" w:color="auto" w:fill="auto"/>
            <w:noWrap/>
            <w:vAlign w:val="center"/>
            <w:hideMark/>
          </w:tcPr>
          <w:p w14:paraId="79256A6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2016</w:t>
            </w:r>
          </w:p>
        </w:tc>
        <w:tc>
          <w:tcPr>
            <w:tcW w:w="400" w:type="pct"/>
            <w:shd w:val="clear" w:color="auto" w:fill="auto"/>
            <w:noWrap/>
            <w:vAlign w:val="center"/>
          </w:tcPr>
          <w:p w14:paraId="2B70021B"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2017</w:t>
            </w:r>
          </w:p>
        </w:tc>
        <w:tc>
          <w:tcPr>
            <w:tcW w:w="401" w:type="pct"/>
            <w:shd w:val="clear" w:color="auto" w:fill="auto"/>
            <w:noWrap/>
            <w:vAlign w:val="center"/>
          </w:tcPr>
          <w:p w14:paraId="030D9610"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2018</w:t>
            </w:r>
          </w:p>
        </w:tc>
        <w:tc>
          <w:tcPr>
            <w:tcW w:w="401" w:type="pct"/>
            <w:shd w:val="clear" w:color="auto" w:fill="auto"/>
            <w:noWrap/>
            <w:vAlign w:val="center"/>
          </w:tcPr>
          <w:p w14:paraId="3B42858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2019</w:t>
            </w:r>
          </w:p>
        </w:tc>
        <w:tc>
          <w:tcPr>
            <w:tcW w:w="401" w:type="pct"/>
            <w:shd w:val="clear" w:color="auto" w:fill="auto"/>
            <w:noWrap/>
            <w:vAlign w:val="center"/>
          </w:tcPr>
          <w:p w14:paraId="02098236"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2020</w:t>
            </w:r>
          </w:p>
        </w:tc>
        <w:tc>
          <w:tcPr>
            <w:tcW w:w="317" w:type="pct"/>
            <w:shd w:val="clear" w:color="auto" w:fill="auto"/>
            <w:noWrap/>
            <w:vAlign w:val="center"/>
            <w:hideMark/>
          </w:tcPr>
          <w:p w14:paraId="41D506E4"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2016</w:t>
            </w:r>
          </w:p>
        </w:tc>
        <w:tc>
          <w:tcPr>
            <w:tcW w:w="289" w:type="pct"/>
            <w:shd w:val="clear" w:color="auto" w:fill="auto"/>
            <w:noWrap/>
            <w:vAlign w:val="center"/>
          </w:tcPr>
          <w:p w14:paraId="2476384B"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2017</w:t>
            </w:r>
          </w:p>
        </w:tc>
        <w:tc>
          <w:tcPr>
            <w:tcW w:w="289" w:type="pct"/>
            <w:shd w:val="clear" w:color="auto" w:fill="auto"/>
            <w:noWrap/>
            <w:vAlign w:val="center"/>
          </w:tcPr>
          <w:p w14:paraId="665A491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2018</w:t>
            </w:r>
          </w:p>
        </w:tc>
        <w:tc>
          <w:tcPr>
            <w:tcW w:w="289" w:type="pct"/>
            <w:shd w:val="clear" w:color="auto" w:fill="auto"/>
            <w:noWrap/>
            <w:vAlign w:val="center"/>
          </w:tcPr>
          <w:p w14:paraId="30B3123C"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2019</w:t>
            </w:r>
          </w:p>
        </w:tc>
        <w:tc>
          <w:tcPr>
            <w:tcW w:w="287" w:type="pct"/>
            <w:shd w:val="clear" w:color="auto" w:fill="auto"/>
            <w:noWrap/>
            <w:vAlign w:val="center"/>
          </w:tcPr>
          <w:p w14:paraId="60CF4C94"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2020</w:t>
            </w:r>
          </w:p>
        </w:tc>
      </w:tr>
      <w:tr w:rsidR="002C0DC3" w:rsidRPr="002C0DC3" w14:paraId="3B9BB3BD" w14:textId="77777777" w:rsidTr="002C0DC3">
        <w:trPr>
          <w:trHeight w:val="261"/>
          <w:jc w:val="center"/>
        </w:trPr>
        <w:tc>
          <w:tcPr>
            <w:tcW w:w="1526" w:type="pct"/>
            <w:shd w:val="clear" w:color="auto" w:fill="auto"/>
            <w:noWrap/>
            <w:vAlign w:val="center"/>
            <w:hideMark/>
          </w:tcPr>
          <w:p w14:paraId="70105193"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400" w:type="pct"/>
            <w:shd w:val="clear" w:color="auto" w:fill="auto"/>
            <w:noWrap/>
            <w:vAlign w:val="center"/>
            <w:hideMark/>
          </w:tcPr>
          <w:p w14:paraId="3D1672CF"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 </w:t>
            </w:r>
          </w:p>
        </w:tc>
        <w:tc>
          <w:tcPr>
            <w:tcW w:w="400" w:type="pct"/>
            <w:shd w:val="clear" w:color="auto" w:fill="auto"/>
            <w:noWrap/>
            <w:vAlign w:val="center"/>
            <w:hideMark/>
          </w:tcPr>
          <w:p w14:paraId="213F3329"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 </w:t>
            </w:r>
          </w:p>
        </w:tc>
        <w:tc>
          <w:tcPr>
            <w:tcW w:w="401" w:type="pct"/>
            <w:shd w:val="clear" w:color="auto" w:fill="auto"/>
            <w:noWrap/>
            <w:vAlign w:val="center"/>
            <w:hideMark/>
          </w:tcPr>
          <w:p w14:paraId="109A7C12"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 </w:t>
            </w:r>
          </w:p>
        </w:tc>
        <w:tc>
          <w:tcPr>
            <w:tcW w:w="401" w:type="pct"/>
            <w:shd w:val="clear" w:color="auto" w:fill="auto"/>
            <w:noWrap/>
            <w:vAlign w:val="center"/>
            <w:hideMark/>
          </w:tcPr>
          <w:p w14:paraId="11967FA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 </w:t>
            </w:r>
          </w:p>
        </w:tc>
        <w:tc>
          <w:tcPr>
            <w:tcW w:w="401" w:type="pct"/>
            <w:shd w:val="clear" w:color="auto" w:fill="auto"/>
            <w:noWrap/>
            <w:vAlign w:val="center"/>
            <w:hideMark/>
          </w:tcPr>
          <w:p w14:paraId="55ABFD96"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 </w:t>
            </w:r>
          </w:p>
        </w:tc>
        <w:tc>
          <w:tcPr>
            <w:tcW w:w="317" w:type="pct"/>
            <w:shd w:val="clear" w:color="auto" w:fill="auto"/>
            <w:noWrap/>
            <w:vAlign w:val="center"/>
            <w:hideMark/>
          </w:tcPr>
          <w:p w14:paraId="422C4E1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289" w:type="pct"/>
            <w:shd w:val="clear" w:color="auto" w:fill="auto"/>
            <w:noWrap/>
            <w:vAlign w:val="center"/>
            <w:hideMark/>
          </w:tcPr>
          <w:p w14:paraId="38BD9A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289" w:type="pct"/>
            <w:shd w:val="clear" w:color="auto" w:fill="auto"/>
            <w:noWrap/>
            <w:vAlign w:val="center"/>
            <w:hideMark/>
          </w:tcPr>
          <w:p w14:paraId="5CE01D1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289" w:type="pct"/>
            <w:shd w:val="clear" w:color="auto" w:fill="auto"/>
            <w:noWrap/>
            <w:vAlign w:val="center"/>
            <w:hideMark/>
          </w:tcPr>
          <w:p w14:paraId="1CCA03A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287" w:type="pct"/>
            <w:shd w:val="clear" w:color="auto" w:fill="auto"/>
            <w:noWrap/>
            <w:vAlign w:val="center"/>
            <w:hideMark/>
          </w:tcPr>
          <w:p w14:paraId="0CFC06C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r>
      <w:tr w:rsidR="002C0DC3" w:rsidRPr="002C0DC3" w14:paraId="739CF685" w14:textId="77777777" w:rsidTr="002C0DC3">
        <w:trPr>
          <w:trHeight w:val="261"/>
          <w:jc w:val="center"/>
        </w:trPr>
        <w:tc>
          <w:tcPr>
            <w:tcW w:w="1526" w:type="pct"/>
            <w:shd w:val="clear" w:color="auto" w:fill="auto"/>
            <w:noWrap/>
            <w:vAlign w:val="center"/>
            <w:hideMark/>
          </w:tcPr>
          <w:p w14:paraId="5F4B382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Totales</w:t>
            </w:r>
          </w:p>
        </w:tc>
        <w:tc>
          <w:tcPr>
            <w:tcW w:w="400" w:type="pct"/>
            <w:shd w:val="clear" w:color="auto" w:fill="auto"/>
            <w:noWrap/>
            <w:vAlign w:val="center"/>
            <w:hideMark/>
          </w:tcPr>
          <w:p w14:paraId="63B5BF27"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73.979</w:t>
            </w:r>
          </w:p>
        </w:tc>
        <w:tc>
          <w:tcPr>
            <w:tcW w:w="400" w:type="pct"/>
            <w:shd w:val="clear" w:color="auto" w:fill="auto"/>
            <w:noWrap/>
            <w:vAlign w:val="center"/>
          </w:tcPr>
          <w:p w14:paraId="4E73219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71.290</w:t>
            </w:r>
          </w:p>
        </w:tc>
        <w:tc>
          <w:tcPr>
            <w:tcW w:w="401" w:type="pct"/>
            <w:shd w:val="clear" w:color="auto" w:fill="auto"/>
            <w:noWrap/>
            <w:vAlign w:val="center"/>
          </w:tcPr>
          <w:p w14:paraId="31DCA9AC"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80.961</w:t>
            </w:r>
          </w:p>
        </w:tc>
        <w:tc>
          <w:tcPr>
            <w:tcW w:w="401" w:type="pct"/>
            <w:shd w:val="clear" w:color="auto" w:fill="auto"/>
            <w:noWrap/>
            <w:vAlign w:val="center"/>
          </w:tcPr>
          <w:p w14:paraId="79660313"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131.063</w:t>
            </w:r>
          </w:p>
        </w:tc>
        <w:tc>
          <w:tcPr>
            <w:tcW w:w="401" w:type="pct"/>
            <w:shd w:val="clear" w:color="auto" w:fill="auto"/>
            <w:noWrap/>
            <w:vAlign w:val="center"/>
          </w:tcPr>
          <w:p w14:paraId="5990D6B4"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98.230</w:t>
            </w:r>
          </w:p>
        </w:tc>
        <w:tc>
          <w:tcPr>
            <w:tcW w:w="317" w:type="pct"/>
            <w:shd w:val="clear" w:color="auto" w:fill="auto"/>
            <w:noWrap/>
            <w:vAlign w:val="center"/>
          </w:tcPr>
          <w:p w14:paraId="24899953"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100</w:t>
            </w:r>
          </w:p>
        </w:tc>
        <w:tc>
          <w:tcPr>
            <w:tcW w:w="289" w:type="pct"/>
            <w:shd w:val="clear" w:color="auto" w:fill="auto"/>
            <w:noWrap/>
            <w:vAlign w:val="center"/>
          </w:tcPr>
          <w:p w14:paraId="4DCBC823"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100</w:t>
            </w:r>
          </w:p>
        </w:tc>
        <w:tc>
          <w:tcPr>
            <w:tcW w:w="289" w:type="pct"/>
            <w:shd w:val="clear" w:color="auto" w:fill="auto"/>
            <w:noWrap/>
            <w:vAlign w:val="center"/>
          </w:tcPr>
          <w:p w14:paraId="1DC9CF64"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100</w:t>
            </w:r>
          </w:p>
        </w:tc>
        <w:tc>
          <w:tcPr>
            <w:tcW w:w="289" w:type="pct"/>
            <w:shd w:val="clear" w:color="auto" w:fill="auto"/>
            <w:noWrap/>
            <w:vAlign w:val="center"/>
          </w:tcPr>
          <w:p w14:paraId="6225FFA6"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100</w:t>
            </w:r>
          </w:p>
        </w:tc>
        <w:tc>
          <w:tcPr>
            <w:tcW w:w="287" w:type="pct"/>
            <w:shd w:val="clear" w:color="auto" w:fill="auto"/>
            <w:noWrap/>
            <w:vAlign w:val="center"/>
          </w:tcPr>
          <w:p w14:paraId="66CD78B7"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100</w:t>
            </w:r>
          </w:p>
        </w:tc>
      </w:tr>
      <w:tr w:rsidR="002C0DC3" w:rsidRPr="002C0DC3" w14:paraId="579BD029" w14:textId="77777777" w:rsidTr="002C0DC3">
        <w:trPr>
          <w:trHeight w:val="261"/>
          <w:jc w:val="center"/>
        </w:trPr>
        <w:tc>
          <w:tcPr>
            <w:tcW w:w="1526" w:type="pct"/>
            <w:shd w:val="clear" w:color="auto" w:fill="auto"/>
            <w:noWrap/>
            <w:vAlign w:val="center"/>
          </w:tcPr>
          <w:p w14:paraId="67AA37B0"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Cs/>
                <w:lang w:val="es-CR" w:eastAsia="en-US"/>
              </w:rPr>
              <w:t xml:space="preserve">Satisfacción extraprocesal S.E.P </w:t>
            </w:r>
            <w:r w:rsidRPr="002C0DC3">
              <w:rPr>
                <w:rFonts w:eastAsia="Calibri"/>
                <w:bCs/>
                <w:vertAlign w:val="superscript"/>
                <w:lang w:val="es-CR" w:eastAsia="en-US"/>
              </w:rPr>
              <w:t>(1)</w:t>
            </w:r>
          </w:p>
        </w:tc>
        <w:tc>
          <w:tcPr>
            <w:tcW w:w="400" w:type="pct"/>
            <w:shd w:val="clear" w:color="auto" w:fill="auto"/>
            <w:noWrap/>
            <w:vAlign w:val="center"/>
          </w:tcPr>
          <w:p w14:paraId="08274005"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Cs/>
                <w:lang w:val="es-CR" w:eastAsia="en-US"/>
              </w:rPr>
              <w:t>0</w:t>
            </w:r>
          </w:p>
        </w:tc>
        <w:tc>
          <w:tcPr>
            <w:tcW w:w="400" w:type="pct"/>
            <w:shd w:val="clear" w:color="auto" w:fill="auto"/>
            <w:noWrap/>
            <w:vAlign w:val="center"/>
          </w:tcPr>
          <w:p w14:paraId="64CFB490"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Cs/>
                <w:lang w:val="es-CR" w:eastAsia="en-US"/>
              </w:rPr>
              <w:t>0</w:t>
            </w:r>
          </w:p>
        </w:tc>
        <w:tc>
          <w:tcPr>
            <w:tcW w:w="401" w:type="pct"/>
            <w:shd w:val="clear" w:color="auto" w:fill="auto"/>
            <w:noWrap/>
            <w:vAlign w:val="center"/>
          </w:tcPr>
          <w:p w14:paraId="0F4EF3B9"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Cs/>
                <w:lang w:val="es-CR" w:eastAsia="en-US"/>
              </w:rPr>
              <w:t>9.227</w:t>
            </w:r>
          </w:p>
        </w:tc>
        <w:tc>
          <w:tcPr>
            <w:tcW w:w="401" w:type="pct"/>
            <w:shd w:val="clear" w:color="auto" w:fill="auto"/>
            <w:noWrap/>
            <w:vAlign w:val="center"/>
          </w:tcPr>
          <w:p w14:paraId="62E8B9E6"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lang w:val="es-CR" w:eastAsia="en-US"/>
              </w:rPr>
              <w:t>61.957</w:t>
            </w:r>
          </w:p>
        </w:tc>
        <w:tc>
          <w:tcPr>
            <w:tcW w:w="401" w:type="pct"/>
            <w:shd w:val="clear" w:color="auto" w:fill="auto"/>
            <w:noWrap/>
            <w:vAlign w:val="center"/>
          </w:tcPr>
          <w:p w14:paraId="1530A78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60412</w:t>
            </w:r>
          </w:p>
        </w:tc>
        <w:tc>
          <w:tcPr>
            <w:tcW w:w="317" w:type="pct"/>
            <w:shd w:val="clear" w:color="auto" w:fill="auto"/>
            <w:noWrap/>
            <w:vAlign w:val="center"/>
          </w:tcPr>
          <w:p w14:paraId="06972934"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Cs/>
                <w:lang w:val="es-CR" w:eastAsia="en-US"/>
              </w:rPr>
              <w:t>0,0</w:t>
            </w:r>
          </w:p>
        </w:tc>
        <w:tc>
          <w:tcPr>
            <w:tcW w:w="289" w:type="pct"/>
            <w:shd w:val="clear" w:color="auto" w:fill="auto"/>
            <w:noWrap/>
            <w:vAlign w:val="center"/>
          </w:tcPr>
          <w:p w14:paraId="701476D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Cs/>
                <w:lang w:val="es-CR" w:eastAsia="en-US"/>
              </w:rPr>
              <w:t>0,0</w:t>
            </w:r>
          </w:p>
        </w:tc>
        <w:tc>
          <w:tcPr>
            <w:tcW w:w="289" w:type="pct"/>
            <w:shd w:val="clear" w:color="auto" w:fill="auto"/>
            <w:noWrap/>
            <w:vAlign w:val="center"/>
          </w:tcPr>
          <w:p w14:paraId="5C203D32"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Cs/>
                <w:lang w:val="es-CR" w:eastAsia="en-US"/>
              </w:rPr>
              <w:t>11,4</w:t>
            </w:r>
          </w:p>
        </w:tc>
        <w:tc>
          <w:tcPr>
            <w:tcW w:w="289" w:type="pct"/>
            <w:shd w:val="clear" w:color="auto" w:fill="auto"/>
            <w:noWrap/>
            <w:vAlign w:val="center"/>
          </w:tcPr>
          <w:p w14:paraId="5BD88366"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lang w:val="es-CR" w:eastAsia="en-US"/>
              </w:rPr>
              <w:t>47,2</w:t>
            </w:r>
          </w:p>
        </w:tc>
        <w:tc>
          <w:tcPr>
            <w:tcW w:w="287" w:type="pct"/>
            <w:shd w:val="clear" w:color="auto" w:fill="auto"/>
            <w:noWrap/>
            <w:vAlign w:val="bottom"/>
          </w:tcPr>
          <w:p w14:paraId="1C35D0E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61,5</w:t>
            </w:r>
          </w:p>
        </w:tc>
      </w:tr>
      <w:tr w:rsidR="002C0DC3" w:rsidRPr="002C0DC3" w14:paraId="5EA87F1B" w14:textId="77777777" w:rsidTr="002C0DC3">
        <w:trPr>
          <w:trHeight w:val="261"/>
          <w:jc w:val="center"/>
        </w:trPr>
        <w:tc>
          <w:tcPr>
            <w:tcW w:w="1526" w:type="pct"/>
            <w:shd w:val="clear" w:color="auto" w:fill="auto"/>
            <w:noWrap/>
            <w:vAlign w:val="center"/>
          </w:tcPr>
          <w:p w14:paraId="0F8D8F1D" w14:textId="77777777" w:rsidR="002C0DC3" w:rsidRPr="002C0DC3" w:rsidRDefault="002C0DC3" w:rsidP="002C0DC3">
            <w:pPr>
              <w:widowControl w:val="0"/>
              <w:suppressAutoHyphens w:val="0"/>
              <w:autoSpaceDE w:val="0"/>
              <w:autoSpaceDN w:val="0"/>
              <w:adjustRightInd w:val="0"/>
              <w:jc w:val="both"/>
              <w:rPr>
                <w:rFonts w:eastAsia="Calibri"/>
                <w:bCs/>
                <w:lang w:val="es-CR" w:eastAsia="en-US"/>
              </w:rPr>
            </w:pPr>
            <w:r w:rsidRPr="002C0DC3">
              <w:rPr>
                <w:rFonts w:eastAsia="Calibri"/>
                <w:bCs/>
                <w:lang w:val="es-CR" w:eastAsia="en-US"/>
              </w:rPr>
              <w:t xml:space="preserve">Incompetencia Reforma Civil </w:t>
            </w:r>
            <w:r w:rsidRPr="002C0DC3">
              <w:rPr>
                <w:rFonts w:eastAsia="Calibri"/>
                <w:bCs/>
                <w:vertAlign w:val="superscript"/>
                <w:lang w:val="es-CR" w:eastAsia="en-US"/>
              </w:rPr>
              <w:t>(2)</w:t>
            </w:r>
          </w:p>
        </w:tc>
        <w:tc>
          <w:tcPr>
            <w:tcW w:w="400" w:type="pct"/>
            <w:shd w:val="clear" w:color="auto" w:fill="auto"/>
            <w:noWrap/>
            <w:vAlign w:val="center"/>
          </w:tcPr>
          <w:p w14:paraId="44B7F352"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bCs/>
                <w:lang w:val="es-CR" w:eastAsia="en-US"/>
              </w:rPr>
              <w:t>0</w:t>
            </w:r>
          </w:p>
        </w:tc>
        <w:tc>
          <w:tcPr>
            <w:tcW w:w="400" w:type="pct"/>
            <w:shd w:val="clear" w:color="auto" w:fill="auto"/>
            <w:noWrap/>
            <w:vAlign w:val="center"/>
          </w:tcPr>
          <w:p w14:paraId="5FFE7BEF"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bCs/>
                <w:lang w:val="es-CR" w:eastAsia="en-US"/>
              </w:rPr>
              <w:t>0</w:t>
            </w:r>
          </w:p>
        </w:tc>
        <w:tc>
          <w:tcPr>
            <w:tcW w:w="401" w:type="pct"/>
            <w:shd w:val="clear" w:color="auto" w:fill="auto"/>
            <w:noWrap/>
            <w:vAlign w:val="center"/>
          </w:tcPr>
          <w:p w14:paraId="40E57649"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bCs/>
                <w:lang w:val="es-CR" w:eastAsia="en-US"/>
              </w:rPr>
              <w:t>0</w:t>
            </w:r>
          </w:p>
        </w:tc>
        <w:tc>
          <w:tcPr>
            <w:tcW w:w="401" w:type="pct"/>
            <w:shd w:val="clear" w:color="auto" w:fill="auto"/>
            <w:noWrap/>
            <w:vAlign w:val="center"/>
          </w:tcPr>
          <w:p w14:paraId="3DF7AF07"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36.359</w:t>
            </w:r>
          </w:p>
        </w:tc>
        <w:tc>
          <w:tcPr>
            <w:tcW w:w="401" w:type="pct"/>
            <w:shd w:val="clear" w:color="auto" w:fill="auto"/>
            <w:noWrap/>
            <w:vAlign w:val="center"/>
          </w:tcPr>
          <w:p w14:paraId="620277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tcPr>
          <w:p w14:paraId="13B27961"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0,0</w:t>
            </w:r>
          </w:p>
        </w:tc>
        <w:tc>
          <w:tcPr>
            <w:tcW w:w="289" w:type="pct"/>
            <w:shd w:val="clear" w:color="auto" w:fill="auto"/>
            <w:noWrap/>
          </w:tcPr>
          <w:p w14:paraId="40E74772"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0,0</w:t>
            </w:r>
          </w:p>
        </w:tc>
        <w:tc>
          <w:tcPr>
            <w:tcW w:w="289" w:type="pct"/>
            <w:shd w:val="clear" w:color="auto" w:fill="auto"/>
            <w:noWrap/>
          </w:tcPr>
          <w:p w14:paraId="03ACA5A7"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0,0</w:t>
            </w:r>
          </w:p>
        </w:tc>
        <w:tc>
          <w:tcPr>
            <w:tcW w:w="289" w:type="pct"/>
            <w:shd w:val="clear" w:color="auto" w:fill="auto"/>
            <w:noWrap/>
            <w:vAlign w:val="center"/>
          </w:tcPr>
          <w:p w14:paraId="115BA4DA"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27,7</w:t>
            </w:r>
          </w:p>
        </w:tc>
        <w:tc>
          <w:tcPr>
            <w:tcW w:w="287" w:type="pct"/>
            <w:shd w:val="clear" w:color="auto" w:fill="auto"/>
            <w:noWrap/>
            <w:vAlign w:val="bottom"/>
          </w:tcPr>
          <w:p w14:paraId="03D006F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04AB6493" w14:textId="77777777" w:rsidTr="002C0DC3">
        <w:trPr>
          <w:trHeight w:val="261"/>
          <w:jc w:val="center"/>
        </w:trPr>
        <w:tc>
          <w:tcPr>
            <w:tcW w:w="1526" w:type="pct"/>
            <w:shd w:val="clear" w:color="auto" w:fill="auto"/>
            <w:noWrap/>
            <w:vAlign w:val="center"/>
          </w:tcPr>
          <w:p w14:paraId="01212A4B" w14:textId="77777777" w:rsidR="002C0DC3" w:rsidRPr="002C0DC3" w:rsidRDefault="002C0DC3" w:rsidP="002C0DC3">
            <w:pPr>
              <w:widowControl w:val="0"/>
              <w:suppressAutoHyphens w:val="0"/>
              <w:autoSpaceDE w:val="0"/>
              <w:autoSpaceDN w:val="0"/>
              <w:adjustRightInd w:val="0"/>
              <w:jc w:val="both"/>
              <w:rPr>
                <w:rFonts w:eastAsia="Calibri"/>
                <w:bCs/>
                <w:lang w:val="es-CR" w:eastAsia="en-US"/>
              </w:rPr>
            </w:pPr>
            <w:proofErr w:type="spellStart"/>
            <w:r w:rsidRPr="002C0DC3">
              <w:rPr>
                <w:rFonts w:eastAsia="Calibri"/>
                <w:lang w:val="es-CR" w:eastAsia="en-US"/>
              </w:rPr>
              <w:t>Proc</w:t>
            </w:r>
            <w:proofErr w:type="spellEnd"/>
            <w:r w:rsidRPr="002C0DC3">
              <w:rPr>
                <w:rFonts w:eastAsia="Calibri"/>
                <w:lang w:val="es-CR" w:eastAsia="en-US"/>
              </w:rPr>
              <w:t xml:space="preserve">. inadmisible sin condena </w:t>
            </w:r>
            <w:r w:rsidRPr="002C0DC3">
              <w:rPr>
                <w:rFonts w:eastAsia="Calibri"/>
                <w:vertAlign w:val="superscript"/>
                <w:lang w:val="es-CR" w:eastAsia="en-US"/>
              </w:rPr>
              <w:t>(1)</w:t>
            </w:r>
          </w:p>
        </w:tc>
        <w:tc>
          <w:tcPr>
            <w:tcW w:w="400" w:type="pct"/>
            <w:shd w:val="clear" w:color="auto" w:fill="auto"/>
            <w:noWrap/>
            <w:vAlign w:val="center"/>
          </w:tcPr>
          <w:p w14:paraId="70603FE8"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0</w:t>
            </w:r>
          </w:p>
        </w:tc>
        <w:tc>
          <w:tcPr>
            <w:tcW w:w="400" w:type="pct"/>
            <w:shd w:val="clear" w:color="auto" w:fill="auto"/>
            <w:noWrap/>
            <w:vAlign w:val="center"/>
          </w:tcPr>
          <w:p w14:paraId="37809E1F"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0</w:t>
            </w:r>
          </w:p>
        </w:tc>
        <w:tc>
          <w:tcPr>
            <w:tcW w:w="401" w:type="pct"/>
            <w:shd w:val="clear" w:color="auto" w:fill="auto"/>
            <w:noWrap/>
            <w:vAlign w:val="center"/>
          </w:tcPr>
          <w:p w14:paraId="5C3ECD6C"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1.129</w:t>
            </w:r>
          </w:p>
        </w:tc>
        <w:tc>
          <w:tcPr>
            <w:tcW w:w="401" w:type="pct"/>
            <w:shd w:val="clear" w:color="auto" w:fill="auto"/>
            <w:noWrap/>
            <w:vAlign w:val="center"/>
          </w:tcPr>
          <w:p w14:paraId="705B90FB"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11.080</w:t>
            </w:r>
          </w:p>
        </w:tc>
        <w:tc>
          <w:tcPr>
            <w:tcW w:w="401" w:type="pct"/>
            <w:shd w:val="clear" w:color="auto" w:fill="auto"/>
            <w:noWrap/>
            <w:vAlign w:val="center"/>
          </w:tcPr>
          <w:p w14:paraId="03D5EAD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15.625</w:t>
            </w:r>
          </w:p>
        </w:tc>
        <w:tc>
          <w:tcPr>
            <w:tcW w:w="317" w:type="pct"/>
            <w:shd w:val="clear" w:color="auto" w:fill="auto"/>
            <w:noWrap/>
            <w:vAlign w:val="center"/>
          </w:tcPr>
          <w:p w14:paraId="409F051C"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0,0</w:t>
            </w:r>
          </w:p>
        </w:tc>
        <w:tc>
          <w:tcPr>
            <w:tcW w:w="289" w:type="pct"/>
            <w:shd w:val="clear" w:color="auto" w:fill="auto"/>
            <w:noWrap/>
            <w:vAlign w:val="center"/>
          </w:tcPr>
          <w:p w14:paraId="2F93D632"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0,0</w:t>
            </w:r>
          </w:p>
        </w:tc>
        <w:tc>
          <w:tcPr>
            <w:tcW w:w="289" w:type="pct"/>
            <w:shd w:val="clear" w:color="auto" w:fill="auto"/>
            <w:noWrap/>
            <w:vAlign w:val="center"/>
          </w:tcPr>
          <w:p w14:paraId="558CF988"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1,4</w:t>
            </w:r>
          </w:p>
        </w:tc>
        <w:tc>
          <w:tcPr>
            <w:tcW w:w="289" w:type="pct"/>
            <w:shd w:val="clear" w:color="auto" w:fill="auto"/>
            <w:noWrap/>
            <w:vAlign w:val="center"/>
          </w:tcPr>
          <w:p w14:paraId="1C4DA72E" w14:textId="77777777" w:rsidR="002C0DC3" w:rsidRPr="002C0DC3" w:rsidRDefault="002C0DC3" w:rsidP="002C0DC3">
            <w:pPr>
              <w:widowControl w:val="0"/>
              <w:suppressAutoHyphens w:val="0"/>
              <w:autoSpaceDE w:val="0"/>
              <w:autoSpaceDN w:val="0"/>
              <w:adjustRightInd w:val="0"/>
              <w:jc w:val="right"/>
              <w:rPr>
                <w:rFonts w:eastAsia="Calibri"/>
                <w:bCs/>
                <w:lang w:val="es-CR" w:eastAsia="en-US"/>
              </w:rPr>
            </w:pPr>
            <w:r w:rsidRPr="002C0DC3">
              <w:rPr>
                <w:rFonts w:eastAsia="Calibri"/>
                <w:lang w:val="es-CR" w:eastAsia="en-US"/>
              </w:rPr>
              <w:t>8,4</w:t>
            </w:r>
          </w:p>
        </w:tc>
        <w:tc>
          <w:tcPr>
            <w:tcW w:w="287" w:type="pct"/>
            <w:shd w:val="clear" w:color="auto" w:fill="auto"/>
            <w:noWrap/>
            <w:vAlign w:val="bottom"/>
          </w:tcPr>
          <w:p w14:paraId="6A13623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15,9</w:t>
            </w:r>
          </w:p>
        </w:tc>
      </w:tr>
      <w:tr w:rsidR="002C0DC3" w:rsidRPr="002C0DC3" w14:paraId="5C160C30" w14:textId="77777777" w:rsidTr="002C0DC3">
        <w:trPr>
          <w:trHeight w:val="271"/>
          <w:jc w:val="center"/>
        </w:trPr>
        <w:tc>
          <w:tcPr>
            <w:tcW w:w="1526" w:type="pct"/>
            <w:shd w:val="clear" w:color="auto" w:fill="auto"/>
            <w:noWrap/>
            <w:vAlign w:val="center"/>
          </w:tcPr>
          <w:p w14:paraId="3E3DFC4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Desistimiento total S.E.P </w:t>
            </w:r>
            <w:r w:rsidRPr="002C0DC3">
              <w:rPr>
                <w:rFonts w:eastAsia="Calibri"/>
                <w:vertAlign w:val="superscript"/>
                <w:lang w:val="es-CR" w:eastAsia="en-US"/>
              </w:rPr>
              <w:t>(1)</w:t>
            </w:r>
          </w:p>
        </w:tc>
        <w:tc>
          <w:tcPr>
            <w:tcW w:w="400" w:type="pct"/>
            <w:shd w:val="clear" w:color="auto" w:fill="auto"/>
            <w:noWrap/>
            <w:vAlign w:val="center"/>
          </w:tcPr>
          <w:p w14:paraId="6B04BF7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3032C3A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26889BC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1.732</w:t>
            </w:r>
          </w:p>
        </w:tc>
        <w:tc>
          <w:tcPr>
            <w:tcW w:w="401" w:type="pct"/>
            <w:shd w:val="clear" w:color="auto" w:fill="auto"/>
            <w:noWrap/>
            <w:vAlign w:val="center"/>
          </w:tcPr>
          <w:p w14:paraId="61CD37B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7.353</w:t>
            </w:r>
          </w:p>
        </w:tc>
        <w:tc>
          <w:tcPr>
            <w:tcW w:w="401" w:type="pct"/>
            <w:shd w:val="clear" w:color="auto" w:fill="auto"/>
            <w:noWrap/>
            <w:vAlign w:val="center"/>
          </w:tcPr>
          <w:p w14:paraId="18E0906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3.528</w:t>
            </w:r>
          </w:p>
        </w:tc>
        <w:tc>
          <w:tcPr>
            <w:tcW w:w="317" w:type="pct"/>
            <w:shd w:val="clear" w:color="auto" w:fill="auto"/>
            <w:noWrap/>
            <w:vAlign w:val="center"/>
          </w:tcPr>
          <w:p w14:paraId="7A10761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6490274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09409D0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w:t>
            </w:r>
          </w:p>
        </w:tc>
        <w:tc>
          <w:tcPr>
            <w:tcW w:w="289" w:type="pct"/>
            <w:shd w:val="clear" w:color="auto" w:fill="auto"/>
            <w:noWrap/>
            <w:vAlign w:val="center"/>
          </w:tcPr>
          <w:p w14:paraId="0ED5BAA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5,6</w:t>
            </w:r>
          </w:p>
        </w:tc>
        <w:tc>
          <w:tcPr>
            <w:tcW w:w="287" w:type="pct"/>
            <w:shd w:val="clear" w:color="auto" w:fill="auto"/>
            <w:noWrap/>
            <w:vAlign w:val="bottom"/>
          </w:tcPr>
          <w:p w14:paraId="3866D56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3,6</w:t>
            </w:r>
          </w:p>
        </w:tc>
      </w:tr>
      <w:tr w:rsidR="002C0DC3" w:rsidRPr="002C0DC3" w14:paraId="138B9CD1" w14:textId="77777777" w:rsidTr="002C0DC3">
        <w:trPr>
          <w:trHeight w:val="261"/>
          <w:jc w:val="center"/>
        </w:trPr>
        <w:tc>
          <w:tcPr>
            <w:tcW w:w="1526" w:type="pct"/>
            <w:shd w:val="clear" w:color="auto" w:fill="auto"/>
            <w:noWrap/>
            <w:vAlign w:val="center"/>
          </w:tcPr>
          <w:p w14:paraId="54DE6E9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Rechazo de plano proceso S.E.P </w:t>
            </w:r>
            <w:r w:rsidRPr="002C0DC3">
              <w:rPr>
                <w:rFonts w:eastAsia="Calibri"/>
                <w:vertAlign w:val="superscript"/>
                <w:lang w:val="es-CR" w:eastAsia="en-US"/>
              </w:rPr>
              <w:t>(1)</w:t>
            </w:r>
          </w:p>
        </w:tc>
        <w:tc>
          <w:tcPr>
            <w:tcW w:w="400" w:type="pct"/>
            <w:shd w:val="clear" w:color="auto" w:fill="auto"/>
            <w:noWrap/>
            <w:vAlign w:val="center"/>
          </w:tcPr>
          <w:p w14:paraId="744693C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52A097E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75F06BE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792</w:t>
            </w:r>
          </w:p>
        </w:tc>
        <w:tc>
          <w:tcPr>
            <w:tcW w:w="401" w:type="pct"/>
            <w:shd w:val="clear" w:color="auto" w:fill="auto"/>
            <w:noWrap/>
            <w:vAlign w:val="center"/>
          </w:tcPr>
          <w:p w14:paraId="236982B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4.343</w:t>
            </w:r>
          </w:p>
        </w:tc>
        <w:tc>
          <w:tcPr>
            <w:tcW w:w="401" w:type="pct"/>
            <w:shd w:val="clear" w:color="auto" w:fill="auto"/>
            <w:noWrap/>
            <w:vAlign w:val="center"/>
          </w:tcPr>
          <w:p w14:paraId="21C7BC9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3.304</w:t>
            </w:r>
          </w:p>
        </w:tc>
        <w:tc>
          <w:tcPr>
            <w:tcW w:w="317" w:type="pct"/>
            <w:shd w:val="clear" w:color="auto" w:fill="auto"/>
            <w:noWrap/>
            <w:vAlign w:val="center"/>
          </w:tcPr>
          <w:p w14:paraId="069B6D4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13BB6CD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184B7B9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w:t>
            </w:r>
          </w:p>
        </w:tc>
        <w:tc>
          <w:tcPr>
            <w:tcW w:w="289" w:type="pct"/>
            <w:shd w:val="clear" w:color="auto" w:fill="auto"/>
            <w:noWrap/>
            <w:vAlign w:val="center"/>
          </w:tcPr>
          <w:p w14:paraId="22D09FD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w:t>
            </w:r>
          </w:p>
        </w:tc>
        <w:tc>
          <w:tcPr>
            <w:tcW w:w="287" w:type="pct"/>
            <w:shd w:val="clear" w:color="auto" w:fill="auto"/>
            <w:noWrap/>
            <w:vAlign w:val="bottom"/>
          </w:tcPr>
          <w:p w14:paraId="3890514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3,4</w:t>
            </w:r>
          </w:p>
        </w:tc>
      </w:tr>
      <w:tr w:rsidR="002C0DC3" w:rsidRPr="002C0DC3" w14:paraId="256B919D" w14:textId="77777777" w:rsidTr="002C0DC3">
        <w:trPr>
          <w:trHeight w:val="271"/>
          <w:jc w:val="center"/>
        </w:trPr>
        <w:tc>
          <w:tcPr>
            <w:tcW w:w="1526" w:type="pct"/>
            <w:shd w:val="clear" w:color="auto" w:fill="auto"/>
            <w:noWrap/>
            <w:vAlign w:val="center"/>
            <w:hideMark/>
          </w:tcPr>
          <w:p w14:paraId="6E0BA6F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Arreglo </w:t>
            </w:r>
            <w:proofErr w:type="spellStart"/>
            <w:r w:rsidRPr="002C0DC3">
              <w:rPr>
                <w:rFonts w:eastAsia="Calibri"/>
                <w:lang w:val="es-CR" w:eastAsia="en-US"/>
              </w:rPr>
              <w:t>extrajud</w:t>
            </w:r>
            <w:proofErr w:type="spellEnd"/>
            <w:r w:rsidRPr="002C0DC3">
              <w:rPr>
                <w:rFonts w:eastAsia="Calibri"/>
                <w:lang w:val="es-CR" w:eastAsia="en-US"/>
              </w:rPr>
              <w:t>. Acuerdo de partes</w:t>
            </w:r>
          </w:p>
        </w:tc>
        <w:tc>
          <w:tcPr>
            <w:tcW w:w="400" w:type="pct"/>
            <w:shd w:val="clear" w:color="auto" w:fill="auto"/>
            <w:noWrap/>
            <w:vAlign w:val="center"/>
            <w:hideMark/>
          </w:tcPr>
          <w:p w14:paraId="5012001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32.656</w:t>
            </w:r>
          </w:p>
        </w:tc>
        <w:tc>
          <w:tcPr>
            <w:tcW w:w="400" w:type="pct"/>
            <w:shd w:val="clear" w:color="auto" w:fill="auto"/>
            <w:noWrap/>
            <w:vAlign w:val="center"/>
          </w:tcPr>
          <w:p w14:paraId="5D99630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35.740</w:t>
            </w:r>
          </w:p>
        </w:tc>
        <w:tc>
          <w:tcPr>
            <w:tcW w:w="401" w:type="pct"/>
            <w:shd w:val="clear" w:color="auto" w:fill="auto"/>
            <w:noWrap/>
            <w:vAlign w:val="center"/>
          </w:tcPr>
          <w:p w14:paraId="60787E4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24.089</w:t>
            </w:r>
          </w:p>
        </w:tc>
        <w:tc>
          <w:tcPr>
            <w:tcW w:w="401" w:type="pct"/>
            <w:shd w:val="clear" w:color="auto" w:fill="auto"/>
            <w:noWrap/>
            <w:vAlign w:val="center"/>
          </w:tcPr>
          <w:p w14:paraId="09920E6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2.209</w:t>
            </w:r>
          </w:p>
        </w:tc>
        <w:tc>
          <w:tcPr>
            <w:tcW w:w="401" w:type="pct"/>
            <w:shd w:val="clear" w:color="auto" w:fill="auto"/>
            <w:noWrap/>
            <w:vAlign w:val="center"/>
          </w:tcPr>
          <w:p w14:paraId="433ED19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317" w:type="pct"/>
            <w:shd w:val="clear" w:color="auto" w:fill="auto"/>
            <w:noWrap/>
            <w:vAlign w:val="center"/>
            <w:hideMark/>
          </w:tcPr>
          <w:p w14:paraId="5BFA8D3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44,1</w:t>
            </w:r>
          </w:p>
        </w:tc>
        <w:tc>
          <w:tcPr>
            <w:tcW w:w="289" w:type="pct"/>
            <w:shd w:val="clear" w:color="auto" w:fill="auto"/>
            <w:noWrap/>
            <w:vAlign w:val="center"/>
          </w:tcPr>
          <w:p w14:paraId="3607E27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50,1</w:t>
            </w:r>
          </w:p>
        </w:tc>
        <w:tc>
          <w:tcPr>
            <w:tcW w:w="289" w:type="pct"/>
            <w:shd w:val="clear" w:color="auto" w:fill="auto"/>
            <w:noWrap/>
            <w:vAlign w:val="center"/>
          </w:tcPr>
          <w:p w14:paraId="6787387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29,8</w:t>
            </w:r>
          </w:p>
        </w:tc>
        <w:tc>
          <w:tcPr>
            <w:tcW w:w="289" w:type="pct"/>
            <w:shd w:val="clear" w:color="auto" w:fill="auto"/>
            <w:noWrap/>
            <w:vAlign w:val="center"/>
          </w:tcPr>
          <w:p w14:paraId="498DC2C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w:t>
            </w:r>
          </w:p>
        </w:tc>
        <w:tc>
          <w:tcPr>
            <w:tcW w:w="287" w:type="pct"/>
            <w:shd w:val="clear" w:color="auto" w:fill="auto"/>
            <w:noWrap/>
            <w:vAlign w:val="bottom"/>
          </w:tcPr>
          <w:p w14:paraId="5E77650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69579F86" w14:textId="77777777" w:rsidTr="002C0DC3">
        <w:trPr>
          <w:trHeight w:val="261"/>
          <w:jc w:val="center"/>
        </w:trPr>
        <w:tc>
          <w:tcPr>
            <w:tcW w:w="1526" w:type="pct"/>
            <w:shd w:val="clear" w:color="auto" w:fill="auto"/>
            <w:noWrap/>
            <w:vAlign w:val="center"/>
            <w:hideMark/>
          </w:tcPr>
          <w:p w14:paraId="2ABE063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Por Ejecución Cumplida</w:t>
            </w:r>
          </w:p>
        </w:tc>
        <w:tc>
          <w:tcPr>
            <w:tcW w:w="400" w:type="pct"/>
            <w:shd w:val="clear" w:color="auto" w:fill="auto"/>
            <w:noWrap/>
            <w:vAlign w:val="center"/>
            <w:hideMark/>
          </w:tcPr>
          <w:p w14:paraId="5701E93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943</w:t>
            </w:r>
          </w:p>
        </w:tc>
        <w:tc>
          <w:tcPr>
            <w:tcW w:w="400" w:type="pct"/>
            <w:shd w:val="clear" w:color="auto" w:fill="auto"/>
            <w:noWrap/>
            <w:vAlign w:val="center"/>
          </w:tcPr>
          <w:p w14:paraId="7F5DA0E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841</w:t>
            </w:r>
          </w:p>
        </w:tc>
        <w:tc>
          <w:tcPr>
            <w:tcW w:w="401" w:type="pct"/>
            <w:shd w:val="clear" w:color="auto" w:fill="auto"/>
            <w:noWrap/>
            <w:vAlign w:val="center"/>
          </w:tcPr>
          <w:p w14:paraId="45F28C4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637</w:t>
            </w:r>
          </w:p>
        </w:tc>
        <w:tc>
          <w:tcPr>
            <w:tcW w:w="401" w:type="pct"/>
            <w:shd w:val="clear" w:color="auto" w:fill="auto"/>
            <w:noWrap/>
            <w:vAlign w:val="center"/>
          </w:tcPr>
          <w:p w14:paraId="04FCF3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1.841</w:t>
            </w:r>
          </w:p>
        </w:tc>
        <w:tc>
          <w:tcPr>
            <w:tcW w:w="401" w:type="pct"/>
            <w:shd w:val="clear" w:color="auto" w:fill="auto"/>
            <w:noWrap/>
            <w:vAlign w:val="center"/>
          </w:tcPr>
          <w:p w14:paraId="770664A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1.157</w:t>
            </w:r>
          </w:p>
        </w:tc>
        <w:tc>
          <w:tcPr>
            <w:tcW w:w="317" w:type="pct"/>
            <w:shd w:val="clear" w:color="auto" w:fill="auto"/>
            <w:noWrap/>
            <w:vAlign w:val="center"/>
            <w:hideMark/>
          </w:tcPr>
          <w:p w14:paraId="4B50A72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w:t>
            </w:r>
          </w:p>
        </w:tc>
        <w:tc>
          <w:tcPr>
            <w:tcW w:w="289" w:type="pct"/>
            <w:shd w:val="clear" w:color="auto" w:fill="auto"/>
            <w:noWrap/>
            <w:vAlign w:val="center"/>
          </w:tcPr>
          <w:p w14:paraId="70292B1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w:t>
            </w:r>
          </w:p>
        </w:tc>
        <w:tc>
          <w:tcPr>
            <w:tcW w:w="289" w:type="pct"/>
            <w:shd w:val="clear" w:color="auto" w:fill="auto"/>
            <w:noWrap/>
            <w:vAlign w:val="center"/>
          </w:tcPr>
          <w:p w14:paraId="76677D8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0,8</w:t>
            </w:r>
          </w:p>
        </w:tc>
        <w:tc>
          <w:tcPr>
            <w:tcW w:w="289" w:type="pct"/>
            <w:shd w:val="clear" w:color="auto" w:fill="auto"/>
            <w:noWrap/>
            <w:vAlign w:val="center"/>
          </w:tcPr>
          <w:p w14:paraId="7B47924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w:t>
            </w:r>
          </w:p>
        </w:tc>
        <w:tc>
          <w:tcPr>
            <w:tcW w:w="287" w:type="pct"/>
            <w:shd w:val="clear" w:color="auto" w:fill="auto"/>
            <w:noWrap/>
            <w:vAlign w:val="bottom"/>
          </w:tcPr>
          <w:p w14:paraId="03C2F5A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w:t>
            </w:r>
          </w:p>
        </w:tc>
      </w:tr>
      <w:tr w:rsidR="002C0DC3" w:rsidRPr="002C0DC3" w14:paraId="17EC1527" w14:textId="77777777" w:rsidTr="002C0DC3">
        <w:trPr>
          <w:trHeight w:val="261"/>
          <w:jc w:val="center"/>
        </w:trPr>
        <w:tc>
          <w:tcPr>
            <w:tcW w:w="1526" w:type="pct"/>
            <w:shd w:val="clear" w:color="auto" w:fill="auto"/>
            <w:noWrap/>
            <w:vAlign w:val="center"/>
          </w:tcPr>
          <w:p w14:paraId="618FC1ED"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Sentencia en principal S.E.P </w:t>
            </w:r>
            <w:r w:rsidRPr="002C0DC3">
              <w:rPr>
                <w:rFonts w:eastAsia="Calibri"/>
                <w:vertAlign w:val="superscript"/>
                <w:lang w:val="es-CR" w:eastAsia="en-US"/>
              </w:rPr>
              <w:t>(1)</w:t>
            </w:r>
          </w:p>
        </w:tc>
        <w:tc>
          <w:tcPr>
            <w:tcW w:w="400" w:type="pct"/>
            <w:shd w:val="clear" w:color="auto" w:fill="auto"/>
            <w:noWrap/>
            <w:vAlign w:val="center"/>
          </w:tcPr>
          <w:p w14:paraId="630F90A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672DB55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5F93379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224</w:t>
            </w:r>
          </w:p>
        </w:tc>
        <w:tc>
          <w:tcPr>
            <w:tcW w:w="401" w:type="pct"/>
            <w:shd w:val="clear" w:color="auto" w:fill="auto"/>
            <w:noWrap/>
            <w:vAlign w:val="center"/>
          </w:tcPr>
          <w:p w14:paraId="2DC8FD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1.612</w:t>
            </w:r>
          </w:p>
        </w:tc>
        <w:tc>
          <w:tcPr>
            <w:tcW w:w="401" w:type="pct"/>
            <w:shd w:val="clear" w:color="auto" w:fill="auto"/>
            <w:noWrap/>
            <w:vAlign w:val="center"/>
          </w:tcPr>
          <w:p w14:paraId="12A235A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1.576</w:t>
            </w:r>
          </w:p>
        </w:tc>
        <w:tc>
          <w:tcPr>
            <w:tcW w:w="317" w:type="pct"/>
            <w:shd w:val="clear" w:color="auto" w:fill="auto"/>
            <w:noWrap/>
            <w:vAlign w:val="center"/>
          </w:tcPr>
          <w:p w14:paraId="73F0D00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786AB67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30E736D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0,3</w:t>
            </w:r>
          </w:p>
        </w:tc>
        <w:tc>
          <w:tcPr>
            <w:tcW w:w="289" w:type="pct"/>
            <w:shd w:val="clear" w:color="auto" w:fill="auto"/>
            <w:noWrap/>
            <w:vAlign w:val="center"/>
          </w:tcPr>
          <w:p w14:paraId="3130C6A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w:t>
            </w:r>
          </w:p>
        </w:tc>
        <w:tc>
          <w:tcPr>
            <w:tcW w:w="287" w:type="pct"/>
            <w:shd w:val="clear" w:color="auto" w:fill="auto"/>
            <w:noWrap/>
            <w:vAlign w:val="bottom"/>
          </w:tcPr>
          <w:p w14:paraId="3742C77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w:t>
            </w:r>
          </w:p>
        </w:tc>
      </w:tr>
      <w:tr w:rsidR="002C0DC3" w:rsidRPr="002C0DC3" w14:paraId="32F6927E" w14:textId="77777777" w:rsidTr="002C0DC3">
        <w:trPr>
          <w:trHeight w:val="271"/>
          <w:jc w:val="center"/>
        </w:trPr>
        <w:tc>
          <w:tcPr>
            <w:tcW w:w="1526" w:type="pct"/>
            <w:shd w:val="clear" w:color="auto" w:fill="auto"/>
            <w:noWrap/>
            <w:vAlign w:val="center"/>
          </w:tcPr>
          <w:p w14:paraId="56F42D9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Caducidad en INC y TRC </w:t>
            </w:r>
            <w:r w:rsidRPr="002C0DC3">
              <w:rPr>
                <w:rFonts w:eastAsia="Calibri"/>
                <w:vertAlign w:val="superscript"/>
                <w:lang w:val="es-CR" w:eastAsia="en-US"/>
              </w:rPr>
              <w:t>(1)</w:t>
            </w:r>
          </w:p>
        </w:tc>
        <w:tc>
          <w:tcPr>
            <w:tcW w:w="400" w:type="pct"/>
            <w:shd w:val="clear" w:color="auto" w:fill="auto"/>
            <w:noWrap/>
            <w:vAlign w:val="center"/>
          </w:tcPr>
          <w:p w14:paraId="7086E5E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022FCC0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7EB2159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10F3D3F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1.161</w:t>
            </w:r>
          </w:p>
        </w:tc>
        <w:tc>
          <w:tcPr>
            <w:tcW w:w="401" w:type="pct"/>
            <w:shd w:val="clear" w:color="auto" w:fill="auto"/>
            <w:noWrap/>
            <w:vAlign w:val="center"/>
          </w:tcPr>
          <w:p w14:paraId="7516C66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141</w:t>
            </w:r>
          </w:p>
        </w:tc>
        <w:tc>
          <w:tcPr>
            <w:tcW w:w="317" w:type="pct"/>
            <w:shd w:val="clear" w:color="auto" w:fill="auto"/>
            <w:noWrap/>
          </w:tcPr>
          <w:p w14:paraId="05C62EF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1F039F0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68F7BFD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0387196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0,9</w:t>
            </w:r>
          </w:p>
        </w:tc>
        <w:tc>
          <w:tcPr>
            <w:tcW w:w="287" w:type="pct"/>
            <w:shd w:val="clear" w:color="auto" w:fill="auto"/>
            <w:noWrap/>
            <w:vAlign w:val="bottom"/>
          </w:tcPr>
          <w:p w14:paraId="70E5979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r>
      <w:tr w:rsidR="002C0DC3" w:rsidRPr="002C0DC3" w14:paraId="1D1285DD" w14:textId="77777777" w:rsidTr="002C0DC3">
        <w:trPr>
          <w:trHeight w:val="271"/>
          <w:jc w:val="center"/>
        </w:trPr>
        <w:tc>
          <w:tcPr>
            <w:tcW w:w="1526" w:type="pct"/>
            <w:shd w:val="clear" w:color="auto" w:fill="auto"/>
            <w:noWrap/>
            <w:vAlign w:val="center"/>
          </w:tcPr>
          <w:p w14:paraId="385EBC9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Litispendencia S.E.P </w:t>
            </w:r>
            <w:r w:rsidRPr="002C0DC3">
              <w:rPr>
                <w:rFonts w:eastAsia="Calibri"/>
                <w:vertAlign w:val="superscript"/>
                <w:lang w:val="es-CR" w:eastAsia="en-US"/>
              </w:rPr>
              <w:t>(1)</w:t>
            </w:r>
          </w:p>
        </w:tc>
        <w:tc>
          <w:tcPr>
            <w:tcW w:w="400" w:type="pct"/>
            <w:shd w:val="clear" w:color="auto" w:fill="auto"/>
            <w:noWrap/>
            <w:vAlign w:val="center"/>
          </w:tcPr>
          <w:p w14:paraId="2576F93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6043FB4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2B0B275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65F0DA9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732</w:t>
            </w:r>
          </w:p>
        </w:tc>
        <w:tc>
          <w:tcPr>
            <w:tcW w:w="401" w:type="pct"/>
            <w:shd w:val="clear" w:color="auto" w:fill="auto"/>
            <w:noWrap/>
            <w:vAlign w:val="center"/>
          </w:tcPr>
          <w:p w14:paraId="63FED69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245</w:t>
            </w:r>
          </w:p>
        </w:tc>
        <w:tc>
          <w:tcPr>
            <w:tcW w:w="317" w:type="pct"/>
            <w:shd w:val="clear" w:color="auto" w:fill="auto"/>
            <w:noWrap/>
          </w:tcPr>
          <w:p w14:paraId="427AD20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7CD8C78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236ACC6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5331315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0,6</w:t>
            </w:r>
          </w:p>
        </w:tc>
        <w:tc>
          <w:tcPr>
            <w:tcW w:w="287" w:type="pct"/>
            <w:shd w:val="clear" w:color="auto" w:fill="auto"/>
            <w:noWrap/>
            <w:vAlign w:val="bottom"/>
          </w:tcPr>
          <w:p w14:paraId="213F865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r>
      <w:tr w:rsidR="002C0DC3" w:rsidRPr="002C0DC3" w14:paraId="653C7C84" w14:textId="77777777" w:rsidTr="002C0DC3">
        <w:trPr>
          <w:trHeight w:val="271"/>
          <w:jc w:val="center"/>
        </w:trPr>
        <w:tc>
          <w:tcPr>
            <w:tcW w:w="1526" w:type="pct"/>
            <w:shd w:val="clear" w:color="auto" w:fill="auto"/>
            <w:noWrap/>
            <w:vAlign w:val="center"/>
          </w:tcPr>
          <w:p w14:paraId="6AA62E3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Finaliza actividad no contenciosa</w:t>
            </w:r>
          </w:p>
        </w:tc>
        <w:tc>
          <w:tcPr>
            <w:tcW w:w="400" w:type="pct"/>
            <w:shd w:val="clear" w:color="auto" w:fill="auto"/>
            <w:noWrap/>
            <w:vAlign w:val="center"/>
          </w:tcPr>
          <w:p w14:paraId="044830B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6082184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79E9306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90</w:t>
            </w:r>
          </w:p>
        </w:tc>
        <w:tc>
          <w:tcPr>
            <w:tcW w:w="401" w:type="pct"/>
            <w:shd w:val="clear" w:color="auto" w:fill="auto"/>
            <w:noWrap/>
            <w:vAlign w:val="center"/>
          </w:tcPr>
          <w:p w14:paraId="01F3DC5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500</w:t>
            </w:r>
          </w:p>
        </w:tc>
        <w:tc>
          <w:tcPr>
            <w:tcW w:w="401" w:type="pct"/>
            <w:shd w:val="clear" w:color="auto" w:fill="auto"/>
            <w:noWrap/>
            <w:vAlign w:val="center"/>
          </w:tcPr>
          <w:p w14:paraId="0359543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89</w:t>
            </w:r>
          </w:p>
        </w:tc>
        <w:tc>
          <w:tcPr>
            <w:tcW w:w="317" w:type="pct"/>
            <w:shd w:val="clear" w:color="auto" w:fill="auto"/>
            <w:noWrap/>
            <w:vAlign w:val="center"/>
          </w:tcPr>
          <w:p w14:paraId="1500B4E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5729A4A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739D9C7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9" w:type="pct"/>
            <w:shd w:val="clear" w:color="auto" w:fill="auto"/>
            <w:noWrap/>
            <w:vAlign w:val="center"/>
          </w:tcPr>
          <w:p w14:paraId="0087D5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0,4</w:t>
            </w:r>
          </w:p>
        </w:tc>
        <w:tc>
          <w:tcPr>
            <w:tcW w:w="287" w:type="pct"/>
            <w:shd w:val="clear" w:color="auto" w:fill="auto"/>
            <w:noWrap/>
            <w:vAlign w:val="bottom"/>
          </w:tcPr>
          <w:p w14:paraId="7620D94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r>
      <w:tr w:rsidR="002C0DC3" w:rsidRPr="002C0DC3" w14:paraId="4D072E37" w14:textId="77777777" w:rsidTr="002C0DC3">
        <w:trPr>
          <w:trHeight w:val="271"/>
          <w:jc w:val="center"/>
        </w:trPr>
        <w:tc>
          <w:tcPr>
            <w:tcW w:w="1526" w:type="pct"/>
            <w:shd w:val="clear" w:color="auto" w:fill="auto"/>
            <w:noWrap/>
            <w:vAlign w:val="center"/>
            <w:hideMark/>
          </w:tcPr>
          <w:p w14:paraId="5C81C5C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Demanda Inadmisible</w:t>
            </w:r>
          </w:p>
        </w:tc>
        <w:tc>
          <w:tcPr>
            <w:tcW w:w="400" w:type="pct"/>
            <w:shd w:val="clear" w:color="auto" w:fill="auto"/>
            <w:noWrap/>
            <w:vAlign w:val="center"/>
            <w:hideMark/>
          </w:tcPr>
          <w:p w14:paraId="798CED0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4.625</w:t>
            </w:r>
          </w:p>
        </w:tc>
        <w:tc>
          <w:tcPr>
            <w:tcW w:w="400" w:type="pct"/>
            <w:shd w:val="clear" w:color="auto" w:fill="auto"/>
            <w:noWrap/>
            <w:vAlign w:val="center"/>
          </w:tcPr>
          <w:p w14:paraId="2E6E3D4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5.026</w:t>
            </w:r>
          </w:p>
        </w:tc>
        <w:tc>
          <w:tcPr>
            <w:tcW w:w="401" w:type="pct"/>
            <w:shd w:val="clear" w:color="auto" w:fill="auto"/>
            <w:noWrap/>
            <w:vAlign w:val="center"/>
          </w:tcPr>
          <w:p w14:paraId="5631798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6.596</w:t>
            </w:r>
          </w:p>
        </w:tc>
        <w:tc>
          <w:tcPr>
            <w:tcW w:w="401" w:type="pct"/>
            <w:shd w:val="clear" w:color="auto" w:fill="auto"/>
            <w:noWrap/>
            <w:vAlign w:val="center"/>
          </w:tcPr>
          <w:p w14:paraId="430FF46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305</w:t>
            </w:r>
          </w:p>
        </w:tc>
        <w:tc>
          <w:tcPr>
            <w:tcW w:w="401" w:type="pct"/>
            <w:shd w:val="clear" w:color="auto" w:fill="auto"/>
            <w:noWrap/>
            <w:vAlign w:val="center"/>
          </w:tcPr>
          <w:p w14:paraId="561EF9E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vAlign w:val="center"/>
            <w:hideMark/>
          </w:tcPr>
          <w:p w14:paraId="7D6572B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6,3</w:t>
            </w:r>
          </w:p>
        </w:tc>
        <w:tc>
          <w:tcPr>
            <w:tcW w:w="289" w:type="pct"/>
            <w:shd w:val="clear" w:color="auto" w:fill="auto"/>
            <w:noWrap/>
            <w:vAlign w:val="center"/>
          </w:tcPr>
          <w:p w14:paraId="37EE12D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7,1</w:t>
            </w:r>
          </w:p>
        </w:tc>
        <w:tc>
          <w:tcPr>
            <w:tcW w:w="289" w:type="pct"/>
            <w:shd w:val="clear" w:color="auto" w:fill="auto"/>
            <w:noWrap/>
            <w:vAlign w:val="center"/>
          </w:tcPr>
          <w:p w14:paraId="4354DB6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8,1</w:t>
            </w:r>
          </w:p>
        </w:tc>
        <w:tc>
          <w:tcPr>
            <w:tcW w:w="289" w:type="pct"/>
            <w:shd w:val="clear" w:color="auto" w:fill="auto"/>
            <w:noWrap/>
            <w:vAlign w:val="center"/>
          </w:tcPr>
          <w:p w14:paraId="2970F0F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c>
          <w:tcPr>
            <w:tcW w:w="287" w:type="pct"/>
            <w:shd w:val="clear" w:color="auto" w:fill="auto"/>
            <w:noWrap/>
            <w:vAlign w:val="bottom"/>
          </w:tcPr>
          <w:p w14:paraId="6CD89CE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07895A3F" w14:textId="77777777" w:rsidTr="002C0DC3">
        <w:trPr>
          <w:trHeight w:val="261"/>
          <w:jc w:val="center"/>
        </w:trPr>
        <w:tc>
          <w:tcPr>
            <w:tcW w:w="1526" w:type="pct"/>
            <w:shd w:val="clear" w:color="auto" w:fill="auto"/>
            <w:noWrap/>
            <w:vAlign w:val="center"/>
          </w:tcPr>
          <w:p w14:paraId="2784E31A"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Acumulación de procesos </w:t>
            </w:r>
            <w:r w:rsidRPr="002C0DC3">
              <w:rPr>
                <w:rFonts w:eastAsia="Calibri"/>
                <w:vertAlign w:val="superscript"/>
                <w:lang w:val="es-CR" w:eastAsia="en-US"/>
              </w:rPr>
              <w:t>(1)</w:t>
            </w:r>
          </w:p>
        </w:tc>
        <w:tc>
          <w:tcPr>
            <w:tcW w:w="400" w:type="pct"/>
            <w:shd w:val="clear" w:color="auto" w:fill="auto"/>
            <w:noWrap/>
            <w:vAlign w:val="center"/>
          </w:tcPr>
          <w:p w14:paraId="30091E3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68D9A9B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01504A4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w:t>
            </w:r>
          </w:p>
        </w:tc>
        <w:tc>
          <w:tcPr>
            <w:tcW w:w="401" w:type="pct"/>
            <w:shd w:val="clear" w:color="auto" w:fill="auto"/>
            <w:noWrap/>
            <w:vAlign w:val="center"/>
          </w:tcPr>
          <w:p w14:paraId="003EC1F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277</w:t>
            </w:r>
          </w:p>
        </w:tc>
        <w:tc>
          <w:tcPr>
            <w:tcW w:w="401" w:type="pct"/>
            <w:shd w:val="clear" w:color="auto" w:fill="auto"/>
            <w:noWrap/>
            <w:vAlign w:val="center"/>
          </w:tcPr>
          <w:p w14:paraId="02A2F1D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151</w:t>
            </w:r>
          </w:p>
        </w:tc>
        <w:tc>
          <w:tcPr>
            <w:tcW w:w="317" w:type="pct"/>
            <w:shd w:val="clear" w:color="auto" w:fill="auto"/>
            <w:noWrap/>
            <w:vAlign w:val="center"/>
          </w:tcPr>
          <w:p w14:paraId="4024F91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6575DBD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757F050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24F062B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c>
          <w:tcPr>
            <w:tcW w:w="287" w:type="pct"/>
            <w:shd w:val="clear" w:color="auto" w:fill="auto"/>
            <w:noWrap/>
            <w:vAlign w:val="bottom"/>
          </w:tcPr>
          <w:p w14:paraId="3507CE7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r>
      <w:tr w:rsidR="002C0DC3" w:rsidRPr="002C0DC3" w14:paraId="000A3933" w14:textId="77777777" w:rsidTr="002C0DC3">
        <w:trPr>
          <w:trHeight w:val="261"/>
          <w:jc w:val="center"/>
        </w:trPr>
        <w:tc>
          <w:tcPr>
            <w:tcW w:w="1526" w:type="pct"/>
            <w:shd w:val="clear" w:color="auto" w:fill="auto"/>
            <w:noWrap/>
            <w:vAlign w:val="center"/>
            <w:hideMark/>
          </w:tcPr>
          <w:p w14:paraId="3B57C54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Desistimiento</w:t>
            </w:r>
          </w:p>
        </w:tc>
        <w:tc>
          <w:tcPr>
            <w:tcW w:w="400" w:type="pct"/>
            <w:shd w:val="clear" w:color="auto" w:fill="auto"/>
            <w:noWrap/>
            <w:vAlign w:val="center"/>
            <w:hideMark/>
          </w:tcPr>
          <w:p w14:paraId="31381CF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5.153</w:t>
            </w:r>
          </w:p>
        </w:tc>
        <w:tc>
          <w:tcPr>
            <w:tcW w:w="400" w:type="pct"/>
            <w:shd w:val="clear" w:color="auto" w:fill="auto"/>
            <w:noWrap/>
            <w:vAlign w:val="center"/>
          </w:tcPr>
          <w:p w14:paraId="50BB35D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5.136</w:t>
            </w:r>
          </w:p>
        </w:tc>
        <w:tc>
          <w:tcPr>
            <w:tcW w:w="401" w:type="pct"/>
            <w:shd w:val="clear" w:color="auto" w:fill="auto"/>
            <w:noWrap/>
            <w:vAlign w:val="center"/>
          </w:tcPr>
          <w:p w14:paraId="390CA53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3.790</w:t>
            </w:r>
          </w:p>
        </w:tc>
        <w:tc>
          <w:tcPr>
            <w:tcW w:w="401" w:type="pct"/>
            <w:shd w:val="clear" w:color="auto" w:fill="auto"/>
            <w:noWrap/>
            <w:vAlign w:val="center"/>
          </w:tcPr>
          <w:p w14:paraId="3529EB7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243</w:t>
            </w:r>
          </w:p>
        </w:tc>
        <w:tc>
          <w:tcPr>
            <w:tcW w:w="401" w:type="pct"/>
            <w:shd w:val="clear" w:color="auto" w:fill="auto"/>
            <w:noWrap/>
            <w:vAlign w:val="center"/>
          </w:tcPr>
          <w:p w14:paraId="243C1E7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vAlign w:val="center"/>
            <w:hideMark/>
          </w:tcPr>
          <w:p w14:paraId="3168641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7,0</w:t>
            </w:r>
          </w:p>
        </w:tc>
        <w:tc>
          <w:tcPr>
            <w:tcW w:w="289" w:type="pct"/>
            <w:shd w:val="clear" w:color="auto" w:fill="auto"/>
            <w:noWrap/>
            <w:vAlign w:val="center"/>
          </w:tcPr>
          <w:p w14:paraId="0CD5739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7,2</w:t>
            </w:r>
          </w:p>
        </w:tc>
        <w:tc>
          <w:tcPr>
            <w:tcW w:w="289" w:type="pct"/>
            <w:shd w:val="clear" w:color="auto" w:fill="auto"/>
            <w:noWrap/>
            <w:vAlign w:val="center"/>
          </w:tcPr>
          <w:p w14:paraId="73BF630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4,7</w:t>
            </w:r>
          </w:p>
        </w:tc>
        <w:tc>
          <w:tcPr>
            <w:tcW w:w="289" w:type="pct"/>
            <w:shd w:val="clear" w:color="auto" w:fill="auto"/>
            <w:noWrap/>
            <w:vAlign w:val="center"/>
          </w:tcPr>
          <w:p w14:paraId="10461BB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c>
          <w:tcPr>
            <w:tcW w:w="287" w:type="pct"/>
            <w:shd w:val="clear" w:color="auto" w:fill="auto"/>
            <w:noWrap/>
            <w:vAlign w:val="bottom"/>
          </w:tcPr>
          <w:p w14:paraId="6CA138B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4550795C" w14:textId="77777777" w:rsidTr="002C0DC3">
        <w:trPr>
          <w:trHeight w:val="271"/>
          <w:jc w:val="center"/>
        </w:trPr>
        <w:tc>
          <w:tcPr>
            <w:tcW w:w="1526" w:type="pct"/>
            <w:shd w:val="clear" w:color="auto" w:fill="auto"/>
            <w:noWrap/>
            <w:vAlign w:val="center"/>
          </w:tcPr>
          <w:p w14:paraId="2341164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roofErr w:type="spellStart"/>
            <w:r w:rsidRPr="002C0DC3">
              <w:rPr>
                <w:rFonts w:eastAsia="Calibri"/>
                <w:lang w:val="es-CR" w:eastAsia="en-US"/>
              </w:rPr>
              <w:t>Incomp.Nac</w:t>
            </w:r>
            <w:proofErr w:type="spellEnd"/>
            <w:r w:rsidRPr="002C0DC3">
              <w:rPr>
                <w:rFonts w:eastAsia="Calibri"/>
                <w:lang w:val="es-CR" w:eastAsia="en-US"/>
              </w:rPr>
              <w:t xml:space="preserve">. o Arbitral S.E.P </w:t>
            </w:r>
            <w:r w:rsidRPr="002C0DC3">
              <w:rPr>
                <w:rFonts w:eastAsia="Calibri"/>
                <w:bCs/>
                <w:vertAlign w:val="superscript"/>
                <w:lang w:val="es-CR" w:eastAsia="en-US"/>
              </w:rPr>
              <w:t>(2)</w:t>
            </w:r>
          </w:p>
        </w:tc>
        <w:tc>
          <w:tcPr>
            <w:tcW w:w="400" w:type="pct"/>
            <w:shd w:val="clear" w:color="auto" w:fill="auto"/>
            <w:noWrap/>
            <w:vAlign w:val="center"/>
          </w:tcPr>
          <w:p w14:paraId="1301210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2D5BD7B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3770463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6942ED5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191</w:t>
            </w:r>
          </w:p>
        </w:tc>
        <w:tc>
          <w:tcPr>
            <w:tcW w:w="401" w:type="pct"/>
            <w:shd w:val="clear" w:color="auto" w:fill="auto"/>
            <w:noWrap/>
            <w:vAlign w:val="center"/>
          </w:tcPr>
          <w:p w14:paraId="4799283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317" w:type="pct"/>
            <w:shd w:val="clear" w:color="auto" w:fill="auto"/>
            <w:noWrap/>
          </w:tcPr>
          <w:p w14:paraId="59A94DA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4F14E0E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6F05B51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4901411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7" w:type="pct"/>
            <w:shd w:val="clear" w:color="auto" w:fill="auto"/>
            <w:noWrap/>
            <w:vAlign w:val="bottom"/>
          </w:tcPr>
          <w:p w14:paraId="502C0F3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4C2F216F" w14:textId="77777777" w:rsidTr="002C0DC3">
        <w:trPr>
          <w:trHeight w:val="271"/>
          <w:jc w:val="center"/>
        </w:trPr>
        <w:tc>
          <w:tcPr>
            <w:tcW w:w="1526" w:type="pct"/>
            <w:shd w:val="clear" w:color="auto" w:fill="auto"/>
            <w:noWrap/>
            <w:vAlign w:val="center"/>
          </w:tcPr>
          <w:p w14:paraId="3B4CAA1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Imposibilidad sobrevenida</w:t>
            </w:r>
          </w:p>
        </w:tc>
        <w:tc>
          <w:tcPr>
            <w:tcW w:w="400" w:type="pct"/>
            <w:shd w:val="clear" w:color="auto" w:fill="auto"/>
            <w:noWrap/>
            <w:vAlign w:val="center"/>
          </w:tcPr>
          <w:p w14:paraId="0726353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5FD5027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09CC1D2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7687CC3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150</w:t>
            </w:r>
          </w:p>
        </w:tc>
        <w:tc>
          <w:tcPr>
            <w:tcW w:w="401" w:type="pct"/>
            <w:shd w:val="clear" w:color="auto" w:fill="auto"/>
            <w:noWrap/>
            <w:vAlign w:val="center"/>
          </w:tcPr>
          <w:p w14:paraId="52B252C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125</w:t>
            </w:r>
          </w:p>
        </w:tc>
        <w:tc>
          <w:tcPr>
            <w:tcW w:w="317" w:type="pct"/>
            <w:shd w:val="clear" w:color="auto" w:fill="auto"/>
            <w:noWrap/>
          </w:tcPr>
          <w:p w14:paraId="1E1DFB8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7F481B9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0C57B27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1B658E9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7" w:type="pct"/>
            <w:shd w:val="clear" w:color="auto" w:fill="auto"/>
            <w:noWrap/>
            <w:vAlign w:val="bottom"/>
          </w:tcPr>
          <w:p w14:paraId="221CF6A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r>
      <w:tr w:rsidR="002C0DC3" w:rsidRPr="002C0DC3" w14:paraId="5AFF6611" w14:textId="77777777" w:rsidTr="002C0DC3">
        <w:trPr>
          <w:trHeight w:val="271"/>
          <w:jc w:val="center"/>
        </w:trPr>
        <w:tc>
          <w:tcPr>
            <w:tcW w:w="1526" w:type="pct"/>
            <w:shd w:val="clear" w:color="auto" w:fill="auto"/>
            <w:noWrap/>
            <w:vAlign w:val="center"/>
          </w:tcPr>
          <w:p w14:paraId="4722851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Demanda </w:t>
            </w:r>
            <w:proofErr w:type="spellStart"/>
            <w:r w:rsidRPr="002C0DC3">
              <w:rPr>
                <w:rFonts w:eastAsia="Calibri"/>
                <w:lang w:val="es-CR" w:eastAsia="en-US"/>
              </w:rPr>
              <w:t>improponible</w:t>
            </w:r>
            <w:proofErr w:type="spellEnd"/>
            <w:r w:rsidRPr="002C0DC3">
              <w:rPr>
                <w:rFonts w:eastAsia="Calibri"/>
                <w:lang w:val="es-CR" w:eastAsia="en-US"/>
              </w:rPr>
              <w:t xml:space="preserve"> S.E.P </w:t>
            </w:r>
            <w:r w:rsidRPr="002C0DC3">
              <w:rPr>
                <w:rFonts w:eastAsia="Calibri"/>
                <w:vertAlign w:val="superscript"/>
                <w:lang w:val="es-CR" w:eastAsia="en-US"/>
              </w:rPr>
              <w:t>(1)</w:t>
            </w:r>
          </w:p>
        </w:tc>
        <w:tc>
          <w:tcPr>
            <w:tcW w:w="400" w:type="pct"/>
            <w:shd w:val="clear" w:color="auto" w:fill="auto"/>
            <w:noWrap/>
            <w:vAlign w:val="center"/>
          </w:tcPr>
          <w:p w14:paraId="12581D5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596B757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0A8639A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5A5EE3A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140</w:t>
            </w:r>
          </w:p>
        </w:tc>
        <w:tc>
          <w:tcPr>
            <w:tcW w:w="401" w:type="pct"/>
            <w:shd w:val="clear" w:color="auto" w:fill="auto"/>
            <w:noWrap/>
            <w:vAlign w:val="center"/>
          </w:tcPr>
          <w:p w14:paraId="0550870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335</w:t>
            </w:r>
          </w:p>
        </w:tc>
        <w:tc>
          <w:tcPr>
            <w:tcW w:w="317" w:type="pct"/>
            <w:shd w:val="clear" w:color="auto" w:fill="auto"/>
            <w:noWrap/>
          </w:tcPr>
          <w:p w14:paraId="7D5855E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40E47AA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184121C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15B94DA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7" w:type="pct"/>
            <w:shd w:val="clear" w:color="auto" w:fill="auto"/>
            <w:noWrap/>
            <w:vAlign w:val="bottom"/>
          </w:tcPr>
          <w:p w14:paraId="00E48CE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0,3</w:t>
            </w:r>
          </w:p>
        </w:tc>
      </w:tr>
      <w:tr w:rsidR="002C0DC3" w:rsidRPr="002C0DC3" w14:paraId="17F19E73" w14:textId="77777777" w:rsidTr="002C0DC3">
        <w:trPr>
          <w:trHeight w:val="271"/>
          <w:jc w:val="center"/>
        </w:trPr>
        <w:tc>
          <w:tcPr>
            <w:tcW w:w="1526" w:type="pct"/>
            <w:shd w:val="clear" w:color="auto" w:fill="auto"/>
            <w:noWrap/>
            <w:vAlign w:val="center"/>
            <w:hideMark/>
          </w:tcPr>
          <w:p w14:paraId="12FB91B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Por Sentencia</w:t>
            </w:r>
          </w:p>
        </w:tc>
        <w:tc>
          <w:tcPr>
            <w:tcW w:w="400" w:type="pct"/>
            <w:shd w:val="clear" w:color="auto" w:fill="auto"/>
            <w:noWrap/>
            <w:vAlign w:val="center"/>
            <w:hideMark/>
          </w:tcPr>
          <w:p w14:paraId="5810E76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954</w:t>
            </w:r>
          </w:p>
        </w:tc>
        <w:tc>
          <w:tcPr>
            <w:tcW w:w="400" w:type="pct"/>
            <w:shd w:val="clear" w:color="auto" w:fill="auto"/>
            <w:noWrap/>
            <w:vAlign w:val="center"/>
          </w:tcPr>
          <w:p w14:paraId="1B8930E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1.163</w:t>
            </w:r>
          </w:p>
        </w:tc>
        <w:tc>
          <w:tcPr>
            <w:tcW w:w="401" w:type="pct"/>
            <w:shd w:val="clear" w:color="auto" w:fill="auto"/>
            <w:noWrap/>
            <w:vAlign w:val="center"/>
          </w:tcPr>
          <w:p w14:paraId="7926F93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1.075</w:t>
            </w:r>
          </w:p>
        </w:tc>
        <w:tc>
          <w:tcPr>
            <w:tcW w:w="401" w:type="pct"/>
            <w:shd w:val="clear" w:color="auto" w:fill="auto"/>
            <w:noWrap/>
            <w:vAlign w:val="center"/>
          </w:tcPr>
          <w:p w14:paraId="6734B71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135</w:t>
            </w:r>
          </w:p>
        </w:tc>
        <w:tc>
          <w:tcPr>
            <w:tcW w:w="401" w:type="pct"/>
            <w:shd w:val="clear" w:color="auto" w:fill="auto"/>
            <w:noWrap/>
            <w:vAlign w:val="center"/>
          </w:tcPr>
          <w:p w14:paraId="6C61831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vAlign w:val="center"/>
            <w:hideMark/>
          </w:tcPr>
          <w:p w14:paraId="73EFD67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w:t>
            </w:r>
          </w:p>
        </w:tc>
        <w:tc>
          <w:tcPr>
            <w:tcW w:w="289" w:type="pct"/>
            <w:shd w:val="clear" w:color="auto" w:fill="auto"/>
            <w:noWrap/>
            <w:vAlign w:val="center"/>
          </w:tcPr>
          <w:p w14:paraId="5304431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w:t>
            </w:r>
          </w:p>
        </w:tc>
        <w:tc>
          <w:tcPr>
            <w:tcW w:w="289" w:type="pct"/>
            <w:shd w:val="clear" w:color="auto" w:fill="auto"/>
            <w:noWrap/>
            <w:vAlign w:val="center"/>
          </w:tcPr>
          <w:p w14:paraId="658DABE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w:t>
            </w:r>
          </w:p>
        </w:tc>
        <w:tc>
          <w:tcPr>
            <w:tcW w:w="289" w:type="pct"/>
            <w:shd w:val="clear" w:color="auto" w:fill="auto"/>
            <w:noWrap/>
            <w:vAlign w:val="center"/>
          </w:tcPr>
          <w:p w14:paraId="0709B19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7" w:type="pct"/>
            <w:shd w:val="clear" w:color="auto" w:fill="auto"/>
            <w:noWrap/>
            <w:vAlign w:val="bottom"/>
          </w:tcPr>
          <w:p w14:paraId="19EF99F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0B1429CA" w14:textId="77777777" w:rsidTr="002C0DC3">
        <w:trPr>
          <w:trHeight w:val="271"/>
          <w:jc w:val="center"/>
        </w:trPr>
        <w:tc>
          <w:tcPr>
            <w:tcW w:w="1526" w:type="pct"/>
            <w:shd w:val="clear" w:color="auto" w:fill="auto"/>
            <w:noWrap/>
            <w:vAlign w:val="center"/>
          </w:tcPr>
          <w:p w14:paraId="2B586AD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Conciliación homologada S.E.P </w:t>
            </w:r>
            <w:r w:rsidRPr="002C0DC3">
              <w:rPr>
                <w:rFonts w:eastAsia="Calibri"/>
                <w:vertAlign w:val="superscript"/>
                <w:lang w:val="es-CR" w:eastAsia="en-US"/>
              </w:rPr>
              <w:t>(1)</w:t>
            </w:r>
          </w:p>
        </w:tc>
        <w:tc>
          <w:tcPr>
            <w:tcW w:w="400" w:type="pct"/>
            <w:shd w:val="clear" w:color="auto" w:fill="auto"/>
            <w:noWrap/>
            <w:vAlign w:val="center"/>
          </w:tcPr>
          <w:p w14:paraId="7A074B0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04D69A6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37EEE85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635439E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90</w:t>
            </w:r>
          </w:p>
        </w:tc>
        <w:tc>
          <w:tcPr>
            <w:tcW w:w="401" w:type="pct"/>
            <w:shd w:val="clear" w:color="auto" w:fill="auto"/>
            <w:noWrap/>
            <w:vAlign w:val="center"/>
          </w:tcPr>
          <w:p w14:paraId="313E4D2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55</w:t>
            </w:r>
          </w:p>
        </w:tc>
        <w:tc>
          <w:tcPr>
            <w:tcW w:w="317" w:type="pct"/>
            <w:shd w:val="clear" w:color="auto" w:fill="auto"/>
            <w:noWrap/>
          </w:tcPr>
          <w:p w14:paraId="3E21A84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2C419BF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6C0902F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30C4567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7" w:type="pct"/>
            <w:shd w:val="clear" w:color="auto" w:fill="auto"/>
            <w:noWrap/>
            <w:vAlign w:val="bottom"/>
          </w:tcPr>
          <w:p w14:paraId="7736C44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r>
      <w:tr w:rsidR="002C0DC3" w:rsidRPr="002C0DC3" w14:paraId="2FBAB105" w14:textId="77777777" w:rsidTr="002C0DC3">
        <w:trPr>
          <w:trHeight w:val="271"/>
          <w:jc w:val="center"/>
        </w:trPr>
        <w:tc>
          <w:tcPr>
            <w:tcW w:w="1526" w:type="pct"/>
            <w:shd w:val="clear" w:color="auto" w:fill="auto"/>
            <w:noWrap/>
            <w:vAlign w:val="center"/>
          </w:tcPr>
          <w:p w14:paraId="1F93F02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roofErr w:type="spellStart"/>
            <w:r w:rsidRPr="002C0DC3">
              <w:rPr>
                <w:rFonts w:eastAsia="Calibri"/>
                <w:lang w:val="es-CR" w:eastAsia="en-US"/>
              </w:rPr>
              <w:t>Resoluc</w:t>
            </w:r>
            <w:proofErr w:type="spellEnd"/>
            <w:r w:rsidRPr="002C0DC3">
              <w:rPr>
                <w:rFonts w:eastAsia="Calibri"/>
                <w:lang w:val="es-CR" w:eastAsia="en-US"/>
              </w:rPr>
              <w:t xml:space="preserve">. fondo SEP(INC </w:t>
            </w:r>
            <w:proofErr w:type="spellStart"/>
            <w:r w:rsidRPr="002C0DC3">
              <w:rPr>
                <w:rFonts w:eastAsia="Calibri"/>
                <w:lang w:val="es-CR" w:eastAsia="en-US"/>
              </w:rPr>
              <w:t>ó</w:t>
            </w:r>
            <w:proofErr w:type="spellEnd"/>
            <w:r w:rsidRPr="002C0DC3">
              <w:rPr>
                <w:rFonts w:eastAsia="Calibri"/>
                <w:lang w:val="es-CR" w:eastAsia="en-US"/>
              </w:rPr>
              <w:t xml:space="preserve"> TRC) </w:t>
            </w:r>
            <w:r w:rsidRPr="002C0DC3">
              <w:rPr>
                <w:rFonts w:eastAsia="Calibri"/>
                <w:vertAlign w:val="superscript"/>
                <w:lang w:val="es-CR" w:eastAsia="en-US"/>
              </w:rPr>
              <w:t>(1)</w:t>
            </w:r>
          </w:p>
        </w:tc>
        <w:tc>
          <w:tcPr>
            <w:tcW w:w="400" w:type="pct"/>
            <w:shd w:val="clear" w:color="auto" w:fill="auto"/>
            <w:noWrap/>
            <w:vAlign w:val="center"/>
          </w:tcPr>
          <w:p w14:paraId="0970730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0" w:type="pct"/>
            <w:shd w:val="clear" w:color="auto" w:fill="auto"/>
            <w:noWrap/>
            <w:vAlign w:val="center"/>
          </w:tcPr>
          <w:p w14:paraId="39FA17E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4A74E25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011D395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66</w:t>
            </w:r>
          </w:p>
        </w:tc>
        <w:tc>
          <w:tcPr>
            <w:tcW w:w="401" w:type="pct"/>
            <w:shd w:val="clear" w:color="auto" w:fill="auto"/>
            <w:noWrap/>
            <w:vAlign w:val="center"/>
          </w:tcPr>
          <w:p w14:paraId="592DAED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w:t>
            </w:r>
          </w:p>
        </w:tc>
        <w:tc>
          <w:tcPr>
            <w:tcW w:w="317" w:type="pct"/>
            <w:shd w:val="clear" w:color="auto" w:fill="auto"/>
            <w:noWrap/>
          </w:tcPr>
          <w:p w14:paraId="4899986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4779212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tcPr>
          <w:p w14:paraId="0CF9BEA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6414765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7" w:type="pct"/>
            <w:shd w:val="clear" w:color="auto" w:fill="auto"/>
            <w:noWrap/>
            <w:vAlign w:val="bottom"/>
          </w:tcPr>
          <w:p w14:paraId="000DE29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1ED1A62D" w14:textId="77777777" w:rsidTr="002C0DC3">
        <w:trPr>
          <w:trHeight w:val="261"/>
          <w:jc w:val="center"/>
        </w:trPr>
        <w:tc>
          <w:tcPr>
            <w:tcW w:w="1526" w:type="pct"/>
            <w:shd w:val="clear" w:color="auto" w:fill="auto"/>
            <w:noWrap/>
            <w:vAlign w:val="center"/>
            <w:hideMark/>
          </w:tcPr>
          <w:p w14:paraId="2825D17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Rechazado de Plano </w:t>
            </w:r>
          </w:p>
        </w:tc>
        <w:tc>
          <w:tcPr>
            <w:tcW w:w="400" w:type="pct"/>
            <w:shd w:val="clear" w:color="auto" w:fill="auto"/>
            <w:noWrap/>
            <w:vAlign w:val="center"/>
            <w:hideMark/>
          </w:tcPr>
          <w:p w14:paraId="4DE11EF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5.935</w:t>
            </w:r>
          </w:p>
        </w:tc>
        <w:tc>
          <w:tcPr>
            <w:tcW w:w="400" w:type="pct"/>
            <w:shd w:val="clear" w:color="auto" w:fill="auto"/>
            <w:noWrap/>
            <w:vAlign w:val="center"/>
          </w:tcPr>
          <w:p w14:paraId="506CC82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4.136</w:t>
            </w:r>
          </w:p>
        </w:tc>
        <w:tc>
          <w:tcPr>
            <w:tcW w:w="401" w:type="pct"/>
            <w:shd w:val="clear" w:color="auto" w:fill="auto"/>
            <w:noWrap/>
            <w:vAlign w:val="center"/>
          </w:tcPr>
          <w:p w14:paraId="78489B9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4.290</w:t>
            </w:r>
          </w:p>
        </w:tc>
        <w:tc>
          <w:tcPr>
            <w:tcW w:w="401" w:type="pct"/>
            <w:shd w:val="clear" w:color="auto" w:fill="auto"/>
            <w:noWrap/>
            <w:vAlign w:val="center"/>
          </w:tcPr>
          <w:p w14:paraId="1486255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55</w:t>
            </w:r>
          </w:p>
        </w:tc>
        <w:tc>
          <w:tcPr>
            <w:tcW w:w="401" w:type="pct"/>
            <w:shd w:val="clear" w:color="auto" w:fill="auto"/>
            <w:noWrap/>
            <w:vAlign w:val="center"/>
          </w:tcPr>
          <w:p w14:paraId="7953055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vAlign w:val="center"/>
            <w:hideMark/>
          </w:tcPr>
          <w:p w14:paraId="00FFF3A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8,0</w:t>
            </w:r>
          </w:p>
        </w:tc>
        <w:tc>
          <w:tcPr>
            <w:tcW w:w="289" w:type="pct"/>
            <w:shd w:val="clear" w:color="auto" w:fill="auto"/>
            <w:noWrap/>
            <w:vAlign w:val="center"/>
          </w:tcPr>
          <w:p w14:paraId="763337F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5,8</w:t>
            </w:r>
          </w:p>
        </w:tc>
        <w:tc>
          <w:tcPr>
            <w:tcW w:w="289" w:type="pct"/>
            <w:shd w:val="clear" w:color="auto" w:fill="auto"/>
            <w:noWrap/>
            <w:vAlign w:val="center"/>
          </w:tcPr>
          <w:p w14:paraId="25F7DB7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5,3</w:t>
            </w:r>
          </w:p>
        </w:tc>
        <w:tc>
          <w:tcPr>
            <w:tcW w:w="289" w:type="pct"/>
            <w:shd w:val="clear" w:color="auto" w:fill="auto"/>
            <w:noWrap/>
            <w:vAlign w:val="center"/>
          </w:tcPr>
          <w:p w14:paraId="30AA976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7" w:type="pct"/>
            <w:shd w:val="clear" w:color="auto" w:fill="auto"/>
            <w:noWrap/>
            <w:vAlign w:val="bottom"/>
          </w:tcPr>
          <w:p w14:paraId="1B8029D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792E737D" w14:textId="77777777" w:rsidTr="002C0DC3">
        <w:trPr>
          <w:trHeight w:val="271"/>
          <w:jc w:val="center"/>
        </w:trPr>
        <w:tc>
          <w:tcPr>
            <w:tcW w:w="1526" w:type="pct"/>
            <w:shd w:val="clear" w:color="auto" w:fill="auto"/>
            <w:noWrap/>
            <w:vAlign w:val="center"/>
          </w:tcPr>
          <w:p w14:paraId="6BE0BEF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Transacción homologada </w:t>
            </w:r>
            <w:r w:rsidRPr="002C0DC3">
              <w:rPr>
                <w:rFonts w:eastAsia="Calibri"/>
                <w:lang w:val="es-CR" w:eastAsia="en-US"/>
              </w:rPr>
              <w:lastRenderedPageBreak/>
              <w:t xml:space="preserve">S.E.P </w:t>
            </w:r>
            <w:r w:rsidRPr="002C0DC3">
              <w:rPr>
                <w:rFonts w:eastAsia="Calibri"/>
                <w:vertAlign w:val="superscript"/>
                <w:lang w:val="es-CR" w:eastAsia="en-US"/>
              </w:rPr>
              <w:t>(1)</w:t>
            </w:r>
          </w:p>
        </w:tc>
        <w:tc>
          <w:tcPr>
            <w:tcW w:w="400" w:type="pct"/>
            <w:shd w:val="clear" w:color="auto" w:fill="auto"/>
            <w:noWrap/>
            <w:vAlign w:val="center"/>
          </w:tcPr>
          <w:p w14:paraId="280C34C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lastRenderedPageBreak/>
              <w:t>0</w:t>
            </w:r>
          </w:p>
        </w:tc>
        <w:tc>
          <w:tcPr>
            <w:tcW w:w="400" w:type="pct"/>
            <w:shd w:val="clear" w:color="auto" w:fill="auto"/>
            <w:noWrap/>
            <w:vAlign w:val="center"/>
          </w:tcPr>
          <w:p w14:paraId="775063D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6212405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269</w:t>
            </w:r>
          </w:p>
        </w:tc>
        <w:tc>
          <w:tcPr>
            <w:tcW w:w="401" w:type="pct"/>
            <w:shd w:val="clear" w:color="auto" w:fill="auto"/>
            <w:noWrap/>
            <w:vAlign w:val="center"/>
          </w:tcPr>
          <w:p w14:paraId="713BF7F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31</w:t>
            </w:r>
          </w:p>
        </w:tc>
        <w:tc>
          <w:tcPr>
            <w:tcW w:w="401" w:type="pct"/>
            <w:shd w:val="clear" w:color="auto" w:fill="auto"/>
            <w:noWrap/>
            <w:vAlign w:val="center"/>
          </w:tcPr>
          <w:p w14:paraId="24A3AF5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w:t>
            </w:r>
          </w:p>
        </w:tc>
        <w:tc>
          <w:tcPr>
            <w:tcW w:w="317" w:type="pct"/>
            <w:shd w:val="clear" w:color="auto" w:fill="auto"/>
            <w:noWrap/>
            <w:vAlign w:val="center"/>
          </w:tcPr>
          <w:p w14:paraId="36899D7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586A3B9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9" w:type="pct"/>
            <w:shd w:val="clear" w:color="auto" w:fill="auto"/>
            <w:noWrap/>
            <w:vAlign w:val="center"/>
          </w:tcPr>
          <w:p w14:paraId="7E7DD30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0,3</w:t>
            </w:r>
          </w:p>
        </w:tc>
        <w:tc>
          <w:tcPr>
            <w:tcW w:w="289" w:type="pct"/>
            <w:shd w:val="clear" w:color="auto" w:fill="auto"/>
            <w:noWrap/>
            <w:vAlign w:val="center"/>
          </w:tcPr>
          <w:p w14:paraId="3C15509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7" w:type="pct"/>
            <w:shd w:val="clear" w:color="auto" w:fill="auto"/>
            <w:noWrap/>
            <w:vAlign w:val="bottom"/>
          </w:tcPr>
          <w:p w14:paraId="18C2832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0B4CDAE2" w14:textId="77777777" w:rsidTr="002C0DC3">
        <w:trPr>
          <w:trHeight w:val="261"/>
          <w:jc w:val="center"/>
        </w:trPr>
        <w:tc>
          <w:tcPr>
            <w:tcW w:w="1526" w:type="pct"/>
            <w:shd w:val="clear" w:color="auto" w:fill="auto"/>
            <w:noWrap/>
            <w:vAlign w:val="center"/>
            <w:hideMark/>
          </w:tcPr>
          <w:p w14:paraId="06117A1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Deserción</w:t>
            </w:r>
          </w:p>
        </w:tc>
        <w:tc>
          <w:tcPr>
            <w:tcW w:w="400" w:type="pct"/>
            <w:shd w:val="clear" w:color="auto" w:fill="auto"/>
            <w:noWrap/>
            <w:vAlign w:val="center"/>
            <w:hideMark/>
          </w:tcPr>
          <w:p w14:paraId="6784E18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1.512</w:t>
            </w:r>
          </w:p>
        </w:tc>
        <w:tc>
          <w:tcPr>
            <w:tcW w:w="400" w:type="pct"/>
            <w:shd w:val="clear" w:color="auto" w:fill="auto"/>
            <w:noWrap/>
            <w:vAlign w:val="center"/>
          </w:tcPr>
          <w:p w14:paraId="6FCCBB7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1.348</w:t>
            </w:r>
          </w:p>
        </w:tc>
        <w:tc>
          <w:tcPr>
            <w:tcW w:w="401" w:type="pct"/>
            <w:shd w:val="clear" w:color="auto" w:fill="auto"/>
            <w:noWrap/>
            <w:vAlign w:val="center"/>
          </w:tcPr>
          <w:p w14:paraId="1C41237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1.628</w:t>
            </w:r>
          </w:p>
        </w:tc>
        <w:tc>
          <w:tcPr>
            <w:tcW w:w="401" w:type="pct"/>
            <w:shd w:val="clear" w:color="auto" w:fill="auto"/>
            <w:noWrap/>
            <w:vAlign w:val="center"/>
          </w:tcPr>
          <w:p w14:paraId="09F984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30</w:t>
            </w:r>
          </w:p>
        </w:tc>
        <w:tc>
          <w:tcPr>
            <w:tcW w:w="401" w:type="pct"/>
            <w:shd w:val="clear" w:color="auto" w:fill="auto"/>
            <w:noWrap/>
            <w:vAlign w:val="center"/>
          </w:tcPr>
          <w:p w14:paraId="444D184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vAlign w:val="center"/>
            <w:hideMark/>
          </w:tcPr>
          <w:p w14:paraId="5CA874C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w:t>
            </w:r>
          </w:p>
        </w:tc>
        <w:tc>
          <w:tcPr>
            <w:tcW w:w="289" w:type="pct"/>
            <w:shd w:val="clear" w:color="auto" w:fill="auto"/>
            <w:noWrap/>
            <w:vAlign w:val="center"/>
          </w:tcPr>
          <w:p w14:paraId="4594666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w:t>
            </w:r>
          </w:p>
        </w:tc>
        <w:tc>
          <w:tcPr>
            <w:tcW w:w="289" w:type="pct"/>
            <w:shd w:val="clear" w:color="auto" w:fill="auto"/>
            <w:noWrap/>
            <w:vAlign w:val="center"/>
          </w:tcPr>
          <w:p w14:paraId="6929908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w:t>
            </w:r>
          </w:p>
        </w:tc>
        <w:tc>
          <w:tcPr>
            <w:tcW w:w="289" w:type="pct"/>
            <w:shd w:val="clear" w:color="auto" w:fill="auto"/>
            <w:noWrap/>
            <w:vAlign w:val="center"/>
          </w:tcPr>
          <w:p w14:paraId="7A996DD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7" w:type="pct"/>
            <w:shd w:val="clear" w:color="auto" w:fill="auto"/>
            <w:noWrap/>
            <w:vAlign w:val="bottom"/>
          </w:tcPr>
          <w:p w14:paraId="6B17CE2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76E3AE70" w14:textId="77777777" w:rsidTr="002C0DC3">
        <w:trPr>
          <w:trHeight w:val="261"/>
          <w:jc w:val="center"/>
        </w:trPr>
        <w:tc>
          <w:tcPr>
            <w:tcW w:w="1526" w:type="pct"/>
            <w:shd w:val="clear" w:color="auto" w:fill="auto"/>
            <w:noWrap/>
            <w:vAlign w:val="center"/>
            <w:hideMark/>
          </w:tcPr>
          <w:p w14:paraId="1E75B77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Acumulación</w:t>
            </w:r>
          </w:p>
        </w:tc>
        <w:tc>
          <w:tcPr>
            <w:tcW w:w="400" w:type="pct"/>
            <w:shd w:val="clear" w:color="auto" w:fill="auto"/>
            <w:noWrap/>
            <w:vAlign w:val="center"/>
            <w:hideMark/>
          </w:tcPr>
          <w:p w14:paraId="250B2B6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851</w:t>
            </w:r>
          </w:p>
        </w:tc>
        <w:tc>
          <w:tcPr>
            <w:tcW w:w="400" w:type="pct"/>
            <w:shd w:val="clear" w:color="auto" w:fill="auto"/>
            <w:noWrap/>
            <w:vAlign w:val="center"/>
          </w:tcPr>
          <w:p w14:paraId="388C5DC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258</w:t>
            </w:r>
          </w:p>
        </w:tc>
        <w:tc>
          <w:tcPr>
            <w:tcW w:w="401" w:type="pct"/>
            <w:shd w:val="clear" w:color="auto" w:fill="auto"/>
            <w:noWrap/>
            <w:vAlign w:val="center"/>
          </w:tcPr>
          <w:p w14:paraId="7BF6ECA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244</w:t>
            </w:r>
          </w:p>
        </w:tc>
        <w:tc>
          <w:tcPr>
            <w:tcW w:w="401" w:type="pct"/>
            <w:shd w:val="clear" w:color="auto" w:fill="auto"/>
            <w:noWrap/>
            <w:vAlign w:val="center"/>
          </w:tcPr>
          <w:p w14:paraId="4AE13CC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w:t>
            </w:r>
          </w:p>
        </w:tc>
        <w:tc>
          <w:tcPr>
            <w:tcW w:w="401" w:type="pct"/>
            <w:shd w:val="clear" w:color="auto" w:fill="auto"/>
            <w:noWrap/>
            <w:vAlign w:val="center"/>
          </w:tcPr>
          <w:p w14:paraId="3DE45E4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vAlign w:val="center"/>
            <w:hideMark/>
          </w:tcPr>
          <w:p w14:paraId="7D00A88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w:t>
            </w:r>
          </w:p>
        </w:tc>
        <w:tc>
          <w:tcPr>
            <w:tcW w:w="289" w:type="pct"/>
            <w:shd w:val="clear" w:color="auto" w:fill="auto"/>
            <w:noWrap/>
            <w:vAlign w:val="center"/>
          </w:tcPr>
          <w:p w14:paraId="1D4EE0E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0,4</w:t>
            </w:r>
          </w:p>
        </w:tc>
        <w:tc>
          <w:tcPr>
            <w:tcW w:w="289" w:type="pct"/>
            <w:shd w:val="clear" w:color="auto" w:fill="auto"/>
            <w:noWrap/>
            <w:vAlign w:val="center"/>
          </w:tcPr>
          <w:p w14:paraId="7616898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0,3</w:t>
            </w:r>
          </w:p>
        </w:tc>
        <w:tc>
          <w:tcPr>
            <w:tcW w:w="289" w:type="pct"/>
            <w:shd w:val="clear" w:color="auto" w:fill="auto"/>
            <w:noWrap/>
            <w:vAlign w:val="center"/>
          </w:tcPr>
          <w:p w14:paraId="59A7062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7" w:type="pct"/>
            <w:shd w:val="clear" w:color="auto" w:fill="auto"/>
            <w:noWrap/>
            <w:vAlign w:val="bottom"/>
          </w:tcPr>
          <w:p w14:paraId="77A4587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44DE0A44" w14:textId="77777777" w:rsidTr="002C0DC3">
        <w:trPr>
          <w:trHeight w:val="261"/>
          <w:jc w:val="center"/>
        </w:trPr>
        <w:tc>
          <w:tcPr>
            <w:tcW w:w="1526" w:type="pct"/>
            <w:shd w:val="clear" w:color="auto" w:fill="auto"/>
            <w:noWrap/>
            <w:vAlign w:val="center"/>
            <w:hideMark/>
          </w:tcPr>
          <w:p w14:paraId="17A808C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Terminado por Concurrencia Acreedores</w:t>
            </w:r>
          </w:p>
        </w:tc>
        <w:tc>
          <w:tcPr>
            <w:tcW w:w="400" w:type="pct"/>
            <w:shd w:val="clear" w:color="auto" w:fill="auto"/>
            <w:vAlign w:val="center"/>
            <w:hideMark/>
          </w:tcPr>
          <w:p w14:paraId="2465B18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106</w:t>
            </w:r>
          </w:p>
        </w:tc>
        <w:tc>
          <w:tcPr>
            <w:tcW w:w="400" w:type="pct"/>
            <w:shd w:val="clear" w:color="auto" w:fill="auto"/>
            <w:noWrap/>
            <w:vAlign w:val="center"/>
          </w:tcPr>
          <w:p w14:paraId="6C577B5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53</w:t>
            </w:r>
          </w:p>
        </w:tc>
        <w:tc>
          <w:tcPr>
            <w:tcW w:w="401" w:type="pct"/>
            <w:shd w:val="clear" w:color="auto" w:fill="auto"/>
            <w:noWrap/>
            <w:vAlign w:val="center"/>
          </w:tcPr>
          <w:p w14:paraId="73231AB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43</w:t>
            </w:r>
          </w:p>
        </w:tc>
        <w:tc>
          <w:tcPr>
            <w:tcW w:w="401" w:type="pct"/>
            <w:shd w:val="clear" w:color="auto" w:fill="auto"/>
            <w:noWrap/>
            <w:vAlign w:val="center"/>
          </w:tcPr>
          <w:p w14:paraId="24C47FD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401" w:type="pct"/>
            <w:shd w:val="clear" w:color="auto" w:fill="auto"/>
            <w:noWrap/>
            <w:vAlign w:val="center"/>
          </w:tcPr>
          <w:p w14:paraId="2168950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vAlign w:val="center"/>
            <w:hideMark/>
          </w:tcPr>
          <w:p w14:paraId="442ACD9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9" w:type="pct"/>
            <w:shd w:val="clear" w:color="auto" w:fill="auto"/>
            <w:noWrap/>
            <w:vAlign w:val="center"/>
          </w:tcPr>
          <w:p w14:paraId="391D163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9" w:type="pct"/>
            <w:shd w:val="clear" w:color="auto" w:fill="auto"/>
            <w:noWrap/>
            <w:vAlign w:val="center"/>
          </w:tcPr>
          <w:p w14:paraId="2BE9C3A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9" w:type="pct"/>
            <w:shd w:val="clear" w:color="auto" w:fill="auto"/>
            <w:noWrap/>
            <w:vAlign w:val="center"/>
          </w:tcPr>
          <w:p w14:paraId="420298D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7" w:type="pct"/>
            <w:shd w:val="clear" w:color="auto" w:fill="auto"/>
            <w:noWrap/>
            <w:vAlign w:val="bottom"/>
          </w:tcPr>
          <w:p w14:paraId="78ADF6B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06C90717" w14:textId="77777777" w:rsidTr="002C0DC3">
        <w:trPr>
          <w:trHeight w:val="261"/>
          <w:jc w:val="center"/>
        </w:trPr>
        <w:tc>
          <w:tcPr>
            <w:tcW w:w="1526" w:type="pct"/>
            <w:shd w:val="clear" w:color="auto" w:fill="auto"/>
            <w:noWrap/>
            <w:vAlign w:val="center"/>
            <w:hideMark/>
          </w:tcPr>
          <w:p w14:paraId="153CB96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Acuerdo </w:t>
            </w:r>
            <w:proofErr w:type="spellStart"/>
            <w:r w:rsidRPr="002C0DC3">
              <w:rPr>
                <w:rFonts w:eastAsia="Calibri"/>
                <w:lang w:val="es-CR" w:eastAsia="en-US"/>
              </w:rPr>
              <w:t>Homol</w:t>
            </w:r>
            <w:proofErr w:type="spellEnd"/>
            <w:r w:rsidRPr="002C0DC3">
              <w:rPr>
                <w:rFonts w:eastAsia="Calibri"/>
                <w:lang w:val="es-CR" w:eastAsia="en-US"/>
              </w:rPr>
              <w:t>. / Conciliación</w:t>
            </w:r>
          </w:p>
        </w:tc>
        <w:tc>
          <w:tcPr>
            <w:tcW w:w="400" w:type="pct"/>
            <w:shd w:val="clear" w:color="auto" w:fill="auto"/>
            <w:noWrap/>
            <w:vAlign w:val="center"/>
            <w:hideMark/>
          </w:tcPr>
          <w:p w14:paraId="55A28BE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84</w:t>
            </w:r>
          </w:p>
        </w:tc>
        <w:tc>
          <w:tcPr>
            <w:tcW w:w="400" w:type="pct"/>
            <w:shd w:val="clear" w:color="auto" w:fill="auto"/>
            <w:noWrap/>
            <w:vAlign w:val="center"/>
          </w:tcPr>
          <w:p w14:paraId="57DECA3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46</w:t>
            </w:r>
          </w:p>
        </w:tc>
        <w:tc>
          <w:tcPr>
            <w:tcW w:w="401" w:type="pct"/>
            <w:shd w:val="clear" w:color="auto" w:fill="auto"/>
            <w:noWrap/>
            <w:vAlign w:val="center"/>
          </w:tcPr>
          <w:p w14:paraId="1900153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62</w:t>
            </w:r>
          </w:p>
        </w:tc>
        <w:tc>
          <w:tcPr>
            <w:tcW w:w="401" w:type="pct"/>
            <w:shd w:val="clear" w:color="auto" w:fill="auto"/>
            <w:noWrap/>
            <w:vAlign w:val="center"/>
          </w:tcPr>
          <w:p w14:paraId="3339CCA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4B6CB99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vAlign w:val="center"/>
            <w:hideMark/>
          </w:tcPr>
          <w:p w14:paraId="2518EC6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9" w:type="pct"/>
            <w:shd w:val="clear" w:color="auto" w:fill="auto"/>
            <w:noWrap/>
            <w:vAlign w:val="center"/>
          </w:tcPr>
          <w:p w14:paraId="483168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9" w:type="pct"/>
            <w:shd w:val="clear" w:color="auto" w:fill="auto"/>
            <w:noWrap/>
            <w:vAlign w:val="center"/>
          </w:tcPr>
          <w:p w14:paraId="2A85F51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289" w:type="pct"/>
            <w:shd w:val="clear" w:color="auto" w:fill="auto"/>
            <w:noWrap/>
            <w:vAlign w:val="center"/>
          </w:tcPr>
          <w:p w14:paraId="70177E5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7" w:type="pct"/>
            <w:shd w:val="clear" w:color="auto" w:fill="auto"/>
            <w:noWrap/>
            <w:vAlign w:val="bottom"/>
          </w:tcPr>
          <w:p w14:paraId="5055CDE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4F4E787E" w14:textId="77777777" w:rsidTr="002C0DC3">
        <w:trPr>
          <w:trHeight w:val="261"/>
          <w:jc w:val="center"/>
        </w:trPr>
        <w:tc>
          <w:tcPr>
            <w:tcW w:w="1526" w:type="pct"/>
            <w:shd w:val="clear" w:color="auto" w:fill="auto"/>
            <w:noWrap/>
            <w:vAlign w:val="center"/>
            <w:hideMark/>
          </w:tcPr>
          <w:p w14:paraId="6921AD9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Solicitud de la parte actora</w:t>
            </w:r>
          </w:p>
        </w:tc>
        <w:tc>
          <w:tcPr>
            <w:tcW w:w="400" w:type="pct"/>
            <w:shd w:val="clear" w:color="auto" w:fill="auto"/>
            <w:noWrap/>
            <w:vAlign w:val="center"/>
            <w:hideMark/>
          </w:tcPr>
          <w:p w14:paraId="4C0E129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15.638</w:t>
            </w:r>
          </w:p>
        </w:tc>
        <w:tc>
          <w:tcPr>
            <w:tcW w:w="400" w:type="pct"/>
            <w:shd w:val="clear" w:color="auto" w:fill="auto"/>
            <w:noWrap/>
            <w:vAlign w:val="center"/>
          </w:tcPr>
          <w:p w14:paraId="52ECDBD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16.617</w:t>
            </w:r>
          </w:p>
        </w:tc>
        <w:tc>
          <w:tcPr>
            <w:tcW w:w="401" w:type="pct"/>
            <w:shd w:val="clear" w:color="auto" w:fill="auto"/>
            <w:noWrap/>
            <w:vAlign w:val="center"/>
          </w:tcPr>
          <w:p w14:paraId="63B99F0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16.110</w:t>
            </w:r>
          </w:p>
        </w:tc>
        <w:tc>
          <w:tcPr>
            <w:tcW w:w="401" w:type="pct"/>
            <w:shd w:val="clear" w:color="auto" w:fill="auto"/>
            <w:noWrap/>
            <w:vAlign w:val="center"/>
          </w:tcPr>
          <w:p w14:paraId="631732B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0C01D93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317" w:type="pct"/>
            <w:shd w:val="clear" w:color="auto" w:fill="auto"/>
            <w:noWrap/>
            <w:vAlign w:val="center"/>
            <w:hideMark/>
          </w:tcPr>
          <w:p w14:paraId="3DF7166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21,1</w:t>
            </w:r>
          </w:p>
        </w:tc>
        <w:tc>
          <w:tcPr>
            <w:tcW w:w="289" w:type="pct"/>
            <w:shd w:val="clear" w:color="auto" w:fill="auto"/>
            <w:noWrap/>
            <w:vAlign w:val="center"/>
          </w:tcPr>
          <w:p w14:paraId="4B235E2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23,3</w:t>
            </w:r>
          </w:p>
        </w:tc>
        <w:tc>
          <w:tcPr>
            <w:tcW w:w="289" w:type="pct"/>
            <w:shd w:val="clear" w:color="auto" w:fill="auto"/>
            <w:noWrap/>
            <w:vAlign w:val="center"/>
          </w:tcPr>
          <w:p w14:paraId="26E1191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19,9</w:t>
            </w:r>
          </w:p>
        </w:tc>
        <w:tc>
          <w:tcPr>
            <w:tcW w:w="289" w:type="pct"/>
            <w:shd w:val="clear" w:color="auto" w:fill="auto"/>
            <w:noWrap/>
            <w:vAlign w:val="center"/>
          </w:tcPr>
          <w:p w14:paraId="248BCC3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7" w:type="pct"/>
            <w:shd w:val="clear" w:color="auto" w:fill="auto"/>
            <w:noWrap/>
            <w:vAlign w:val="bottom"/>
          </w:tcPr>
          <w:p w14:paraId="22270DF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73043D4B" w14:textId="77777777" w:rsidTr="002C0DC3">
        <w:trPr>
          <w:trHeight w:val="261"/>
          <w:jc w:val="center"/>
        </w:trPr>
        <w:tc>
          <w:tcPr>
            <w:tcW w:w="1526" w:type="pct"/>
            <w:shd w:val="clear" w:color="auto" w:fill="auto"/>
            <w:noWrap/>
            <w:vAlign w:val="center"/>
          </w:tcPr>
          <w:p w14:paraId="10715E7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Incompetencia</w:t>
            </w:r>
          </w:p>
        </w:tc>
        <w:tc>
          <w:tcPr>
            <w:tcW w:w="400" w:type="pct"/>
            <w:shd w:val="clear" w:color="auto" w:fill="auto"/>
            <w:noWrap/>
            <w:vAlign w:val="center"/>
          </w:tcPr>
          <w:p w14:paraId="68424CF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667</w:t>
            </w:r>
          </w:p>
        </w:tc>
        <w:tc>
          <w:tcPr>
            <w:tcW w:w="400" w:type="pct"/>
            <w:shd w:val="clear" w:color="auto" w:fill="auto"/>
            <w:noWrap/>
            <w:vAlign w:val="center"/>
          </w:tcPr>
          <w:p w14:paraId="528F164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683</w:t>
            </w:r>
          </w:p>
        </w:tc>
        <w:tc>
          <w:tcPr>
            <w:tcW w:w="401" w:type="pct"/>
            <w:shd w:val="clear" w:color="auto" w:fill="auto"/>
            <w:noWrap/>
            <w:vAlign w:val="center"/>
          </w:tcPr>
          <w:p w14:paraId="5656F31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7.882</w:t>
            </w:r>
          </w:p>
        </w:tc>
        <w:tc>
          <w:tcPr>
            <w:tcW w:w="401" w:type="pct"/>
            <w:shd w:val="clear" w:color="auto" w:fill="auto"/>
            <w:noWrap/>
            <w:vAlign w:val="center"/>
          </w:tcPr>
          <w:p w14:paraId="60B7B96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401" w:type="pct"/>
            <w:shd w:val="clear" w:color="auto" w:fill="auto"/>
            <w:noWrap/>
            <w:vAlign w:val="center"/>
          </w:tcPr>
          <w:p w14:paraId="034F8EC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11.419</w:t>
            </w:r>
          </w:p>
        </w:tc>
        <w:tc>
          <w:tcPr>
            <w:tcW w:w="317" w:type="pct"/>
            <w:shd w:val="clear" w:color="auto" w:fill="auto"/>
            <w:noWrap/>
            <w:vAlign w:val="center"/>
          </w:tcPr>
          <w:p w14:paraId="1E2598F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0,9</w:t>
            </w:r>
          </w:p>
        </w:tc>
        <w:tc>
          <w:tcPr>
            <w:tcW w:w="289" w:type="pct"/>
            <w:shd w:val="clear" w:color="auto" w:fill="auto"/>
            <w:noWrap/>
            <w:vAlign w:val="center"/>
          </w:tcPr>
          <w:p w14:paraId="236A6E2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w:t>
            </w:r>
          </w:p>
        </w:tc>
        <w:tc>
          <w:tcPr>
            <w:tcW w:w="289" w:type="pct"/>
            <w:shd w:val="clear" w:color="auto" w:fill="auto"/>
            <w:noWrap/>
            <w:vAlign w:val="center"/>
          </w:tcPr>
          <w:p w14:paraId="451011D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9,7</w:t>
            </w:r>
          </w:p>
        </w:tc>
        <w:tc>
          <w:tcPr>
            <w:tcW w:w="289" w:type="pct"/>
            <w:shd w:val="clear" w:color="auto" w:fill="auto"/>
            <w:noWrap/>
            <w:vAlign w:val="center"/>
          </w:tcPr>
          <w:p w14:paraId="1489A99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287" w:type="pct"/>
            <w:shd w:val="clear" w:color="auto" w:fill="auto"/>
            <w:noWrap/>
            <w:vAlign w:val="bottom"/>
          </w:tcPr>
          <w:p w14:paraId="003B038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11,6</w:t>
            </w:r>
          </w:p>
        </w:tc>
      </w:tr>
      <w:tr w:rsidR="002C0DC3" w:rsidRPr="002C0DC3" w14:paraId="19D91EF7" w14:textId="77777777" w:rsidTr="002C0DC3">
        <w:trPr>
          <w:trHeight w:val="271"/>
          <w:jc w:val="center"/>
        </w:trPr>
        <w:tc>
          <w:tcPr>
            <w:tcW w:w="1526" w:type="pct"/>
            <w:shd w:val="clear" w:color="auto" w:fill="auto"/>
            <w:noWrap/>
            <w:vAlign w:val="center"/>
            <w:hideMark/>
          </w:tcPr>
          <w:p w14:paraId="04B056D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Otras Razones</w:t>
            </w:r>
          </w:p>
        </w:tc>
        <w:tc>
          <w:tcPr>
            <w:tcW w:w="400" w:type="pct"/>
            <w:shd w:val="clear" w:color="auto" w:fill="auto"/>
            <w:noWrap/>
            <w:vAlign w:val="center"/>
            <w:hideMark/>
          </w:tcPr>
          <w:p w14:paraId="7C0144C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586</w:t>
            </w:r>
          </w:p>
        </w:tc>
        <w:tc>
          <w:tcPr>
            <w:tcW w:w="400" w:type="pct"/>
            <w:shd w:val="clear" w:color="auto" w:fill="auto"/>
            <w:noWrap/>
            <w:vAlign w:val="center"/>
          </w:tcPr>
          <w:p w14:paraId="57B9A1F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243</w:t>
            </w:r>
          </w:p>
        </w:tc>
        <w:tc>
          <w:tcPr>
            <w:tcW w:w="401" w:type="pct"/>
            <w:shd w:val="clear" w:color="auto" w:fill="auto"/>
            <w:noWrap/>
            <w:vAlign w:val="center"/>
          </w:tcPr>
          <w:p w14:paraId="0786BEB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1.019</w:t>
            </w:r>
          </w:p>
        </w:tc>
        <w:tc>
          <w:tcPr>
            <w:tcW w:w="401" w:type="pct"/>
            <w:shd w:val="clear" w:color="auto" w:fill="auto"/>
            <w:noWrap/>
            <w:vAlign w:val="center"/>
          </w:tcPr>
          <w:p w14:paraId="574F71B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300</w:t>
            </w:r>
          </w:p>
        </w:tc>
        <w:tc>
          <w:tcPr>
            <w:tcW w:w="401" w:type="pct"/>
            <w:shd w:val="clear" w:color="auto" w:fill="auto"/>
            <w:noWrap/>
            <w:vAlign w:val="center"/>
          </w:tcPr>
          <w:p w14:paraId="1DCA16E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w:t>
            </w:r>
          </w:p>
        </w:tc>
        <w:tc>
          <w:tcPr>
            <w:tcW w:w="317" w:type="pct"/>
            <w:shd w:val="clear" w:color="auto" w:fill="auto"/>
            <w:noWrap/>
            <w:vAlign w:val="center"/>
            <w:hideMark/>
          </w:tcPr>
          <w:p w14:paraId="6CDE6AB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0,8</w:t>
            </w:r>
          </w:p>
        </w:tc>
        <w:tc>
          <w:tcPr>
            <w:tcW w:w="289" w:type="pct"/>
            <w:shd w:val="clear" w:color="auto" w:fill="auto"/>
            <w:noWrap/>
            <w:vAlign w:val="center"/>
          </w:tcPr>
          <w:p w14:paraId="2BB01E6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0,3</w:t>
            </w:r>
          </w:p>
        </w:tc>
        <w:tc>
          <w:tcPr>
            <w:tcW w:w="289" w:type="pct"/>
            <w:shd w:val="clear" w:color="auto" w:fill="auto"/>
            <w:noWrap/>
            <w:vAlign w:val="center"/>
          </w:tcPr>
          <w:p w14:paraId="1E8A68D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w:t>
            </w:r>
          </w:p>
        </w:tc>
        <w:tc>
          <w:tcPr>
            <w:tcW w:w="289" w:type="pct"/>
            <w:shd w:val="clear" w:color="auto" w:fill="auto"/>
            <w:noWrap/>
            <w:vAlign w:val="center"/>
          </w:tcPr>
          <w:p w14:paraId="3EE51F1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c>
          <w:tcPr>
            <w:tcW w:w="287" w:type="pct"/>
            <w:shd w:val="clear" w:color="auto" w:fill="auto"/>
            <w:noWrap/>
            <w:vAlign w:val="bottom"/>
          </w:tcPr>
          <w:p w14:paraId="76E7133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bl>
    <w:p w14:paraId="3985B87B" w14:textId="77777777" w:rsidR="002C0DC3" w:rsidRPr="002C0DC3" w:rsidRDefault="002C0DC3" w:rsidP="002C0DC3">
      <w:pPr>
        <w:suppressAutoHyphens w:val="0"/>
        <w:jc w:val="both"/>
        <w:rPr>
          <w:rFonts w:eastAsia="Calibri"/>
          <w:lang w:val="es-CR" w:eastAsia="en-US"/>
        </w:rPr>
      </w:pPr>
    </w:p>
    <w:p w14:paraId="5A031CDA"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Elaborado por: Subproceso de Estadística, Dirección de Planificación.</w:t>
      </w:r>
    </w:p>
    <w:p w14:paraId="4476ACB0"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Seguidamente se puntualizan los aspectos más relevantes.</w:t>
      </w:r>
    </w:p>
    <w:p w14:paraId="17CBBF72" w14:textId="77777777" w:rsidR="002C0DC3" w:rsidRPr="002C0DC3" w:rsidRDefault="002C0DC3" w:rsidP="002C0DC3">
      <w:pPr>
        <w:suppressAutoHyphens w:val="0"/>
        <w:ind w:left="851" w:right="851" w:firstLine="709"/>
        <w:jc w:val="both"/>
        <w:rPr>
          <w:rFonts w:eastAsia="Calibri"/>
          <w:lang w:val="es-CR" w:eastAsia="en-US"/>
        </w:rPr>
      </w:pPr>
    </w:p>
    <w:p w14:paraId="7E7C3447" w14:textId="77777777" w:rsidR="002C0DC3" w:rsidRPr="002C0DC3" w:rsidRDefault="002C0DC3" w:rsidP="00CE3D95">
      <w:pPr>
        <w:numPr>
          <w:ilvl w:val="0"/>
          <w:numId w:val="31"/>
        </w:numPr>
        <w:suppressAutoHyphens w:val="0"/>
        <w:ind w:left="851" w:right="851" w:firstLine="709"/>
        <w:contextualSpacing/>
        <w:jc w:val="both"/>
        <w:rPr>
          <w:rFonts w:eastAsia="Calibri"/>
          <w:lang w:val="es-CR" w:eastAsia="en-US"/>
        </w:rPr>
      </w:pPr>
      <w:r w:rsidRPr="002C0DC3">
        <w:rPr>
          <w:rFonts w:eastAsia="Calibri"/>
          <w:lang w:val="es-CR" w:eastAsia="en-US"/>
        </w:rPr>
        <w:t xml:space="preserve">La </w:t>
      </w:r>
      <w:r w:rsidRPr="002C0DC3">
        <w:rPr>
          <w:rFonts w:eastAsia="Calibri"/>
          <w:i/>
          <w:iCs/>
          <w:lang w:val="es-CR" w:eastAsia="en-US"/>
        </w:rPr>
        <w:t>Satisfacción Extraprocesal</w:t>
      </w:r>
      <w:r w:rsidRPr="002C0DC3">
        <w:rPr>
          <w:rFonts w:eastAsia="Calibri"/>
          <w:lang w:val="es-CR" w:eastAsia="en-US"/>
        </w:rPr>
        <w:t>, es el motivo de término más frecuente para la finalización de demandas, solo en 2020 se registran 60.412 expedientes bajo esta modalidad y respecto del año anterior tan solo se registra una baja de 1.545 casos.</w:t>
      </w:r>
    </w:p>
    <w:p w14:paraId="7DEE8D03" w14:textId="77777777" w:rsidR="002C0DC3" w:rsidRPr="002C0DC3" w:rsidRDefault="002C0DC3" w:rsidP="002C0DC3">
      <w:pPr>
        <w:suppressAutoHyphens w:val="0"/>
        <w:ind w:left="851" w:right="851" w:firstLine="709"/>
        <w:contextualSpacing/>
        <w:jc w:val="both"/>
        <w:rPr>
          <w:rFonts w:eastAsia="Calibri"/>
          <w:lang w:val="es-CR" w:eastAsia="en-US"/>
        </w:rPr>
      </w:pPr>
    </w:p>
    <w:p w14:paraId="43A4AACB" w14:textId="77777777" w:rsidR="002C0DC3" w:rsidRPr="002C0DC3" w:rsidRDefault="002C0DC3" w:rsidP="00CE3D95">
      <w:pPr>
        <w:numPr>
          <w:ilvl w:val="0"/>
          <w:numId w:val="31"/>
        </w:numPr>
        <w:suppressAutoHyphens w:val="0"/>
        <w:ind w:left="851" w:right="851" w:firstLine="709"/>
        <w:contextualSpacing/>
        <w:jc w:val="both"/>
        <w:rPr>
          <w:rFonts w:eastAsia="Calibri"/>
          <w:lang w:val="es-CR" w:eastAsia="en-US"/>
        </w:rPr>
      </w:pPr>
      <w:r w:rsidRPr="002C0DC3">
        <w:rPr>
          <w:rFonts w:eastAsia="Calibri"/>
          <w:lang w:val="es-CR" w:eastAsia="en-US"/>
        </w:rPr>
        <w:t xml:space="preserve">El </w:t>
      </w:r>
      <w:r w:rsidRPr="002C0DC3">
        <w:rPr>
          <w:rFonts w:eastAsia="Calibri"/>
          <w:i/>
          <w:iCs/>
          <w:lang w:val="es-CR" w:eastAsia="en-US"/>
        </w:rPr>
        <w:t xml:space="preserve">procedimiento inamisible sin condena </w:t>
      </w:r>
      <w:r w:rsidRPr="002C0DC3">
        <w:rPr>
          <w:rFonts w:eastAsia="Calibri"/>
          <w:lang w:val="es-CR" w:eastAsia="en-US"/>
        </w:rPr>
        <w:t>comprende el 16% de los motivos de término interpuestos en los fallos emitidos por este colectivo, siendo que para el período en estudio se registra un crecimiento en el volumen de estos asuntos equivalente a 4.545 asuntos, valor que de acuerdo con los registros históricos es el más elevado contabilizado a la fecha.</w:t>
      </w:r>
    </w:p>
    <w:p w14:paraId="1F390D95" w14:textId="77777777" w:rsidR="002C0DC3" w:rsidRPr="002C0DC3" w:rsidRDefault="002C0DC3" w:rsidP="002C0DC3">
      <w:pPr>
        <w:suppressAutoHyphens w:val="0"/>
        <w:ind w:left="851" w:right="851" w:firstLine="709"/>
        <w:contextualSpacing/>
        <w:jc w:val="both"/>
        <w:rPr>
          <w:rFonts w:eastAsia="Calibri"/>
          <w:lang w:val="es-CR" w:eastAsia="en-US"/>
        </w:rPr>
      </w:pPr>
    </w:p>
    <w:p w14:paraId="6ACACCD1" w14:textId="77777777" w:rsidR="002C0DC3" w:rsidRPr="002C0DC3" w:rsidRDefault="002C0DC3" w:rsidP="00CE3D95">
      <w:pPr>
        <w:numPr>
          <w:ilvl w:val="0"/>
          <w:numId w:val="31"/>
        </w:numPr>
        <w:suppressAutoHyphens w:val="0"/>
        <w:ind w:left="851" w:right="851" w:firstLine="709"/>
        <w:contextualSpacing/>
        <w:jc w:val="both"/>
        <w:rPr>
          <w:rFonts w:eastAsia="Calibri"/>
          <w:lang w:val="es-CR" w:eastAsia="en-US"/>
        </w:rPr>
      </w:pPr>
      <w:r w:rsidRPr="002C0DC3">
        <w:rPr>
          <w:rFonts w:eastAsia="Calibri"/>
          <w:lang w:val="es-CR" w:eastAsia="en-US"/>
        </w:rPr>
        <w:t xml:space="preserve">La </w:t>
      </w:r>
      <w:r w:rsidRPr="002C0DC3">
        <w:rPr>
          <w:rFonts w:eastAsia="Calibri"/>
          <w:i/>
          <w:iCs/>
          <w:lang w:val="es-CR" w:eastAsia="en-US"/>
        </w:rPr>
        <w:t xml:space="preserve">Ejecución Cumplida y la Sentencia en Principal </w:t>
      </w:r>
      <w:r w:rsidRPr="002C0DC3">
        <w:rPr>
          <w:rFonts w:eastAsia="Calibri"/>
          <w:lang w:val="es-CR" w:eastAsia="en-US"/>
        </w:rPr>
        <w:t>registraron ligeros descensos con relación a los valores generados en 2019, pasando de 1.841 a 1.157 para el primer de los casos y de 1.612 a 1.576 en el segundo.</w:t>
      </w:r>
    </w:p>
    <w:p w14:paraId="012056E8" w14:textId="77777777" w:rsidR="002C0DC3" w:rsidRPr="002C0DC3" w:rsidRDefault="002C0DC3" w:rsidP="002C0DC3">
      <w:pPr>
        <w:suppressAutoHyphens w:val="0"/>
        <w:ind w:left="851" w:right="851" w:firstLine="709"/>
        <w:contextualSpacing/>
        <w:jc w:val="both"/>
        <w:rPr>
          <w:rFonts w:eastAsia="Calibri"/>
          <w:lang w:val="es-CR" w:eastAsia="en-US"/>
        </w:rPr>
      </w:pPr>
    </w:p>
    <w:p w14:paraId="50B2A1D3" w14:textId="77777777" w:rsidR="002C0DC3" w:rsidRPr="002C0DC3" w:rsidRDefault="002C0DC3" w:rsidP="00CE3D95">
      <w:pPr>
        <w:numPr>
          <w:ilvl w:val="0"/>
          <w:numId w:val="31"/>
        </w:numPr>
        <w:suppressAutoHyphens w:val="0"/>
        <w:ind w:left="851" w:right="851" w:firstLine="709"/>
        <w:contextualSpacing/>
        <w:jc w:val="both"/>
        <w:rPr>
          <w:rFonts w:eastAsia="Calibri"/>
          <w:lang w:val="es-CR" w:eastAsia="en-US"/>
        </w:rPr>
      </w:pPr>
      <w:r w:rsidRPr="002C0DC3">
        <w:rPr>
          <w:rFonts w:eastAsia="Calibri"/>
          <w:lang w:val="es-CR" w:eastAsia="en-US"/>
        </w:rPr>
        <w:t xml:space="preserve">Por su parte, el </w:t>
      </w:r>
      <w:r w:rsidRPr="002C0DC3">
        <w:rPr>
          <w:rFonts w:eastAsia="Calibri"/>
          <w:i/>
          <w:iCs/>
          <w:lang w:val="es-CR" w:eastAsia="en-US"/>
        </w:rPr>
        <w:t xml:space="preserve">Desistimiento </w:t>
      </w:r>
      <w:r w:rsidRPr="002C0DC3">
        <w:rPr>
          <w:rFonts w:eastAsia="Calibri"/>
          <w:lang w:val="es-CR" w:eastAsia="en-US"/>
        </w:rPr>
        <w:t>redujo significativamente su volumen para este período, pasando de representar 5.6% a 3.6%, lo que en valores absolutos significó 3.825 casos.</w:t>
      </w:r>
    </w:p>
    <w:p w14:paraId="6FF7078C" w14:textId="77777777" w:rsidR="002C0DC3" w:rsidRPr="002C0DC3" w:rsidRDefault="002C0DC3" w:rsidP="002C0DC3">
      <w:pPr>
        <w:suppressAutoHyphens w:val="0"/>
        <w:ind w:left="851" w:right="851" w:firstLine="709"/>
        <w:contextualSpacing/>
        <w:jc w:val="both"/>
        <w:rPr>
          <w:rFonts w:eastAsia="Calibri"/>
          <w:lang w:val="es-CR" w:eastAsia="en-US"/>
        </w:rPr>
      </w:pPr>
    </w:p>
    <w:p w14:paraId="72E980BD" w14:textId="77777777" w:rsidR="002C0DC3" w:rsidRPr="002C0DC3" w:rsidRDefault="002C0DC3" w:rsidP="00CE3D95">
      <w:pPr>
        <w:numPr>
          <w:ilvl w:val="0"/>
          <w:numId w:val="31"/>
        </w:numPr>
        <w:suppressAutoHyphens w:val="0"/>
        <w:ind w:left="851" w:right="851" w:firstLine="709"/>
        <w:contextualSpacing/>
        <w:jc w:val="both"/>
        <w:rPr>
          <w:rFonts w:eastAsia="Calibri"/>
          <w:lang w:val="es-CR" w:eastAsia="en-US"/>
        </w:rPr>
      </w:pPr>
      <w:r w:rsidRPr="002C0DC3">
        <w:rPr>
          <w:rFonts w:eastAsia="Calibri"/>
          <w:lang w:val="es-CR" w:eastAsia="en-US"/>
        </w:rPr>
        <w:lastRenderedPageBreak/>
        <w:t xml:space="preserve">Una situación muy similar aconteció con </w:t>
      </w:r>
      <w:r w:rsidRPr="002C0DC3">
        <w:rPr>
          <w:rFonts w:eastAsia="Calibri"/>
          <w:i/>
          <w:iCs/>
          <w:lang w:val="es-CR" w:eastAsia="en-US"/>
        </w:rPr>
        <w:t>los rechazos de plano proceso SEP</w:t>
      </w:r>
      <w:r w:rsidRPr="002C0DC3">
        <w:rPr>
          <w:rFonts w:eastAsia="Calibri"/>
          <w:lang w:val="es-CR" w:eastAsia="en-US"/>
        </w:rPr>
        <w:t>, en cuyo caso el volumen se redujo en casi una cuarta parte (24%), el equivalente a 1.039 asuntos.</w:t>
      </w:r>
    </w:p>
    <w:p w14:paraId="02FCCEAC" w14:textId="77777777" w:rsidR="002C0DC3" w:rsidRPr="002C0DC3" w:rsidRDefault="002C0DC3" w:rsidP="002C0DC3">
      <w:pPr>
        <w:suppressAutoHyphens w:val="0"/>
        <w:ind w:left="851" w:right="851" w:firstLine="709"/>
        <w:contextualSpacing/>
        <w:jc w:val="both"/>
        <w:rPr>
          <w:rFonts w:eastAsia="Calibri"/>
          <w:lang w:val="es-CR" w:eastAsia="en-US"/>
        </w:rPr>
      </w:pPr>
    </w:p>
    <w:p w14:paraId="37914146" w14:textId="77777777" w:rsidR="002C0DC3" w:rsidRPr="002C0DC3" w:rsidRDefault="002C0DC3" w:rsidP="00CE3D95">
      <w:pPr>
        <w:numPr>
          <w:ilvl w:val="0"/>
          <w:numId w:val="31"/>
        </w:numPr>
        <w:suppressAutoHyphens w:val="0"/>
        <w:ind w:left="851" w:right="851" w:firstLine="709"/>
        <w:contextualSpacing/>
        <w:jc w:val="both"/>
        <w:rPr>
          <w:rFonts w:eastAsia="Calibri"/>
          <w:lang w:val="es-CR" w:eastAsia="en-US"/>
        </w:rPr>
      </w:pPr>
      <w:r w:rsidRPr="002C0DC3">
        <w:rPr>
          <w:rFonts w:eastAsia="Calibri"/>
          <w:lang w:val="es-CR" w:eastAsia="en-US"/>
        </w:rPr>
        <w:t xml:space="preserve">Algunos otros aspectos rescatables son el incremento en las </w:t>
      </w:r>
      <w:r w:rsidRPr="002C0DC3">
        <w:rPr>
          <w:rFonts w:eastAsia="Calibri"/>
          <w:i/>
          <w:iCs/>
          <w:lang w:val="es-CR" w:eastAsia="en-US"/>
        </w:rPr>
        <w:t xml:space="preserve">demandas </w:t>
      </w:r>
      <w:proofErr w:type="spellStart"/>
      <w:r w:rsidRPr="002C0DC3">
        <w:rPr>
          <w:rFonts w:eastAsia="Calibri"/>
          <w:i/>
          <w:iCs/>
          <w:lang w:val="es-CR" w:eastAsia="en-US"/>
        </w:rPr>
        <w:t>improponibles</w:t>
      </w:r>
      <w:proofErr w:type="spellEnd"/>
      <w:r w:rsidRPr="002C0DC3">
        <w:rPr>
          <w:rFonts w:eastAsia="Calibri"/>
          <w:i/>
          <w:iCs/>
          <w:lang w:val="es-CR" w:eastAsia="en-US"/>
        </w:rPr>
        <w:t xml:space="preserve"> SEP (+195), </w:t>
      </w:r>
      <w:r w:rsidRPr="002C0DC3">
        <w:rPr>
          <w:rFonts w:eastAsia="Calibri"/>
          <w:lang w:val="es-CR" w:eastAsia="en-US"/>
        </w:rPr>
        <w:t xml:space="preserve">la baja en los procesos de </w:t>
      </w:r>
      <w:r w:rsidRPr="002C0DC3">
        <w:rPr>
          <w:rFonts w:eastAsia="Calibri"/>
          <w:i/>
          <w:iCs/>
          <w:lang w:val="es-CR" w:eastAsia="en-US"/>
        </w:rPr>
        <w:t xml:space="preserve">Litis Pendencia (-487), </w:t>
      </w:r>
      <w:r w:rsidRPr="002C0DC3">
        <w:rPr>
          <w:rFonts w:eastAsia="Calibri"/>
          <w:lang w:val="es-CR" w:eastAsia="en-US"/>
        </w:rPr>
        <w:t xml:space="preserve">la disminución en los procesos donde se </w:t>
      </w:r>
      <w:r w:rsidRPr="002C0DC3">
        <w:rPr>
          <w:rFonts w:eastAsia="Calibri"/>
          <w:i/>
          <w:iCs/>
          <w:lang w:val="es-CR" w:eastAsia="en-US"/>
        </w:rPr>
        <w:t>finaliza la actividad no contenciosa (-411).</w:t>
      </w:r>
      <w:r w:rsidRPr="002C0DC3">
        <w:rPr>
          <w:rFonts w:eastAsia="Calibri"/>
          <w:lang w:val="es-CR" w:eastAsia="en-US"/>
        </w:rPr>
        <w:t xml:space="preserve"> </w:t>
      </w:r>
    </w:p>
    <w:p w14:paraId="5A81FB63" w14:textId="77777777" w:rsidR="002C0DC3" w:rsidRPr="002C0DC3" w:rsidRDefault="002C0DC3" w:rsidP="002C0DC3">
      <w:pPr>
        <w:suppressAutoHyphens w:val="0"/>
        <w:ind w:left="851" w:right="851" w:firstLine="709"/>
        <w:jc w:val="both"/>
        <w:rPr>
          <w:rFonts w:eastAsia="Calibri"/>
          <w:lang w:val="es-CR" w:eastAsia="en-US"/>
        </w:rPr>
      </w:pPr>
    </w:p>
    <w:p w14:paraId="4795F775"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 </w:t>
      </w:r>
      <w:r w:rsidRPr="002C0DC3">
        <w:rPr>
          <w:rFonts w:eastAsia="Calibri"/>
          <w:i/>
          <w:iCs/>
          <w:lang w:val="es-CR" w:eastAsia="en-US"/>
        </w:rPr>
        <w:t xml:space="preserve"> </w:t>
      </w:r>
      <w:r w:rsidRPr="002C0DC3">
        <w:rPr>
          <w:rFonts w:eastAsia="Calibri"/>
          <w:lang w:val="es-CR" w:eastAsia="en-US"/>
        </w:rPr>
        <w:t>La siguiente gráfica se observa la tendencia de los asuntos terminados sin tomar en cuenta las incompetencias determinadas.</w:t>
      </w:r>
    </w:p>
    <w:p w14:paraId="5F430BF5" w14:textId="77777777" w:rsidR="002C0DC3" w:rsidRPr="002C0DC3" w:rsidRDefault="002C0DC3" w:rsidP="002C0DC3">
      <w:pPr>
        <w:suppressAutoHyphens w:val="0"/>
        <w:ind w:right="851"/>
        <w:rPr>
          <w:rFonts w:eastAsia="Calibri"/>
          <w:b/>
          <w:bCs/>
          <w:lang w:val="es-CR" w:eastAsia="en-US"/>
        </w:rPr>
      </w:pPr>
    </w:p>
    <w:p w14:paraId="2A2EA8A5"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Gráfico N°4.2</w:t>
      </w:r>
    </w:p>
    <w:p w14:paraId="5B089855" w14:textId="77777777" w:rsidR="002C0DC3" w:rsidRPr="002C0DC3" w:rsidRDefault="002C0DC3" w:rsidP="002C0DC3">
      <w:pPr>
        <w:suppressAutoHyphens w:val="0"/>
        <w:jc w:val="center"/>
        <w:rPr>
          <w:rFonts w:eastAsia="Calibri"/>
          <w:lang w:val="es-CR" w:eastAsia="en-US"/>
        </w:rPr>
      </w:pPr>
      <w:r w:rsidRPr="002C0DC3">
        <w:rPr>
          <w:rFonts w:eastAsia="Calibri"/>
          <w:noProof/>
          <w:lang w:val="es-CR" w:eastAsia="es-CR"/>
        </w:rPr>
        <w:drawing>
          <wp:inline distT="0" distB="0" distL="0" distR="0" wp14:anchorId="2952BF7F" wp14:editId="66892295">
            <wp:extent cx="5638800" cy="3162300"/>
            <wp:effectExtent l="0" t="0" r="0" b="0"/>
            <wp:docPr id="10" name="Gráfico 10">
              <a:extLst xmlns:a="http://schemas.openxmlformats.org/drawingml/2006/main">
                <a:ext uri="{FF2B5EF4-FFF2-40B4-BE49-F238E27FC236}">
                  <a16:creationId xmlns:a16="http://schemas.microsoft.com/office/drawing/2014/main" id="{4F059AC0-C73B-4C56-BAB8-C321DF9CF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C8DF46" w14:textId="77777777" w:rsidR="002C0DC3" w:rsidRPr="002C0DC3" w:rsidRDefault="002C0DC3" w:rsidP="002C0DC3">
      <w:pPr>
        <w:widowControl w:val="0"/>
        <w:suppressAutoHyphens w:val="0"/>
        <w:autoSpaceDE w:val="0"/>
        <w:autoSpaceDN w:val="0"/>
        <w:adjustRightInd w:val="0"/>
        <w:jc w:val="both"/>
        <w:rPr>
          <w:lang w:eastAsia="es-ES"/>
        </w:rPr>
      </w:pPr>
    </w:p>
    <w:p w14:paraId="7C2A7DE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El impacto a la baja registrado en los asuntos terminados sin incompetencias se traduce en 7.803 asuntos para el 2020, haciendo que la variable retorne a niveles inferiores a los 90 mil casos anuales e interrumpiendo la tendencia creciente que venía generándose a partir del período 2018. </w:t>
      </w:r>
    </w:p>
    <w:p w14:paraId="052E1D42"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p>
    <w:p w14:paraId="552521F3"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r w:rsidRPr="002C0DC3">
        <w:rPr>
          <w:lang w:eastAsia="es-ES"/>
        </w:rPr>
        <w:t xml:space="preserve">A continuación, en el cuadro 4.3 muestra los juzgados que contabilizaron las mayores y menores cifras de casos terminados en la actualidad, como se puede apreciar el Juzgado de Cobro del I Circuito Judicial de Alajuela representa la </w:t>
      </w:r>
      <w:r w:rsidRPr="002C0DC3">
        <w:rPr>
          <w:lang w:eastAsia="es-ES"/>
        </w:rPr>
        <w:lastRenderedPageBreak/>
        <w:t>mayor cantidad de asuntos concluidos con 15.157, mientras que, el Juzgado de Cobro de Golfito muestra la menor cifra de terminados con 1.686 asuntos.</w:t>
      </w:r>
    </w:p>
    <w:p w14:paraId="0C94513B"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
          <w:lang w:val="es-CR" w:eastAsia="en-US"/>
        </w:rPr>
      </w:pPr>
    </w:p>
    <w:p w14:paraId="30FCF1C4"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N°4.3</w:t>
      </w:r>
    </w:p>
    <w:p w14:paraId="40C34CC8" w14:textId="275A5A31" w:rsid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Despachos con mayores y menores cifras</w:t>
      </w:r>
      <w:r>
        <w:rPr>
          <w:rFonts w:eastAsia="Calibri"/>
          <w:b/>
          <w:lang w:val="es-CR" w:eastAsia="en-US"/>
        </w:rPr>
        <w:t xml:space="preserve"> </w:t>
      </w:r>
      <w:r w:rsidRPr="002C0DC3">
        <w:rPr>
          <w:rFonts w:eastAsia="Calibri"/>
          <w:b/>
          <w:lang w:val="es-CR" w:eastAsia="en-US"/>
        </w:rPr>
        <w:t>de casos terminados, período 2020</w:t>
      </w:r>
    </w:p>
    <w:p w14:paraId="5042D601"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0"/>
        <w:gridCol w:w="1530"/>
        <w:gridCol w:w="1174"/>
      </w:tblGrid>
      <w:tr w:rsidR="002C0DC3" w:rsidRPr="002C0DC3" w14:paraId="0CA8518A" w14:textId="77777777" w:rsidTr="002C0DC3">
        <w:trPr>
          <w:trHeight w:val="306"/>
          <w:tblHeader/>
          <w:jc w:val="center"/>
        </w:trPr>
        <w:tc>
          <w:tcPr>
            <w:tcW w:w="6240" w:type="dxa"/>
            <w:shd w:val="clear" w:color="auto" w:fill="auto"/>
            <w:noWrap/>
            <w:vAlign w:val="center"/>
            <w:hideMark/>
          </w:tcPr>
          <w:p w14:paraId="1F656A9A"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n-US"/>
              </w:rPr>
              <w:t> </w:t>
            </w:r>
          </w:p>
        </w:tc>
        <w:tc>
          <w:tcPr>
            <w:tcW w:w="1530" w:type="dxa"/>
            <w:shd w:val="clear" w:color="auto" w:fill="auto"/>
            <w:noWrap/>
            <w:vAlign w:val="center"/>
            <w:hideMark/>
          </w:tcPr>
          <w:p w14:paraId="10B75689"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Casos</w:t>
            </w:r>
          </w:p>
        </w:tc>
        <w:tc>
          <w:tcPr>
            <w:tcW w:w="1174" w:type="dxa"/>
            <w:shd w:val="clear" w:color="auto" w:fill="auto"/>
            <w:noWrap/>
            <w:vAlign w:val="center"/>
            <w:hideMark/>
          </w:tcPr>
          <w:p w14:paraId="647F8F4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r>
      <w:tr w:rsidR="002C0DC3" w:rsidRPr="002C0DC3" w14:paraId="11AC4ED3" w14:textId="77777777" w:rsidTr="002C0DC3">
        <w:trPr>
          <w:trHeight w:val="296"/>
          <w:tblHeader/>
          <w:jc w:val="center"/>
        </w:trPr>
        <w:tc>
          <w:tcPr>
            <w:tcW w:w="6240" w:type="dxa"/>
            <w:shd w:val="clear" w:color="auto" w:fill="auto"/>
            <w:noWrap/>
            <w:vAlign w:val="center"/>
            <w:hideMark/>
          </w:tcPr>
          <w:p w14:paraId="304CDE32"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Juzgado</w:t>
            </w:r>
          </w:p>
        </w:tc>
        <w:tc>
          <w:tcPr>
            <w:tcW w:w="1530" w:type="dxa"/>
            <w:shd w:val="clear" w:color="auto" w:fill="auto"/>
            <w:noWrap/>
            <w:vAlign w:val="center"/>
            <w:hideMark/>
          </w:tcPr>
          <w:p w14:paraId="0FF4ED72"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Terminados</w:t>
            </w:r>
          </w:p>
        </w:tc>
        <w:tc>
          <w:tcPr>
            <w:tcW w:w="1174" w:type="dxa"/>
            <w:shd w:val="clear" w:color="auto" w:fill="auto"/>
            <w:noWrap/>
            <w:vAlign w:val="center"/>
            <w:hideMark/>
          </w:tcPr>
          <w:p w14:paraId="4245FA9E"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Detalle</w:t>
            </w:r>
          </w:p>
        </w:tc>
      </w:tr>
      <w:tr w:rsidR="002C0DC3" w:rsidRPr="002C0DC3" w14:paraId="4ABBC435" w14:textId="77777777" w:rsidTr="002C0DC3">
        <w:trPr>
          <w:trHeight w:val="306"/>
          <w:jc w:val="center"/>
        </w:trPr>
        <w:tc>
          <w:tcPr>
            <w:tcW w:w="6240" w:type="dxa"/>
            <w:shd w:val="clear" w:color="auto" w:fill="auto"/>
            <w:noWrap/>
            <w:vAlign w:val="center"/>
            <w:hideMark/>
          </w:tcPr>
          <w:p w14:paraId="1A58BCD0"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1530" w:type="dxa"/>
            <w:shd w:val="clear" w:color="auto" w:fill="auto"/>
            <w:noWrap/>
            <w:vAlign w:val="center"/>
            <w:hideMark/>
          </w:tcPr>
          <w:p w14:paraId="595027F7"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1174" w:type="dxa"/>
            <w:shd w:val="clear" w:color="auto" w:fill="auto"/>
            <w:noWrap/>
            <w:vAlign w:val="center"/>
            <w:hideMark/>
          </w:tcPr>
          <w:p w14:paraId="731A159B"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p>
        </w:tc>
      </w:tr>
      <w:tr w:rsidR="002C0DC3" w:rsidRPr="002C0DC3" w14:paraId="257E95E4" w14:textId="77777777" w:rsidTr="002C0DC3">
        <w:trPr>
          <w:trHeight w:val="275"/>
          <w:jc w:val="center"/>
        </w:trPr>
        <w:tc>
          <w:tcPr>
            <w:tcW w:w="6240" w:type="dxa"/>
            <w:shd w:val="clear" w:color="auto" w:fill="auto"/>
            <w:noWrap/>
          </w:tcPr>
          <w:p w14:paraId="20630A7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de Cobro del I Circ. Jud. Alajuela</w:t>
            </w:r>
          </w:p>
        </w:tc>
        <w:tc>
          <w:tcPr>
            <w:tcW w:w="1530" w:type="dxa"/>
            <w:shd w:val="clear" w:color="auto" w:fill="auto"/>
            <w:noWrap/>
          </w:tcPr>
          <w:p w14:paraId="1295F9BC"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15.157</w:t>
            </w:r>
          </w:p>
        </w:tc>
        <w:tc>
          <w:tcPr>
            <w:tcW w:w="1174" w:type="dxa"/>
            <w:vMerge w:val="restart"/>
            <w:shd w:val="clear" w:color="auto" w:fill="auto"/>
            <w:vAlign w:val="center"/>
            <w:hideMark/>
          </w:tcPr>
          <w:p w14:paraId="1E9A6E1A"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Mayores Cifras</w:t>
            </w:r>
          </w:p>
        </w:tc>
      </w:tr>
      <w:tr w:rsidR="002C0DC3" w:rsidRPr="002C0DC3" w14:paraId="04162EB1" w14:textId="77777777" w:rsidTr="002C0DC3">
        <w:trPr>
          <w:trHeight w:val="561"/>
          <w:jc w:val="center"/>
        </w:trPr>
        <w:tc>
          <w:tcPr>
            <w:tcW w:w="6240" w:type="dxa"/>
            <w:shd w:val="clear" w:color="auto" w:fill="auto"/>
            <w:noWrap/>
          </w:tcPr>
          <w:p w14:paraId="0449196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Primero Especializado de Cobro I Circ. Jud. San José</w:t>
            </w:r>
          </w:p>
        </w:tc>
        <w:tc>
          <w:tcPr>
            <w:tcW w:w="1530" w:type="dxa"/>
            <w:shd w:val="clear" w:color="auto" w:fill="auto"/>
            <w:noWrap/>
          </w:tcPr>
          <w:p w14:paraId="035F7802"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8.469</w:t>
            </w:r>
          </w:p>
        </w:tc>
        <w:tc>
          <w:tcPr>
            <w:tcW w:w="1174" w:type="dxa"/>
            <w:vMerge/>
            <w:vAlign w:val="center"/>
            <w:hideMark/>
          </w:tcPr>
          <w:p w14:paraId="008B891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015A3F9B" w14:textId="77777777" w:rsidTr="002C0DC3">
        <w:trPr>
          <w:trHeight w:val="551"/>
          <w:jc w:val="center"/>
        </w:trPr>
        <w:tc>
          <w:tcPr>
            <w:tcW w:w="6240" w:type="dxa"/>
            <w:shd w:val="clear" w:color="auto" w:fill="auto"/>
            <w:noWrap/>
          </w:tcPr>
          <w:p w14:paraId="6209E3CA"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Primero Especializado de Cobro Cartago</w:t>
            </w:r>
          </w:p>
        </w:tc>
        <w:tc>
          <w:tcPr>
            <w:tcW w:w="1530" w:type="dxa"/>
            <w:shd w:val="clear" w:color="auto" w:fill="auto"/>
            <w:noWrap/>
          </w:tcPr>
          <w:p w14:paraId="30749728"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7.453</w:t>
            </w:r>
          </w:p>
        </w:tc>
        <w:tc>
          <w:tcPr>
            <w:tcW w:w="1174" w:type="dxa"/>
            <w:vMerge/>
            <w:vAlign w:val="center"/>
            <w:hideMark/>
          </w:tcPr>
          <w:p w14:paraId="03D79AC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1C0DBACD" w14:textId="77777777" w:rsidTr="002C0DC3">
        <w:trPr>
          <w:trHeight w:val="285"/>
          <w:jc w:val="center"/>
        </w:trPr>
        <w:tc>
          <w:tcPr>
            <w:tcW w:w="6240" w:type="dxa"/>
            <w:shd w:val="clear" w:color="auto" w:fill="auto"/>
            <w:noWrap/>
          </w:tcPr>
          <w:p w14:paraId="7E46D95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de Cobro de Golfito</w:t>
            </w:r>
          </w:p>
        </w:tc>
        <w:tc>
          <w:tcPr>
            <w:tcW w:w="1530" w:type="dxa"/>
            <w:shd w:val="clear" w:color="auto" w:fill="auto"/>
            <w:noWrap/>
          </w:tcPr>
          <w:p w14:paraId="7F0C31F2"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1.686</w:t>
            </w:r>
          </w:p>
        </w:tc>
        <w:tc>
          <w:tcPr>
            <w:tcW w:w="1174" w:type="dxa"/>
            <w:vMerge w:val="restart"/>
            <w:shd w:val="clear" w:color="auto" w:fill="auto"/>
            <w:vAlign w:val="center"/>
            <w:hideMark/>
          </w:tcPr>
          <w:p w14:paraId="11E512C5"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Menores Cifras</w:t>
            </w:r>
          </w:p>
        </w:tc>
      </w:tr>
      <w:tr w:rsidR="002C0DC3" w:rsidRPr="002C0DC3" w14:paraId="26CD6D17" w14:textId="77777777" w:rsidTr="002C0DC3">
        <w:trPr>
          <w:trHeight w:val="51"/>
          <w:jc w:val="center"/>
        </w:trPr>
        <w:tc>
          <w:tcPr>
            <w:tcW w:w="6240" w:type="dxa"/>
            <w:shd w:val="clear" w:color="auto" w:fill="auto"/>
            <w:noWrap/>
            <w:hideMark/>
          </w:tcPr>
          <w:p w14:paraId="55C41CE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de Cobro III Circ. Jud. Alajuela (San Ramón)</w:t>
            </w:r>
          </w:p>
        </w:tc>
        <w:tc>
          <w:tcPr>
            <w:tcW w:w="1530" w:type="dxa"/>
            <w:shd w:val="clear" w:color="auto" w:fill="auto"/>
            <w:noWrap/>
          </w:tcPr>
          <w:p w14:paraId="5F954F89"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1.770</w:t>
            </w:r>
          </w:p>
        </w:tc>
        <w:tc>
          <w:tcPr>
            <w:tcW w:w="1174" w:type="dxa"/>
            <w:vMerge/>
            <w:vAlign w:val="center"/>
            <w:hideMark/>
          </w:tcPr>
          <w:p w14:paraId="7E192C8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5E7848C8" w14:textId="77777777" w:rsidTr="002C0DC3">
        <w:trPr>
          <w:trHeight w:val="275"/>
          <w:jc w:val="center"/>
        </w:trPr>
        <w:tc>
          <w:tcPr>
            <w:tcW w:w="6240" w:type="dxa"/>
            <w:shd w:val="clear" w:color="auto" w:fill="auto"/>
            <w:noWrap/>
          </w:tcPr>
          <w:p w14:paraId="31DEDA8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Juzgado de Cobro y Tránsito II Circ. Jud. Guanacaste (Santa Cruz)</w:t>
            </w:r>
          </w:p>
        </w:tc>
        <w:tc>
          <w:tcPr>
            <w:tcW w:w="1530" w:type="dxa"/>
            <w:shd w:val="clear" w:color="auto" w:fill="auto"/>
            <w:noWrap/>
          </w:tcPr>
          <w:p w14:paraId="4D735333"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2.129</w:t>
            </w:r>
          </w:p>
        </w:tc>
        <w:tc>
          <w:tcPr>
            <w:tcW w:w="1174" w:type="dxa"/>
            <w:vMerge/>
            <w:vAlign w:val="center"/>
            <w:hideMark/>
          </w:tcPr>
          <w:p w14:paraId="5C4BAEA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32417D6E" w14:textId="77777777" w:rsidTr="002C0DC3">
        <w:trPr>
          <w:trHeight w:val="306"/>
          <w:jc w:val="center"/>
        </w:trPr>
        <w:tc>
          <w:tcPr>
            <w:tcW w:w="6240" w:type="dxa"/>
            <w:shd w:val="clear" w:color="auto" w:fill="auto"/>
            <w:noWrap/>
            <w:vAlign w:val="center"/>
            <w:hideMark/>
          </w:tcPr>
          <w:p w14:paraId="478D141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1530" w:type="dxa"/>
            <w:shd w:val="clear" w:color="auto" w:fill="auto"/>
            <w:noWrap/>
            <w:vAlign w:val="center"/>
            <w:hideMark/>
          </w:tcPr>
          <w:p w14:paraId="0A49BF95"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p>
        </w:tc>
        <w:tc>
          <w:tcPr>
            <w:tcW w:w="1174" w:type="dxa"/>
            <w:shd w:val="clear" w:color="auto" w:fill="auto"/>
            <w:noWrap/>
            <w:vAlign w:val="center"/>
            <w:hideMark/>
          </w:tcPr>
          <w:p w14:paraId="4A47743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r>
      <w:tr w:rsidR="002C0DC3" w:rsidRPr="002C0DC3" w14:paraId="79D26378" w14:textId="77777777" w:rsidTr="002C0DC3">
        <w:trPr>
          <w:trHeight w:val="255"/>
          <w:jc w:val="center"/>
        </w:trPr>
        <w:tc>
          <w:tcPr>
            <w:tcW w:w="8944" w:type="dxa"/>
            <w:gridSpan w:val="3"/>
            <w:shd w:val="clear" w:color="auto" w:fill="auto"/>
            <w:noWrap/>
            <w:vAlign w:val="center"/>
          </w:tcPr>
          <w:p w14:paraId="1575A19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Elaborado por: Subproceso de Estadística, Dirección de Planificación.</w:t>
            </w:r>
          </w:p>
          <w:p w14:paraId="5CC4829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bl>
    <w:p w14:paraId="173EEE87" w14:textId="77777777" w:rsidR="002C0DC3" w:rsidRPr="002C0DC3" w:rsidRDefault="002C0DC3" w:rsidP="002C0DC3">
      <w:pPr>
        <w:suppressAutoHyphens w:val="0"/>
        <w:jc w:val="both"/>
        <w:rPr>
          <w:rFonts w:eastAsia="Calibri"/>
          <w:lang w:val="es-CR" w:eastAsia="en-US"/>
        </w:rPr>
      </w:pPr>
    </w:p>
    <w:p w14:paraId="6451754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El Juzgado de cobro del Primer Circuito Judicial de Alajuela se muestra como el despacho con el mayor volumen de asuntos terminados para el período 2020, registrando poco más de 15 casos finalizados y excediendo en 6.688 expedientes al segundo más representativo (Primero Especializado de San José). El primero especializado de Cartago se ubica como tercero en importancia, alcanzando un volumen productivo ligeramente por encima de siete mil cuatrocientos resoluciones anuales.  </w:t>
      </w:r>
    </w:p>
    <w:p w14:paraId="240DF705" w14:textId="77777777" w:rsidR="002C0DC3" w:rsidRPr="002C0DC3" w:rsidRDefault="002C0DC3" w:rsidP="002C0DC3">
      <w:pPr>
        <w:suppressAutoHyphens w:val="0"/>
        <w:ind w:left="851" w:right="851" w:firstLine="709"/>
        <w:jc w:val="both"/>
        <w:rPr>
          <w:rFonts w:eastAsia="Calibri"/>
          <w:lang w:val="es-CR" w:eastAsia="en-US"/>
        </w:rPr>
      </w:pPr>
    </w:p>
    <w:p w14:paraId="46CA51CF" w14:textId="77777777" w:rsidR="002C0DC3" w:rsidRPr="002C0DC3" w:rsidRDefault="002C0DC3" w:rsidP="002C0DC3">
      <w:pPr>
        <w:keepNext/>
        <w:keepLines/>
        <w:suppressAutoHyphens w:val="0"/>
        <w:ind w:left="851" w:right="851" w:firstLine="709"/>
        <w:jc w:val="both"/>
        <w:rPr>
          <w:b/>
          <w:lang w:val="es-CR" w:eastAsia="es-CR"/>
        </w:rPr>
      </w:pPr>
      <w:bookmarkStart w:id="10" w:name="_Toc74138068"/>
      <w:bookmarkStart w:id="11" w:name="_Toc80351022"/>
      <w:r w:rsidRPr="002C0DC3">
        <w:rPr>
          <w:b/>
          <w:lang w:val="es-CR" w:eastAsia="es-CR"/>
        </w:rPr>
        <w:t>Duraciones Promedio</w:t>
      </w:r>
      <w:bookmarkEnd w:id="10"/>
      <w:bookmarkEnd w:id="11"/>
    </w:p>
    <w:p w14:paraId="5AB1479E"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p>
    <w:p w14:paraId="5E1554EF"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r w:rsidRPr="002C0DC3">
        <w:rPr>
          <w:rFonts w:eastAsia="Calibri"/>
          <w:lang w:val="es-CR" w:eastAsia="en-US"/>
        </w:rPr>
        <w:t xml:space="preserve">Los juzgados competentes en materia de cobro judicial emplearon en 2020 un tiempo promedio de 33 meses y 1 semana aproximadamente, para la resolución de los 98.230 procesos. Respecto a dichos valores, destaca que el volumen de resoluciones se redujo respecto a 2019 en 32.833 casos terminados, mientras que la duración promedio aumento en 6 meses y dos semanas. En los casos terminados, el motivo de término de mayor duración promedio fue el </w:t>
      </w:r>
      <w:r w:rsidRPr="002C0DC3">
        <w:rPr>
          <w:rFonts w:eastAsia="Calibri"/>
          <w:i/>
          <w:iCs/>
          <w:lang w:val="es-CR" w:eastAsia="en-US"/>
        </w:rPr>
        <w:t xml:space="preserve">Arreglo Extrajudicial/acuerdo, entre partes </w:t>
      </w:r>
      <w:r w:rsidRPr="002C0DC3">
        <w:rPr>
          <w:rFonts w:eastAsia="Calibri"/>
          <w:lang w:val="es-CR" w:eastAsia="en-US"/>
        </w:rPr>
        <w:t xml:space="preserve">con 129 meses y 3 semanas, seguido </w:t>
      </w:r>
      <w:r w:rsidRPr="002C0DC3">
        <w:rPr>
          <w:rFonts w:eastAsia="Calibri"/>
          <w:lang w:val="es-CR" w:eastAsia="en-US"/>
        </w:rPr>
        <w:lastRenderedPageBreak/>
        <w:t xml:space="preserve">por </w:t>
      </w:r>
      <w:r w:rsidRPr="002C0DC3">
        <w:rPr>
          <w:rFonts w:eastAsia="Calibri"/>
          <w:i/>
          <w:iCs/>
          <w:lang w:val="es-CR" w:eastAsia="en-US"/>
        </w:rPr>
        <w:t>Resolución fondo S.E.P (INC o TER)</w:t>
      </w:r>
      <w:r w:rsidRPr="002C0DC3">
        <w:rPr>
          <w:rFonts w:eastAsia="Calibri"/>
          <w:lang w:val="es-CR" w:eastAsia="en-US"/>
        </w:rPr>
        <w:t xml:space="preserve"> con 104 meses y tres semanas y las </w:t>
      </w:r>
      <w:r w:rsidRPr="002C0DC3">
        <w:rPr>
          <w:rFonts w:eastAsia="Calibri"/>
          <w:i/>
          <w:iCs/>
          <w:lang w:val="es-CR" w:eastAsia="en-US"/>
        </w:rPr>
        <w:t xml:space="preserve">Comisiones Diligenciadas (14 fallos) </w:t>
      </w:r>
      <w:r w:rsidRPr="002C0DC3">
        <w:rPr>
          <w:rFonts w:eastAsia="Calibri"/>
          <w:lang w:val="es-CR" w:eastAsia="en-US"/>
        </w:rPr>
        <w:t xml:space="preserve">con 99 meses y 2 semanas. </w:t>
      </w:r>
    </w:p>
    <w:p w14:paraId="73683B2C"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p>
    <w:p w14:paraId="00B30BD6"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i/>
          <w:iCs/>
          <w:lang w:val="es-CR" w:eastAsia="en-US"/>
        </w:rPr>
      </w:pPr>
      <w:r w:rsidRPr="002C0DC3">
        <w:rPr>
          <w:rFonts w:eastAsia="Calibri"/>
          <w:lang w:val="es-CR" w:eastAsia="en-US"/>
        </w:rPr>
        <w:t xml:space="preserve">Entre los Motivos de Términos que más resoluciones generaron en 2020, destacan por sus duraciones más elevadas las siguientes; </w:t>
      </w:r>
      <w:r w:rsidRPr="002C0DC3">
        <w:rPr>
          <w:rFonts w:eastAsia="Calibri"/>
          <w:i/>
          <w:iCs/>
          <w:lang w:val="es-CR" w:eastAsia="en-US"/>
        </w:rPr>
        <w:t xml:space="preserve">Sentencia en principal </w:t>
      </w:r>
      <w:r w:rsidRPr="002C0DC3">
        <w:rPr>
          <w:rFonts w:eastAsia="Calibri"/>
          <w:lang w:val="es-CR" w:eastAsia="en-US"/>
        </w:rPr>
        <w:t xml:space="preserve">(74 meses 1 semana), experimentando con ese dato un incremento respeto al año anterior de 2 meses más en promedio para cada sentencia, </w:t>
      </w:r>
      <w:r w:rsidRPr="002C0DC3">
        <w:rPr>
          <w:rFonts w:eastAsia="Calibri"/>
          <w:i/>
          <w:iCs/>
          <w:lang w:val="es-CR" w:eastAsia="en-US"/>
        </w:rPr>
        <w:t>Por Ejecución Cumplida (</w:t>
      </w:r>
      <w:r w:rsidRPr="002C0DC3">
        <w:rPr>
          <w:rFonts w:eastAsia="Calibri"/>
          <w:lang w:val="es-CR" w:eastAsia="en-US"/>
        </w:rPr>
        <w:t xml:space="preserve">57 meses), aumentando su duración en 12 meses y una semana y el </w:t>
      </w:r>
      <w:proofErr w:type="spellStart"/>
      <w:r w:rsidRPr="002C0DC3">
        <w:rPr>
          <w:rFonts w:eastAsia="Calibri"/>
          <w:i/>
          <w:iCs/>
          <w:lang w:val="es-CR" w:eastAsia="en-US"/>
        </w:rPr>
        <w:t>Desestimiento</w:t>
      </w:r>
      <w:proofErr w:type="spellEnd"/>
      <w:r w:rsidRPr="002C0DC3">
        <w:rPr>
          <w:rFonts w:eastAsia="Calibri"/>
          <w:i/>
          <w:iCs/>
          <w:lang w:val="es-CR" w:eastAsia="en-US"/>
        </w:rPr>
        <w:t xml:space="preserve"> Total SEP</w:t>
      </w:r>
      <w:r w:rsidRPr="002C0DC3">
        <w:rPr>
          <w:rFonts w:eastAsia="Calibri"/>
          <w:lang w:val="es-CR" w:eastAsia="en-US"/>
        </w:rPr>
        <w:t xml:space="preserve"> (51 meses 3 semanas) con un incremento de 11 meses y una semana. </w:t>
      </w:r>
      <w:r w:rsidRPr="002C0DC3">
        <w:rPr>
          <w:rFonts w:eastAsia="Calibri"/>
          <w:i/>
          <w:iCs/>
          <w:lang w:val="es-CR" w:eastAsia="en-US"/>
        </w:rPr>
        <w:t xml:space="preserve"> </w:t>
      </w:r>
    </w:p>
    <w:p w14:paraId="6FD9C62A" w14:textId="77777777" w:rsidR="002C0DC3" w:rsidRPr="002C0DC3" w:rsidRDefault="002C0DC3" w:rsidP="002C0DC3">
      <w:pPr>
        <w:suppressAutoHyphens w:val="0"/>
        <w:ind w:left="851" w:right="851" w:firstLine="709"/>
        <w:jc w:val="both"/>
        <w:rPr>
          <w:rFonts w:eastAsia="Calibri"/>
          <w:i/>
          <w:iCs/>
          <w:lang w:val="es-CR" w:eastAsia="en-US"/>
        </w:rPr>
      </w:pPr>
    </w:p>
    <w:p w14:paraId="109426A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Seguidamente se muestra el detalle por Motivo de Término para las duraciones promedio por los Juzgados de Cobro a nivel nacional.</w:t>
      </w:r>
    </w:p>
    <w:p w14:paraId="1E9BC18B" w14:textId="77777777" w:rsidR="002C0DC3" w:rsidRPr="002C0DC3" w:rsidRDefault="002C0DC3" w:rsidP="002C0DC3">
      <w:pPr>
        <w:suppressAutoHyphens w:val="0"/>
        <w:ind w:left="851" w:right="851" w:firstLine="709"/>
        <w:jc w:val="both"/>
        <w:rPr>
          <w:rFonts w:eastAsia="Calibri"/>
          <w:lang w:val="es-CR" w:eastAsia="en-US"/>
        </w:rPr>
      </w:pPr>
    </w:p>
    <w:p w14:paraId="585CA20C" w14:textId="77777777" w:rsidR="002C0DC3" w:rsidRPr="002C0DC3" w:rsidRDefault="002C0DC3" w:rsidP="002C0DC3">
      <w:pPr>
        <w:suppressAutoHyphens w:val="0"/>
        <w:ind w:left="851" w:right="851" w:firstLine="709"/>
        <w:jc w:val="center"/>
        <w:rPr>
          <w:rFonts w:eastAsia="Calibri"/>
          <w:b/>
          <w:lang w:val="es-CR" w:eastAsia="en-US"/>
        </w:rPr>
      </w:pPr>
      <w:r w:rsidRPr="002C0DC3">
        <w:rPr>
          <w:rFonts w:eastAsia="Calibri"/>
          <w:b/>
          <w:lang w:val="es-CR" w:eastAsia="en-US"/>
        </w:rPr>
        <w:t>Cuadro N°5.1</w:t>
      </w:r>
    </w:p>
    <w:p w14:paraId="74C19B2B" w14:textId="77777777" w:rsidR="002C0DC3" w:rsidRPr="002C0DC3" w:rsidRDefault="002C0DC3" w:rsidP="002C0DC3">
      <w:pPr>
        <w:suppressAutoHyphens w:val="0"/>
        <w:ind w:left="851" w:right="851" w:firstLine="709"/>
        <w:jc w:val="center"/>
        <w:rPr>
          <w:rFonts w:eastAsia="Calibri"/>
          <w:b/>
          <w:lang w:val="es-CR" w:eastAsia="en-US"/>
        </w:rPr>
      </w:pPr>
      <w:r w:rsidRPr="002C0DC3">
        <w:rPr>
          <w:rFonts w:eastAsia="Calibri"/>
          <w:b/>
          <w:lang w:val="es-CR" w:eastAsia="en-US"/>
        </w:rPr>
        <w:t>Juzgados de Cobro Judicial: Mayores duraciones promedio de los casos terminados según el motivo de término, período 2020</w:t>
      </w:r>
    </w:p>
    <w:p w14:paraId="426AC7A4" w14:textId="77777777" w:rsidR="002C0DC3" w:rsidRPr="002C0DC3" w:rsidRDefault="002C0DC3" w:rsidP="002C0DC3">
      <w:pPr>
        <w:suppressAutoHyphens w:val="0"/>
        <w:ind w:left="851" w:right="851"/>
        <w:jc w:val="center"/>
        <w:rPr>
          <w:rFonts w:eastAsia="Calibri"/>
          <w:b/>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1"/>
        <w:gridCol w:w="1436"/>
        <w:gridCol w:w="2708"/>
      </w:tblGrid>
      <w:tr w:rsidR="002C0DC3" w:rsidRPr="002C0DC3" w14:paraId="2BD3C371" w14:textId="77777777" w:rsidTr="002C0DC3">
        <w:trPr>
          <w:trHeight w:val="282"/>
          <w:tblHeader/>
          <w:jc w:val="center"/>
        </w:trPr>
        <w:tc>
          <w:tcPr>
            <w:tcW w:w="2795" w:type="pct"/>
            <w:vMerge w:val="restart"/>
            <w:shd w:val="clear" w:color="auto" w:fill="auto"/>
            <w:noWrap/>
            <w:hideMark/>
          </w:tcPr>
          <w:p w14:paraId="1579C4B5" w14:textId="77777777" w:rsidR="002C0DC3" w:rsidRPr="002C0DC3" w:rsidRDefault="002C0DC3" w:rsidP="002C0DC3">
            <w:pPr>
              <w:suppressAutoHyphens w:val="0"/>
              <w:jc w:val="center"/>
              <w:rPr>
                <w:rFonts w:eastAsia="Calibri"/>
                <w:b/>
                <w:bCs/>
                <w:lang w:val="es-CR" w:eastAsia="es-CR"/>
              </w:rPr>
            </w:pPr>
          </w:p>
          <w:p w14:paraId="7B7C1D55"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n-US"/>
              </w:rPr>
              <w:t>Motivo de Término</w:t>
            </w:r>
          </w:p>
        </w:tc>
        <w:tc>
          <w:tcPr>
            <w:tcW w:w="764" w:type="pct"/>
            <w:vMerge w:val="restart"/>
            <w:shd w:val="clear" w:color="auto" w:fill="auto"/>
            <w:noWrap/>
            <w:vAlign w:val="center"/>
            <w:hideMark/>
          </w:tcPr>
          <w:p w14:paraId="637E2DF4"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Casos</w:t>
            </w:r>
          </w:p>
        </w:tc>
        <w:tc>
          <w:tcPr>
            <w:tcW w:w="1441" w:type="pct"/>
            <w:shd w:val="clear" w:color="auto" w:fill="auto"/>
            <w:noWrap/>
            <w:vAlign w:val="center"/>
            <w:hideMark/>
          </w:tcPr>
          <w:p w14:paraId="7AB5CF04"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Duración</w:t>
            </w:r>
          </w:p>
        </w:tc>
      </w:tr>
      <w:tr w:rsidR="002C0DC3" w:rsidRPr="002C0DC3" w14:paraId="19544136" w14:textId="77777777" w:rsidTr="002C0DC3">
        <w:trPr>
          <w:trHeight w:val="272"/>
          <w:tblHeader/>
          <w:jc w:val="center"/>
        </w:trPr>
        <w:tc>
          <w:tcPr>
            <w:tcW w:w="2795" w:type="pct"/>
            <w:vMerge/>
            <w:shd w:val="clear" w:color="auto" w:fill="auto"/>
            <w:noWrap/>
            <w:vAlign w:val="center"/>
            <w:hideMark/>
          </w:tcPr>
          <w:p w14:paraId="75FD8A9B" w14:textId="77777777" w:rsidR="002C0DC3" w:rsidRPr="002C0DC3" w:rsidRDefault="002C0DC3" w:rsidP="002C0DC3">
            <w:pPr>
              <w:suppressAutoHyphens w:val="0"/>
              <w:jc w:val="center"/>
              <w:rPr>
                <w:rFonts w:eastAsia="Calibri"/>
                <w:b/>
                <w:bCs/>
                <w:lang w:val="es-CR" w:eastAsia="en-US"/>
              </w:rPr>
            </w:pPr>
          </w:p>
        </w:tc>
        <w:tc>
          <w:tcPr>
            <w:tcW w:w="764" w:type="pct"/>
            <w:vMerge/>
            <w:shd w:val="clear" w:color="auto" w:fill="auto"/>
            <w:noWrap/>
            <w:vAlign w:val="center"/>
            <w:hideMark/>
          </w:tcPr>
          <w:p w14:paraId="1ABB643B" w14:textId="77777777" w:rsidR="002C0DC3" w:rsidRPr="002C0DC3" w:rsidRDefault="002C0DC3" w:rsidP="002C0DC3">
            <w:pPr>
              <w:suppressAutoHyphens w:val="0"/>
              <w:jc w:val="center"/>
              <w:rPr>
                <w:rFonts w:eastAsia="Calibri"/>
                <w:b/>
                <w:bCs/>
                <w:lang w:val="es-CR" w:eastAsia="en-US"/>
              </w:rPr>
            </w:pPr>
          </w:p>
        </w:tc>
        <w:tc>
          <w:tcPr>
            <w:tcW w:w="1441" w:type="pct"/>
            <w:shd w:val="clear" w:color="auto" w:fill="auto"/>
            <w:noWrap/>
            <w:vAlign w:val="center"/>
            <w:hideMark/>
          </w:tcPr>
          <w:p w14:paraId="2200F218"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Promedio</w:t>
            </w:r>
          </w:p>
        </w:tc>
      </w:tr>
      <w:tr w:rsidR="002C0DC3" w:rsidRPr="002C0DC3" w14:paraId="0D7E56C4" w14:textId="77777777" w:rsidTr="002C0DC3">
        <w:trPr>
          <w:trHeight w:val="282"/>
          <w:jc w:val="center"/>
        </w:trPr>
        <w:tc>
          <w:tcPr>
            <w:tcW w:w="2795" w:type="pct"/>
            <w:shd w:val="clear" w:color="auto" w:fill="auto"/>
            <w:noWrap/>
            <w:vAlign w:val="center"/>
            <w:hideMark/>
          </w:tcPr>
          <w:p w14:paraId="50567AD3"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Total</w:t>
            </w:r>
          </w:p>
        </w:tc>
        <w:tc>
          <w:tcPr>
            <w:tcW w:w="764" w:type="pct"/>
            <w:shd w:val="clear" w:color="auto" w:fill="auto"/>
            <w:noWrap/>
            <w:vAlign w:val="center"/>
            <w:hideMark/>
          </w:tcPr>
          <w:p w14:paraId="20B2D210" w14:textId="77777777" w:rsidR="002C0DC3" w:rsidRPr="002C0DC3" w:rsidRDefault="002C0DC3" w:rsidP="002C0DC3">
            <w:pPr>
              <w:suppressAutoHyphens w:val="0"/>
              <w:jc w:val="center"/>
              <w:rPr>
                <w:rFonts w:eastAsia="Calibri"/>
                <w:b/>
                <w:bCs/>
                <w:u w:val="single"/>
                <w:lang w:val="es-CR" w:eastAsia="en-US"/>
              </w:rPr>
            </w:pPr>
            <w:r w:rsidRPr="002C0DC3">
              <w:rPr>
                <w:rFonts w:eastAsia="Calibri"/>
                <w:b/>
                <w:bCs/>
                <w:u w:val="single"/>
                <w:lang w:val="es-CR" w:eastAsia="en-US"/>
              </w:rPr>
              <w:t>98.230</w:t>
            </w:r>
          </w:p>
        </w:tc>
        <w:tc>
          <w:tcPr>
            <w:tcW w:w="1441" w:type="pct"/>
            <w:shd w:val="clear" w:color="auto" w:fill="auto"/>
            <w:noWrap/>
            <w:vAlign w:val="center"/>
            <w:hideMark/>
          </w:tcPr>
          <w:p w14:paraId="07316863" w14:textId="77777777" w:rsidR="002C0DC3" w:rsidRPr="002C0DC3" w:rsidRDefault="002C0DC3" w:rsidP="002C0DC3">
            <w:pPr>
              <w:suppressAutoHyphens w:val="0"/>
              <w:jc w:val="both"/>
              <w:rPr>
                <w:rFonts w:eastAsia="Calibri"/>
                <w:b/>
                <w:bCs/>
                <w:lang w:val="es-CR" w:eastAsia="en-US"/>
              </w:rPr>
            </w:pPr>
            <w:r w:rsidRPr="002C0DC3">
              <w:rPr>
                <w:rFonts w:eastAsia="Calibri"/>
                <w:b/>
                <w:bCs/>
                <w:lang w:val="es-CR" w:eastAsia="en-US"/>
              </w:rPr>
              <w:t xml:space="preserve">    33 meses 1 semana</w:t>
            </w:r>
          </w:p>
        </w:tc>
      </w:tr>
      <w:tr w:rsidR="002C0DC3" w:rsidRPr="002C0DC3" w14:paraId="4C74FE26" w14:textId="77777777" w:rsidTr="002C0DC3">
        <w:trPr>
          <w:trHeight w:val="282"/>
          <w:jc w:val="center"/>
        </w:trPr>
        <w:tc>
          <w:tcPr>
            <w:tcW w:w="2795" w:type="pct"/>
            <w:shd w:val="clear" w:color="auto" w:fill="auto"/>
            <w:noWrap/>
            <w:vAlign w:val="center"/>
          </w:tcPr>
          <w:p w14:paraId="42D3448A" w14:textId="77777777" w:rsidR="002C0DC3" w:rsidRPr="002C0DC3" w:rsidRDefault="002C0DC3" w:rsidP="002C0DC3">
            <w:pPr>
              <w:suppressAutoHyphens w:val="0"/>
              <w:jc w:val="center"/>
              <w:rPr>
                <w:rFonts w:eastAsia="Calibri"/>
                <w:b/>
                <w:bCs/>
                <w:lang w:val="es-CR" w:eastAsia="en-US"/>
              </w:rPr>
            </w:pPr>
          </w:p>
        </w:tc>
        <w:tc>
          <w:tcPr>
            <w:tcW w:w="764" w:type="pct"/>
            <w:shd w:val="clear" w:color="auto" w:fill="auto"/>
            <w:noWrap/>
            <w:vAlign w:val="center"/>
          </w:tcPr>
          <w:p w14:paraId="3DF949D6" w14:textId="77777777" w:rsidR="002C0DC3" w:rsidRPr="002C0DC3" w:rsidRDefault="002C0DC3" w:rsidP="002C0DC3">
            <w:pPr>
              <w:suppressAutoHyphens w:val="0"/>
              <w:jc w:val="both"/>
              <w:rPr>
                <w:rFonts w:eastAsia="Calibri"/>
                <w:lang w:val="es-CR" w:eastAsia="en-US"/>
              </w:rPr>
            </w:pPr>
          </w:p>
        </w:tc>
        <w:tc>
          <w:tcPr>
            <w:tcW w:w="1441" w:type="pct"/>
            <w:shd w:val="clear" w:color="auto" w:fill="auto"/>
            <w:noWrap/>
            <w:vAlign w:val="center"/>
          </w:tcPr>
          <w:p w14:paraId="1F925935" w14:textId="77777777" w:rsidR="002C0DC3" w:rsidRPr="002C0DC3" w:rsidRDefault="002C0DC3" w:rsidP="002C0DC3">
            <w:pPr>
              <w:suppressAutoHyphens w:val="0"/>
              <w:jc w:val="both"/>
              <w:rPr>
                <w:rFonts w:eastAsia="Calibri"/>
                <w:lang w:val="es-CR" w:eastAsia="en-US"/>
              </w:rPr>
            </w:pPr>
          </w:p>
        </w:tc>
      </w:tr>
      <w:tr w:rsidR="002C0DC3" w:rsidRPr="002C0DC3" w14:paraId="40401023" w14:textId="77777777" w:rsidTr="002C0DC3">
        <w:trPr>
          <w:trHeight w:val="240"/>
          <w:jc w:val="center"/>
        </w:trPr>
        <w:tc>
          <w:tcPr>
            <w:tcW w:w="2795" w:type="pct"/>
            <w:shd w:val="clear" w:color="auto" w:fill="auto"/>
            <w:noWrap/>
          </w:tcPr>
          <w:p w14:paraId="3F46E4FA"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Arreglo extrajudicial / acuerdo de partes</w:t>
            </w:r>
          </w:p>
        </w:tc>
        <w:tc>
          <w:tcPr>
            <w:tcW w:w="764" w:type="pct"/>
            <w:shd w:val="clear" w:color="auto" w:fill="auto"/>
            <w:noWrap/>
          </w:tcPr>
          <w:p w14:paraId="1DCB1740"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1</w:t>
            </w:r>
          </w:p>
        </w:tc>
        <w:tc>
          <w:tcPr>
            <w:tcW w:w="1441" w:type="pct"/>
            <w:shd w:val="clear" w:color="auto" w:fill="auto"/>
            <w:noWrap/>
          </w:tcPr>
          <w:p w14:paraId="1347B038"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129 meses 3 semanas</w:t>
            </w:r>
          </w:p>
        </w:tc>
      </w:tr>
      <w:tr w:rsidR="002C0DC3" w:rsidRPr="002C0DC3" w14:paraId="4ABD911A" w14:textId="77777777" w:rsidTr="002C0DC3">
        <w:trPr>
          <w:trHeight w:val="240"/>
          <w:jc w:val="center"/>
        </w:trPr>
        <w:tc>
          <w:tcPr>
            <w:tcW w:w="2795" w:type="pct"/>
            <w:shd w:val="clear" w:color="auto" w:fill="auto"/>
            <w:noWrap/>
            <w:hideMark/>
          </w:tcPr>
          <w:p w14:paraId="74B7E69A"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Resolución fondo S.E.P (INC o TER)</w:t>
            </w:r>
          </w:p>
        </w:tc>
        <w:tc>
          <w:tcPr>
            <w:tcW w:w="764" w:type="pct"/>
            <w:shd w:val="clear" w:color="auto" w:fill="auto"/>
            <w:noWrap/>
            <w:hideMark/>
          </w:tcPr>
          <w:p w14:paraId="4E16A49F"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18</w:t>
            </w:r>
          </w:p>
        </w:tc>
        <w:tc>
          <w:tcPr>
            <w:tcW w:w="1441" w:type="pct"/>
            <w:shd w:val="clear" w:color="auto" w:fill="auto"/>
            <w:noWrap/>
            <w:hideMark/>
          </w:tcPr>
          <w:p w14:paraId="55B63935"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104 meses 3 semanas</w:t>
            </w:r>
          </w:p>
        </w:tc>
      </w:tr>
      <w:tr w:rsidR="002C0DC3" w:rsidRPr="002C0DC3" w14:paraId="1332830F" w14:textId="77777777" w:rsidTr="002C0DC3">
        <w:trPr>
          <w:trHeight w:val="240"/>
          <w:jc w:val="center"/>
        </w:trPr>
        <w:tc>
          <w:tcPr>
            <w:tcW w:w="2795" w:type="pct"/>
            <w:shd w:val="clear" w:color="auto" w:fill="auto"/>
            <w:noWrap/>
            <w:hideMark/>
          </w:tcPr>
          <w:p w14:paraId="65746D08"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Comisión diligenciada</w:t>
            </w:r>
          </w:p>
        </w:tc>
        <w:tc>
          <w:tcPr>
            <w:tcW w:w="764" w:type="pct"/>
            <w:shd w:val="clear" w:color="auto" w:fill="auto"/>
            <w:noWrap/>
            <w:hideMark/>
          </w:tcPr>
          <w:p w14:paraId="3E87BCE6"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14</w:t>
            </w:r>
          </w:p>
        </w:tc>
        <w:tc>
          <w:tcPr>
            <w:tcW w:w="1441" w:type="pct"/>
            <w:shd w:val="clear" w:color="auto" w:fill="auto"/>
            <w:noWrap/>
            <w:hideMark/>
          </w:tcPr>
          <w:p w14:paraId="78669A18"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99 meses 2 semanas</w:t>
            </w:r>
          </w:p>
        </w:tc>
      </w:tr>
      <w:tr w:rsidR="002C0DC3" w:rsidRPr="002C0DC3" w14:paraId="649CF807" w14:textId="77777777" w:rsidTr="002C0DC3">
        <w:trPr>
          <w:trHeight w:val="240"/>
          <w:jc w:val="center"/>
        </w:trPr>
        <w:tc>
          <w:tcPr>
            <w:tcW w:w="2795" w:type="pct"/>
            <w:shd w:val="clear" w:color="auto" w:fill="auto"/>
            <w:noWrap/>
            <w:hideMark/>
          </w:tcPr>
          <w:p w14:paraId="13DA7F23"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Cosa juzgada S.E.P</w:t>
            </w:r>
          </w:p>
        </w:tc>
        <w:tc>
          <w:tcPr>
            <w:tcW w:w="764" w:type="pct"/>
            <w:shd w:val="clear" w:color="auto" w:fill="auto"/>
            <w:noWrap/>
            <w:hideMark/>
          </w:tcPr>
          <w:p w14:paraId="404C2D65"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8</w:t>
            </w:r>
          </w:p>
        </w:tc>
        <w:tc>
          <w:tcPr>
            <w:tcW w:w="1441" w:type="pct"/>
            <w:shd w:val="clear" w:color="auto" w:fill="auto"/>
            <w:noWrap/>
            <w:hideMark/>
          </w:tcPr>
          <w:p w14:paraId="457640B3"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87 meses 3 semanas</w:t>
            </w:r>
          </w:p>
        </w:tc>
      </w:tr>
      <w:tr w:rsidR="002C0DC3" w:rsidRPr="002C0DC3" w14:paraId="1E221BBD" w14:textId="77777777" w:rsidTr="002C0DC3">
        <w:trPr>
          <w:trHeight w:val="240"/>
          <w:jc w:val="center"/>
        </w:trPr>
        <w:tc>
          <w:tcPr>
            <w:tcW w:w="2795" w:type="pct"/>
            <w:shd w:val="clear" w:color="auto" w:fill="auto"/>
            <w:noWrap/>
          </w:tcPr>
          <w:p w14:paraId="74E41F0C"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Sentencia en principal S.E.P.</w:t>
            </w:r>
          </w:p>
        </w:tc>
        <w:tc>
          <w:tcPr>
            <w:tcW w:w="764" w:type="pct"/>
            <w:shd w:val="clear" w:color="auto" w:fill="auto"/>
            <w:noWrap/>
          </w:tcPr>
          <w:p w14:paraId="6E880EE3"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1576</w:t>
            </w:r>
          </w:p>
        </w:tc>
        <w:tc>
          <w:tcPr>
            <w:tcW w:w="1441" w:type="pct"/>
            <w:shd w:val="clear" w:color="auto" w:fill="auto"/>
            <w:noWrap/>
          </w:tcPr>
          <w:p w14:paraId="74AFFA4C"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74 meses 1 semana</w:t>
            </w:r>
          </w:p>
        </w:tc>
      </w:tr>
      <w:tr w:rsidR="002C0DC3" w:rsidRPr="002C0DC3" w14:paraId="2090794E" w14:textId="77777777" w:rsidTr="002C0DC3">
        <w:trPr>
          <w:trHeight w:val="240"/>
          <w:jc w:val="center"/>
        </w:trPr>
        <w:tc>
          <w:tcPr>
            <w:tcW w:w="2795" w:type="pct"/>
            <w:shd w:val="clear" w:color="auto" w:fill="auto"/>
            <w:noWrap/>
            <w:hideMark/>
          </w:tcPr>
          <w:p w14:paraId="1D8EEB51"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Caducidad en INC y TRC</w:t>
            </w:r>
          </w:p>
        </w:tc>
        <w:tc>
          <w:tcPr>
            <w:tcW w:w="764" w:type="pct"/>
            <w:shd w:val="clear" w:color="auto" w:fill="auto"/>
            <w:noWrap/>
            <w:hideMark/>
          </w:tcPr>
          <w:p w14:paraId="0EE64B1C"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141</w:t>
            </w:r>
          </w:p>
        </w:tc>
        <w:tc>
          <w:tcPr>
            <w:tcW w:w="1441" w:type="pct"/>
            <w:shd w:val="clear" w:color="auto" w:fill="auto"/>
            <w:noWrap/>
            <w:hideMark/>
          </w:tcPr>
          <w:p w14:paraId="33DC2BFE"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63 meses 0 semanas</w:t>
            </w:r>
          </w:p>
        </w:tc>
      </w:tr>
      <w:tr w:rsidR="002C0DC3" w:rsidRPr="002C0DC3" w14:paraId="510D6784" w14:textId="77777777" w:rsidTr="002C0DC3">
        <w:trPr>
          <w:trHeight w:val="240"/>
          <w:jc w:val="center"/>
        </w:trPr>
        <w:tc>
          <w:tcPr>
            <w:tcW w:w="2795" w:type="pct"/>
            <w:shd w:val="clear" w:color="auto" w:fill="auto"/>
            <w:noWrap/>
            <w:hideMark/>
          </w:tcPr>
          <w:p w14:paraId="618A6A7E"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Por Ejecución Cumplida</w:t>
            </w:r>
          </w:p>
        </w:tc>
        <w:tc>
          <w:tcPr>
            <w:tcW w:w="764" w:type="pct"/>
            <w:shd w:val="clear" w:color="auto" w:fill="auto"/>
            <w:noWrap/>
            <w:hideMark/>
          </w:tcPr>
          <w:p w14:paraId="162456B7"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1157</w:t>
            </w:r>
          </w:p>
        </w:tc>
        <w:tc>
          <w:tcPr>
            <w:tcW w:w="1441" w:type="pct"/>
            <w:shd w:val="clear" w:color="auto" w:fill="auto"/>
            <w:noWrap/>
            <w:hideMark/>
          </w:tcPr>
          <w:p w14:paraId="0B1F7663"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57 meses 0 semanas</w:t>
            </w:r>
          </w:p>
        </w:tc>
      </w:tr>
      <w:tr w:rsidR="002C0DC3" w:rsidRPr="002C0DC3" w14:paraId="06EFF787" w14:textId="77777777" w:rsidTr="002C0DC3">
        <w:trPr>
          <w:trHeight w:val="118"/>
          <w:jc w:val="center"/>
        </w:trPr>
        <w:tc>
          <w:tcPr>
            <w:tcW w:w="2795" w:type="pct"/>
            <w:shd w:val="clear" w:color="auto" w:fill="auto"/>
            <w:noWrap/>
            <w:vAlign w:val="center"/>
            <w:hideMark/>
          </w:tcPr>
          <w:p w14:paraId="0A490B99"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Resuelto por Centro de Conciliación</w:t>
            </w:r>
          </w:p>
          <w:p w14:paraId="2F4E9B7D" w14:textId="77777777" w:rsidR="002C0DC3" w:rsidRPr="002C0DC3" w:rsidRDefault="002C0DC3" w:rsidP="002C0DC3">
            <w:pPr>
              <w:suppressAutoHyphens w:val="0"/>
              <w:jc w:val="both"/>
              <w:rPr>
                <w:rFonts w:eastAsia="Calibri"/>
                <w:lang w:val="es-CR" w:eastAsia="en-US"/>
              </w:rPr>
            </w:pPr>
          </w:p>
        </w:tc>
        <w:tc>
          <w:tcPr>
            <w:tcW w:w="764" w:type="pct"/>
            <w:shd w:val="clear" w:color="auto" w:fill="auto"/>
            <w:noWrap/>
            <w:vAlign w:val="center"/>
            <w:hideMark/>
          </w:tcPr>
          <w:p w14:paraId="75AFD902"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2</w:t>
            </w:r>
          </w:p>
        </w:tc>
        <w:tc>
          <w:tcPr>
            <w:tcW w:w="1441" w:type="pct"/>
            <w:shd w:val="clear" w:color="auto" w:fill="auto"/>
            <w:noWrap/>
            <w:vAlign w:val="center"/>
            <w:hideMark/>
          </w:tcPr>
          <w:p w14:paraId="76251051"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53 meses 1 semana</w:t>
            </w:r>
          </w:p>
        </w:tc>
      </w:tr>
      <w:tr w:rsidR="002C0DC3" w:rsidRPr="002C0DC3" w14:paraId="0DD80B88" w14:textId="77777777" w:rsidTr="002C0DC3">
        <w:trPr>
          <w:trHeight w:val="118"/>
          <w:jc w:val="center"/>
        </w:trPr>
        <w:tc>
          <w:tcPr>
            <w:tcW w:w="2795" w:type="pct"/>
            <w:shd w:val="clear" w:color="auto" w:fill="auto"/>
            <w:noWrap/>
            <w:vAlign w:val="center"/>
          </w:tcPr>
          <w:p w14:paraId="3EF7B283"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Desistimiento total S.E.P</w:t>
            </w:r>
          </w:p>
        </w:tc>
        <w:tc>
          <w:tcPr>
            <w:tcW w:w="764" w:type="pct"/>
            <w:shd w:val="clear" w:color="auto" w:fill="auto"/>
            <w:noWrap/>
            <w:vAlign w:val="center"/>
          </w:tcPr>
          <w:p w14:paraId="3F881578"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3528</w:t>
            </w:r>
          </w:p>
        </w:tc>
        <w:tc>
          <w:tcPr>
            <w:tcW w:w="1441" w:type="pct"/>
            <w:shd w:val="clear" w:color="auto" w:fill="auto"/>
            <w:noWrap/>
            <w:vAlign w:val="center"/>
          </w:tcPr>
          <w:p w14:paraId="62AC7A2D"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51 meses 3 semanas</w:t>
            </w:r>
          </w:p>
        </w:tc>
      </w:tr>
      <w:tr w:rsidR="002C0DC3" w:rsidRPr="002C0DC3" w14:paraId="306A2F2A" w14:textId="77777777" w:rsidTr="002C0DC3">
        <w:trPr>
          <w:trHeight w:val="118"/>
          <w:jc w:val="center"/>
        </w:trPr>
        <w:tc>
          <w:tcPr>
            <w:tcW w:w="2795" w:type="pct"/>
            <w:shd w:val="clear" w:color="auto" w:fill="auto"/>
            <w:noWrap/>
            <w:vAlign w:val="center"/>
          </w:tcPr>
          <w:p w14:paraId="343F2B8F"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Imposibilidad sobrevenida</w:t>
            </w:r>
          </w:p>
        </w:tc>
        <w:tc>
          <w:tcPr>
            <w:tcW w:w="764" w:type="pct"/>
            <w:shd w:val="clear" w:color="auto" w:fill="auto"/>
            <w:noWrap/>
            <w:vAlign w:val="center"/>
          </w:tcPr>
          <w:p w14:paraId="7676EDE7"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125</w:t>
            </w:r>
          </w:p>
        </w:tc>
        <w:tc>
          <w:tcPr>
            <w:tcW w:w="1441" w:type="pct"/>
            <w:shd w:val="clear" w:color="auto" w:fill="auto"/>
            <w:noWrap/>
            <w:vAlign w:val="center"/>
          </w:tcPr>
          <w:p w14:paraId="4B91B8C5" w14:textId="77777777" w:rsidR="002C0DC3" w:rsidRPr="002C0DC3" w:rsidRDefault="002C0DC3" w:rsidP="002C0DC3">
            <w:pPr>
              <w:suppressAutoHyphens w:val="0"/>
              <w:jc w:val="center"/>
              <w:rPr>
                <w:rFonts w:eastAsia="Calibri"/>
                <w:lang w:val="es-CR" w:eastAsia="en-US"/>
              </w:rPr>
            </w:pPr>
            <w:r w:rsidRPr="002C0DC3">
              <w:rPr>
                <w:rFonts w:eastAsia="Calibri"/>
                <w:lang w:val="es-CR" w:eastAsia="en-US"/>
              </w:rPr>
              <w:t>50 meses 1 semana</w:t>
            </w:r>
          </w:p>
        </w:tc>
      </w:tr>
      <w:tr w:rsidR="002C0DC3" w:rsidRPr="002C0DC3" w14:paraId="4078558F" w14:textId="77777777" w:rsidTr="002C0DC3">
        <w:trPr>
          <w:trHeight w:val="513"/>
          <w:jc w:val="center"/>
        </w:trPr>
        <w:tc>
          <w:tcPr>
            <w:tcW w:w="5000" w:type="pct"/>
            <w:gridSpan w:val="3"/>
            <w:shd w:val="clear" w:color="auto" w:fill="auto"/>
            <w:noWrap/>
            <w:vAlign w:val="center"/>
          </w:tcPr>
          <w:p w14:paraId="74A030AD"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Elaborado por: Subproceso de Estadística, Dirección de Planificación.</w:t>
            </w:r>
          </w:p>
        </w:tc>
      </w:tr>
    </w:tbl>
    <w:p w14:paraId="63771A66" w14:textId="77777777" w:rsidR="002C0DC3" w:rsidRPr="002C0DC3" w:rsidRDefault="002C0DC3" w:rsidP="002C0DC3">
      <w:pPr>
        <w:suppressAutoHyphens w:val="0"/>
        <w:jc w:val="both"/>
        <w:rPr>
          <w:rFonts w:eastAsia="Calibri"/>
          <w:i/>
          <w:iCs/>
          <w:lang w:val="es-CR" w:eastAsia="en-US"/>
        </w:rPr>
      </w:pPr>
    </w:p>
    <w:p w14:paraId="6B3CB7E2" w14:textId="77777777" w:rsidR="002C0DC3" w:rsidRPr="002C0DC3" w:rsidRDefault="002C0DC3" w:rsidP="002C0DC3">
      <w:pPr>
        <w:keepNext/>
        <w:keepLines/>
        <w:suppressAutoHyphens w:val="0"/>
        <w:ind w:left="851" w:right="851" w:firstLine="709"/>
        <w:jc w:val="both"/>
        <w:rPr>
          <w:b/>
          <w:lang w:val="es-CR" w:eastAsia="es-CR"/>
        </w:rPr>
      </w:pPr>
      <w:bookmarkStart w:id="12" w:name="_Toc74138069"/>
      <w:bookmarkStart w:id="13" w:name="_Toc80351023"/>
      <w:r w:rsidRPr="002C0DC3">
        <w:rPr>
          <w:b/>
          <w:lang w:val="es-CR" w:eastAsia="es-CR"/>
        </w:rPr>
        <w:t>Circulante al finalizar el año</w:t>
      </w:r>
      <w:bookmarkEnd w:id="12"/>
      <w:bookmarkEnd w:id="13"/>
    </w:p>
    <w:p w14:paraId="13674A79" w14:textId="77777777" w:rsidR="002C0DC3" w:rsidRPr="002C0DC3" w:rsidRDefault="002C0DC3" w:rsidP="002C0DC3">
      <w:pPr>
        <w:suppressAutoHyphens w:val="0"/>
        <w:ind w:left="851" w:right="851" w:firstLine="709"/>
        <w:jc w:val="both"/>
        <w:rPr>
          <w:rFonts w:eastAsia="Calibri"/>
          <w:lang w:val="es-CR" w:eastAsia="en-US"/>
        </w:rPr>
      </w:pPr>
    </w:p>
    <w:p w14:paraId="7CA0B0B0" w14:textId="2F18B3CA" w:rsid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Los juzgados o secciones competentes en materia de Cobro Judicial mantienen al cierre del 2020, un total de 832.682 expedientes en activos, por lo </w:t>
      </w:r>
      <w:r w:rsidRPr="002C0DC3">
        <w:rPr>
          <w:rFonts w:eastAsia="Calibri"/>
          <w:lang w:val="es-CR" w:eastAsia="en-US"/>
        </w:rPr>
        <w:lastRenderedPageBreak/>
        <w:t>que se da un aumento de 84.526 casos versus el volumen acumulado hace un año exacto, para un repunte porcentual de 11,3%.</w:t>
      </w:r>
    </w:p>
    <w:p w14:paraId="61B61489" w14:textId="77777777" w:rsidR="002C0DC3" w:rsidRPr="002C0DC3" w:rsidRDefault="002C0DC3" w:rsidP="002C0DC3">
      <w:pPr>
        <w:suppressAutoHyphens w:val="0"/>
        <w:ind w:left="851" w:right="851" w:firstLine="709"/>
        <w:jc w:val="both"/>
        <w:rPr>
          <w:rFonts w:eastAsia="Calibri"/>
          <w:lang w:val="es-CR" w:eastAsia="en-US"/>
        </w:rPr>
      </w:pPr>
    </w:p>
    <w:p w14:paraId="3BA73AA3"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N°6.1</w:t>
      </w:r>
    </w:p>
    <w:p w14:paraId="19814BDF"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Circulante al finalizar el año</w:t>
      </w:r>
    </w:p>
    <w:p w14:paraId="10485686" w14:textId="213EC8E7" w:rsidR="002C0DC3" w:rsidRDefault="002C0DC3" w:rsidP="002C0DC3">
      <w:pPr>
        <w:suppressAutoHyphens w:val="0"/>
        <w:ind w:left="851" w:right="851" w:firstLine="709"/>
        <w:jc w:val="center"/>
        <w:rPr>
          <w:rFonts w:eastAsia="Calibri"/>
          <w:b/>
          <w:lang w:val="es-CR" w:eastAsia="en-US"/>
        </w:rPr>
      </w:pPr>
      <w:r w:rsidRPr="002C0DC3">
        <w:rPr>
          <w:rFonts w:eastAsia="Calibri"/>
          <w:b/>
          <w:lang w:val="es-CR" w:eastAsia="en-US"/>
        </w:rPr>
        <w:t>según Circuito Judicial, período 2016-2020</w:t>
      </w:r>
    </w:p>
    <w:p w14:paraId="00AE066F" w14:textId="77777777" w:rsidR="002C0DC3" w:rsidRPr="002C0DC3" w:rsidRDefault="002C0DC3" w:rsidP="002C0DC3">
      <w:pPr>
        <w:suppressAutoHyphens w:val="0"/>
        <w:ind w:left="851" w:right="851" w:firstLine="709"/>
        <w:jc w:val="center"/>
        <w:rPr>
          <w:rFonts w:eastAsia="Calibri"/>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3"/>
        <w:gridCol w:w="1202"/>
        <w:gridCol w:w="1203"/>
        <w:gridCol w:w="1203"/>
        <w:gridCol w:w="1203"/>
        <w:gridCol w:w="1201"/>
      </w:tblGrid>
      <w:tr w:rsidR="002C0DC3" w:rsidRPr="002C0DC3" w14:paraId="67EE942F" w14:textId="77777777" w:rsidTr="002C0DC3">
        <w:trPr>
          <w:trHeight w:val="256"/>
          <w:tblHeader/>
          <w:jc w:val="center"/>
        </w:trPr>
        <w:tc>
          <w:tcPr>
            <w:tcW w:w="1801" w:type="pct"/>
            <w:shd w:val="clear" w:color="auto" w:fill="auto"/>
            <w:noWrap/>
            <w:vAlign w:val="center"/>
            <w:hideMark/>
          </w:tcPr>
          <w:p w14:paraId="422C021C" w14:textId="77777777" w:rsidR="002C0DC3" w:rsidRPr="002C0DC3" w:rsidRDefault="002C0DC3" w:rsidP="002C0DC3">
            <w:pPr>
              <w:widowControl w:val="0"/>
              <w:suppressAutoHyphens w:val="0"/>
              <w:autoSpaceDE w:val="0"/>
              <w:autoSpaceDN w:val="0"/>
              <w:adjustRightInd w:val="0"/>
              <w:jc w:val="center"/>
              <w:rPr>
                <w:rFonts w:eastAsia="Calibri"/>
                <w:lang w:val="es-CR" w:eastAsia="es-CR"/>
              </w:rPr>
            </w:pPr>
            <w:r w:rsidRPr="002C0DC3">
              <w:rPr>
                <w:rFonts w:eastAsia="Calibri"/>
                <w:lang w:val="es-CR" w:eastAsia="en-US"/>
              </w:rPr>
              <w:t> </w:t>
            </w:r>
          </w:p>
        </w:tc>
        <w:tc>
          <w:tcPr>
            <w:tcW w:w="3199" w:type="pct"/>
            <w:gridSpan w:val="5"/>
            <w:shd w:val="clear" w:color="auto" w:fill="auto"/>
            <w:noWrap/>
            <w:vAlign w:val="center"/>
            <w:hideMark/>
          </w:tcPr>
          <w:p w14:paraId="2D59C530"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Circulante al Finalizar el Año</w:t>
            </w:r>
          </w:p>
        </w:tc>
      </w:tr>
      <w:tr w:rsidR="002C0DC3" w:rsidRPr="002C0DC3" w14:paraId="5A9FF489" w14:textId="77777777" w:rsidTr="002C0DC3">
        <w:trPr>
          <w:trHeight w:val="256"/>
          <w:tblHeader/>
          <w:jc w:val="center"/>
        </w:trPr>
        <w:tc>
          <w:tcPr>
            <w:tcW w:w="1801" w:type="pct"/>
            <w:shd w:val="clear" w:color="auto" w:fill="auto"/>
            <w:noWrap/>
            <w:vAlign w:val="center"/>
            <w:hideMark/>
          </w:tcPr>
          <w:p w14:paraId="46B7AF6F"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Circuito Judicial</w:t>
            </w:r>
          </w:p>
        </w:tc>
        <w:tc>
          <w:tcPr>
            <w:tcW w:w="640" w:type="pct"/>
            <w:shd w:val="clear" w:color="auto" w:fill="auto"/>
            <w:noWrap/>
            <w:vAlign w:val="center"/>
            <w:hideMark/>
          </w:tcPr>
          <w:p w14:paraId="0FD1FF6E"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2016</w:t>
            </w:r>
          </w:p>
        </w:tc>
        <w:tc>
          <w:tcPr>
            <w:tcW w:w="640" w:type="pct"/>
            <w:shd w:val="clear" w:color="auto" w:fill="auto"/>
            <w:noWrap/>
            <w:vAlign w:val="center"/>
          </w:tcPr>
          <w:p w14:paraId="0640EB1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2017</w:t>
            </w:r>
          </w:p>
        </w:tc>
        <w:tc>
          <w:tcPr>
            <w:tcW w:w="640" w:type="pct"/>
            <w:shd w:val="clear" w:color="auto" w:fill="auto"/>
            <w:noWrap/>
            <w:vAlign w:val="center"/>
          </w:tcPr>
          <w:p w14:paraId="038799D1"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2018</w:t>
            </w:r>
          </w:p>
        </w:tc>
        <w:tc>
          <w:tcPr>
            <w:tcW w:w="640" w:type="pct"/>
            <w:shd w:val="clear" w:color="auto" w:fill="auto"/>
            <w:noWrap/>
            <w:vAlign w:val="center"/>
          </w:tcPr>
          <w:p w14:paraId="04248CD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2019</w:t>
            </w:r>
          </w:p>
        </w:tc>
        <w:tc>
          <w:tcPr>
            <w:tcW w:w="640" w:type="pct"/>
            <w:shd w:val="clear" w:color="auto" w:fill="auto"/>
            <w:noWrap/>
            <w:vAlign w:val="center"/>
          </w:tcPr>
          <w:p w14:paraId="093BEA80"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2020</w:t>
            </w:r>
          </w:p>
        </w:tc>
      </w:tr>
      <w:tr w:rsidR="002C0DC3" w:rsidRPr="002C0DC3" w14:paraId="73F04EEB" w14:textId="77777777" w:rsidTr="002C0DC3">
        <w:trPr>
          <w:trHeight w:val="256"/>
          <w:jc w:val="center"/>
        </w:trPr>
        <w:tc>
          <w:tcPr>
            <w:tcW w:w="1801" w:type="pct"/>
            <w:shd w:val="clear" w:color="auto" w:fill="auto"/>
            <w:noWrap/>
            <w:vAlign w:val="center"/>
            <w:hideMark/>
          </w:tcPr>
          <w:p w14:paraId="457502E9"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640" w:type="pct"/>
            <w:shd w:val="clear" w:color="auto" w:fill="auto"/>
            <w:noWrap/>
            <w:vAlign w:val="center"/>
            <w:hideMark/>
          </w:tcPr>
          <w:p w14:paraId="34FD880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640" w:type="pct"/>
            <w:shd w:val="clear" w:color="auto" w:fill="auto"/>
            <w:noWrap/>
            <w:vAlign w:val="center"/>
          </w:tcPr>
          <w:p w14:paraId="7D573C4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640" w:type="pct"/>
            <w:shd w:val="clear" w:color="auto" w:fill="auto"/>
            <w:noWrap/>
            <w:vAlign w:val="center"/>
          </w:tcPr>
          <w:p w14:paraId="16B0F05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640" w:type="pct"/>
            <w:shd w:val="clear" w:color="auto" w:fill="auto"/>
            <w:noWrap/>
            <w:vAlign w:val="center"/>
          </w:tcPr>
          <w:p w14:paraId="1D015D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640" w:type="pct"/>
            <w:shd w:val="clear" w:color="auto" w:fill="auto"/>
            <w:noWrap/>
            <w:vAlign w:val="center"/>
          </w:tcPr>
          <w:p w14:paraId="58774DC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r>
      <w:tr w:rsidR="002C0DC3" w:rsidRPr="002C0DC3" w14:paraId="3C4EDAF3" w14:textId="77777777" w:rsidTr="002C0DC3">
        <w:trPr>
          <w:trHeight w:val="270"/>
          <w:jc w:val="center"/>
        </w:trPr>
        <w:tc>
          <w:tcPr>
            <w:tcW w:w="1801" w:type="pct"/>
            <w:shd w:val="clear" w:color="auto" w:fill="auto"/>
            <w:noWrap/>
            <w:vAlign w:val="center"/>
            <w:hideMark/>
          </w:tcPr>
          <w:p w14:paraId="651075F8"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Absolutos</w:t>
            </w:r>
          </w:p>
        </w:tc>
        <w:tc>
          <w:tcPr>
            <w:tcW w:w="640" w:type="pct"/>
            <w:shd w:val="clear" w:color="auto" w:fill="auto"/>
            <w:noWrap/>
            <w:vAlign w:val="center"/>
            <w:hideMark/>
          </w:tcPr>
          <w:p w14:paraId="438A9AD0"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453.169</w:t>
            </w:r>
          </w:p>
        </w:tc>
        <w:tc>
          <w:tcPr>
            <w:tcW w:w="640" w:type="pct"/>
            <w:shd w:val="clear" w:color="auto" w:fill="auto"/>
            <w:noWrap/>
            <w:vAlign w:val="center"/>
          </w:tcPr>
          <w:p w14:paraId="3761F0BC"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536.846</w:t>
            </w:r>
          </w:p>
        </w:tc>
        <w:tc>
          <w:tcPr>
            <w:tcW w:w="640" w:type="pct"/>
            <w:shd w:val="clear" w:color="auto" w:fill="auto"/>
            <w:noWrap/>
            <w:vAlign w:val="center"/>
          </w:tcPr>
          <w:p w14:paraId="435D279A"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695.448</w:t>
            </w:r>
          </w:p>
        </w:tc>
        <w:tc>
          <w:tcPr>
            <w:tcW w:w="640" w:type="pct"/>
            <w:shd w:val="clear" w:color="auto" w:fill="auto"/>
            <w:noWrap/>
            <w:vAlign w:val="center"/>
          </w:tcPr>
          <w:p w14:paraId="67C50779"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748.156</w:t>
            </w:r>
          </w:p>
        </w:tc>
        <w:tc>
          <w:tcPr>
            <w:tcW w:w="640" w:type="pct"/>
            <w:shd w:val="clear" w:color="auto" w:fill="auto"/>
            <w:noWrap/>
            <w:vAlign w:val="center"/>
          </w:tcPr>
          <w:p w14:paraId="0CBCA692"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832.682</w:t>
            </w:r>
          </w:p>
        </w:tc>
      </w:tr>
      <w:tr w:rsidR="002C0DC3" w:rsidRPr="002C0DC3" w14:paraId="707254F1" w14:textId="77777777" w:rsidTr="002C0DC3">
        <w:trPr>
          <w:trHeight w:val="256"/>
          <w:jc w:val="center"/>
        </w:trPr>
        <w:tc>
          <w:tcPr>
            <w:tcW w:w="1801" w:type="pct"/>
            <w:shd w:val="clear" w:color="auto" w:fill="auto"/>
            <w:noWrap/>
            <w:vAlign w:val="center"/>
            <w:hideMark/>
          </w:tcPr>
          <w:p w14:paraId="383260B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San José</w:t>
            </w:r>
          </w:p>
        </w:tc>
        <w:tc>
          <w:tcPr>
            <w:tcW w:w="640" w:type="pct"/>
            <w:shd w:val="clear" w:color="auto" w:fill="auto"/>
            <w:noWrap/>
            <w:vAlign w:val="center"/>
            <w:hideMark/>
          </w:tcPr>
          <w:p w14:paraId="7FB4138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177.730</w:t>
            </w:r>
          </w:p>
        </w:tc>
        <w:tc>
          <w:tcPr>
            <w:tcW w:w="640" w:type="pct"/>
            <w:shd w:val="clear" w:color="auto" w:fill="auto"/>
            <w:noWrap/>
            <w:vAlign w:val="center"/>
          </w:tcPr>
          <w:p w14:paraId="3A5F23B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205.069</w:t>
            </w:r>
          </w:p>
        </w:tc>
        <w:tc>
          <w:tcPr>
            <w:tcW w:w="640" w:type="pct"/>
            <w:shd w:val="clear" w:color="auto" w:fill="auto"/>
            <w:noWrap/>
            <w:vAlign w:val="center"/>
          </w:tcPr>
          <w:p w14:paraId="6EE9604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266.576</w:t>
            </w:r>
          </w:p>
        </w:tc>
        <w:tc>
          <w:tcPr>
            <w:tcW w:w="640" w:type="pct"/>
            <w:shd w:val="clear" w:color="auto" w:fill="auto"/>
            <w:noWrap/>
          </w:tcPr>
          <w:p w14:paraId="0A1F138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253.003</w:t>
            </w:r>
          </w:p>
        </w:tc>
        <w:tc>
          <w:tcPr>
            <w:tcW w:w="640" w:type="pct"/>
            <w:shd w:val="clear" w:color="auto" w:fill="auto"/>
            <w:noWrap/>
          </w:tcPr>
          <w:p w14:paraId="653D019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284.613</w:t>
            </w:r>
          </w:p>
        </w:tc>
      </w:tr>
      <w:tr w:rsidR="002C0DC3" w:rsidRPr="002C0DC3" w14:paraId="08193079" w14:textId="77777777" w:rsidTr="002C0DC3">
        <w:trPr>
          <w:trHeight w:val="256"/>
          <w:jc w:val="center"/>
        </w:trPr>
        <w:tc>
          <w:tcPr>
            <w:tcW w:w="1801" w:type="pct"/>
            <w:shd w:val="clear" w:color="auto" w:fill="auto"/>
            <w:noWrap/>
            <w:vAlign w:val="center"/>
            <w:hideMark/>
          </w:tcPr>
          <w:p w14:paraId="6D319B0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San José</w:t>
            </w:r>
          </w:p>
        </w:tc>
        <w:tc>
          <w:tcPr>
            <w:tcW w:w="640" w:type="pct"/>
            <w:shd w:val="clear" w:color="auto" w:fill="auto"/>
            <w:noWrap/>
            <w:vAlign w:val="center"/>
            <w:hideMark/>
          </w:tcPr>
          <w:p w14:paraId="2314868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135.069</w:t>
            </w:r>
          </w:p>
        </w:tc>
        <w:tc>
          <w:tcPr>
            <w:tcW w:w="640" w:type="pct"/>
            <w:shd w:val="clear" w:color="auto" w:fill="auto"/>
            <w:noWrap/>
            <w:vAlign w:val="center"/>
          </w:tcPr>
          <w:p w14:paraId="6578B03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128.590</w:t>
            </w:r>
          </w:p>
        </w:tc>
        <w:tc>
          <w:tcPr>
            <w:tcW w:w="640" w:type="pct"/>
            <w:shd w:val="clear" w:color="auto" w:fill="auto"/>
            <w:noWrap/>
            <w:vAlign w:val="center"/>
          </w:tcPr>
          <w:p w14:paraId="620C43E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132.431</w:t>
            </w:r>
          </w:p>
        </w:tc>
        <w:tc>
          <w:tcPr>
            <w:tcW w:w="640" w:type="pct"/>
            <w:shd w:val="clear" w:color="auto" w:fill="auto"/>
            <w:noWrap/>
          </w:tcPr>
          <w:p w14:paraId="0B95072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136.600</w:t>
            </w:r>
          </w:p>
        </w:tc>
        <w:tc>
          <w:tcPr>
            <w:tcW w:w="640" w:type="pct"/>
            <w:shd w:val="clear" w:color="auto" w:fill="auto"/>
            <w:noWrap/>
          </w:tcPr>
          <w:p w14:paraId="6F4012A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137.961</w:t>
            </w:r>
          </w:p>
        </w:tc>
      </w:tr>
      <w:tr w:rsidR="002C0DC3" w:rsidRPr="002C0DC3" w14:paraId="1F373AD9" w14:textId="77777777" w:rsidTr="002C0DC3">
        <w:trPr>
          <w:trHeight w:val="270"/>
          <w:jc w:val="center"/>
        </w:trPr>
        <w:tc>
          <w:tcPr>
            <w:tcW w:w="1801" w:type="pct"/>
            <w:shd w:val="clear" w:color="auto" w:fill="auto"/>
            <w:noWrap/>
            <w:vAlign w:val="center"/>
            <w:hideMark/>
          </w:tcPr>
          <w:p w14:paraId="4965394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Alajuela</w:t>
            </w:r>
          </w:p>
        </w:tc>
        <w:tc>
          <w:tcPr>
            <w:tcW w:w="640" w:type="pct"/>
            <w:shd w:val="clear" w:color="auto" w:fill="auto"/>
            <w:noWrap/>
            <w:vAlign w:val="center"/>
            <w:hideMark/>
          </w:tcPr>
          <w:p w14:paraId="4B53D9F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25.146</w:t>
            </w:r>
          </w:p>
        </w:tc>
        <w:tc>
          <w:tcPr>
            <w:tcW w:w="640" w:type="pct"/>
            <w:shd w:val="clear" w:color="auto" w:fill="auto"/>
            <w:noWrap/>
            <w:vAlign w:val="center"/>
          </w:tcPr>
          <w:p w14:paraId="6ADD01B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40.344</w:t>
            </w:r>
          </w:p>
        </w:tc>
        <w:tc>
          <w:tcPr>
            <w:tcW w:w="640" w:type="pct"/>
            <w:shd w:val="clear" w:color="auto" w:fill="auto"/>
            <w:noWrap/>
            <w:vAlign w:val="center"/>
          </w:tcPr>
          <w:p w14:paraId="3B988DE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61.870</w:t>
            </w:r>
          </w:p>
        </w:tc>
        <w:tc>
          <w:tcPr>
            <w:tcW w:w="640" w:type="pct"/>
            <w:shd w:val="clear" w:color="auto" w:fill="auto"/>
            <w:noWrap/>
          </w:tcPr>
          <w:p w14:paraId="66895D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65.884</w:t>
            </w:r>
          </w:p>
        </w:tc>
        <w:tc>
          <w:tcPr>
            <w:tcW w:w="640" w:type="pct"/>
            <w:shd w:val="clear" w:color="auto" w:fill="auto"/>
            <w:noWrap/>
          </w:tcPr>
          <w:p w14:paraId="3EDC29A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72.278</w:t>
            </w:r>
          </w:p>
        </w:tc>
      </w:tr>
      <w:tr w:rsidR="002C0DC3" w:rsidRPr="002C0DC3" w14:paraId="0D454CA7" w14:textId="77777777" w:rsidTr="002C0DC3">
        <w:trPr>
          <w:trHeight w:val="256"/>
          <w:jc w:val="center"/>
        </w:trPr>
        <w:tc>
          <w:tcPr>
            <w:tcW w:w="1801" w:type="pct"/>
            <w:shd w:val="clear" w:color="auto" w:fill="auto"/>
            <w:noWrap/>
            <w:vAlign w:val="center"/>
            <w:hideMark/>
          </w:tcPr>
          <w:p w14:paraId="24D9536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Alajuela</w:t>
            </w:r>
          </w:p>
        </w:tc>
        <w:tc>
          <w:tcPr>
            <w:tcW w:w="640" w:type="pct"/>
            <w:shd w:val="clear" w:color="auto" w:fill="auto"/>
            <w:noWrap/>
            <w:vAlign w:val="center"/>
            <w:hideMark/>
          </w:tcPr>
          <w:p w14:paraId="40605AB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4.410</w:t>
            </w:r>
          </w:p>
        </w:tc>
        <w:tc>
          <w:tcPr>
            <w:tcW w:w="640" w:type="pct"/>
            <w:shd w:val="clear" w:color="auto" w:fill="auto"/>
            <w:noWrap/>
            <w:vAlign w:val="center"/>
          </w:tcPr>
          <w:p w14:paraId="4B8544A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7.943</w:t>
            </w:r>
          </w:p>
        </w:tc>
        <w:tc>
          <w:tcPr>
            <w:tcW w:w="640" w:type="pct"/>
            <w:shd w:val="clear" w:color="auto" w:fill="auto"/>
            <w:noWrap/>
            <w:vAlign w:val="center"/>
          </w:tcPr>
          <w:p w14:paraId="52A84FA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12.744</w:t>
            </w:r>
          </w:p>
        </w:tc>
        <w:tc>
          <w:tcPr>
            <w:tcW w:w="640" w:type="pct"/>
            <w:shd w:val="clear" w:color="auto" w:fill="auto"/>
            <w:noWrap/>
          </w:tcPr>
          <w:p w14:paraId="1E058DD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23.810</w:t>
            </w:r>
          </w:p>
        </w:tc>
        <w:tc>
          <w:tcPr>
            <w:tcW w:w="640" w:type="pct"/>
            <w:shd w:val="clear" w:color="auto" w:fill="auto"/>
            <w:noWrap/>
          </w:tcPr>
          <w:p w14:paraId="561F63D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27.930</w:t>
            </w:r>
          </w:p>
        </w:tc>
      </w:tr>
      <w:tr w:rsidR="002C0DC3" w:rsidRPr="002C0DC3" w14:paraId="73911B7F" w14:textId="77777777" w:rsidTr="002C0DC3">
        <w:trPr>
          <w:trHeight w:val="270"/>
          <w:jc w:val="center"/>
        </w:trPr>
        <w:tc>
          <w:tcPr>
            <w:tcW w:w="1801" w:type="pct"/>
            <w:shd w:val="clear" w:color="auto" w:fill="auto"/>
            <w:noWrap/>
            <w:vAlign w:val="center"/>
            <w:hideMark/>
          </w:tcPr>
          <w:p w14:paraId="369A629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Tercero Alajuela</w:t>
            </w:r>
          </w:p>
        </w:tc>
        <w:tc>
          <w:tcPr>
            <w:tcW w:w="640" w:type="pct"/>
            <w:shd w:val="clear" w:color="auto" w:fill="auto"/>
            <w:noWrap/>
            <w:vAlign w:val="center"/>
            <w:hideMark/>
          </w:tcPr>
          <w:p w14:paraId="5BC4C5A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18.925</w:t>
            </w:r>
          </w:p>
        </w:tc>
        <w:tc>
          <w:tcPr>
            <w:tcW w:w="640" w:type="pct"/>
            <w:shd w:val="clear" w:color="auto" w:fill="auto"/>
            <w:noWrap/>
            <w:vAlign w:val="center"/>
          </w:tcPr>
          <w:p w14:paraId="26DF2A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29.537</w:t>
            </w:r>
          </w:p>
        </w:tc>
        <w:tc>
          <w:tcPr>
            <w:tcW w:w="640" w:type="pct"/>
            <w:shd w:val="clear" w:color="auto" w:fill="auto"/>
            <w:noWrap/>
            <w:vAlign w:val="center"/>
          </w:tcPr>
          <w:p w14:paraId="5A78D3F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40.290</w:t>
            </w:r>
          </w:p>
        </w:tc>
        <w:tc>
          <w:tcPr>
            <w:tcW w:w="640" w:type="pct"/>
            <w:shd w:val="clear" w:color="auto" w:fill="auto"/>
            <w:noWrap/>
          </w:tcPr>
          <w:p w14:paraId="68692D2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27.338</w:t>
            </w:r>
          </w:p>
        </w:tc>
        <w:tc>
          <w:tcPr>
            <w:tcW w:w="640" w:type="pct"/>
            <w:shd w:val="clear" w:color="auto" w:fill="auto"/>
            <w:noWrap/>
          </w:tcPr>
          <w:p w14:paraId="25F643B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28.155</w:t>
            </w:r>
          </w:p>
        </w:tc>
      </w:tr>
      <w:tr w:rsidR="002C0DC3" w:rsidRPr="002C0DC3" w14:paraId="14436B74" w14:textId="77777777" w:rsidTr="002C0DC3">
        <w:trPr>
          <w:trHeight w:val="256"/>
          <w:jc w:val="center"/>
        </w:trPr>
        <w:tc>
          <w:tcPr>
            <w:tcW w:w="1801" w:type="pct"/>
            <w:shd w:val="clear" w:color="auto" w:fill="auto"/>
            <w:noWrap/>
            <w:vAlign w:val="center"/>
            <w:hideMark/>
          </w:tcPr>
          <w:p w14:paraId="20D8CAA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Cartago</w:t>
            </w:r>
          </w:p>
        </w:tc>
        <w:tc>
          <w:tcPr>
            <w:tcW w:w="640" w:type="pct"/>
            <w:shd w:val="clear" w:color="auto" w:fill="auto"/>
            <w:noWrap/>
            <w:vAlign w:val="center"/>
            <w:hideMark/>
          </w:tcPr>
          <w:p w14:paraId="37E42C4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17.699</w:t>
            </w:r>
          </w:p>
        </w:tc>
        <w:tc>
          <w:tcPr>
            <w:tcW w:w="640" w:type="pct"/>
            <w:shd w:val="clear" w:color="auto" w:fill="auto"/>
            <w:noWrap/>
            <w:vAlign w:val="center"/>
          </w:tcPr>
          <w:p w14:paraId="4783B36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35.127</w:t>
            </w:r>
          </w:p>
        </w:tc>
        <w:tc>
          <w:tcPr>
            <w:tcW w:w="640" w:type="pct"/>
            <w:shd w:val="clear" w:color="auto" w:fill="auto"/>
            <w:noWrap/>
            <w:vAlign w:val="center"/>
          </w:tcPr>
          <w:p w14:paraId="228649D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52.403</w:t>
            </w:r>
          </w:p>
        </w:tc>
        <w:tc>
          <w:tcPr>
            <w:tcW w:w="640" w:type="pct"/>
            <w:shd w:val="clear" w:color="auto" w:fill="auto"/>
            <w:noWrap/>
          </w:tcPr>
          <w:p w14:paraId="14CA90C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65.305</w:t>
            </w:r>
          </w:p>
        </w:tc>
        <w:tc>
          <w:tcPr>
            <w:tcW w:w="640" w:type="pct"/>
            <w:shd w:val="clear" w:color="auto" w:fill="auto"/>
            <w:noWrap/>
          </w:tcPr>
          <w:p w14:paraId="3A20B81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67.636</w:t>
            </w:r>
          </w:p>
        </w:tc>
      </w:tr>
      <w:tr w:rsidR="002C0DC3" w:rsidRPr="002C0DC3" w14:paraId="31254595" w14:textId="77777777" w:rsidTr="002C0DC3">
        <w:trPr>
          <w:trHeight w:val="256"/>
          <w:jc w:val="center"/>
        </w:trPr>
        <w:tc>
          <w:tcPr>
            <w:tcW w:w="1801" w:type="pct"/>
            <w:shd w:val="clear" w:color="auto" w:fill="auto"/>
            <w:noWrap/>
            <w:vAlign w:val="center"/>
            <w:hideMark/>
          </w:tcPr>
          <w:p w14:paraId="797E08D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Heredia</w:t>
            </w:r>
          </w:p>
        </w:tc>
        <w:tc>
          <w:tcPr>
            <w:tcW w:w="640" w:type="pct"/>
            <w:shd w:val="clear" w:color="auto" w:fill="auto"/>
            <w:noWrap/>
            <w:vAlign w:val="center"/>
            <w:hideMark/>
          </w:tcPr>
          <w:p w14:paraId="7326402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19.149</w:t>
            </w:r>
          </w:p>
        </w:tc>
        <w:tc>
          <w:tcPr>
            <w:tcW w:w="640" w:type="pct"/>
            <w:shd w:val="clear" w:color="auto" w:fill="auto"/>
            <w:noWrap/>
            <w:vAlign w:val="center"/>
          </w:tcPr>
          <w:p w14:paraId="1D77F16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20.282</w:t>
            </w:r>
          </w:p>
        </w:tc>
        <w:tc>
          <w:tcPr>
            <w:tcW w:w="640" w:type="pct"/>
            <w:shd w:val="clear" w:color="auto" w:fill="auto"/>
            <w:noWrap/>
            <w:vAlign w:val="center"/>
          </w:tcPr>
          <w:p w14:paraId="1D75098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27.920</w:t>
            </w:r>
          </w:p>
        </w:tc>
        <w:tc>
          <w:tcPr>
            <w:tcW w:w="640" w:type="pct"/>
            <w:shd w:val="clear" w:color="auto" w:fill="auto"/>
            <w:noWrap/>
          </w:tcPr>
          <w:p w14:paraId="2DFA9B3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40.080</w:t>
            </w:r>
          </w:p>
        </w:tc>
        <w:tc>
          <w:tcPr>
            <w:tcW w:w="640" w:type="pct"/>
            <w:shd w:val="clear" w:color="auto" w:fill="auto"/>
            <w:noWrap/>
          </w:tcPr>
          <w:p w14:paraId="02206DE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54.902</w:t>
            </w:r>
          </w:p>
        </w:tc>
      </w:tr>
      <w:tr w:rsidR="002C0DC3" w:rsidRPr="002C0DC3" w14:paraId="5494B5E7" w14:textId="77777777" w:rsidTr="002C0DC3">
        <w:trPr>
          <w:trHeight w:val="270"/>
          <w:jc w:val="center"/>
        </w:trPr>
        <w:tc>
          <w:tcPr>
            <w:tcW w:w="1801" w:type="pct"/>
            <w:shd w:val="clear" w:color="auto" w:fill="auto"/>
            <w:noWrap/>
            <w:vAlign w:val="center"/>
            <w:hideMark/>
          </w:tcPr>
          <w:p w14:paraId="7DEB38F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Guanacaste</w:t>
            </w:r>
          </w:p>
        </w:tc>
        <w:tc>
          <w:tcPr>
            <w:tcW w:w="640" w:type="pct"/>
            <w:shd w:val="clear" w:color="auto" w:fill="auto"/>
            <w:noWrap/>
            <w:vAlign w:val="center"/>
            <w:hideMark/>
          </w:tcPr>
          <w:p w14:paraId="43F5A31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4.879</w:t>
            </w:r>
          </w:p>
        </w:tc>
        <w:tc>
          <w:tcPr>
            <w:tcW w:w="640" w:type="pct"/>
            <w:shd w:val="clear" w:color="auto" w:fill="auto"/>
            <w:noWrap/>
            <w:vAlign w:val="center"/>
          </w:tcPr>
          <w:p w14:paraId="417F76B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8.591</w:t>
            </w:r>
          </w:p>
        </w:tc>
        <w:tc>
          <w:tcPr>
            <w:tcW w:w="640" w:type="pct"/>
            <w:shd w:val="clear" w:color="auto" w:fill="auto"/>
            <w:noWrap/>
            <w:vAlign w:val="center"/>
          </w:tcPr>
          <w:p w14:paraId="51FA028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15.238</w:t>
            </w:r>
          </w:p>
        </w:tc>
        <w:tc>
          <w:tcPr>
            <w:tcW w:w="640" w:type="pct"/>
            <w:shd w:val="clear" w:color="auto" w:fill="auto"/>
            <w:noWrap/>
          </w:tcPr>
          <w:p w14:paraId="7F3FC9C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21.145</w:t>
            </w:r>
          </w:p>
        </w:tc>
        <w:tc>
          <w:tcPr>
            <w:tcW w:w="640" w:type="pct"/>
            <w:shd w:val="clear" w:color="auto" w:fill="auto"/>
            <w:noWrap/>
          </w:tcPr>
          <w:p w14:paraId="4D2D0E9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25.359</w:t>
            </w:r>
          </w:p>
        </w:tc>
      </w:tr>
      <w:tr w:rsidR="002C0DC3" w:rsidRPr="002C0DC3" w14:paraId="220F928C" w14:textId="77777777" w:rsidTr="002C0DC3">
        <w:trPr>
          <w:trHeight w:val="256"/>
          <w:jc w:val="center"/>
        </w:trPr>
        <w:tc>
          <w:tcPr>
            <w:tcW w:w="1801" w:type="pct"/>
            <w:shd w:val="clear" w:color="auto" w:fill="auto"/>
            <w:noWrap/>
            <w:vAlign w:val="center"/>
            <w:hideMark/>
          </w:tcPr>
          <w:p w14:paraId="681347F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Guanacaste</w:t>
            </w:r>
          </w:p>
        </w:tc>
        <w:tc>
          <w:tcPr>
            <w:tcW w:w="640" w:type="pct"/>
            <w:shd w:val="clear" w:color="auto" w:fill="auto"/>
            <w:noWrap/>
            <w:vAlign w:val="center"/>
            <w:hideMark/>
          </w:tcPr>
          <w:p w14:paraId="46BCC1E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8.323</w:t>
            </w:r>
          </w:p>
        </w:tc>
        <w:tc>
          <w:tcPr>
            <w:tcW w:w="640" w:type="pct"/>
            <w:shd w:val="clear" w:color="auto" w:fill="auto"/>
            <w:noWrap/>
            <w:vAlign w:val="center"/>
          </w:tcPr>
          <w:p w14:paraId="52674EF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10.730</w:t>
            </w:r>
          </w:p>
        </w:tc>
        <w:tc>
          <w:tcPr>
            <w:tcW w:w="640" w:type="pct"/>
            <w:shd w:val="clear" w:color="auto" w:fill="auto"/>
            <w:noWrap/>
            <w:vAlign w:val="center"/>
          </w:tcPr>
          <w:p w14:paraId="604E808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8.454</w:t>
            </w:r>
          </w:p>
        </w:tc>
        <w:tc>
          <w:tcPr>
            <w:tcW w:w="640" w:type="pct"/>
            <w:shd w:val="clear" w:color="auto" w:fill="auto"/>
            <w:noWrap/>
          </w:tcPr>
          <w:p w14:paraId="3EA67AF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15.419</w:t>
            </w:r>
          </w:p>
        </w:tc>
        <w:tc>
          <w:tcPr>
            <w:tcW w:w="640" w:type="pct"/>
            <w:shd w:val="clear" w:color="auto" w:fill="auto"/>
            <w:noWrap/>
          </w:tcPr>
          <w:p w14:paraId="13C9069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20.546</w:t>
            </w:r>
          </w:p>
        </w:tc>
      </w:tr>
      <w:tr w:rsidR="002C0DC3" w:rsidRPr="002C0DC3" w14:paraId="204E1F04" w14:textId="77777777" w:rsidTr="002C0DC3">
        <w:trPr>
          <w:trHeight w:val="270"/>
          <w:jc w:val="center"/>
        </w:trPr>
        <w:tc>
          <w:tcPr>
            <w:tcW w:w="1801" w:type="pct"/>
            <w:shd w:val="clear" w:color="auto" w:fill="auto"/>
            <w:noWrap/>
            <w:vAlign w:val="center"/>
            <w:hideMark/>
          </w:tcPr>
          <w:p w14:paraId="4A75D2B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Puntarenas</w:t>
            </w:r>
          </w:p>
        </w:tc>
        <w:tc>
          <w:tcPr>
            <w:tcW w:w="640" w:type="pct"/>
            <w:shd w:val="clear" w:color="auto" w:fill="auto"/>
            <w:noWrap/>
            <w:vAlign w:val="center"/>
            <w:hideMark/>
          </w:tcPr>
          <w:p w14:paraId="25215F6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8.607</w:t>
            </w:r>
          </w:p>
        </w:tc>
        <w:tc>
          <w:tcPr>
            <w:tcW w:w="640" w:type="pct"/>
            <w:shd w:val="clear" w:color="auto" w:fill="auto"/>
            <w:noWrap/>
            <w:vAlign w:val="center"/>
          </w:tcPr>
          <w:p w14:paraId="0C555FE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12.086</w:t>
            </w:r>
          </w:p>
        </w:tc>
        <w:tc>
          <w:tcPr>
            <w:tcW w:w="640" w:type="pct"/>
            <w:shd w:val="clear" w:color="auto" w:fill="auto"/>
            <w:noWrap/>
            <w:vAlign w:val="center"/>
          </w:tcPr>
          <w:p w14:paraId="424D4CA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17.908</w:t>
            </w:r>
          </w:p>
        </w:tc>
        <w:tc>
          <w:tcPr>
            <w:tcW w:w="640" w:type="pct"/>
            <w:shd w:val="clear" w:color="auto" w:fill="auto"/>
            <w:noWrap/>
          </w:tcPr>
          <w:p w14:paraId="2A8288C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24.594</w:t>
            </w:r>
          </w:p>
        </w:tc>
        <w:tc>
          <w:tcPr>
            <w:tcW w:w="640" w:type="pct"/>
            <w:shd w:val="clear" w:color="auto" w:fill="auto"/>
            <w:noWrap/>
          </w:tcPr>
          <w:p w14:paraId="6CC6C3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29.858</w:t>
            </w:r>
          </w:p>
        </w:tc>
      </w:tr>
      <w:tr w:rsidR="002C0DC3" w:rsidRPr="002C0DC3" w14:paraId="674BC1ED" w14:textId="77777777" w:rsidTr="002C0DC3">
        <w:trPr>
          <w:trHeight w:val="256"/>
          <w:jc w:val="center"/>
        </w:trPr>
        <w:tc>
          <w:tcPr>
            <w:tcW w:w="1801" w:type="pct"/>
            <w:shd w:val="clear" w:color="auto" w:fill="auto"/>
            <w:noWrap/>
            <w:vAlign w:val="center"/>
            <w:hideMark/>
          </w:tcPr>
          <w:p w14:paraId="70089B7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Zona Sur</w:t>
            </w:r>
          </w:p>
        </w:tc>
        <w:tc>
          <w:tcPr>
            <w:tcW w:w="640" w:type="pct"/>
            <w:shd w:val="clear" w:color="auto" w:fill="auto"/>
            <w:noWrap/>
            <w:vAlign w:val="center"/>
            <w:hideMark/>
          </w:tcPr>
          <w:p w14:paraId="15411B3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14.413</w:t>
            </w:r>
          </w:p>
        </w:tc>
        <w:tc>
          <w:tcPr>
            <w:tcW w:w="640" w:type="pct"/>
            <w:shd w:val="clear" w:color="auto" w:fill="auto"/>
            <w:noWrap/>
            <w:vAlign w:val="center"/>
          </w:tcPr>
          <w:p w14:paraId="7DBDF7E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15.647</w:t>
            </w:r>
          </w:p>
        </w:tc>
        <w:tc>
          <w:tcPr>
            <w:tcW w:w="640" w:type="pct"/>
            <w:shd w:val="clear" w:color="auto" w:fill="auto"/>
            <w:noWrap/>
            <w:vAlign w:val="center"/>
          </w:tcPr>
          <w:p w14:paraId="7BDC3A7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22.459</w:t>
            </w:r>
          </w:p>
        </w:tc>
        <w:tc>
          <w:tcPr>
            <w:tcW w:w="640" w:type="pct"/>
            <w:shd w:val="clear" w:color="auto" w:fill="auto"/>
            <w:noWrap/>
          </w:tcPr>
          <w:p w14:paraId="4ABC20F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20.914</w:t>
            </w:r>
          </w:p>
        </w:tc>
        <w:tc>
          <w:tcPr>
            <w:tcW w:w="640" w:type="pct"/>
            <w:shd w:val="clear" w:color="auto" w:fill="auto"/>
            <w:noWrap/>
          </w:tcPr>
          <w:p w14:paraId="2E49FBC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20.359</w:t>
            </w:r>
          </w:p>
        </w:tc>
      </w:tr>
      <w:tr w:rsidR="002C0DC3" w:rsidRPr="002C0DC3" w14:paraId="250F90CA" w14:textId="77777777" w:rsidTr="002C0DC3">
        <w:trPr>
          <w:trHeight w:val="256"/>
          <w:jc w:val="center"/>
        </w:trPr>
        <w:tc>
          <w:tcPr>
            <w:tcW w:w="1801" w:type="pct"/>
            <w:shd w:val="clear" w:color="auto" w:fill="auto"/>
            <w:noWrap/>
            <w:vAlign w:val="center"/>
            <w:hideMark/>
          </w:tcPr>
          <w:p w14:paraId="605B7E6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Zona Sur</w:t>
            </w:r>
          </w:p>
        </w:tc>
        <w:tc>
          <w:tcPr>
            <w:tcW w:w="640" w:type="pct"/>
            <w:shd w:val="clear" w:color="auto" w:fill="auto"/>
            <w:noWrap/>
            <w:vAlign w:val="center"/>
            <w:hideMark/>
          </w:tcPr>
          <w:p w14:paraId="310C54E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2.289</w:t>
            </w:r>
          </w:p>
        </w:tc>
        <w:tc>
          <w:tcPr>
            <w:tcW w:w="640" w:type="pct"/>
            <w:shd w:val="clear" w:color="auto" w:fill="auto"/>
            <w:noWrap/>
            <w:vAlign w:val="center"/>
          </w:tcPr>
          <w:p w14:paraId="41224A4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2.850</w:t>
            </w:r>
          </w:p>
        </w:tc>
        <w:tc>
          <w:tcPr>
            <w:tcW w:w="640" w:type="pct"/>
            <w:shd w:val="clear" w:color="auto" w:fill="auto"/>
            <w:noWrap/>
            <w:vAlign w:val="center"/>
          </w:tcPr>
          <w:p w14:paraId="5B888B9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4.291</w:t>
            </w:r>
          </w:p>
        </w:tc>
        <w:tc>
          <w:tcPr>
            <w:tcW w:w="640" w:type="pct"/>
            <w:shd w:val="clear" w:color="auto" w:fill="auto"/>
            <w:noWrap/>
          </w:tcPr>
          <w:p w14:paraId="2060EF9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8.989</w:t>
            </w:r>
          </w:p>
        </w:tc>
        <w:tc>
          <w:tcPr>
            <w:tcW w:w="640" w:type="pct"/>
            <w:shd w:val="clear" w:color="auto" w:fill="auto"/>
            <w:noWrap/>
          </w:tcPr>
          <w:p w14:paraId="41D50AE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11.986</w:t>
            </w:r>
          </w:p>
        </w:tc>
      </w:tr>
      <w:tr w:rsidR="002C0DC3" w:rsidRPr="002C0DC3" w14:paraId="534660E3" w14:textId="77777777" w:rsidTr="002C0DC3">
        <w:trPr>
          <w:trHeight w:val="270"/>
          <w:jc w:val="center"/>
        </w:trPr>
        <w:tc>
          <w:tcPr>
            <w:tcW w:w="1801" w:type="pct"/>
            <w:shd w:val="clear" w:color="auto" w:fill="auto"/>
            <w:noWrap/>
            <w:vAlign w:val="center"/>
            <w:hideMark/>
          </w:tcPr>
          <w:p w14:paraId="6132658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Zona Atlántica</w:t>
            </w:r>
          </w:p>
        </w:tc>
        <w:tc>
          <w:tcPr>
            <w:tcW w:w="640" w:type="pct"/>
            <w:shd w:val="clear" w:color="auto" w:fill="auto"/>
            <w:noWrap/>
            <w:vAlign w:val="center"/>
            <w:hideMark/>
          </w:tcPr>
          <w:p w14:paraId="656EE00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9.321</w:t>
            </w:r>
          </w:p>
        </w:tc>
        <w:tc>
          <w:tcPr>
            <w:tcW w:w="640" w:type="pct"/>
            <w:shd w:val="clear" w:color="auto" w:fill="auto"/>
            <w:noWrap/>
            <w:vAlign w:val="center"/>
          </w:tcPr>
          <w:p w14:paraId="699699B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9.361</w:t>
            </w:r>
          </w:p>
        </w:tc>
        <w:tc>
          <w:tcPr>
            <w:tcW w:w="640" w:type="pct"/>
            <w:shd w:val="clear" w:color="auto" w:fill="auto"/>
            <w:noWrap/>
            <w:vAlign w:val="center"/>
          </w:tcPr>
          <w:p w14:paraId="5194858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17.073</w:t>
            </w:r>
          </w:p>
        </w:tc>
        <w:tc>
          <w:tcPr>
            <w:tcW w:w="640" w:type="pct"/>
            <w:shd w:val="clear" w:color="auto" w:fill="auto"/>
            <w:noWrap/>
          </w:tcPr>
          <w:p w14:paraId="49D484A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18.745</w:t>
            </w:r>
          </w:p>
        </w:tc>
        <w:tc>
          <w:tcPr>
            <w:tcW w:w="640" w:type="pct"/>
            <w:shd w:val="clear" w:color="auto" w:fill="auto"/>
            <w:noWrap/>
          </w:tcPr>
          <w:p w14:paraId="78F111D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20.074</w:t>
            </w:r>
          </w:p>
        </w:tc>
      </w:tr>
      <w:tr w:rsidR="002C0DC3" w:rsidRPr="002C0DC3" w14:paraId="69DD036C" w14:textId="77777777" w:rsidTr="002C0DC3">
        <w:trPr>
          <w:trHeight w:val="256"/>
          <w:jc w:val="center"/>
        </w:trPr>
        <w:tc>
          <w:tcPr>
            <w:tcW w:w="1801" w:type="pct"/>
            <w:shd w:val="clear" w:color="auto" w:fill="auto"/>
            <w:noWrap/>
            <w:vAlign w:val="center"/>
            <w:hideMark/>
          </w:tcPr>
          <w:p w14:paraId="4DFFC10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Zona Atlántica</w:t>
            </w:r>
          </w:p>
        </w:tc>
        <w:tc>
          <w:tcPr>
            <w:tcW w:w="640" w:type="pct"/>
            <w:shd w:val="clear" w:color="auto" w:fill="auto"/>
            <w:noWrap/>
            <w:vAlign w:val="center"/>
            <w:hideMark/>
          </w:tcPr>
          <w:p w14:paraId="679C035A"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7.209</w:t>
            </w:r>
          </w:p>
        </w:tc>
        <w:tc>
          <w:tcPr>
            <w:tcW w:w="640" w:type="pct"/>
            <w:shd w:val="clear" w:color="auto" w:fill="auto"/>
            <w:noWrap/>
            <w:vAlign w:val="center"/>
          </w:tcPr>
          <w:p w14:paraId="6739722E"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10.689</w:t>
            </w:r>
          </w:p>
        </w:tc>
        <w:tc>
          <w:tcPr>
            <w:tcW w:w="640" w:type="pct"/>
            <w:shd w:val="clear" w:color="auto" w:fill="auto"/>
            <w:noWrap/>
            <w:vAlign w:val="center"/>
          </w:tcPr>
          <w:p w14:paraId="21DE2A6D"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15.691</w:t>
            </w:r>
          </w:p>
        </w:tc>
        <w:tc>
          <w:tcPr>
            <w:tcW w:w="640" w:type="pct"/>
            <w:shd w:val="clear" w:color="auto" w:fill="auto"/>
            <w:noWrap/>
          </w:tcPr>
          <w:p w14:paraId="630E57A9"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26.330</w:t>
            </w:r>
          </w:p>
        </w:tc>
        <w:tc>
          <w:tcPr>
            <w:tcW w:w="640" w:type="pct"/>
            <w:shd w:val="clear" w:color="auto" w:fill="auto"/>
            <w:noWrap/>
          </w:tcPr>
          <w:p w14:paraId="3845D3D9"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31.025</w:t>
            </w:r>
          </w:p>
        </w:tc>
      </w:tr>
      <w:tr w:rsidR="002C0DC3" w:rsidRPr="002C0DC3" w14:paraId="4241DEB7" w14:textId="77777777" w:rsidTr="002C0DC3">
        <w:trPr>
          <w:trHeight w:val="270"/>
          <w:jc w:val="center"/>
        </w:trPr>
        <w:tc>
          <w:tcPr>
            <w:tcW w:w="1801" w:type="pct"/>
            <w:shd w:val="clear" w:color="auto" w:fill="auto"/>
            <w:noWrap/>
            <w:vAlign w:val="center"/>
            <w:hideMark/>
          </w:tcPr>
          <w:p w14:paraId="5ED92D0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640" w:type="pct"/>
            <w:shd w:val="clear" w:color="auto" w:fill="auto"/>
            <w:noWrap/>
            <w:vAlign w:val="center"/>
            <w:hideMark/>
          </w:tcPr>
          <w:p w14:paraId="4CA1943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640" w:type="pct"/>
            <w:shd w:val="clear" w:color="auto" w:fill="auto"/>
            <w:noWrap/>
            <w:vAlign w:val="center"/>
            <w:hideMark/>
          </w:tcPr>
          <w:p w14:paraId="6DBF51E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640" w:type="pct"/>
            <w:shd w:val="clear" w:color="auto" w:fill="auto"/>
            <w:noWrap/>
            <w:vAlign w:val="center"/>
            <w:hideMark/>
          </w:tcPr>
          <w:p w14:paraId="5FB4E70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640" w:type="pct"/>
            <w:shd w:val="clear" w:color="auto" w:fill="auto"/>
            <w:noWrap/>
            <w:vAlign w:val="center"/>
            <w:hideMark/>
          </w:tcPr>
          <w:p w14:paraId="3A10AE1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640" w:type="pct"/>
            <w:shd w:val="clear" w:color="auto" w:fill="auto"/>
            <w:noWrap/>
            <w:vAlign w:val="center"/>
            <w:hideMark/>
          </w:tcPr>
          <w:p w14:paraId="2CF4B14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r>
      <w:tr w:rsidR="002C0DC3" w:rsidRPr="002C0DC3" w14:paraId="38AB1AC5" w14:textId="77777777" w:rsidTr="002C0DC3">
        <w:trPr>
          <w:trHeight w:val="427"/>
          <w:jc w:val="center"/>
        </w:trPr>
        <w:tc>
          <w:tcPr>
            <w:tcW w:w="5000" w:type="pct"/>
            <w:gridSpan w:val="6"/>
            <w:shd w:val="clear" w:color="auto" w:fill="auto"/>
            <w:noWrap/>
            <w:vAlign w:val="center"/>
          </w:tcPr>
          <w:p w14:paraId="7409D7D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Elaborado por: Subproceso de Estadística, Dirección de Planificación.</w:t>
            </w:r>
          </w:p>
        </w:tc>
      </w:tr>
    </w:tbl>
    <w:p w14:paraId="172EB72F" w14:textId="77777777" w:rsidR="002C0DC3" w:rsidRPr="002C0DC3" w:rsidRDefault="002C0DC3" w:rsidP="002C0DC3">
      <w:pPr>
        <w:suppressAutoHyphens w:val="0"/>
        <w:jc w:val="both"/>
        <w:rPr>
          <w:rFonts w:eastAsia="Calibri"/>
          <w:lang w:val="es-CR" w:eastAsia="en-US"/>
        </w:rPr>
      </w:pPr>
    </w:p>
    <w:p w14:paraId="763641B7"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Por lo tanto, los circuitos judiciales más saturados son los dos de San José, los cuales de forma conjunta comprenden el 50.7% de la totalidad del circulante en trámite para esta materia a nivel nacional, existiendo entre ambos circuitos una diferencia de 146.652 expedientes.</w:t>
      </w:r>
    </w:p>
    <w:p w14:paraId="1A83F9CD" w14:textId="77777777" w:rsidR="002C0DC3" w:rsidRPr="002C0DC3" w:rsidRDefault="002C0DC3" w:rsidP="002C0DC3">
      <w:pPr>
        <w:suppressAutoHyphens w:val="0"/>
        <w:ind w:left="851" w:right="851" w:firstLine="709"/>
        <w:jc w:val="both"/>
        <w:rPr>
          <w:rFonts w:eastAsia="Calibri"/>
          <w:lang w:val="es-CR" w:eastAsia="en-US"/>
        </w:rPr>
      </w:pPr>
    </w:p>
    <w:p w14:paraId="5412EBB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Alajuela es el tercero más importante respecto al circulante activo, que registra un crecimiento de 6.394 expedientes en 2020.</w:t>
      </w:r>
    </w:p>
    <w:p w14:paraId="74EA8953" w14:textId="77777777" w:rsidR="002C0DC3" w:rsidRPr="002C0DC3" w:rsidRDefault="002C0DC3" w:rsidP="002C0DC3">
      <w:pPr>
        <w:suppressAutoHyphens w:val="0"/>
        <w:ind w:left="851" w:right="851" w:firstLine="709"/>
        <w:jc w:val="both"/>
        <w:rPr>
          <w:rFonts w:eastAsia="Calibri"/>
          <w:lang w:val="es-CR" w:eastAsia="en-US"/>
        </w:rPr>
      </w:pPr>
    </w:p>
    <w:p w14:paraId="64A322EC" w14:textId="2F3992DD" w:rsid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Entre los circuitos que tramitan menos expedientes se encuentran; </w:t>
      </w:r>
      <w:r w:rsidRPr="002C0DC3">
        <w:rPr>
          <w:rFonts w:eastAsia="Calibri"/>
          <w:i/>
          <w:iCs/>
          <w:lang w:val="es-CR" w:eastAsia="en-US"/>
        </w:rPr>
        <w:t>Segundo de la Zona Sur (11.986)</w:t>
      </w:r>
      <w:r w:rsidRPr="002C0DC3">
        <w:rPr>
          <w:rFonts w:eastAsia="Calibri"/>
          <w:lang w:val="es-CR" w:eastAsia="en-US"/>
        </w:rPr>
        <w:t xml:space="preserve">, cuyo volumen no es comparable con algún otro circuito tomando en cuenta que los restantes inician en más de 20 mil causas en </w:t>
      </w:r>
      <w:r w:rsidRPr="002C0DC3">
        <w:rPr>
          <w:rFonts w:eastAsia="Calibri"/>
          <w:lang w:val="es-CR" w:eastAsia="en-US"/>
        </w:rPr>
        <w:lastRenderedPageBreak/>
        <w:t xml:space="preserve">trámite. </w:t>
      </w:r>
      <w:r w:rsidRPr="002C0DC3">
        <w:rPr>
          <w:rFonts w:eastAsia="Calibri"/>
          <w:i/>
          <w:iCs/>
          <w:lang w:val="es-CR" w:eastAsia="en-US"/>
        </w:rPr>
        <w:t>Primero de la Zona Sur y Primero de la Zona Atlántica</w:t>
      </w:r>
      <w:r w:rsidRPr="002C0DC3">
        <w:rPr>
          <w:rFonts w:eastAsia="Calibri"/>
          <w:lang w:val="es-CR" w:eastAsia="en-US"/>
        </w:rPr>
        <w:t xml:space="preserve">, ambos con cantidades muy similares (poco más de 20 mil).   </w:t>
      </w:r>
    </w:p>
    <w:p w14:paraId="4EC3E727" w14:textId="77777777" w:rsidR="002C0DC3" w:rsidRPr="002C0DC3" w:rsidRDefault="002C0DC3" w:rsidP="002C0DC3">
      <w:pPr>
        <w:suppressAutoHyphens w:val="0"/>
        <w:ind w:left="851" w:right="851" w:firstLine="709"/>
        <w:jc w:val="both"/>
        <w:rPr>
          <w:rFonts w:eastAsia="Calibri"/>
          <w:lang w:val="es-CR" w:eastAsia="en-US"/>
        </w:rPr>
      </w:pPr>
    </w:p>
    <w:p w14:paraId="617F959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La siguiente gráfica detalla la tendencia seguida por la cantidad de expedientes en trámite que registró esta materia al cierre de los últimos cinco períodos fiscales.</w:t>
      </w:r>
    </w:p>
    <w:p w14:paraId="769BBF16" w14:textId="77777777" w:rsidR="002C0DC3" w:rsidRPr="002C0DC3" w:rsidRDefault="002C0DC3" w:rsidP="002C0DC3">
      <w:pPr>
        <w:suppressAutoHyphens w:val="0"/>
        <w:ind w:left="851" w:right="851" w:firstLine="709"/>
        <w:jc w:val="both"/>
        <w:rPr>
          <w:rFonts w:eastAsia="Calibri"/>
          <w:lang w:val="es-CR" w:eastAsia="en-US"/>
        </w:rPr>
      </w:pPr>
    </w:p>
    <w:p w14:paraId="4FFEB663" w14:textId="77777777" w:rsidR="002C0DC3" w:rsidRPr="002C0DC3" w:rsidRDefault="002C0DC3" w:rsidP="002C0DC3">
      <w:pPr>
        <w:suppressAutoHyphens w:val="0"/>
        <w:ind w:left="851" w:right="851" w:firstLine="709"/>
        <w:jc w:val="center"/>
        <w:rPr>
          <w:rFonts w:eastAsia="Calibri"/>
          <w:lang w:val="es-CR" w:eastAsia="en-US"/>
        </w:rPr>
      </w:pPr>
      <w:r w:rsidRPr="002C0DC3">
        <w:rPr>
          <w:b/>
          <w:bCs/>
          <w:lang w:val="es-CR" w:eastAsia="es-CR"/>
        </w:rPr>
        <w:t>Gráfico N°6.1</w:t>
      </w:r>
    </w:p>
    <w:p w14:paraId="79A7D67E" w14:textId="77777777" w:rsidR="002C0DC3" w:rsidRPr="002C0DC3" w:rsidRDefault="002C0DC3" w:rsidP="002C0DC3">
      <w:pPr>
        <w:suppressAutoHyphens w:val="0"/>
        <w:jc w:val="center"/>
        <w:rPr>
          <w:b/>
          <w:bCs/>
          <w:lang w:val="es-CR" w:eastAsia="es-CR"/>
        </w:rPr>
      </w:pPr>
      <w:r w:rsidRPr="002C0DC3">
        <w:rPr>
          <w:rFonts w:eastAsia="Calibri"/>
          <w:noProof/>
          <w:lang w:val="es-CR" w:eastAsia="es-CR"/>
        </w:rPr>
        <w:drawing>
          <wp:anchor distT="0" distB="0" distL="114300" distR="114300" simplePos="0" relativeHeight="251659264" behindDoc="0" locked="0" layoutInCell="1" allowOverlap="1" wp14:anchorId="360097DB" wp14:editId="4FCE6B59">
            <wp:simplePos x="0" y="0"/>
            <wp:positionH relativeFrom="column">
              <wp:posOffset>140970</wp:posOffset>
            </wp:positionH>
            <wp:positionV relativeFrom="paragraph">
              <wp:posOffset>178435</wp:posOffset>
            </wp:positionV>
            <wp:extent cx="5324475" cy="2783205"/>
            <wp:effectExtent l="0" t="0" r="9525" b="17145"/>
            <wp:wrapSquare wrapText="bothSides"/>
            <wp:docPr id="11" name="Gráfico 11">
              <a:extLst xmlns:a="http://schemas.openxmlformats.org/drawingml/2006/main">
                <a:ext uri="{FF2B5EF4-FFF2-40B4-BE49-F238E27FC236}">
                  <a16:creationId xmlns:a16="http://schemas.microsoft.com/office/drawing/2014/main" id="{0A1FB2C9-342E-4C1E-B264-96B1DF951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36DC9A8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Por lo tanto, como se observa en el Gráfico 6.1 es una de las materias con la tendencia más clara de crecimiento en sus circulante activo, como puede apreciarse, el circulante en 2019 aumentó en 52.708 expedientes respecto a 2018, pero en 2020 el circulante se incrementó en 84.526 expedientes, es decir; 31.818 expedientes más que lo que había crecido en 2019.</w:t>
      </w:r>
    </w:p>
    <w:p w14:paraId="48203515" w14:textId="77777777" w:rsidR="002C0DC3" w:rsidRPr="002C0DC3" w:rsidRDefault="002C0DC3" w:rsidP="002C0DC3">
      <w:pPr>
        <w:suppressAutoHyphens w:val="0"/>
        <w:ind w:left="851" w:right="851" w:firstLine="709"/>
        <w:jc w:val="both"/>
        <w:rPr>
          <w:rFonts w:eastAsia="Calibri"/>
          <w:lang w:val="es-CR" w:eastAsia="en-US"/>
        </w:rPr>
      </w:pPr>
    </w:p>
    <w:p w14:paraId="16A147E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A continuación, se exhiben las cifras de circulantes activos en valores absolutos y relativos de acuerdo al estado del expediente, período 2018-2020.</w:t>
      </w:r>
    </w:p>
    <w:p w14:paraId="444FA076" w14:textId="77777777" w:rsidR="002C0DC3" w:rsidRPr="002C0DC3" w:rsidRDefault="002C0DC3" w:rsidP="002C0DC3">
      <w:pPr>
        <w:suppressAutoHyphens w:val="0"/>
        <w:ind w:left="851" w:right="851" w:firstLine="709"/>
        <w:jc w:val="both"/>
        <w:rPr>
          <w:rFonts w:eastAsia="Calibri"/>
          <w:lang w:val="es-CR" w:eastAsia="en-US"/>
        </w:rPr>
      </w:pPr>
    </w:p>
    <w:p w14:paraId="3DCBB645"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N°6.2</w:t>
      </w:r>
    </w:p>
    <w:p w14:paraId="4B1C4204"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Circulante al finalizar el año</w:t>
      </w:r>
    </w:p>
    <w:p w14:paraId="161D8233"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según estado del expediente, período 2018-2020</w:t>
      </w:r>
    </w:p>
    <w:p w14:paraId="0518A3D7"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7"/>
        <w:gridCol w:w="900"/>
        <w:gridCol w:w="983"/>
        <w:gridCol w:w="984"/>
        <w:gridCol w:w="193"/>
        <w:gridCol w:w="616"/>
        <w:gridCol w:w="616"/>
        <w:gridCol w:w="616"/>
      </w:tblGrid>
      <w:tr w:rsidR="002C0DC3" w:rsidRPr="002C0DC3" w14:paraId="123692E3" w14:textId="77777777" w:rsidTr="002C0DC3">
        <w:trPr>
          <w:trHeight w:val="532"/>
          <w:tblHeader/>
          <w:jc w:val="center"/>
        </w:trPr>
        <w:tc>
          <w:tcPr>
            <w:tcW w:w="1747" w:type="pct"/>
            <w:vMerge w:val="restart"/>
            <w:shd w:val="clear" w:color="auto" w:fill="auto"/>
            <w:noWrap/>
            <w:vAlign w:val="center"/>
            <w:hideMark/>
          </w:tcPr>
          <w:p w14:paraId="1D522342" w14:textId="77777777" w:rsidR="002C0DC3" w:rsidRPr="002C0DC3" w:rsidRDefault="002C0DC3" w:rsidP="002C0DC3">
            <w:pPr>
              <w:widowControl w:val="0"/>
              <w:suppressAutoHyphens w:val="0"/>
              <w:autoSpaceDE w:val="0"/>
              <w:autoSpaceDN w:val="0"/>
              <w:adjustRightInd w:val="0"/>
              <w:jc w:val="center"/>
              <w:rPr>
                <w:rFonts w:eastAsia="Calibri"/>
                <w:lang w:val="es-CR" w:eastAsia="es-CR"/>
              </w:rPr>
            </w:pPr>
            <w:r w:rsidRPr="002C0DC3">
              <w:rPr>
                <w:rFonts w:eastAsia="Calibri"/>
                <w:lang w:val="es-CR" w:eastAsia="en-US"/>
              </w:rPr>
              <w:lastRenderedPageBreak/>
              <w:t> </w:t>
            </w:r>
          </w:p>
          <w:p w14:paraId="731F5EA2" w14:textId="77777777" w:rsidR="002C0DC3" w:rsidRPr="002C0DC3" w:rsidRDefault="002C0DC3" w:rsidP="002C0DC3">
            <w:pPr>
              <w:widowControl w:val="0"/>
              <w:suppressAutoHyphens w:val="0"/>
              <w:autoSpaceDE w:val="0"/>
              <w:autoSpaceDN w:val="0"/>
              <w:adjustRightInd w:val="0"/>
              <w:jc w:val="center"/>
              <w:rPr>
                <w:rFonts w:eastAsia="Calibri"/>
                <w:lang w:val="es-CR" w:eastAsia="es-CR"/>
              </w:rPr>
            </w:pPr>
            <w:r w:rsidRPr="002C0DC3">
              <w:rPr>
                <w:rFonts w:eastAsia="Calibri"/>
                <w:b/>
                <w:bCs/>
                <w:lang w:val="es-CR" w:eastAsia="en-US"/>
              </w:rPr>
              <w:t>Estado del Expediente</w:t>
            </w:r>
          </w:p>
        </w:tc>
        <w:tc>
          <w:tcPr>
            <w:tcW w:w="1518" w:type="pct"/>
            <w:gridSpan w:val="3"/>
            <w:shd w:val="clear" w:color="auto" w:fill="auto"/>
            <w:noWrap/>
            <w:vAlign w:val="center"/>
            <w:hideMark/>
          </w:tcPr>
          <w:p w14:paraId="157E6DE2"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Circulante al Finalizar el Año</w:t>
            </w:r>
          </w:p>
        </w:tc>
        <w:tc>
          <w:tcPr>
            <w:tcW w:w="158" w:type="pct"/>
            <w:shd w:val="clear" w:color="auto" w:fill="auto"/>
            <w:noWrap/>
            <w:vAlign w:val="center"/>
            <w:hideMark/>
          </w:tcPr>
          <w:p w14:paraId="2E4A227D"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1577" w:type="pct"/>
            <w:gridSpan w:val="3"/>
            <w:shd w:val="clear" w:color="auto" w:fill="auto"/>
            <w:noWrap/>
            <w:vAlign w:val="center"/>
            <w:hideMark/>
          </w:tcPr>
          <w:p w14:paraId="6D19CF6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Porcentajes</w:t>
            </w:r>
          </w:p>
        </w:tc>
      </w:tr>
      <w:tr w:rsidR="002C0DC3" w:rsidRPr="002C0DC3" w14:paraId="54E4912E" w14:textId="77777777" w:rsidTr="002C0DC3">
        <w:trPr>
          <w:trHeight w:val="295"/>
          <w:tblHeader/>
          <w:jc w:val="center"/>
        </w:trPr>
        <w:tc>
          <w:tcPr>
            <w:tcW w:w="1747" w:type="pct"/>
            <w:vMerge/>
            <w:shd w:val="clear" w:color="auto" w:fill="auto"/>
            <w:noWrap/>
            <w:vAlign w:val="center"/>
            <w:hideMark/>
          </w:tcPr>
          <w:p w14:paraId="52ADDAAB"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476" w:type="pct"/>
            <w:shd w:val="clear" w:color="auto" w:fill="auto"/>
            <w:noWrap/>
            <w:vAlign w:val="center"/>
            <w:hideMark/>
          </w:tcPr>
          <w:p w14:paraId="72AAA18B"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2018</w:t>
            </w:r>
          </w:p>
        </w:tc>
        <w:tc>
          <w:tcPr>
            <w:tcW w:w="521" w:type="pct"/>
            <w:shd w:val="clear" w:color="auto" w:fill="auto"/>
            <w:noWrap/>
            <w:vAlign w:val="center"/>
          </w:tcPr>
          <w:p w14:paraId="17044005"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2019</w:t>
            </w:r>
          </w:p>
        </w:tc>
        <w:tc>
          <w:tcPr>
            <w:tcW w:w="522" w:type="pct"/>
            <w:shd w:val="clear" w:color="auto" w:fill="auto"/>
            <w:noWrap/>
            <w:vAlign w:val="center"/>
          </w:tcPr>
          <w:p w14:paraId="1918B04C"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2020</w:t>
            </w:r>
          </w:p>
        </w:tc>
        <w:tc>
          <w:tcPr>
            <w:tcW w:w="158" w:type="pct"/>
            <w:shd w:val="clear" w:color="auto" w:fill="auto"/>
            <w:noWrap/>
            <w:vAlign w:val="center"/>
            <w:hideMark/>
          </w:tcPr>
          <w:p w14:paraId="63301B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 </w:t>
            </w:r>
          </w:p>
        </w:tc>
        <w:tc>
          <w:tcPr>
            <w:tcW w:w="521" w:type="pct"/>
            <w:shd w:val="clear" w:color="auto" w:fill="auto"/>
            <w:noWrap/>
            <w:vAlign w:val="center"/>
            <w:hideMark/>
          </w:tcPr>
          <w:p w14:paraId="478C2622"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2018</w:t>
            </w:r>
          </w:p>
        </w:tc>
        <w:tc>
          <w:tcPr>
            <w:tcW w:w="521" w:type="pct"/>
            <w:shd w:val="clear" w:color="auto" w:fill="auto"/>
            <w:noWrap/>
            <w:vAlign w:val="center"/>
          </w:tcPr>
          <w:p w14:paraId="669FCBF4"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2019</w:t>
            </w:r>
          </w:p>
        </w:tc>
        <w:tc>
          <w:tcPr>
            <w:tcW w:w="535" w:type="pct"/>
            <w:shd w:val="clear" w:color="auto" w:fill="auto"/>
            <w:noWrap/>
            <w:vAlign w:val="center"/>
          </w:tcPr>
          <w:p w14:paraId="1B60352C"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2020</w:t>
            </w:r>
          </w:p>
        </w:tc>
      </w:tr>
      <w:tr w:rsidR="002C0DC3" w:rsidRPr="002C0DC3" w14:paraId="182C8F3A" w14:textId="77777777" w:rsidTr="002C0DC3">
        <w:trPr>
          <w:trHeight w:val="266"/>
          <w:jc w:val="center"/>
        </w:trPr>
        <w:tc>
          <w:tcPr>
            <w:tcW w:w="1747" w:type="pct"/>
            <w:shd w:val="clear" w:color="auto" w:fill="auto"/>
            <w:noWrap/>
            <w:vAlign w:val="center"/>
            <w:hideMark/>
          </w:tcPr>
          <w:p w14:paraId="5FA27464"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476" w:type="pct"/>
            <w:shd w:val="clear" w:color="auto" w:fill="auto"/>
            <w:noWrap/>
            <w:vAlign w:val="center"/>
            <w:hideMark/>
          </w:tcPr>
          <w:p w14:paraId="765802A2"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 </w:t>
            </w:r>
          </w:p>
        </w:tc>
        <w:tc>
          <w:tcPr>
            <w:tcW w:w="521" w:type="pct"/>
            <w:shd w:val="clear" w:color="auto" w:fill="auto"/>
            <w:noWrap/>
            <w:vAlign w:val="center"/>
          </w:tcPr>
          <w:p w14:paraId="2969E6AE"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p>
        </w:tc>
        <w:tc>
          <w:tcPr>
            <w:tcW w:w="522" w:type="pct"/>
            <w:shd w:val="clear" w:color="auto" w:fill="auto"/>
            <w:noWrap/>
            <w:vAlign w:val="center"/>
          </w:tcPr>
          <w:p w14:paraId="5EC3755B"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p>
        </w:tc>
        <w:tc>
          <w:tcPr>
            <w:tcW w:w="158" w:type="pct"/>
            <w:shd w:val="clear" w:color="auto" w:fill="auto"/>
            <w:noWrap/>
            <w:vAlign w:val="center"/>
            <w:hideMark/>
          </w:tcPr>
          <w:p w14:paraId="0B79FD3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 </w:t>
            </w:r>
          </w:p>
        </w:tc>
        <w:tc>
          <w:tcPr>
            <w:tcW w:w="521" w:type="pct"/>
            <w:shd w:val="clear" w:color="auto" w:fill="auto"/>
            <w:noWrap/>
            <w:vAlign w:val="center"/>
            <w:hideMark/>
          </w:tcPr>
          <w:p w14:paraId="61F4536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752FFB7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35" w:type="pct"/>
            <w:shd w:val="clear" w:color="auto" w:fill="auto"/>
            <w:noWrap/>
            <w:vAlign w:val="center"/>
          </w:tcPr>
          <w:p w14:paraId="4CCE0F4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r>
      <w:tr w:rsidR="002C0DC3" w:rsidRPr="002C0DC3" w14:paraId="1CE69FC9" w14:textId="77777777" w:rsidTr="002C0DC3">
        <w:trPr>
          <w:trHeight w:val="266"/>
          <w:jc w:val="center"/>
        </w:trPr>
        <w:tc>
          <w:tcPr>
            <w:tcW w:w="1747" w:type="pct"/>
            <w:shd w:val="clear" w:color="auto" w:fill="auto"/>
            <w:noWrap/>
            <w:vAlign w:val="center"/>
            <w:hideMark/>
          </w:tcPr>
          <w:p w14:paraId="007F70A7"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Absolutos</w:t>
            </w:r>
          </w:p>
        </w:tc>
        <w:tc>
          <w:tcPr>
            <w:tcW w:w="476" w:type="pct"/>
            <w:shd w:val="clear" w:color="auto" w:fill="auto"/>
            <w:noWrap/>
            <w:vAlign w:val="center"/>
            <w:hideMark/>
          </w:tcPr>
          <w:p w14:paraId="34115C35"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695.448</w:t>
            </w:r>
          </w:p>
        </w:tc>
        <w:tc>
          <w:tcPr>
            <w:tcW w:w="521" w:type="pct"/>
            <w:shd w:val="clear" w:color="auto" w:fill="auto"/>
            <w:noWrap/>
            <w:vAlign w:val="center"/>
          </w:tcPr>
          <w:p w14:paraId="190B372C"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748.156</w:t>
            </w:r>
          </w:p>
        </w:tc>
        <w:tc>
          <w:tcPr>
            <w:tcW w:w="522" w:type="pct"/>
            <w:shd w:val="clear" w:color="auto" w:fill="auto"/>
            <w:noWrap/>
            <w:vAlign w:val="center"/>
          </w:tcPr>
          <w:p w14:paraId="5E5050C3"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832.682</w:t>
            </w:r>
          </w:p>
        </w:tc>
        <w:tc>
          <w:tcPr>
            <w:tcW w:w="158" w:type="pct"/>
            <w:shd w:val="clear" w:color="auto" w:fill="auto"/>
            <w:noWrap/>
            <w:vAlign w:val="center"/>
            <w:hideMark/>
          </w:tcPr>
          <w:p w14:paraId="4A372CC2"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p>
        </w:tc>
        <w:tc>
          <w:tcPr>
            <w:tcW w:w="521" w:type="pct"/>
            <w:shd w:val="clear" w:color="auto" w:fill="auto"/>
            <w:noWrap/>
            <w:vAlign w:val="center"/>
            <w:hideMark/>
          </w:tcPr>
          <w:p w14:paraId="41BCDD74"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100,0</w:t>
            </w:r>
          </w:p>
        </w:tc>
        <w:tc>
          <w:tcPr>
            <w:tcW w:w="521" w:type="pct"/>
            <w:shd w:val="clear" w:color="auto" w:fill="auto"/>
            <w:noWrap/>
            <w:vAlign w:val="center"/>
          </w:tcPr>
          <w:p w14:paraId="05886FDB"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100,0</w:t>
            </w:r>
          </w:p>
        </w:tc>
        <w:tc>
          <w:tcPr>
            <w:tcW w:w="535" w:type="pct"/>
            <w:shd w:val="clear" w:color="auto" w:fill="auto"/>
            <w:noWrap/>
            <w:vAlign w:val="center"/>
          </w:tcPr>
          <w:p w14:paraId="5E37C753"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100,0</w:t>
            </w:r>
          </w:p>
        </w:tc>
      </w:tr>
      <w:tr w:rsidR="002C0DC3" w:rsidRPr="002C0DC3" w14:paraId="007F530E" w14:textId="77777777" w:rsidTr="002C0DC3">
        <w:trPr>
          <w:trHeight w:val="266"/>
          <w:jc w:val="center"/>
        </w:trPr>
        <w:tc>
          <w:tcPr>
            <w:tcW w:w="1747" w:type="pct"/>
            <w:shd w:val="clear" w:color="auto" w:fill="auto"/>
            <w:noWrap/>
            <w:vAlign w:val="center"/>
            <w:hideMark/>
          </w:tcPr>
          <w:p w14:paraId="568C935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En Trámite</w:t>
            </w:r>
          </w:p>
        </w:tc>
        <w:tc>
          <w:tcPr>
            <w:tcW w:w="476" w:type="pct"/>
            <w:shd w:val="clear" w:color="auto" w:fill="auto"/>
            <w:noWrap/>
            <w:vAlign w:val="center"/>
            <w:hideMark/>
          </w:tcPr>
          <w:p w14:paraId="69FC9E8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617.214</w:t>
            </w:r>
          </w:p>
        </w:tc>
        <w:tc>
          <w:tcPr>
            <w:tcW w:w="521" w:type="pct"/>
            <w:shd w:val="clear" w:color="auto" w:fill="auto"/>
            <w:noWrap/>
            <w:vAlign w:val="center"/>
          </w:tcPr>
          <w:p w14:paraId="1B5BB1C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605.750</w:t>
            </w:r>
          </w:p>
        </w:tc>
        <w:tc>
          <w:tcPr>
            <w:tcW w:w="522" w:type="pct"/>
            <w:shd w:val="clear" w:color="auto" w:fill="auto"/>
            <w:noWrap/>
            <w:vAlign w:val="center"/>
          </w:tcPr>
          <w:p w14:paraId="27BF493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610.295</w:t>
            </w:r>
          </w:p>
        </w:tc>
        <w:tc>
          <w:tcPr>
            <w:tcW w:w="158" w:type="pct"/>
            <w:shd w:val="clear" w:color="auto" w:fill="auto"/>
            <w:noWrap/>
            <w:vAlign w:val="center"/>
            <w:hideMark/>
          </w:tcPr>
          <w:p w14:paraId="70680EA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hideMark/>
          </w:tcPr>
          <w:p w14:paraId="63080B4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88,8</w:t>
            </w:r>
          </w:p>
        </w:tc>
        <w:tc>
          <w:tcPr>
            <w:tcW w:w="521" w:type="pct"/>
            <w:shd w:val="clear" w:color="auto" w:fill="auto"/>
            <w:noWrap/>
            <w:vAlign w:val="center"/>
          </w:tcPr>
          <w:p w14:paraId="46A60D3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81,0</w:t>
            </w:r>
          </w:p>
        </w:tc>
        <w:tc>
          <w:tcPr>
            <w:tcW w:w="535" w:type="pct"/>
            <w:shd w:val="clear" w:color="auto" w:fill="auto"/>
            <w:noWrap/>
          </w:tcPr>
          <w:p w14:paraId="6B56EAE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73,3</w:t>
            </w:r>
          </w:p>
        </w:tc>
      </w:tr>
      <w:tr w:rsidR="002C0DC3" w:rsidRPr="002C0DC3" w14:paraId="4AD0CCF6" w14:textId="77777777" w:rsidTr="002C0DC3">
        <w:trPr>
          <w:trHeight w:val="281"/>
          <w:jc w:val="center"/>
        </w:trPr>
        <w:tc>
          <w:tcPr>
            <w:tcW w:w="1747" w:type="pct"/>
            <w:shd w:val="clear" w:color="auto" w:fill="auto"/>
            <w:noWrap/>
            <w:vAlign w:val="center"/>
          </w:tcPr>
          <w:p w14:paraId="2FA1E22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Inactivos</w:t>
            </w:r>
            <w:r w:rsidRPr="002C0DC3">
              <w:rPr>
                <w:rFonts w:eastAsia="Calibri"/>
                <w:vertAlign w:val="superscript"/>
                <w:lang w:val="es-CR" w:eastAsia="en-US"/>
              </w:rPr>
              <w:t xml:space="preserve"> *</w:t>
            </w:r>
          </w:p>
        </w:tc>
        <w:tc>
          <w:tcPr>
            <w:tcW w:w="476" w:type="pct"/>
            <w:shd w:val="clear" w:color="auto" w:fill="auto"/>
            <w:noWrap/>
            <w:vAlign w:val="center"/>
          </w:tcPr>
          <w:p w14:paraId="706ECAF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27.561</w:t>
            </w:r>
          </w:p>
        </w:tc>
        <w:tc>
          <w:tcPr>
            <w:tcW w:w="521" w:type="pct"/>
            <w:shd w:val="clear" w:color="auto" w:fill="auto"/>
            <w:noWrap/>
            <w:vAlign w:val="center"/>
          </w:tcPr>
          <w:p w14:paraId="656E2DC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22" w:type="pct"/>
            <w:shd w:val="clear" w:color="auto" w:fill="auto"/>
            <w:noWrap/>
            <w:vAlign w:val="center"/>
          </w:tcPr>
          <w:p w14:paraId="4EE00AA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w:t>
            </w:r>
          </w:p>
        </w:tc>
        <w:tc>
          <w:tcPr>
            <w:tcW w:w="158" w:type="pct"/>
            <w:shd w:val="clear" w:color="auto" w:fill="auto"/>
            <w:noWrap/>
            <w:vAlign w:val="center"/>
          </w:tcPr>
          <w:p w14:paraId="0404B7A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440744F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4,0</w:t>
            </w:r>
          </w:p>
        </w:tc>
        <w:tc>
          <w:tcPr>
            <w:tcW w:w="521" w:type="pct"/>
            <w:shd w:val="clear" w:color="auto" w:fill="auto"/>
            <w:noWrap/>
            <w:vAlign w:val="center"/>
          </w:tcPr>
          <w:p w14:paraId="65EE48E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0170434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3C885629" w14:textId="77777777" w:rsidTr="002C0DC3">
        <w:trPr>
          <w:trHeight w:val="266"/>
          <w:jc w:val="center"/>
        </w:trPr>
        <w:tc>
          <w:tcPr>
            <w:tcW w:w="1747" w:type="pct"/>
            <w:shd w:val="clear" w:color="auto" w:fill="auto"/>
            <w:noWrap/>
            <w:vAlign w:val="center"/>
            <w:hideMark/>
          </w:tcPr>
          <w:p w14:paraId="4753C39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Suspendidos</w:t>
            </w:r>
          </w:p>
        </w:tc>
        <w:tc>
          <w:tcPr>
            <w:tcW w:w="476" w:type="pct"/>
            <w:shd w:val="clear" w:color="auto" w:fill="auto"/>
            <w:noWrap/>
            <w:vAlign w:val="center"/>
            <w:hideMark/>
          </w:tcPr>
          <w:p w14:paraId="7384904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133</w:t>
            </w:r>
          </w:p>
        </w:tc>
        <w:tc>
          <w:tcPr>
            <w:tcW w:w="521" w:type="pct"/>
            <w:shd w:val="clear" w:color="auto" w:fill="auto"/>
            <w:noWrap/>
            <w:vAlign w:val="center"/>
          </w:tcPr>
          <w:p w14:paraId="3FA0457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w:t>
            </w:r>
          </w:p>
        </w:tc>
        <w:tc>
          <w:tcPr>
            <w:tcW w:w="522" w:type="pct"/>
            <w:shd w:val="clear" w:color="auto" w:fill="auto"/>
            <w:noWrap/>
            <w:vAlign w:val="center"/>
          </w:tcPr>
          <w:p w14:paraId="0294E2E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w:t>
            </w:r>
          </w:p>
        </w:tc>
        <w:tc>
          <w:tcPr>
            <w:tcW w:w="158" w:type="pct"/>
            <w:shd w:val="clear" w:color="auto" w:fill="auto"/>
            <w:noWrap/>
            <w:vAlign w:val="center"/>
            <w:hideMark/>
          </w:tcPr>
          <w:p w14:paraId="24D0C1F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hideMark/>
          </w:tcPr>
          <w:p w14:paraId="77AE97C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00014C6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4CDC5A7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6BA249C6" w14:textId="77777777" w:rsidTr="002C0DC3">
        <w:trPr>
          <w:trHeight w:val="547"/>
          <w:jc w:val="center"/>
        </w:trPr>
        <w:tc>
          <w:tcPr>
            <w:tcW w:w="1747" w:type="pct"/>
            <w:shd w:val="clear" w:color="auto" w:fill="auto"/>
            <w:noWrap/>
            <w:vAlign w:val="center"/>
          </w:tcPr>
          <w:p w14:paraId="555E480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Suspensión por acción de inconstitucionalidad </w:t>
            </w:r>
            <w:r w:rsidRPr="002C0DC3">
              <w:rPr>
                <w:rFonts w:eastAsia="Calibri"/>
                <w:vertAlign w:val="superscript"/>
                <w:lang w:val="es-CR" w:eastAsia="en-US"/>
              </w:rPr>
              <w:t>(1)</w:t>
            </w:r>
          </w:p>
        </w:tc>
        <w:tc>
          <w:tcPr>
            <w:tcW w:w="476" w:type="pct"/>
            <w:shd w:val="clear" w:color="auto" w:fill="auto"/>
            <w:noWrap/>
            <w:vAlign w:val="center"/>
          </w:tcPr>
          <w:p w14:paraId="1CFED67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21" w:type="pct"/>
            <w:shd w:val="clear" w:color="auto" w:fill="auto"/>
            <w:noWrap/>
            <w:vAlign w:val="center"/>
          </w:tcPr>
          <w:p w14:paraId="77757DF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22" w:type="pct"/>
            <w:shd w:val="clear" w:color="auto" w:fill="auto"/>
            <w:noWrap/>
            <w:vAlign w:val="center"/>
          </w:tcPr>
          <w:p w14:paraId="716E99E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w:t>
            </w:r>
          </w:p>
        </w:tc>
        <w:tc>
          <w:tcPr>
            <w:tcW w:w="158" w:type="pct"/>
            <w:shd w:val="clear" w:color="auto" w:fill="auto"/>
            <w:noWrap/>
            <w:vAlign w:val="center"/>
          </w:tcPr>
          <w:p w14:paraId="3B1290F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525095D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789257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213AE65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65B09D5E" w14:textId="77777777" w:rsidTr="002C0DC3">
        <w:trPr>
          <w:trHeight w:val="547"/>
          <w:jc w:val="center"/>
        </w:trPr>
        <w:tc>
          <w:tcPr>
            <w:tcW w:w="1747" w:type="pct"/>
            <w:shd w:val="clear" w:color="auto" w:fill="auto"/>
            <w:noWrap/>
            <w:vAlign w:val="center"/>
          </w:tcPr>
          <w:p w14:paraId="4BF5326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Suspensión por solicitud de parte </w:t>
            </w:r>
            <w:r w:rsidRPr="002C0DC3">
              <w:rPr>
                <w:rFonts w:eastAsia="Calibri"/>
                <w:vertAlign w:val="superscript"/>
                <w:lang w:val="es-CR" w:eastAsia="en-US"/>
              </w:rPr>
              <w:t>(1)</w:t>
            </w:r>
          </w:p>
        </w:tc>
        <w:tc>
          <w:tcPr>
            <w:tcW w:w="476" w:type="pct"/>
            <w:shd w:val="clear" w:color="auto" w:fill="auto"/>
            <w:noWrap/>
            <w:vAlign w:val="center"/>
          </w:tcPr>
          <w:p w14:paraId="189B94D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154</w:t>
            </w:r>
          </w:p>
        </w:tc>
        <w:tc>
          <w:tcPr>
            <w:tcW w:w="521" w:type="pct"/>
            <w:shd w:val="clear" w:color="auto" w:fill="auto"/>
            <w:noWrap/>
            <w:vAlign w:val="center"/>
          </w:tcPr>
          <w:p w14:paraId="23A942B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152</w:t>
            </w:r>
          </w:p>
        </w:tc>
        <w:tc>
          <w:tcPr>
            <w:tcW w:w="522" w:type="pct"/>
            <w:shd w:val="clear" w:color="auto" w:fill="auto"/>
            <w:noWrap/>
            <w:vAlign w:val="center"/>
          </w:tcPr>
          <w:p w14:paraId="2F7114B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236</w:t>
            </w:r>
          </w:p>
        </w:tc>
        <w:tc>
          <w:tcPr>
            <w:tcW w:w="158" w:type="pct"/>
            <w:shd w:val="clear" w:color="auto" w:fill="auto"/>
            <w:noWrap/>
            <w:vAlign w:val="center"/>
          </w:tcPr>
          <w:p w14:paraId="203466B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1555DAE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19BB373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3E412EE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1B952C96" w14:textId="77777777" w:rsidTr="002C0DC3">
        <w:trPr>
          <w:trHeight w:val="271"/>
          <w:jc w:val="center"/>
        </w:trPr>
        <w:tc>
          <w:tcPr>
            <w:tcW w:w="1747" w:type="pct"/>
            <w:shd w:val="clear" w:color="auto" w:fill="auto"/>
            <w:noWrap/>
            <w:vAlign w:val="center"/>
          </w:tcPr>
          <w:p w14:paraId="4392165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Suspensión sucesión procesal </w:t>
            </w:r>
            <w:r w:rsidRPr="002C0DC3">
              <w:rPr>
                <w:rFonts w:eastAsia="Calibri"/>
                <w:vertAlign w:val="superscript"/>
                <w:lang w:val="es-CR" w:eastAsia="en-US"/>
              </w:rPr>
              <w:t>(1)</w:t>
            </w:r>
          </w:p>
        </w:tc>
        <w:tc>
          <w:tcPr>
            <w:tcW w:w="476" w:type="pct"/>
            <w:shd w:val="clear" w:color="auto" w:fill="auto"/>
            <w:noWrap/>
            <w:vAlign w:val="center"/>
          </w:tcPr>
          <w:p w14:paraId="5670A0E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w:t>
            </w:r>
          </w:p>
        </w:tc>
        <w:tc>
          <w:tcPr>
            <w:tcW w:w="521" w:type="pct"/>
            <w:shd w:val="clear" w:color="auto" w:fill="auto"/>
            <w:noWrap/>
            <w:vAlign w:val="center"/>
          </w:tcPr>
          <w:p w14:paraId="39D8F9A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w:t>
            </w:r>
          </w:p>
        </w:tc>
        <w:tc>
          <w:tcPr>
            <w:tcW w:w="522" w:type="pct"/>
            <w:shd w:val="clear" w:color="auto" w:fill="auto"/>
            <w:noWrap/>
            <w:vAlign w:val="center"/>
          </w:tcPr>
          <w:p w14:paraId="53EE900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61</w:t>
            </w:r>
          </w:p>
        </w:tc>
        <w:tc>
          <w:tcPr>
            <w:tcW w:w="158" w:type="pct"/>
            <w:shd w:val="clear" w:color="auto" w:fill="auto"/>
            <w:noWrap/>
            <w:vAlign w:val="center"/>
          </w:tcPr>
          <w:p w14:paraId="021828E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73E5B68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4E99258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64408E0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2E46A7DB" w14:textId="77777777" w:rsidTr="002C0DC3">
        <w:trPr>
          <w:trHeight w:val="271"/>
          <w:jc w:val="center"/>
        </w:trPr>
        <w:tc>
          <w:tcPr>
            <w:tcW w:w="1747" w:type="pct"/>
            <w:shd w:val="clear" w:color="auto" w:fill="auto"/>
            <w:noWrap/>
            <w:vAlign w:val="center"/>
          </w:tcPr>
          <w:p w14:paraId="44DC370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roofErr w:type="spellStart"/>
            <w:r w:rsidRPr="002C0DC3">
              <w:rPr>
                <w:rFonts w:eastAsia="Calibri"/>
                <w:lang w:val="es-CR" w:eastAsia="en-US"/>
              </w:rPr>
              <w:t>Susp</w:t>
            </w:r>
            <w:proofErr w:type="spellEnd"/>
            <w:r w:rsidRPr="002C0DC3">
              <w:rPr>
                <w:rFonts w:eastAsia="Calibri"/>
                <w:lang w:val="es-CR" w:eastAsia="en-US"/>
              </w:rPr>
              <w:t xml:space="preserve">. </w:t>
            </w:r>
            <w:proofErr w:type="spellStart"/>
            <w:r w:rsidRPr="002C0DC3">
              <w:rPr>
                <w:rFonts w:eastAsia="Calibri"/>
                <w:lang w:val="es-CR" w:eastAsia="en-US"/>
              </w:rPr>
              <w:t>Ejec</w:t>
            </w:r>
            <w:proofErr w:type="spellEnd"/>
            <w:r w:rsidRPr="002C0DC3">
              <w:rPr>
                <w:rFonts w:eastAsia="Calibri"/>
                <w:lang w:val="es-CR" w:eastAsia="en-US"/>
              </w:rPr>
              <w:t>. anterior (</w:t>
            </w:r>
            <w:proofErr w:type="spellStart"/>
            <w:r w:rsidRPr="002C0DC3">
              <w:rPr>
                <w:rFonts w:eastAsia="Calibri"/>
                <w:lang w:val="es-CR" w:eastAsia="en-US"/>
              </w:rPr>
              <w:t>Pren</w:t>
            </w:r>
            <w:proofErr w:type="spellEnd"/>
            <w:r w:rsidRPr="002C0DC3">
              <w:rPr>
                <w:rFonts w:eastAsia="Calibri"/>
                <w:lang w:val="es-CR" w:eastAsia="en-US"/>
              </w:rPr>
              <w:t xml:space="preserve"> Hip GM) </w:t>
            </w:r>
            <w:r w:rsidRPr="002C0DC3">
              <w:rPr>
                <w:rFonts w:eastAsia="Calibri"/>
                <w:vertAlign w:val="superscript"/>
                <w:lang w:val="es-CR" w:eastAsia="en-US"/>
              </w:rPr>
              <w:t>(1)</w:t>
            </w:r>
          </w:p>
        </w:tc>
        <w:tc>
          <w:tcPr>
            <w:tcW w:w="476" w:type="pct"/>
            <w:shd w:val="clear" w:color="auto" w:fill="auto"/>
            <w:noWrap/>
            <w:vAlign w:val="center"/>
          </w:tcPr>
          <w:p w14:paraId="4F370A4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w:t>
            </w:r>
          </w:p>
        </w:tc>
        <w:tc>
          <w:tcPr>
            <w:tcW w:w="521" w:type="pct"/>
            <w:shd w:val="clear" w:color="auto" w:fill="auto"/>
            <w:noWrap/>
            <w:vAlign w:val="center"/>
          </w:tcPr>
          <w:p w14:paraId="0D91919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96</w:t>
            </w:r>
          </w:p>
        </w:tc>
        <w:tc>
          <w:tcPr>
            <w:tcW w:w="522" w:type="pct"/>
            <w:shd w:val="clear" w:color="auto" w:fill="auto"/>
            <w:noWrap/>
            <w:vAlign w:val="center"/>
          </w:tcPr>
          <w:p w14:paraId="248A50B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143</w:t>
            </w:r>
          </w:p>
        </w:tc>
        <w:tc>
          <w:tcPr>
            <w:tcW w:w="158" w:type="pct"/>
            <w:shd w:val="clear" w:color="auto" w:fill="auto"/>
            <w:noWrap/>
            <w:vAlign w:val="center"/>
          </w:tcPr>
          <w:p w14:paraId="6947BC5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0012695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5D5F3C5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299AAF5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48FF537B" w14:textId="77777777" w:rsidTr="002C0DC3">
        <w:trPr>
          <w:trHeight w:val="271"/>
          <w:jc w:val="center"/>
        </w:trPr>
        <w:tc>
          <w:tcPr>
            <w:tcW w:w="1747" w:type="pct"/>
            <w:shd w:val="clear" w:color="auto" w:fill="auto"/>
            <w:noWrap/>
            <w:vAlign w:val="center"/>
          </w:tcPr>
          <w:p w14:paraId="67A235F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Suspensión por prejudicialidad </w:t>
            </w:r>
            <w:r w:rsidRPr="002C0DC3">
              <w:rPr>
                <w:rFonts w:eastAsia="Calibri"/>
                <w:vertAlign w:val="superscript"/>
                <w:lang w:val="es-CR" w:eastAsia="en-US"/>
              </w:rPr>
              <w:t>(1)</w:t>
            </w:r>
          </w:p>
        </w:tc>
        <w:tc>
          <w:tcPr>
            <w:tcW w:w="476" w:type="pct"/>
            <w:shd w:val="clear" w:color="auto" w:fill="auto"/>
            <w:noWrap/>
            <w:vAlign w:val="center"/>
          </w:tcPr>
          <w:p w14:paraId="54FCB0B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21" w:type="pct"/>
            <w:shd w:val="clear" w:color="auto" w:fill="auto"/>
            <w:noWrap/>
            <w:vAlign w:val="center"/>
          </w:tcPr>
          <w:p w14:paraId="7D14964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w:t>
            </w:r>
          </w:p>
        </w:tc>
        <w:tc>
          <w:tcPr>
            <w:tcW w:w="522" w:type="pct"/>
            <w:shd w:val="clear" w:color="auto" w:fill="auto"/>
            <w:noWrap/>
            <w:vAlign w:val="center"/>
          </w:tcPr>
          <w:p w14:paraId="19D6F3C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88</w:t>
            </w:r>
          </w:p>
        </w:tc>
        <w:tc>
          <w:tcPr>
            <w:tcW w:w="158" w:type="pct"/>
            <w:shd w:val="clear" w:color="auto" w:fill="auto"/>
            <w:noWrap/>
            <w:vAlign w:val="center"/>
          </w:tcPr>
          <w:p w14:paraId="66539B4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30788ED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1C0BBF3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09B3924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33E6744C" w14:textId="77777777" w:rsidTr="002C0DC3">
        <w:trPr>
          <w:trHeight w:val="271"/>
          <w:jc w:val="center"/>
        </w:trPr>
        <w:tc>
          <w:tcPr>
            <w:tcW w:w="1747" w:type="pct"/>
            <w:shd w:val="clear" w:color="auto" w:fill="auto"/>
            <w:noWrap/>
            <w:vAlign w:val="center"/>
          </w:tcPr>
          <w:p w14:paraId="06327D8A"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Suspensión por oposición (</w:t>
            </w:r>
            <w:proofErr w:type="spellStart"/>
            <w:r w:rsidRPr="002C0DC3">
              <w:rPr>
                <w:rFonts w:eastAsia="Calibri"/>
                <w:lang w:val="es-CR" w:eastAsia="en-US"/>
              </w:rPr>
              <w:t>proc</w:t>
            </w:r>
            <w:proofErr w:type="spellEnd"/>
            <w:r w:rsidRPr="002C0DC3">
              <w:rPr>
                <w:rFonts w:eastAsia="Calibri"/>
                <w:lang w:val="es-CR" w:eastAsia="en-US"/>
              </w:rPr>
              <w:t xml:space="preserve">. no contencioso) </w:t>
            </w:r>
            <w:r w:rsidRPr="002C0DC3">
              <w:rPr>
                <w:rFonts w:eastAsia="Calibri"/>
                <w:vertAlign w:val="superscript"/>
                <w:lang w:val="es-CR" w:eastAsia="en-US"/>
              </w:rPr>
              <w:t>(1)</w:t>
            </w:r>
          </w:p>
        </w:tc>
        <w:tc>
          <w:tcPr>
            <w:tcW w:w="476" w:type="pct"/>
            <w:shd w:val="clear" w:color="auto" w:fill="auto"/>
            <w:noWrap/>
            <w:vAlign w:val="center"/>
          </w:tcPr>
          <w:p w14:paraId="5A06C12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21" w:type="pct"/>
            <w:shd w:val="clear" w:color="auto" w:fill="auto"/>
            <w:noWrap/>
            <w:vAlign w:val="center"/>
          </w:tcPr>
          <w:p w14:paraId="502D64A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22" w:type="pct"/>
            <w:shd w:val="clear" w:color="auto" w:fill="auto"/>
            <w:noWrap/>
            <w:vAlign w:val="center"/>
          </w:tcPr>
          <w:p w14:paraId="787AAF2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w:t>
            </w:r>
          </w:p>
        </w:tc>
        <w:tc>
          <w:tcPr>
            <w:tcW w:w="158" w:type="pct"/>
            <w:shd w:val="clear" w:color="auto" w:fill="auto"/>
            <w:noWrap/>
            <w:vAlign w:val="center"/>
          </w:tcPr>
          <w:p w14:paraId="159D971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59BA7BB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6228E8F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567DD1C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79F7ACA7" w14:textId="77777777" w:rsidTr="002C0DC3">
        <w:trPr>
          <w:trHeight w:val="266"/>
          <w:jc w:val="center"/>
        </w:trPr>
        <w:tc>
          <w:tcPr>
            <w:tcW w:w="1747" w:type="pct"/>
            <w:shd w:val="clear" w:color="auto" w:fill="auto"/>
            <w:noWrap/>
            <w:vAlign w:val="center"/>
            <w:hideMark/>
          </w:tcPr>
          <w:p w14:paraId="2B0864B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En Alzada</w:t>
            </w:r>
          </w:p>
        </w:tc>
        <w:tc>
          <w:tcPr>
            <w:tcW w:w="476" w:type="pct"/>
            <w:shd w:val="clear" w:color="auto" w:fill="auto"/>
            <w:noWrap/>
            <w:vAlign w:val="center"/>
            <w:hideMark/>
          </w:tcPr>
          <w:p w14:paraId="7C0DC4C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1.135</w:t>
            </w:r>
          </w:p>
        </w:tc>
        <w:tc>
          <w:tcPr>
            <w:tcW w:w="521" w:type="pct"/>
            <w:shd w:val="clear" w:color="auto" w:fill="auto"/>
            <w:noWrap/>
            <w:vAlign w:val="center"/>
          </w:tcPr>
          <w:p w14:paraId="37422A5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1.243</w:t>
            </w:r>
          </w:p>
        </w:tc>
        <w:tc>
          <w:tcPr>
            <w:tcW w:w="522" w:type="pct"/>
            <w:shd w:val="clear" w:color="auto" w:fill="auto"/>
            <w:noWrap/>
            <w:vAlign w:val="center"/>
          </w:tcPr>
          <w:p w14:paraId="005FC3D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1.041</w:t>
            </w:r>
          </w:p>
        </w:tc>
        <w:tc>
          <w:tcPr>
            <w:tcW w:w="158" w:type="pct"/>
            <w:shd w:val="clear" w:color="auto" w:fill="auto"/>
            <w:noWrap/>
            <w:vAlign w:val="center"/>
            <w:hideMark/>
          </w:tcPr>
          <w:p w14:paraId="74E906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hideMark/>
          </w:tcPr>
          <w:p w14:paraId="2AB28A3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c>
          <w:tcPr>
            <w:tcW w:w="521" w:type="pct"/>
            <w:shd w:val="clear" w:color="auto" w:fill="auto"/>
            <w:noWrap/>
            <w:vAlign w:val="center"/>
          </w:tcPr>
          <w:p w14:paraId="1E6E61F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c>
          <w:tcPr>
            <w:tcW w:w="535" w:type="pct"/>
            <w:shd w:val="clear" w:color="auto" w:fill="auto"/>
            <w:noWrap/>
          </w:tcPr>
          <w:p w14:paraId="0BAFFFD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r>
      <w:tr w:rsidR="002C0DC3" w:rsidRPr="002C0DC3" w14:paraId="2968FA8C" w14:textId="77777777" w:rsidTr="002C0DC3">
        <w:trPr>
          <w:trHeight w:val="266"/>
          <w:jc w:val="center"/>
        </w:trPr>
        <w:tc>
          <w:tcPr>
            <w:tcW w:w="1747" w:type="pct"/>
            <w:shd w:val="clear" w:color="auto" w:fill="auto"/>
            <w:noWrap/>
            <w:vAlign w:val="center"/>
            <w:hideMark/>
          </w:tcPr>
          <w:p w14:paraId="2DA78E0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En Consulta a Sala</w:t>
            </w:r>
          </w:p>
        </w:tc>
        <w:tc>
          <w:tcPr>
            <w:tcW w:w="476" w:type="pct"/>
            <w:shd w:val="clear" w:color="auto" w:fill="auto"/>
            <w:noWrap/>
            <w:vAlign w:val="center"/>
            <w:hideMark/>
          </w:tcPr>
          <w:p w14:paraId="1000C36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w:t>
            </w:r>
          </w:p>
        </w:tc>
        <w:tc>
          <w:tcPr>
            <w:tcW w:w="521" w:type="pct"/>
            <w:shd w:val="clear" w:color="auto" w:fill="auto"/>
            <w:noWrap/>
            <w:vAlign w:val="center"/>
          </w:tcPr>
          <w:p w14:paraId="085592A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w:t>
            </w:r>
          </w:p>
        </w:tc>
        <w:tc>
          <w:tcPr>
            <w:tcW w:w="522" w:type="pct"/>
            <w:shd w:val="clear" w:color="auto" w:fill="auto"/>
            <w:noWrap/>
            <w:vAlign w:val="center"/>
          </w:tcPr>
          <w:p w14:paraId="55E8B02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w:t>
            </w:r>
          </w:p>
        </w:tc>
        <w:tc>
          <w:tcPr>
            <w:tcW w:w="158" w:type="pct"/>
            <w:shd w:val="clear" w:color="auto" w:fill="auto"/>
            <w:noWrap/>
            <w:vAlign w:val="center"/>
            <w:hideMark/>
          </w:tcPr>
          <w:p w14:paraId="5ABB39B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hideMark/>
          </w:tcPr>
          <w:p w14:paraId="5BA2D28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1072D70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20B0603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1244EBAE" w14:textId="77777777" w:rsidTr="002C0DC3">
        <w:trPr>
          <w:trHeight w:val="266"/>
          <w:jc w:val="center"/>
        </w:trPr>
        <w:tc>
          <w:tcPr>
            <w:tcW w:w="1747" w:type="pct"/>
            <w:shd w:val="clear" w:color="auto" w:fill="auto"/>
            <w:noWrap/>
            <w:vAlign w:val="center"/>
          </w:tcPr>
          <w:p w14:paraId="3B60A66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Trámite en etapa de ejecución </w:t>
            </w:r>
            <w:r w:rsidRPr="002C0DC3">
              <w:rPr>
                <w:rFonts w:eastAsia="Calibri"/>
                <w:vertAlign w:val="superscript"/>
                <w:lang w:val="es-CR" w:eastAsia="en-US"/>
              </w:rPr>
              <w:t>(1)</w:t>
            </w:r>
          </w:p>
        </w:tc>
        <w:tc>
          <w:tcPr>
            <w:tcW w:w="476" w:type="pct"/>
            <w:shd w:val="clear" w:color="auto" w:fill="auto"/>
            <w:noWrap/>
            <w:vAlign w:val="center"/>
          </w:tcPr>
          <w:p w14:paraId="05DC733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49.237</w:t>
            </w:r>
          </w:p>
        </w:tc>
        <w:tc>
          <w:tcPr>
            <w:tcW w:w="521" w:type="pct"/>
            <w:shd w:val="clear" w:color="auto" w:fill="auto"/>
            <w:noWrap/>
            <w:vAlign w:val="center"/>
          </w:tcPr>
          <w:p w14:paraId="753CEED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140.844</w:t>
            </w:r>
          </w:p>
        </w:tc>
        <w:tc>
          <w:tcPr>
            <w:tcW w:w="522" w:type="pct"/>
            <w:shd w:val="clear" w:color="auto" w:fill="auto"/>
            <w:noWrap/>
            <w:vAlign w:val="center"/>
          </w:tcPr>
          <w:p w14:paraId="3DA4144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220.775</w:t>
            </w:r>
          </w:p>
        </w:tc>
        <w:tc>
          <w:tcPr>
            <w:tcW w:w="158" w:type="pct"/>
            <w:shd w:val="clear" w:color="auto" w:fill="auto"/>
            <w:noWrap/>
            <w:vAlign w:val="center"/>
          </w:tcPr>
          <w:p w14:paraId="5AAB0E5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6F52B1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7,1</w:t>
            </w:r>
          </w:p>
        </w:tc>
        <w:tc>
          <w:tcPr>
            <w:tcW w:w="521" w:type="pct"/>
            <w:shd w:val="clear" w:color="auto" w:fill="auto"/>
            <w:noWrap/>
            <w:vAlign w:val="center"/>
          </w:tcPr>
          <w:p w14:paraId="5260BF1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18,8</w:t>
            </w:r>
          </w:p>
        </w:tc>
        <w:tc>
          <w:tcPr>
            <w:tcW w:w="535" w:type="pct"/>
            <w:shd w:val="clear" w:color="auto" w:fill="auto"/>
            <w:noWrap/>
          </w:tcPr>
          <w:p w14:paraId="6490637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26,5</w:t>
            </w:r>
          </w:p>
        </w:tc>
      </w:tr>
      <w:tr w:rsidR="002C0DC3" w:rsidRPr="002C0DC3" w14:paraId="254EA16F" w14:textId="77777777" w:rsidTr="002C0DC3">
        <w:trPr>
          <w:trHeight w:val="266"/>
          <w:jc w:val="center"/>
        </w:trPr>
        <w:tc>
          <w:tcPr>
            <w:tcW w:w="1747" w:type="pct"/>
            <w:shd w:val="clear" w:color="auto" w:fill="auto"/>
            <w:noWrap/>
            <w:vAlign w:val="center"/>
          </w:tcPr>
          <w:p w14:paraId="79123A1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Préstamo a otro despacho </w:t>
            </w:r>
            <w:r w:rsidRPr="002C0DC3">
              <w:rPr>
                <w:rFonts w:eastAsia="Calibri"/>
                <w:vertAlign w:val="superscript"/>
                <w:lang w:val="es-CR" w:eastAsia="en-US"/>
              </w:rPr>
              <w:t>(1)</w:t>
            </w:r>
          </w:p>
        </w:tc>
        <w:tc>
          <w:tcPr>
            <w:tcW w:w="476" w:type="pct"/>
            <w:shd w:val="clear" w:color="auto" w:fill="auto"/>
            <w:noWrap/>
            <w:vAlign w:val="center"/>
          </w:tcPr>
          <w:p w14:paraId="4B4A7F6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21" w:type="pct"/>
            <w:shd w:val="clear" w:color="auto" w:fill="auto"/>
            <w:noWrap/>
            <w:vAlign w:val="center"/>
          </w:tcPr>
          <w:p w14:paraId="0407967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22" w:type="pct"/>
            <w:shd w:val="clear" w:color="auto" w:fill="auto"/>
            <w:noWrap/>
            <w:vAlign w:val="center"/>
          </w:tcPr>
          <w:p w14:paraId="32246EE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158" w:type="pct"/>
            <w:shd w:val="clear" w:color="auto" w:fill="auto"/>
            <w:noWrap/>
            <w:vAlign w:val="center"/>
          </w:tcPr>
          <w:p w14:paraId="3AC08B8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07B5CFE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64F58F2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3B82D5B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0700BA02" w14:textId="77777777" w:rsidTr="002C0DC3">
        <w:trPr>
          <w:trHeight w:val="266"/>
          <w:jc w:val="center"/>
        </w:trPr>
        <w:tc>
          <w:tcPr>
            <w:tcW w:w="1747" w:type="pct"/>
            <w:shd w:val="clear" w:color="auto" w:fill="auto"/>
            <w:noWrap/>
            <w:vAlign w:val="center"/>
          </w:tcPr>
          <w:p w14:paraId="5493D6C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Enviado al Centro de Conciliación </w:t>
            </w:r>
          </w:p>
        </w:tc>
        <w:tc>
          <w:tcPr>
            <w:tcW w:w="476" w:type="pct"/>
            <w:shd w:val="clear" w:color="auto" w:fill="auto"/>
            <w:noWrap/>
            <w:vAlign w:val="center"/>
          </w:tcPr>
          <w:p w14:paraId="46A32D4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21" w:type="pct"/>
            <w:shd w:val="clear" w:color="auto" w:fill="auto"/>
            <w:noWrap/>
            <w:vAlign w:val="center"/>
          </w:tcPr>
          <w:p w14:paraId="7D0D550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22" w:type="pct"/>
            <w:shd w:val="clear" w:color="auto" w:fill="auto"/>
            <w:noWrap/>
            <w:vAlign w:val="center"/>
          </w:tcPr>
          <w:p w14:paraId="03841C5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158" w:type="pct"/>
            <w:shd w:val="clear" w:color="auto" w:fill="auto"/>
            <w:noWrap/>
            <w:vAlign w:val="center"/>
          </w:tcPr>
          <w:p w14:paraId="7E4079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0A8962B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539C605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3128D85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19BDB998" w14:textId="77777777" w:rsidTr="002C0DC3">
        <w:trPr>
          <w:trHeight w:val="281"/>
          <w:jc w:val="center"/>
        </w:trPr>
        <w:tc>
          <w:tcPr>
            <w:tcW w:w="1747" w:type="pct"/>
            <w:shd w:val="clear" w:color="auto" w:fill="auto"/>
            <w:noWrap/>
            <w:vAlign w:val="center"/>
          </w:tcPr>
          <w:p w14:paraId="41EC92E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Estados Incorrectos </w:t>
            </w:r>
            <w:r w:rsidRPr="002C0DC3">
              <w:rPr>
                <w:rFonts w:eastAsia="Calibri"/>
                <w:vertAlign w:val="superscript"/>
                <w:lang w:val="es-CR" w:eastAsia="en-US"/>
              </w:rPr>
              <w:t>(2)</w:t>
            </w:r>
          </w:p>
        </w:tc>
        <w:tc>
          <w:tcPr>
            <w:tcW w:w="476" w:type="pct"/>
            <w:shd w:val="clear" w:color="auto" w:fill="auto"/>
            <w:noWrap/>
            <w:vAlign w:val="center"/>
          </w:tcPr>
          <w:p w14:paraId="2BCB856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21" w:type="pct"/>
            <w:shd w:val="clear" w:color="auto" w:fill="auto"/>
            <w:noWrap/>
            <w:vAlign w:val="center"/>
          </w:tcPr>
          <w:p w14:paraId="39C974B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w:t>
            </w:r>
          </w:p>
        </w:tc>
        <w:tc>
          <w:tcPr>
            <w:tcW w:w="522" w:type="pct"/>
            <w:shd w:val="clear" w:color="auto" w:fill="auto"/>
            <w:noWrap/>
            <w:vAlign w:val="center"/>
          </w:tcPr>
          <w:p w14:paraId="008F887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158" w:type="pct"/>
            <w:shd w:val="clear" w:color="auto" w:fill="auto"/>
            <w:noWrap/>
            <w:vAlign w:val="center"/>
          </w:tcPr>
          <w:p w14:paraId="1D72297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tcPr>
          <w:p w14:paraId="3FADD94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tcPr>
          <w:p w14:paraId="0B765C3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tcPr>
          <w:p w14:paraId="56BC88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7E348351" w14:textId="77777777" w:rsidTr="002C0DC3">
        <w:trPr>
          <w:trHeight w:val="266"/>
          <w:jc w:val="center"/>
        </w:trPr>
        <w:tc>
          <w:tcPr>
            <w:tcW w:w="1747" w:type="pct"/>
            <w:shd w:val="clear" w:color="auto" w:fill="auto"/>
            <w:noWrap/>
            <w:vAlign w:val="center"/>
            <w:hideMark/>
          </w:tcPr>
          <w:p w14:paraId="1E85AA87" w14:textId="77777777" w:rsidR="002C0DC3" w:rsidRPr="002C0DC3" w:rsidRDefault="002C0DC3" w:rsidP="002C0DC3">
            <w:pPr>
              <w:widowControl w:val="0"/>
              <w:suppressAutoHyphens w:val="0"/>
              <w:autoSpaceDE w:val="0"/>
              <w:autoSpaceDN w:val="0"/>
              <w:adjustRightInd w:val="0"/>
              <w:rPr>
                <w:rFonts w:eastAsia="Calibri"/>
                <w:lang w:val="es-CR" w:eastAsia="en-US"/>
              </w:rPr>
            </w:pPr>
            <w:r w:rsidRPr="002C0DC3">
              <w:rPr>
                <w:rFonts w:eastAsia="Calibri"/>
                <w:lang w:val="es-CR" w:eastAsia="en-US"/>
              </w:rPr>
              <w:t xml:space="preserve">A </w:t>
            </w:r>
            <w:proofErr w:type="spellStart"/>
            <w:r w:rsidRPr="002C0DC3">
              <w:rPr>
                <w:rFonts w:eastAsia="Calibri"/>
                <w:lang w:val="es-CR" w:eastAsia="en-US"/>
              </w:rPr>
              <w:t>efectum</w:t>
            </w:r>
            <w:proofErr w:type="spellEnd"/>
            <w:r w:rsidRPr="002C0DC3">
              <w:rPr>
                <w:rFonts w:eastAsia="Calibri"/>
                <w:lang w:val="es-CR" w:eastAsia="en-US"/>
              </w:rPr>
              <w:t xml:space="preserve"> </w:t>
            </w:r>
            <w:proofErr w:type="spellStart"/>
            <w:r w:rsidRPr="002C0DC3">
              <w:rPr>
                <w:rFonts w:eastAsia="Calibri"/>
                <w:lang w:val="es-CR" w:eastAsia="en-US"/>
              </w:rPr>
              <w:t>Videndi</w:t>
            </w:r>
            <w:proofErr w:type="spellEnd"/>
          </w:p>
        </w:tc>
        <w:tc>
          <w:tcPr>
            <w:tcW w:w="476" w:type="pct"/>
            <w:shd w:val="clear" w:color="auto" w:fill="auto"/>
            <w:noWrap/>
            <w:vAlign w:val="center"/>
            <w:hideMark/>
          </w:tcPr>
          <w:p w14:paraId="08EBBA4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21" w:type="pct"/>
            <w:shd w:val="clear" w:color="auto" w:fill="auto"/>
            <w:noWrap/>
            <w:vAlign w:val="center"/>
            <w:hideMark/>
          </w:tcPr>
          <w:p w14:paraId="56555F2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22" w:type="pct"/>
            <w:shd w:val="clear" w:color="auto" w:fill="auto"/>
            <w:noWrap/>
            <w:vAlign w:val="center"/>
            <w:hideMark/>
          </w:tcPr>
          <w:p w14:paraId="24311C1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w:t>
            </w:r>
          </w:p>
        </w:tc>
        <w:tc>
          <w:tcPr>
            <w:tcW w:w="158" w:type="pct"/>
            <w:shd w:val="clear" w:color="auto" w:fill="auto"/>
            <w:noWrap/>
            <w:vAlign w:val="center"/>
            <w:hideMark/>
          </w:tcPr>
          <w:p w14:paraId="0B0F509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521" w:type="pct"/>
            <w:shd w:val="clear" w:color="auto" w:fill="auto"/>
            <w:noWrap/>
            <w:vAlign w:val="center"/>
            <w:hideMark/>
          </w:tcPr>
          <w:p w14:paraId="65924C3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21" w:type="pct"/>
            <w:shd w:val="clear" w:color="auto" w:fill="auto"/>
            <w:noWrap/>
            <w:vAlign w:val="center"/>
            <w:hideMark/>
          </w:tcPr>
          <w:p w14:paraId="388405F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535" w:type="pct"/>
            <w:shd w:val="clear" w:color="auto" w:fill="auto"/>
            <w:noWrap/>
            <w:hideMark/>
          </w:tcPr>
          <w:p w14:paraId="3BE5E95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bl>
    <w:p w14:paraId="3F9EB1C9" w14:textId="4C87915B" w:rsid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r w:rsidRPr="002C0DC3">
        <w:rPr>
          <w:rFonts w:eastAsia="Calibri"/>
          <w:bCs/>
          <w:lang w:val="es-CR" w:eastAsia="en-US"/>
        </w:rPr>
        <w:t>1-/ Nuevos estados producto de la Reforma Civil.</w:t>
      </w:r>
    </w:p>
    <w:p w14:paraId="07E02B7A"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p>
    <w:p w14:paraId="4617537F" w14:textId="3DF08B83" w:rsid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r w:rsidRPr="002C0DC3">
        <w:rPr>
          <w:rFonts w:eastAsia="Calibri"/>
          <w:bCs/>
          <w:lang w:val="es-CR" w:eastAsia="en-US"/>
        </w:rPr>
        <w:t>2-/ Se refiere a estados incorrectos identificados en el sistema informático.</w:t>
      </w:r>
    </w:p>
    <w:p w14:paraId="5024F02A"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p>
    <w:p w14:paraId="07EB030F" w14:textId="341E515A" w:rsid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r w:rsidRPr="002C0DC3">
        <w:rPr>
          <w:rFonts w:eastAsia="Calibri"/>
          <w:bCs/>
          <w:lang w:val="es-CR" w:eastAsia="en-US"/>
        </w:rPr>
        <w:t>* El sistema no cerrará estadísticamente los casos inactivos, pero, tampoco se contabilizarán en el circulante activo de la oficina.</w:t>
      </w:r>
    </w:p>
    <w:p w14:paraId="0A23B839"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Cs/>
          <w:lang w:val="es-CR" w:eastAsia="en-US"/>
        </w:rPr>
      </w:pPr>
    </w:p>
    <w:p w14:paraId="5DE11AB5"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b/>
          <w:lang w:val="es-CR" w:eastAsia="en-US"/>
        </w:rPr>
      </w:pPr>
      <w:r w:rsidRPr="002C0DC3">
        <w:rPr>
          <w:rFonts w:eastAsia="Calibri"/>
          <w:lang w:val="es-CR" w:eastAsia="en-US"/>
        </w:rPr>
        <w:t>Elaborado por: Subproceso de Estadística, Dirección de Planificación.</w:t>
      </w:r>
    </w:p>
    <w:p w14:paraId="1FCA7DCE"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p w14:paraId="3648F877"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r w:rsidRPr="002C0DC3">
        <w:rPr>
          <w:rFonts w:eastAsia="Calibri"/>
          <w:lang w:val="es-CR" w:eastAsia="en-US"/>
        </w:rPr>
        <w:t>Puntualmente se extraen las siguientes conclusiones</w:t>
      </w:r>
    </w:p>
    <w:p w14:paraId="2870C2A7"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p>
    <w:p w14:paraId="08E836D8" w14:textId="77777777" w:rsidR="002C0DC3" w:rsidRPr="002C0DC3" w:rsidRDefault="002C0DC3" w:rsidP="002C0DC3">
      <w:pPr>
        <w:widowControl w:val="0"/>
        <w:suppressAutoHyphens w:val="0"/>
        <w:autoSpaceDE w:val="0"/>
        <w:autoSpaceDN w:val="0"/>
        <w:adjustRightInd w:val="0"/>
        <w:ind w:left="851" w:right="851" w:firstLine="709"/>
        <w:contextualSpacing/>
        <w:jc w:val="both"/>
        <w:rPr>
          <w:rFonts w:eastAsia="Calibri"/>
          <w:i/>
          <w:iCs/>
          <w:lang w:val="es-CR" w:eastAsia="en-US"/>
        </w:rPr>
      </w:pPr>
      <w:r w:rsidRPr="002C0DC3">
        <w:rPr>
          <w:rFonts w:eastAsia="Calibri"/>
          <w:lang w:val="es-CR" w:eastAsia="en-US"/>
        </w:rPr>
        <w:t xml:space="preserve">Durante el 2020 se presenta una situación muy particular respecto al </w:t>
      </w:r>
      <w:r w:rsidRPr="002C0DC3">
        <w:rPr>
          <w:rFonts w:eastAsia="Calibri"/>
          <w:lang w:val="es-CR" w:eastAsia="en-US"/>
        </w:rPr>
        <w:lastRenderedPageBreak/>
        <w:t xml:space="preserve">circulante en trámite para la materia cobratoria, registrándose un incremento en el volumen de asuntos en </w:t>
      </w:r>
      <w:r w:rsidRPr="002C0DC3">
        <w:rPr>
          <w:rFonts w:eastAsia="Calibri"/>
          <w:i/>
          <w:iCs/>
          <w:lang w:val="es-CR" w:eastAsia="en-US"/>
        </w:rPr>
        <w:t>Trámite (-4.545)</w:t>
      </w:r>
      <w:r w:rsidRPr="002C0DC3">
        <w:rPr>
          <w:rFonts w:eastAsia="Calibri"/>
          <w:lang w:val="es-CR" w:eastAsia="en-US"/>
        </w:rPr>
        <w:t xml:space="preserve"> y paralelamente un incremento de los expedientes en </w:t>
      </w:r>
      <w:r w:rsidRPr="002C0DC3">
        <w:rPr>
          <w:rFonts w:eastAsia="Calibri"/>
          <w:i/>
          <w:iCs/>
          <w:lang w:val="es-CR" w:eastAsia="en-US"/>
        </w:rPr>
        <w:t>Trámite en Ejecución (+79.931).</w:t>
      </w:r>
    </w:p>
    <w:p w14:paraId="4F8CBC75" w14:textId="77777777" w:rsidR="002C0DC3" w:rsidRPr="002C0DC3" w:rsidRDefault="002C0DC3" w:rsidP="002C0DC3">
      <w:pPr>
        <w:widowControl w:val="0"/>
        <w:suppressAutoHyphens w:val="0"/>
        <w:autoSpaceDE w:val="0"/>
        <w:autoSpaceDN w:val="0"/>
        <w:adjustRightInd w:val="0"/>
        <w:ind w:left="851" w:right="851" w:firstLine="709"/>
        <w:contextualSpacing/>
        <w:jc w:val="both"/>
        <w:rPr>
          <w:rFonts w:eastAsia="Calibri"/>
          <w:i/>
          <w:iCs/>
          <w:lang w:val="es-CR" w:eastAsia="en-US"/>
        </w:rPr>
      </w:pPr>
      <w:r w:rsidRPr="002C0DC3">
        <w:rPr>
          <w:rFonts w:eastAsia="Calibri"/>
          <w:i/>
          <w:iCs/>
          <w:lang w:val="es-CR" w:eastAsia="en-US"/>
        </w:rPr>
        <w:t xml:space="preserve"> </w:t>
      </w:r>
    </w:p>
    <w:p w14:paraId="6526B2FD" w14:textId="77777777" w:rsidR="002C0DC3" w:rsidRPr="002C0DC3" w:rsidRDefault="002C0DC3" w:rsidP="002C0DC3">
      <w:pPr>
        <w:widowControl w:val="0"/>
        <w:suppressAutoHyphens w:val="0"/>
        <w:autoSpaceDE w:val="0"/>
        <w:autoSpaceDN w:val="0"/>
        <w:adjustRightInd w:val="0"/>
        <w:ind w:left="851" w:right="851" w:firstLine="709"/>
        <w:contextualSpacing/>
        <w:jc w:val="both"/>
        <w:rPr>
          <w:rFonts w:eastAsia="Calibri"/>
          <w:lang w:val="es-CR" w:eastAsia="en-US"/>
        </w:rPr>
      </w:pPr>
      <w:r w:rsidRPr="002C0DC3">
        <w:rPr>
          <w:rFonts w:eastAsia="Calibri"/>
          <w:lang w:val="es-CR" w:eastAsia="en-US"/>
        </w:rPr>
        <w:t xml:space="preserve">Algunos otros estados que registran variaciones ascendentes importantes lo son: </w:t>
      </w:r>
      <w:r w:rsidRPr="002C0DC3">
        <w:rPr>
          <w:rFonts w:eastAsia="Calibri"/>
          <w:i/>
          <w:iCs/>
          <w:lang w:val="es-CR" w:eastAsia="en-US"/>
        </w:rPr>
        <w:t>Suspensión por Solicitud de parte (+84), Suspensión por Sucesión Procesal (+32), Suspensión por Ejecución anterior (Prenda, Hipoteca GM) +47 y Suspensión por prejudicialidad (+76).</w:t>
      </w:r>
    </w:p>
    <w:p w14:paraId="18AD6FA0" w14:textId="77777777" w:rsidR="002C0DC3" w:rsidRPr="002C0DC3" w:rsidRDefault="002C0DC3" w:rsidP="002C0DC3">
      <w:pPr>
        <w:suppressAutoHyphens w:val="0"/>
        <w:ind w:left="851" w:right="851" w:firstLine="709"/>
        <w:contextualSpacing/>
        <w:jc w:val="both"/>
        <w:rPr>
          <w:rFonts w:eastAsia="Calibri"/>
          <w:lang w:val="es-CR" w:eastAsia="en-US"/>
        </w:rPr>
      </w:pPr>
    </w:p>
    <w:p w14:paraId="50A00D30" w14:textId="77777777" w:rsidR="002C0DC3" w:rsidRPr="002C0DC3" w:rsidRDefault="002C0DC3" w:rsidP="002C0DC3">
      <w:pPr>
        <w:widowControl w:val="0"/>
        <w:suppressAutoHyphens w:val="0"/>
        <w:autoSpaceDE w:val="0"/>
        <w:autoSpaceDN w:val="0"/>
        <w:adjustRightInd w:val="0"/>
        <w:ind w:left="851" w:right="851" w:firstLine="709"/>
        <w:contextualSpacing/>
        <w:jc w:val="both"/>
        <w:rPr>
          <w:rFonts w:eastAsia="Calibri"/>
          <w:lang w:val="es-CR" w:eastAsia="en-US"/>
        </w:rPr>
      </w:pPr>
      <w:r w:rsidRPr="002C0DC3">
        <w:rPr>
          <w:rFonts w:eastAsia="Calibri"/>
          <w:lang w:val="es-CR" w:eastAsia="en-US"/>
        </w:rPr>
        <w:t>Los expedientes en esta de “En Alzada” registraron una disminución calculada en 202 casos para el período en estudio.</w:t>
      </w:r>
    </w:p>
    <w:p w14:paraId="2726CFE4"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p>
    <w:p w14:paraId="1702356C"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r w:rsidRPr="002C0DC3">
        <w:rPr>
          <w:rFonts w:eastAsia="Calibri"/>
          <w:lang w:val="es-CR" w:eastAsia="en-US"/>
        </w:rPr>
        <w:t>Seguidamente se presentan los casos en trámite de acuerdo con la Fase que mantiene el expediente, para el período comparativo que va del 2018 al 2020.</w:t>
      </w:r>
    </w:p>
    <w:p w14:paraId="4AC830AC"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p>
    <w:p w14:paraId="7D00186A"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N°6.3</w:t>
      </w:r>
    </w:p>
    <w:p w14:paraId="07B583DC"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Circulante al finalizar el año</w:t>
      </w:r>
    </w:p>
    <w:p w14:paraId="59905162"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según fase del expediente, período 2018-2020</w:t>
      </w:r>
    </w:p>
    <w:p w14:paraId="108EFADD"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1015"/>
        <w:gridCol w:w="1015"/>
        <w:gridCol w:w="1017"/>
        <w:gridCol w:w="234"/>
        <w:gridCol w:w="645"/>
        <w:gridCol w:w="645"/>
        <w:gridCol w:w="643"/>
      </w:tblGrid>
      <w:tr w:rsidR="002C0DC3" w:rsidRPr="002C0DC3" w14:paraId="64823264" w14:textId="77777777" w:rsidTr="002C0DC3">
        <w:trPr>
          <w:tblHeader/>
          <w:jc w:val="center"/>
        </w:trPr>
        <w:tc>
          <w:tcPr>
            <w:tcW w:w="2279" w:type="pct"/>
            <w:vMerge w:val="restart"/>
            <w:shd w:val="clear" w:color="auto" w:fill="auto"/>
            <w:noWrap/>
            <w:vAlign w:val="center"/>
            <w:hideMark/>
          </w:tcPr>
          <w:p w14:paraId="583AB717" w14:textId="77777777" w:rsidR="002C0DC3" w:rsidRPr="002C0DC3" w:rsidRDefault="002C0DC3" w:rsidP="002C0DC3">
            <w:pPr>
              <w:widowControl w:val="0"/>
              <w:suppressAutoHyphens w:val="0"/>
              <w:autoSpaceDE w:val="0"/>
              <w:autoSpaceDN w:val="0"/>
              <w:adjustRightInd w:val="0"/>
              <w:jc w:val="center"/>
              <w:rPr>
                <w:rFonts w:eastAsia="Calibri"/>
                <w:lang w:val="es-CR" w:eastAsia="es-CR"/>
              </w:rPr>
            </w:pPr>
            <w:r w:rsidRPr="002C0DC3">
              <w:rPr>
                <w:rFonts w:eastAsia="Calibri"/>
                <w:lang w:val="es-CR" w:eastAsia="en-US"/>
              </w:rPr>
              <w:t> </w:t>
            </w:r>
          </w:p>
          <w:p w14:paraId="5F8EE025" w14:textId="77777777" w:rsidR="002C0DC3" w:rsidRPr="002C0DC3" w:rsidRDefault="002C0DC3" w:rsidP="002C0DC3">
            <w:pPr>
              <w:widowControl w:val="0"/>
              <w:suppressAutoHyphens w:val="0"/>
              <w:autoSpaceDE w:val="0"/>
              <w:autoSpaceDN w:val="0"/>
              <w:adjustRightInd w:val="0"/>
              <w:jc w:val="center"/>
              <w:rPr>
                <w:rFonts w:eastAsia="Calibri"/>
                <w:lang w:val="es-CR" w:eastAsia="es-CR"/>
              </w:rPr>
            </w:pPr>
            <w:r w:rsidRPr="002C0DC3">
              <w:rPr>
                <w:rFonts w:eastAsia="Calibri"/>
                <w:b/>
                <w:bCs/>
                <w:lang w:val="es-CR" w:eastAsia="en-US"/>
              </w:rPr>
              <w:t>Fase del Expediente</w:t>
            </w:r>
          </w:p>
        </w:tc>
        <w:tc>
          <w:tcPr>
            <w:tcW w:w="1612" w:type="pct"/>
            <w:gridSpan w:val="3"/>
            <w:shd w:val="clear" w:color="auto" w:fill="auto"/>
            <w:noWrap/>
            <w:vAlign w:val="center"/>
            <w:hideMark/>
          </w:tcPr>
          <w:p w14:paraId="0739CFC6"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Circulante al Finalizar el Año</w:t>
            </w:r>
          </w:p>
        </w:tc>
        <w:tc>
          <w:tcPr>
            <w:tcW w:w="108" w:type="pct"/>
            <w:shd w:val="clear" w:color="auto" w:fill="auto"/>
            <w:noWrap/>
            <w:vAlign w:val="center"/>
            <w:hideMark/>
          </w:tcPr>
          <w:p w14:paraId="4FE49AB9"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1001" w:type="pct"/>
            <w:gridSpan w:val="3"/>
            <w:shd w:val="clear" w:color="auto" w:fill="auto"/>
            <w:noWrap/>
            <w:vAlign w:val="center"/>
            <w:hideMark/>
          </w:tcPr>
          <w:p w14:paraId="1010831A"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Porcentajes</w:t>
            </w:r>
          </w:p>
        </w:tc>
      </w:tr>
      <w:tr w:rsidR="002C0DC3" w:rsidRPr="002C0DC3" w14:paraId="021A2164" w14:textId="77777777" w:rsidTr="002C0DC3">
        <w:trPr>
          <w:tblHeader/>
          <w:jc w:val="center"/>
        </w:trPr>
        <w:tc>
          <w:tcPr>
            <w:tcW w:w="2279" w:type="pct"/>
            <w:vMerge/>
            <w:shd w:val="clear" w:color="auto" w:fill="auto"/>
            <w:noWrap/>
            <w:vAlign w:val="center"/>
            <w:hideMark/>
          </w:tcPr>
          <w:p w14:paraId="71D41E23"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537" w:type="pct"/>
            <w:shd w:val="clear" w:color="auto" w:fill="auto"/>
            <w:noWrap/>
            <w:vAlign w:val="center"/>
            <w:hideMark/>
          </w:tcPr>
          <w:p w14:paraId="71950F8F"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2018</w:t>
            </w:r>
          </w:p>
        </w:tc>
        <w:tc>
          <w:tcPr>
            <w:tcW w:w="537" w:type="pct"/>
            <w:shd w:val="clear" w:color="auto" w:fill="auto"/>
            <w:noWrap/>
            <w:vAlign w:val="center"/>
          </w:tcPr>
          <w:p w14:paraId="7E82E20C"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2019</w:t>
            </w:r>
          </w:p>
        </w:tc>
        <w:tc>
          <w:tcPr>
            <w:tcW w:w="537" w:type="pct"/>
            <w:shd w:val="clear" w:color="auto" w:fill="auto"/>
            <w:noWrap/>
            <w:vAlign w:val="center"/>
          </w:tcPr>
          <w:p w14:paraId="7E26E55C"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2020</w:t>
            </w:r>
          </w:p>
        </w:tc>
        <w:tc>
          <w:tcPr>
            <w:tcW w:w="108" w:type="pct"/>
            <w:shd w:val="clear" w:color="auto" w:fill="auto"/>
            <w:noWrap/>
            <w:vAlign w:val="center"/>
            <w:hideMark/>
          </w:tcPr>
          <w:p w14:paraId="3539F62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 </w:t>
            </w:r>
          </w:p>
        </w:tc>
        <w:tc>
          <w:tcPr>
            <w:tcW w:w="334" w:type="pct"/>
            <w:shd w:val="clear" w:color="auto" w:fill="auto"/>
            <w:noWrap/>
            <w:vAlign w:val="center"/>
            <w:hideMark/>
          </w:tcPr>
          <w:p w14:paraId="0BA425A3"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2018</w:t>
            </w:r>
          </w:p>
        </w:tc>
        <w:tc>
          <w:tcPr>
            <w:tcW w:w="334" w:type="pct"/>
            <w:shd w:val="clear" w:color="auto" w:fill="auto"/>
            <w:noWrap/>
            <w:vAlign w:val="center"/>
          </w:tcPr>
          <w:p w14:paraId="334482EE"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2019</w:t>
            </w:r>
          </w:p>
        </w:tc>
        <w:tc>
          <w:tcPr>
            <w:tcW w:w="334" w:type="pct"/>
            <w:shd w:val="clear" w:color="auto" w:fill="auto"/>
            <w:noWrap/>
            <w:vAlign w:val="center"/>
          </w:tcPr>
          <w:p w14:paraId="665FBE73"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2020</w:t>
            </w:r>
          </w:p>
        </w:tc>
      </w:tr>
      <w:tr w:rsidR="002C0DC3" w:rsidRPr="002C0DC3" w14:paraId="3679B86C" w14:textId="77777777" w:rsidTr="002C0DC3">
        <w:trPr>
          <w:jc w:val="center"/>
        </w:trPr>
        <w:tc>
          <w:tcPr>
            <w:tcW w:w="2279" w:type="pct"/>
            <w:shd w:val="clear" w:color="auto" w:fill="auto"/>
            <w:noWrap/>
            <w:vAlign w:val="center"/>
            <w:hideMark/>
          </w:tcPr>
          <w:p w14:paraId="3F7FA41D"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537" w:type="pct"/>
            <w:shd w:val="clear" w:color="auto" w:fill="auto"/>
            <w:noWrap/>
            <w:vAlign w:val="center"/>
            <w:hideMark/>
          </w:tcPr>
          <w:p w14:paraId="1EC7BB84"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 </w:t>
            </w:r>
          </w:p>
        </w:tc>
        <w:tc>
          <w:tcPr>
            <w:tcW w:w="537" w:type="pct"/>
            <w:shd w:val="clear" w:color="auto" w:fill="auto"/>
            <w:noWrap/>
            <w:vAlign w:val="center"/>
            <w:hideMark/>
          </w:tcPr>
          <w:p w14:paraId="6F716C4D"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 </w:t>
            </w:r>
          </w:p>
        </w:tc>
        <w:tc>
          <w:tcPr>
            <w:tcW w:w="537" w:type="pct"/>
            <w:shd w:val="clear" w:color="auto" w:fill="auto"/>
            <w:noWrap/>
            <w:vAlign w:val="center"/>
            <w:hideMark/>
          </w:tcPr>
          <w:p w14:paraId="6D54AC66"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 </w:t>
            </w:r>
          </w:p>
        </w:tc>
        <w:tc>
          <w:tcPr>
            <w:tcW w:w="108" w:type="pct"/>
            <w:shd w:val="clear" w:color="auto" w:fill="auto"/>
            <w:noWrap/>
            <w:vAlign w:val="center"/>
            <w:hideMark/>
          </w:tcPr>
          <w:p w14:paraId="6466AA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 </w:t>
            </w:r>
          </w:p>
        </w:tc>
        <w:tc>
          <w:tcPr>
            <w:tcW w:w="334" w:type="pct"/>
            <w:shd w:val="clear" w:color="auto" w:fill="auto"/>
            <w:noWrap/>
            <w:vAlign w:val="center"/>
            <w:hideMark/>
          </w:tcPr>
          <w:p w14:paraId="51AAF4C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tcPr>
          <w:p w14:paraId="267CC67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tcPr>
          <w:p w14:paraId="1BD7879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r>
      <w:tr w:rsidR="002C0DC3" w:rsidRPr="002C0DC3" w14:paraId="5F698AC0" w14:textId="77777777" w:rsidTr="002C0DC3">
        <w:trPr>
          <w:jc w:val="center"/>
        </w:trPr>
        <w:tc>
          <w:tcPr>
            <w:tcW w:w="2279" w:type="pct"/>
            <w:shd w:val="clear" w:color="auto" w:fill="auto"/>
            <w:noWrap/>
            <w:vAlign w:val="center"/>
            <w:hideMark/>
          </w:tcPr>
          <w:p w14:paraId="76A4D7C7"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Absolutos</w:t>
            </w:r>
          </w:p>
        </w:tc>
        <w:tc>
          <w:tcPr>
            <w:tcW w:w="537" w:type="pct"/>
            <w:shd w:val="clear" w:color="auto" w:fill="auto"/>
            <w:noWrap/>
            <w:vAlign w:val="center"/>
            <w:hideMark/>
          </w:tcPr>
          <w:p w14:paraId="2CF6F79D"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695.448</w:t>
            </w:r>
          </w:p>
        </w:tc>
        <w:tc>
          <w:tcPr>
            <w:tcW w:w="537" w:type="pct"/>
            <w:shd w:val="clear" w:color="auto" w:fill="auto"/>
            <w:noWrap/>
            <w:vAlign w:val="center"/>
          </w:tcPr>
          <w:p w14:paraId="19860181"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748.156</w:t>
            </w:r>
          </w:p>
        </w:tc>
        <w:tc>
          <w:tcPr>
            <w:tcW w:w="537" w:type="pct"/>
            <w:shd w:val="clear" w:color="auto" w:fill="auto"/>
            <w:noWrap/>
            <w:vAlign w:val="center"/>
          </w:tcPr>
          <w:p w14:paraId="44F45F92"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832.682</w:t>
            </w:r>
          </w:p>
        </w:tc>
        <w:tc>
          <w:tcPr>
            <w:tcW w:w="108" w:type="pct"/>
            <w:shd w:val="clear" w:color="auto" w:fill="auto"/>
            <w:noWrap/>
            <w:vAlign w:val="center"/>
            <w:hideMark/>
          </w:tcPr>
          <w:p w14:paraId="6E03363C"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p>
        </w:tc>
        <w:tc>
          <w:tcPr>
            <w:tcW w:w="334" w:type="pct"/>
            <w:shd w:val="clear" w:color="auto" w:fill="auto"/>
            <w:noWrap/>
            <w:vAlign w:val="center"/>
            <w:hideMark/>
          </w:tcPr>
          <w:p w14:paraId="0C447F9B"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100,0</w:t>
            </w:r>
          </w:p>
        </w:tc>
        <w:tc>
          <w:tcPr>
            <w:tcW w:w="334" w:type="pct"/>
            <w:shd w:val="clear" w:color="auto" w:fill="auto"/>
            <w:noWrap/>
            <w:vAlign w:val="center"/>
          </w:tcPr>
          <w:p w14:paraId="3AE00EB0"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100,0</w:t>
            </w:r>
          </w:p>
        </w:tc>
        <w:tc>
          <w:tcPr>
            <w:tcW w:w="334" w:type="pct"/>
            <w:shd w:val="clear" w:color="auto" w:fill="auto"/>
            <w:noWrap/>
            <w:vAlign w:val="center"/>
          </w:tcPr>
          <w:p w14:paraId="40A04450"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100,0</w:t>
            </w:r>
          </w:p>
        </w:tc>
      </w:tr>
      <w:tr w:rsidR="002C0DC3" w:rsidRPr="002C0DC3" w14:paraId="05B470D3" w14:textId="77777777" w:rsidTr="002C0DC3">
        <w:trPr>
          <w:jc w:val="center"/>
        </w:trPr>
        <w:tc>
          <w:tcPr>
            <w:tcW w:w="2279" w:type="pct"/>
            <w:shd w:val="clear" w:color="auto" w:fill="auto"/>
            <w:noWrap/>
            <w:vAlign w:val="center"/>
            <w:hideMark/>
          </w:tcPr>
          <w:p w14:paraId="6EFCD1D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Demanda</w:t>
            </w:r>
          </w:p>
        </w:tc>
        <w:tc>
          <w:tcPr>
            <w:tcW w:w="537" w:type="pct"/>
            <w:shd w:val="clear" w:color="auto" w:fill="auto"/>
            <w:noWrap/>
            <w:vAlign w:val="center"/>
            <w:hideMark/>
          </w:tcPr>
          <w:p w14:paraId="740B537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2.697</w:t>
            </w:r>
          </w:p>
        </w:tc>
        <w:tc>
          <w:tcPr>
            <w:tcW w:w="537" w:type="pct"/>
            <w:shd w:val="clear" w:color="auto" w:fill="auto"/>
            <w:noWrap/>
            <w:vAlign w:val="center"/>
          </w:tcPr>
          <w:p w14:paraId="718DC9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8.019</w:t>
            </w:r>
          </w:p>
        </w:tc>
        <w:tc>
          <w:tcPr>
            <w:tcW w:w="537" w:type="pct"/>
            <w:shd w:val="clear" w:color="auto" w:fill="auto"/>
            <w:noWrap/>
            <w:vAlign w:val="center"/>
          </w:tcPr>
          <w:p w14:paraId="6782D77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38.565</w:t>
            </w:r>
          </w:p>
        </w:tc>
        <w:tc>
          <w:tcPr>
            <w:tcW w:w="108" w:type="pct"/>
            <w:shd w:val="clear" w:color="auto" w:fill="auto"/>
            <w:noWrap/>
            <w:vAlign w:val="center"/>
            <w:hideMark/>
          </w:tcPr>
          <w:p w14:paraId="2191F4E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776C627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0,4</w:t>
            </w:r>
          </w:p>
        </w:tc>
        <w:tc>
          <w:tcPr>
            <w:tcW w:w="334" w:type="pct"/>
            <w:shd w:val="clear" w:color="auto" w:fill="auto"/>
            <w:noWrap/>
            <w:vAlign w:val="center"/>
          </w:tcPr>
          <w:p w14:paraId="140A12F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w:t>
            </w:r>
          </w:p>
        </w:tc>
        <w:tc>
          <w:tcPr>
            <w:tcW w:w="334" w:type="pct"/>
            <w:shd w:val="clear" w:color="auto" w:fill="auto"/>
            <w:noWrap/>
          </w:tcPr>
          <w:p w14:paraId="6186A6A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4,6</w:t>
            </w:r>
          </w:p>
        </w:tc>
      </w:tr>
      <w:tr w:rsidR="002C0DC3" w:rsidRPr="002C0DC3" w14:paraId="361BEB67" w14:textId="77777777" w:rsidTr="002C0DC3">
        <w:trPr>
          <w:jc w:val="center"/>
        </w:trPr>
        <w:tc>
          <w:tcPr>
            <w:tcW w:w="2279" w:type="pct"/>
            <w:shd w:val="clear" w:color="auto" w:fill="auto"/>
            <w:noWrap/>
            <w:vAlign w:val="center"/>
            <w:hideMark/>
          </w:tcPr>
          <w:p w14:paraId="7658F07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Inicial</w:t>
            </w:r>
          </w:p>
        </w:tc>
        <w:tc>
          <w:tcPr>
            <w:tcW w:w="537" w:type="pct"/>
            <w:shd w:val="clear" w:color="auto" w:fill="auto"/>
            <w:noWrap/>
            <w:vAlign w:val="center"/>
            <w:hideMark/>
          </w:tcPr>
          <w:p w14:paraId="4D0D1C2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477.761</w:t>
            </w:r>
          </w:p>
        </w:tc>
        <w:tc>
          <w:tcPr>
            <w:tcW w:w="537" w:type="pct"/>
            <w:shd w:val="clear" w:color="auto" w:fill="auto"/>
            <w:noWrap/>
            <w:vAlign w:val="center"/>
          </w:tcPr>
          <w:p w14:paraId="0AFEF7B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530.596</w:t>
            </w:r>
          </w:p>
        </w:tc>
        <w:tc>
          <w:tcPr>
            <w:tcW w:w="537" w:type="pct"/>
            <w:shd w:val="clear" w:color="auto" w:fill="auto"/>
            <w:noWrap/>
            <w:vAlign w:val="center"/>
          </w:tcPr>
          <w:p w14:paraId="7272DE2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538.076</w:t>
            </w:r>
          </w:p>
        </w:tc>
        <w:tc>
          <w:tcPr>
            <w:tcW w:w="108" w:type="pct"/>
            <w:shd w:val="clear" w:color="auto" w:fill="auto"/>
            <w:noWrap/>
            <w:vAlign w:val="center"/>
            <w:hideMark/>
          </w:tcPr>
          <w:p w14:paraId="3BC09B5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67141C1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68,7</w:t>
            </w:r>
          </w:p>
        </w:tc>
        <w:tc>
          <w:tcPr>
            <w:tcW w:w="334" w:type="pct"/>
            <w:shd w:val="clear" w:color="auto" w:fill="auto"/>
            <w:noWrap/>
            <w:vAlign w:val="center"/>
          </w:tcPr>
          <w:p w14:paraId="098777A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71,0</w:t>
            </w:r>
          </w:p>
        </w:tc>
        <w:tc>
          <w:tcPr>
            <w:tcW w:w="334" w:type="pct"/>
            <w:shd w:val="clear" w:color="auto" w:fill="auto"/>
            <w:noWrap/>
          </w:tcPr>
          <w:p w14:paraId="2D050EF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64,6</w:t>
            </w:r>
          </w:p>
        </w:tc>
      </w:tr>
      <w:tr w:rsidR="002C0DC3" w:rsidRPr="002C0DC3" w14:paraId="21D491E3" w14:textId="77777777" w:rsidTr="002C0DC3">
        <w:trPr>
          <w:jc w:val="center"/>
        </w:trPr>
        <w:tc>
          <w:tcPr>
            <w:tcW w:w="2279" w:type="pct"/>
            <w:shd w:val="clear" w:color="auto" w:fill="auto"/>
            <w:noWrap/>
            <w:vAlign w:val="center"/>
            <w:hideMark/>
          </w:tcPr>
          <w:p w14:paraId="6822A7C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Inicial Ejecución</w:t>
            </w:r>
          </w:p>
        </w:tc>
        <w:tc>
          <w:tcPr>
            <w:tcW w:w="537" w:type="pct"/>
            <w:shd w:val="clear" w:color="auto" w:fill="auto"/>
            <w:noWrap/>
            <w:vAlign w:val="center"/>
            <w:hideMark/>
          </w:tcPr>
          <w:p w14:paraId="148C7E6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383</w:t>
            </w:r>
          </w:p>
        </w:tc>
        <w:tc>
          <w:tcPr>
            <w:tcW w:w="537" w:type="pct"/>
            <w:shd w:val="clear" w:color="auto" w:fill="auto"/>
            <w:noWrap/>
            <w:vAlign w:val="center"/>
          </w:tcPr>
          <w:p w14:paraId="6CDAE75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253</w:t>
            </w:r>
          </w:p>
        </w:tc>
        <w:tc>
          <w:tcPr>
            <w:tcW w:w="537" w:type="pct"/>
            <w:shd w:val="clear" w:color="auto" w:fill="auto"/>
            <w:noWrap/>
            <w:vAlign w:val="center"/>
          </w:tcPr>
          <w:p w14:paraId="24EA33A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390</w:t>
            </w:r>
          </w:p>
        </w:tc>
        <w:tc>
          <w:tcPr>
            <w:tcW w:w="108" w:type="pct"/>
            <w:shd w:val="clear" w:color="auto" w:fill="auto"/>
            <w:noWrap/>
            <w:vAlign w:val="center"/>
            <w:hideMark/>
          </w:tcPr>
          <w:p w14:paraId="47CD2E8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257E606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334" w:type="pct"/>
            <w:shd w:val="clear" w:color="auto" w:fill="auto"/>
            <w:noWrap/>
            <w:vAlign w:val="center"/>
          </w:tcPr>
          <w:p w14:paraId="7C45698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0DEEEBB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7A8A3A21" w14:textId="77777777" w:rsidTr="002C0DC3">
        <w:trPr>
          <w:jc w:val="center"/>
        </w:trPr>
        <w:tc>
          <w:tcPr>
            <w:tcW w:w="2279" w:type="pct"/>
            <w:shd w:val="clear" w:color="auto" w:fill="auto"/>
            <w:noWrap/>
            <w:vAlign w:val="center"/>
            <w:hideMark/>
          </w:tcPr>
          <w:p w14:paraId="72ED67D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Conclusiva</w:t>
            </w:r>
          </w:p>
        </w:tc>
        <w:tc>
          <w:tcPr>
            <w:tcW w:w="537" w:type="pct"/>
            <w:shd w:val="clear" w:color="auto" w:fill="auto"/>
            <w:noWrap/>
            <w:vAlign w:val="center"/>
            <w:hideMark/>
          </w:tcPr>
          <w:p w14:paraId="18B65E2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1.530</w:t>
            </w:r>
          </w:p>
        </w:tc>
        <w:tc>
          <w:tcPr>
            <w:tcW w:w="537" w:type="pct"/>
            <w:shd w:val="clear" w:color="auto" w:fill="auto"/>
            <w:noWrap/>
            <w:vAlign w:val="center"/>
          </w:tcPr>
          <w:p w14:paraId="2747DCE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1.022</w:t>
            </w:r>
          </w:p>
        </w:tc>
        <w:tc>
          <w:tcPr>
            <w:tcW w:w="537" w:type="pct"/>
            <w:shd w:val="clear" w:color="auto" w:fill="auto"/>
            <w:noWrap/>
            <w:vAlign w:val="center"/>
          </w:tcPr>
          <w:p w14:paraId="0AF294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998</w:t>
            </w:r>
          </w:p>
        </w:tc>
        <w:tc>
          <w:tcPr>
            <w:tcW w:w="108" w:type="pct"/>
            <w:shd w:val="clear" w:color="auto" w:fill="auto"/>
            <w:noWrap/>
            <w:vAlign w:val="center"/>
            <w:hideMark/>
          </w:tcPr>
          <w:p w14:paraId="1727E7B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70F1E5A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c>
          <w:tcPr>
            <w:tcW w:w="334" w:type="pct"/>
            <w:shd w:val="clear" w:color="auto" w:fill="auto"/>
            <w:noWrap/>
            <w:vAlign w:val="center"/>
          </w:tcPr>
          <w:p w14:paraId="0B04D12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334" w:type="pct"/>
            <w:shd w:val="clear" w:color="auto" w:fill="auto"/>
            <w:noWrap/>
          </w:tcPr>
          <w:p w14:paraId="52D96F2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r>
      <w:tr w:rsidR="002C0DC3" w:rsidRPr="002C0DC3" w14:paraId="7BDEF0B7" w14:textId="77777777" w:rsidTr="002C0DC3">
        <w:trPr>
          <w:jc w:val="center"/>
        </w:trPr>
        <w:tc>
          <w:tcPr>
            <w:tcW w:w="2279" w:type="pct"/>
            <w:shd w:val="clear" w:color="auto" w:fill="auto"/>
            <w:noWrap/>
            <w:vAlign w:val="center"/>
            <w:hideMark/>
          </w:tcPr>
          <w:p w14:paraId="23E4F3B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Conclusiva Ejecución</w:t>
            </w:r>
          </w:p>
        </w:tc>
        <w:tc>
          <w:tcPr>
            <w:tcW w:w="537" w:type="pct"/>
            <w:shd w:val="clear" w:color="auto" w:fill="auto"/>
            <w:noWrap/>
            <w:vAlign w:val="center"/>
            <w:hideMark/>
          </w:tcPr>
          <w:p w14:paraId="21663A0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298</w:t>
            </w:r>
          </w:p>
        </w:tc>
        <w:tc>
          <w:tcPr>
            <w:tcW w:w="537" w:type="pct"/>
            <w:shd w:val="clear" w:color="auto" w:fill="auto"/>
            <w:noWrap/>
            <w:vAlign w:val="center"/>
          </w:tcPr>
          <w:p w14:paraId="69CBE44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w:t>
            </w:r>
          </w:p>
        </w:tc>
        <w:tc>
          <w:tcPr>
            <w:tcW w:w="537" w:type="pct"/>
            <w:shd w:val="clear" w:color="auto" w:fill="auto"/>
            <w:noWrap/>
            <w:vAlign w:val="center"/>
          </w:tcPr>
          <w:p w14:paraId="4E0115D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w:t>
            </w:r>
          </w:p>
        </w:tc>
        <w:tc>
          <w:tcPr>
            <w:tcW w:w="108" w:type="pct"/>
            <w:shd w:val="clear" w:color="auto" w:fill="auto"/>
            <w:noWrap/>
            <w:vAlign w:val="center"/>
            <w:hideMark/>
          </w:tcPr>
          <w:p w14:paraId="1AAFACB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60822A5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7C9E61F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6320C97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793BCC96" w14:textId="77777777" w:rsidTr="002C0DC3">
        <w:trPr>
          <w:jc w:val="center"/>
        </w:trPr>
        <w:tc>
          <w:tcPr>
            <w:tcW w:w="2279" w:type="pct"/>
            <w:shd w:val="clear" w:color="auto" w:fill="auto"/>
            <w:noWrap/>
            <w:vAlign w:val="center"/>
            <w:hideMark/>
          </w:tcPr>
          <w:p w14:paraId="32C585AE"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Demostrativa</w:t>
            </w:r>
          </w:p>
        </w:tc>
        <w:tc>
          <w:tcPr>
            <w:tcW w:w="537" w:type="pct"/>
            <w:shd w:val="clear" w:color="auto" w:fill="auto"/>
            <w:noWrap/>
            <w:vAlign w:val="center"/>
            <w:hideMark/>
          </w:tcPr>
          <w:p w14:paraId="5EA63EF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w:t>
            </w:r>
          </w:p>
        </w:tc>
        <w:tc>
          <w:tcPr>
            <w:tcW w:w="537" w:type="pct"/>
            <w:shd w:val="clear" w:color="auto" w:fill="auto"/>
            <w:noWrap/>
            <w:vAlign w:val="center"/>
          </w:tcPr>
          <w:p w14:paraId="2AC9C8D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37" w:type="pct"/>
            <w:shd w:val="clear" w:color="auto" w:fill="auto"/>
            <w:noWrap/>
            <w:vAlign w:val="center"/>
          </w:tcPr>
          <w:p w14:paraId="1A2AD4C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w:t>
            </w:r>
          </w:p>
        </w:tc>
        <w:tc>
          <w:tcPr>
            <w:tcW w:w="108" w:type="pct"/>
            <w:shd w:val="clear" w:color="auto" w:fill="auto"/>
            <w:noWrap/>
            <w:vAlign w:val="center"/>
            <w:hideMark/>
          </w:tcPr>
          <w:p w14:paraId="78315C4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18AE4AB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717615F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5A36893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011FE21F" w14:textId="77777777" w:rsidTr="002C0DC3">
        <w:trPr>
          <w:jc w:val="center"/>
        </w:trPr>
        <w:tc>
          <w:tcPr>
            <w:tcW w:w="2279" w:type="pct"/>
            <w:shd w:val="clear" w:color="auto" w:fill="auto"/>
            <w:noWrap/>
            <w:vAlign w:val="center"/>
            <w:hideMark/>
          </w:tcPr>
          <w:p w14:paraId="0624981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Demostrativa en Ejecución</w:t>
            </w:r>
          </w:p>
        </w:tc>
        <w:tc>
          <w:tcPr>
            <w:tcW w:w="537" w:type="pct"/>
            <w:shd w:val="clear" w:color="auto" w:fill="auto"/>
            <w:noWrap/>
            <w:vAlign w:val="center"/>
            <w:hideMark/>
          </w:tcPr>
          <w:p w14:paraId="44EC9A0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w:t>
            </w:r>
          </w:p>
        </w:tc>
        <w:tc>
          <w:tcPr>
            <w:tcW w:w="537" w:type="pct"/>
            <w:shd w:val="clear" w:color="auto" w:fill="auto"/>
            <w:noWrap/>
            <w:vAlign w:val="center"/>
          </w:tcPr>
          <w:p w14:paraId="43DDE44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w:t>
            </w:r>
          </w:p>
        </w:tc>
        <w:tc>
          <w:tcPr>
            <w:tcW w:w="537" w:type="pct"/>
            <w:shd w:val="clear" w:color="auto" w:fill="auto"/>
            <w:noWrap/>
            <w:vAlign w:val="center"/>
          </w:tcPr>
          <w:p w14:paraId="328C04B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108" w:type="pct"/>
            <w:shd w:val="clear" w:color="auto" w:fill="auto"/>
            <w:noWrap/>
            <w:vAlign w:val="center"/>
            <w:hideMark/>
          </w:tcPr>
          <w:p w14:paraId="409D906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77BAD5C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55A7286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08C4CE0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54460D2E" w14:textId="77777777" w:rsidTr="002C0DC3">
        <w:trPr>
          <w:jc w:val="center"/>
        </w:trPr>
        <w:tc>
          <w:tcPr>
            <w:tcW w:w="2279" w:type="pct"/>
            <w:shd w:val="clear" w:color="auto" w:fill="auto"/>
            <w:noWrap/>
            <w:vAlign w:val="center"/>
          </w:tcPr>
          <w:p w14:paraId="3F32660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Audiencia Oral</w:t>
            </w:r>
          </w:p>
        </w:tc>
        <w:tc>
          <w:tcPr>
            <w:tcW w:w="537" w:type="pct"/>
            <w:shd w:val="clear" w:color="auto" w:fill="auto"/>
            <w:noWrap/>
            <w:vAlign w:val="center"/>
          </w:tcPr>
          <w:p w14:paraId="0B7FE45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181</w:t>
            </w:r>
          </w:p>
        </w:tc>
        <w:tc>
          <w:tcPr>
            <w:tcW w:w="537" w:type="pct"/>
            <w:shd w:val="clear" w:color="auto" w:fill="auto"/>
            <w:noWrap/>
            <w:vAlign w:val="center"/>
          </w:tcPr>
          <w:p w14:paraId="4466E65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149</w:t>
            </w:r>
          </w:p>
        </w:tc>
        <w:tc>
          <w:tcPr>
            <w:tcW w:w="537" w:type="pct"/>
            <w:shd w:val="clear" w:color="auto" w:fill="auto"/>
            <w:noWrap/>
            <w:vAlign w:val="center"/>
          </w:tcPr>
          <w:p w14:paraId="3A9EAB0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199</w:t>
            </w:r>
          </w:p>
        </w:tc>
        <w:tc>
          <w:tcPr>
            <w:tcW w:w="108" w:type="pct"/>
            <w:shd w:val="clear" w:color="auto" w:fill="auto"/>
            <w:noWrap/>
            <w:vAlign w:val="center"/>
          </w:tcPr>
          <w:p w14:paraId="74144A8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tcPr>
          <w:p w14:paraId="497C7AE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4783E9F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2AB3F18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71F258D0" w14:textId="77777777" w:rsidTr="002C0DC3">
        <w:trPr>
          <w:jc w:val="center"/>
        </w:trPr>
        <w:tc>
          <w:tcPr>
            <w:tcW w:w="2279" w:type="pct"/>
            <w:shd w:val="clear" w:color="auto" w:fill="auto"/>
            <w:noWrap/>
            <w:vAlign w:val="center"/>
            <w:hideMark/>
          </w:tcPr>
          <w:p w14:paraId="1E74739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Audiencia Oral y Sentencia</w:t>
            </w:r>
          </w:p>
        </w:tc>
        <w:tc>
          <w:tcPr>
            <w:tcW w:w="537" w:type="pct"/>
            <w:shd w:val="clear" w:color="auto" w:fill="auto"/>
            <w:noWrap/>
            <w:vAlign w:val="center"/>
            <w:hideMark/>
          </w:tcPr>
          <w:p w14:paraId="7482D4B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37" w:type="pct"/>
            <w:shd w:val="clear" w:color="auto" w:fill="auto"/>
            <w:noWrap/>
            <w:vAlign w:val="center"/>
          </w:tcPr>
          <w:p w14:paraId="5A28976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37" w:type="pct"/>
            <w:shd w:val="clear" w:color="auto" w:fill="auto"/>
            <w:noWrap/>
            <w:vAlign w:val="center"/>
          </w:tcPr>
          <w:p w14:paraId="62441E9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w:t>
            </w:r>
          </w:p>
        </w:tc>
        <w:tc>
          <w:tcPr>
            <w:tcW w:w="108" w:type="pct"/>
            <w:shd w:val="clear" w:color="auto" w:fill="auto"/>
            <w:noWrap/>
            <w:vAlign w:val="center"/>
            <w:hideMark/>
          </w:tcPr>
          <w:p w14:paraId="6A570D4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28A4548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434A7CD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1BA3B20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09AC5D89" w14:textId="77777777" w:rsidTr="002C0DC3">
        <w:trPr>
          <w:jc w:val="center"/>
        </w:trPr>
        <w:tc>
          <w:tcPr>
            <w:tcW w:w="2279" w:type="pct"/>
            <w:shd w:val="clear" w:color="auto" w:fill="auto"/>
            <w:noWrap/>
            <w:vAlign w:val="center"/>
          </w:tcPr>
          <w:p w14:paraId="7946175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Audiencia oral en ejecución</w:t>
            </w:r>
          </w:p>
        </w:tc>
        <w:tc>
          <w:tcPr>
            <w:tcW w:w="537" w:type="pct"/>
            <w:shd w:val="clear" w:color="auto" w:fill="auto"/>
            <w:noWrap/>
            <w:vAlign w:val="center"/>
          </w:tcPr>
          <w:p w14:paraId="10F9BD6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37" w:type="pct"/>
            <w:shd w:val="clear" w:color="auto" w:fill="auto"/>
            <w:noWrap/>
            <w:vAlign w:val="center"/>
          </w:tcPr>
          <w:p w14:paraId="57E48BD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w:t>
            </w:r>
          </w:p>
        </w:tc>
        <w:tc>
          <w:tcPr>
            <w:tcW w:w="537" w:type="pct"/>
            <w:shd w:val="clear" w:color="auto" w:fill="auto"/>
            <w:noWrap/>
            <w:vAlign w:val="center"/>
          </w:tcPr>
          <w:p w14:paraId="75D6568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w:t>
            </w:r>
          </w:p>
        </w:tc>
        <w:tc>
          <w:tcPr>
            <w:tcW w:w="108" w:type="pct"/>
            <w:shd w:val="clear" w:color="auto" w:fill="auto"/>
            <w:noWrap/>
            <w:vAlign w:val="center"/>
          </w:tcPr>
          <w:p w14:paraId="3AC2708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tcPr>
          <w:p w14:paraId="5064C6A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452526E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3D51E43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3DBD686C" w14:textId="77777777" w:rsidTr="002C0DC3">
        <w:trPr>
          <w:jc w:val="center"/>
        </w:trPr>
        <w:tc>
          <w:tcPr>
            <w:tcW w:w="2279" w:type="pct"/>
            <w:shd w:val="clear" w:color="auto" w:fill="auto"/>
            <w:noWrap/>
            <w:vAlign w:val="center"/>
            <w:hideMark/>
          </w:tcPr>
          <w:p w14:paraId="348CFE8D"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Sentencia</w:t>
            </w:r>
          </w:p>
        </w:tc>
        <w:tc>
          <w:tcPr>
            <w:tcW w:w="537" w:type="pct"/>
            <w:shd w:val="clear" w:color="auto" w:fill="auto"/>
            <w:noWrap/>
            <w:vAlign w:val="center"/>
            <w:hideMark/>
          </w:tcPr>
          <w:p w14:paraId="200E406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49</w:t>
            </w:r>
          </w:p>
        </w:tc>
        <w:tc>
          <w:tcPr>
            <w:tcW w:w="537" w:type="pct"/>
            <w:shd w:val="clear" w:color="auto" w:fill="auto"/>
            <w:noWrap/>
            <w:vAlign w:val="center"/>
          </w:tcPr>
          <w:p w14:paraId="5DC8F5A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w:t>
            </w:r>
          </w:p>
        </w:tc>
        <w:tc>
          <w:tcPr>
            <w:tcW w:w="537" w:type="pct"/>
            <w:shd w:val="clear" w:color="auto" w:fill="auto"/>
            <w:noWrap/>
            <w:vAlign w:val="center"/>
          </w:tcPr>
          <w:p w14:paraId="0184B96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w:t>
            </w:r>
          </w:p>
        </w:tc>
        <w:tc>
          <w:tcPr>
            <w:tcW w:w="108" w:type="pct"/>
            <w:shd w:val="clear" w:color="auto" w:fill="auto"/>
            <w:noWrap/>
            <w:vAlign w:val="center"/>
            <w:hideMark/>
          </w:tcPr>
          <w:p w14:paraId="5BCA2F1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767D4A7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3F9DA22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1D616DC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11F35A25" w14:textId="77777777" w:rsidTr="002C0DC3">
        <w:trPr>
          <w:jc w:val="center"/>
        </w:trPr>
        <w:tc>
          <w:tcPr>
            <w:tcW w:w="2279" w:type="pct"/>
            <w:shd w:val="clear" w:color="auto" w:fill="auto"/>
            <w:noWrap/>
            <w:vAlign w:val="center"/>
            <w:hideMark/>
          </w:tcPr>
          <w:p w14:paraId="265BDE1D"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Ejecución</w:t>
            </w:r>
          </w:p>
        </w:tc>
        <w:tc>
          <w:tcPr>
            <w:tcW w:w="537" w:type="pct"/>
            <w:shd w:val="clear" w:color="auto" w:fill="auto"/>
            <w:noWrap/>
            <w:vAlign w:val="center"/>
            <w:hideMark/>
          </w:tcPr>
          <w:p w14:paraId="2D64C11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589</w:t>
            </w:r>
          </w:p>
        </w:tc>
        <w:tc>
          <w:tcPr>
            <w:tcW w:w="537" w:type="pct"/>
            <w:shd w:val="clear" w:color="auto" w:fill="auto"/>
            <w:noWrap/>
            <w:vAlign w:val="center"/>
          </w:tcPr>
          <w:p w14:paraId="0D4FB4C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102</w:t>
            </w:r>
          </w:p>
        </w:tc>
        <w:tc>
          <w:tcPr>
            <w:tcW w:w="537" w:type="pct"/>
            <w:shd w:val="clear" w:color="auto" w:fill="auto"/>
            <w:noWrap/>
            <w:vAlign w:val="center"/>
          </w:tcPr>
          <w:p w14:paraId="45D6AC4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65</w:t>
            </w:r>
          </w:p>
        </w:tc>
        <w:tc>
          <w:tcPr>
            <w:tcW w:w="108" w:type="pct"/>
            <w:shd w:val="clear" w:color="auto" w:fill="auto"/>
            <w:noWrap/>
            <w:vAlign w:val="center"/>
            <w:hideMark/>
          </w:tcPr>
          <w:p w14:paraId="579B066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7151F15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0,1</w:t>
            </w:r>
          </w:p>
        </w:tc>
        <w:tc>
          <w:tcPr>
            <w:tcW w:w="334" w:type="pct"/>
            <w:shd w:val="clear" w:color="auto" w:fill="auto"/>
            <w:noWrap/>
            <w:vAlign w:val="center"/>
          </w:tcPr>
          <w:p w14:paraId="6FA37DF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6E24B9A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30CBDEB5" w14:textId="77777777" w:rsidTr="002C0DC3">
        <w:trPr>
          <w:jc w:val="center"/>
        </w:trPr>
        <w:tc>
          <w:tcPr>
            <w:tcW w:w="2279" w:type="pct"/>
            <w:shd w:val="clear" w:color="auto" w:fill="auto"/>
            <w:noWrap/>
            <w:vAlign w:val="center"/>
          </w:tcPr>
          <w:p w14:paraId="3FD5F78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Ejecución del Convenio</w:t>
            </w:r>
          </w:p>
        </w:tc>
        <w:tc>
          <w:tcPr>
            <w:tcW w:w="537" w:type="pct"/>
            <w:shd w:val="clear" w:color="auto" w:fill="auto"/>
            <w:noWrap/>
            <w:vAlign w:val="center"/>
          </w:tcPr>
          <w:p w14:paraId="0E852DA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37" w:type="pct"/>
            <w:shd w:val="clear" w:color="auto" w:fill="auto"/>
            <w:noWrap/>
            <w:vAlign w:val="center"/>
          </w:tcPr>
          <w:p w14:paraId="26359AC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9.614</w:t>
            </w:r>
          </w:p>
        </w:tc>
        <w:tc>
          <w:tcPr>
            <w:tcW w:w="537" w:type="pct"/>
            <w:shd w:val="clear" w:color="auto" w:fill="auto"/>
            <w:noWrap/>
            <w:vAlign w:val="center"/>
          </w:tcPr>
          <w:p w14:paraId="717F1A0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108" w:type="pct"/>
            <w:shd w:val="clear" w:color="auto" w:fill="auto"/>
            <w:noWrap/>
            <w:vAlign w:val="center"/>
          </w:tcPr>
          <w:p w14:paraId="3416940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tcPr>
          <w:p w14:paraId="6139926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78B26CA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w:t>
            </w:r>
          </w:p>
        </w:tc>
        <w:tc>
          <w:tcPr>
            <w:tcW w:w="334" w:type="pct"/>
            <w:shd w:val="clear" w:color="auto" w:fill="auto"/>
            <w:noWrap/>
          </w:tcPr>
          <w:p w14:paraId="6FFF50C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6DBEC2DD" w14:textId="77777777" w:rsidTr="002C0DC3">
        <w:trPr>
          <w:jc w:val="center"/>
        </w:trPr>
        <w:tc>
          <w:tcPr>
            <w:tcW w:w="2279" w:type="pct"/>
            <w:shd w:val="clear" w:color="auto" w:fill="auto"/>
            <w:noWrap/>
            <w:vAlign w:val="center"/>
            <w:hideMark/>
          </w:tcPr>
          <w:p w14:paraId="182B809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Ejecución especifica</w:t>
            </w:r>
          </w:p>
        </w:tc>
        <w:tc>
          <w:tcPr>
            <w:tcW w:w="537" w:type="pct"/>
            <w:shd w:val="clear" w:color="auto" w:fill="auto"/>
            <w:noWrap/>
            <w:vAlign w:val="center"/>
            <w:hideMark/>
          </w:tcPr>
          <w:p w14:paraId="57F0516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170.269</w:t>
            </w:r>
          </w:p>
        </w:tc>
        <w:tc>
          <w:tcPr>
            <w:tcW w:w="537" w:type="pct"/>
            <w:shd w:val="clear" w:color="auto" w:fill="auto"/>
            <w:noWrap/>
            <w:vAlign w:val="center"/>
          </w:tcPr>
          <w:p w14:paraId="3970D47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184.107</w:t>
            </w:r>
          </w:p>
        </w:tc>
        <w:tc>
          <w:tcPr>
            <w:tcW w:w="537" w:type="pct"/>
            <w:shd w:val="clear" w:color="auto" w:fill="auto"/>
            <w:noWrap/>
            <w:vAlign w:val="center"/>
          </w:tcPr>
          <w:p w14:paraId="389465A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236.594</w:t>
            </w:r>
          </w:p>
        </w:tc>
        <w:tc>
          <w:tcPr>
            <w:tcW w:w="108" w:type="pct"/>
            <w:shd w:val="clear" w:color="auto" w:fill="auto"/>
            <w:noWrap/>
            <w:vAlign w:val="center"/>
            <w:hideMark/>
          </w:tcPr>
          <w:p w14:paraId="300B770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42E2217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24,5</w:t>
            </w:r>
          </w:p>
        </w:tc>
        <w:tc>
          <w:tcPr>
            <w:tcW w:w="334" w:type="pct"/>
            <w:shd w:val="clear" w:color="auto" w:fill="auto"/>
            <w:noWrap/>
            <w:vAlign w:val="center"/>
          </w:tcPr>
          <w:p w14:paraId="782A5E2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24,6</w:t>
            </w:r>
          </w:p>
        </w:tc>
        <w:tc>
          <w:tcPr>
            <w:tcW w:w="334" w:type="pct"/>
            <w:shd w:val="clear" w:color="auto" w:fill="auto"/>
            <w:noWrap/>
          </w:tcPr>
          <w:p w14:paraId="0C6A86B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28,4</w:t>
            </w:r>
          </w:p>
        </w:tc>
      </w:tr>
      <w:tr w:rsidR="002C0DC3" w:rsidRPr="002C0DC3" w14:paraId="362CEAAF" w14:textId="77777777" w:rsidTr="002C0DC3">
        <w:trPr>
          <w:jc w:val="center"/>
        </w:trPr>
        <w:tc>
          <w:tcPr>
            <w:tcW w:w="2279" w:type="pct"/>
            <w:shd w:val="clear" w:color="auto" w:fill="auto"/>
            <w:noWrap/>
            <w:vAlign w:val="center"/>
            <w:hideMark/>
          </w:tcPr>
          <w:p w14:paraId="4A4694D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Ejecución específica / Saldos en </w:t>
            </w:r>
            <w:r w:rsidRPr="002C0DC3">
              <w:rPr>
                <w:rFonts w:eastAsia="Calibri"/>
                <w:lang w:val="es-CR" w:eastAsia="en-US"/>
              </w:rPr>
              <w:lastRenderedPageBreak/>
              <w:t>descubierto</w:t>
            </w:r>
          </w:p>
        </w:tc>
        <w:tc>
          <w:tcPr>
            <w:tcW w:w="537" w:type="pct"/>
            <w:shd w:val="clear" w:color="auto" w:fill="auto"/>
            <w:noWrap/>
            <w:vAlign w:val="center"/>
            <w:hideMark/>
          </w:tcPr>
          <w:p w14:paraId="10C7EB9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lastRenderedPageBreak/>
              <w:t>9.003</w:t>
            </w:r>
          </w:p>
        </w:tc>
        <w:tc>
          <w:tcPr>
            <w:tcW w:w="537" w:type="pct"/>
            <w:shd w:val="clear" w:color="auto" w:fill="auto"/>
            <w:noWrap/>
            <w:vAlign w:val="center"/>
          </w:tcPr>
          <w:p w14:paraId="60A50B1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8.497</w:t>
            </w:r>
          </w:p>
        </w:tc>
        <w:tc>
          <w:tcPr>
            <w:tcW w:w="537" w:type="pct"/>
            <w:shd w:val="clear" w:color="auto" w:fill="auto"/>
            <w:noWrap/>
            <w:vAlign w:val="center"/>
          </w:tcPr>
          <w:p w14:paraId="36A857E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9.948</w:t>
            </w:r>
          </w:p>
        </w:tc>
        <w:tc>
          <w:tcPr>
            <w:tcW w:w="108" w:type="pct"/>
            <w:shd w:val="clear" w:color="auto" w:fill="auto"/>
            <w:noWrap/>
            <w:vAlign w:val="center"/>
            <w:hideMark/>
          </w:tcPr>
          <w:p w14:paraId="73407F1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0C57CD0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w:t>
            </w:r>
          </w:p>
        </w:tc>
        <w:tc>
          <w:tcPr>
            <w:tcW w:w="334" w:type="pct"/>
            <w:shd w:val="clear" w:color="auto" w:fill="auto"/>
            <w:noWrap/>
            <w:vAlign w:val="center"/>
          </w:tcPr>
          <w:p w14:paraId="1F623AC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w:t>
            </w:r>
          </w:p>
        </w:tc>
        <w:tc>
          <w:tcPr>
            <w:tcW w:w="334" w:type="pct"/>
            <w:shd w:val="clear" w:color="auto" w:fill="auto"/>
            <w:noWrap/>
          </w:tcPr>
          <w:p w14:paraId="1675899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w:t>
            </w:r>
          </w:p>
        </w:tc>
      </w:tr>
      <w:tr w:rsidR="002C0DC3" w:rsidRPr="002C0DC3" w14:paraId="2C1293C8" w14:textId="77777777" w:rsidTr="002C0DC3">
        <w:trPr>
          <w:jc w:val="center"/>
        </w:trPr>
        <w:tc>
          <w:tcPr>
            <w:tcW w:w="2279" w:type="pct"/>
            <w:shd w:val="clear" w:color="auto" w:fill="auto"/>
            <w:noWrap/>
            <w:vAlign w:val="center"/>
          </w:tcPr>
          <w:p w14:paraId="7433FA3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roofErr w:type="spellStart"/>
            <w:r w:rsidRPr="002C0DC3">
              <w:rPr>
                <w:rFonts w:eastAsia="Calibri"/>
                <w:lang w:val="es-CR" w:eastAsia="en-US"/>
              </w:rPr>
              <w:t>Ejecu</w:t>
            </w:r>
            <w:proofErr w:type="spellEnd"/>
            <w:r w:rsidRPr="002C0DC3">
              <w:rPr>
                <w:rFonts w:eastAsia="Calibri"/>
                <w:lang w:val="es-CR" w:eastAsia="en-US"/>
              </w:rPr>
              <w:t xml:space="preserve">. </w:t>
            </w:r>
            <w:proofErr w:type="spellStart"/>
            <w:r w:rsidRPr="002C0DC3">
              <w:rPr>
                <w:rFonts w:eastAsia="Calibri"/>
                <w:lang w:val="es-CR" w:eastAsia="en-US"/>
              </w:rPr>
              <w:t>Emb.y</w:t>
            </w:r>
            <w:proofErr w:type="spellEnd"/>
            <w:r w:rsidRPr="002C0DC3">
              <w:rPr>
                <w:rFonts w:eastAsia="Calibri"/>
                <w:lang w:val="es-CR" w:eastAsia="en-US"/>
              </w:rPr>
              <w:t xml:space="preserve"> remate</w:t>
            </w:r>
          </w:p>
        </w:tc>
        <w:tc>
          <w:tcPr>
            <w:tcW w:w="537" w:type="pct"/>
            <w:shd w:val="clear" w:color="auto" w:fill="auto"/>
            <w:noWrap/>
            <w:vAlign w:val="center"/>
          </w:tcPr>
          <w:p w14:paraId="0912E42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37" w:type="pct"/>
            <w:shd w:val="clear" w:color="auto" w:fill="auto"/>
            <w:noWrap/>
            <w:vAlign w:val="center"/>
          </w:tcPr>
          <w:p w14:paraId="34C678D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37" w:type="pct"/>
            <w:shd w:val="clear" w:color="auto" w:fill="auto"/>
            <w:noWrap/>
            <w:vAlign w:val="center"/>
          </w:tcPr>
          <w:p w14:paraId="3D179CF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108" w:type="pct"/>
            <w:shd w:val="clear" w:color="auto" w:fill="auto"/>
            <w:noWrap/>
            <w:vAlign w:val="center"/>
          </w:tcPr>
          <w:p w14:paraId="4DEC772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tcPr>
          <w:p w14:paraId="03A5114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6E959EE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7CFDB4E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65F5304E" w14:textId="77777777" w:rsidTr="002C0DC3">
        <w:trPr>
          <w:jc w:val="center"/>
        </w:trPr>
        <w:tc>
          <w:tcPr>
            <w:tcW w:w="2279" w:type="pct"/>
            <w:shd w:val="clear" w:color="auto" w:fill="auto"/>
            <w:noWrap/>
            <w:vAlign w:val="center"/>
            <w:hideMark/>
          </w:tcPr>
          <w:p w14:paraId="5FBC359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Remate / Oposición</w:t>
            </w:r>
          </w:p>
        </w:tc>
        <w:tc>
          <w:tcPr>
            <w:tcW w:w="537" w:type="pct"/>
            <w:shd w:val="clear" w:color="auto" w:fill="auto"/>
            <w:noWrap/>
            <w:vAlign w:val="center"/>
            <w:hideMark/>
          </w:tcPr>
          <w:p w14:paraId="5261158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5.088</w:t>
            </w:r>
          </w:p>
        </w:tc>
        <w:tc>
          <w:tcPr>
            <w:tcW w:w="537" w:type="pct"/>
            <w:shd w:val="clear" w:color="auto" w:fill="auto"/>
            <w:noWrap/>
            <w:vAlign w:val="center"/>
          </w:tcPr>
          <w:p w14:paraId="7183F24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5.742</w:t>
            </w:r>
          </w:p>
        </w:tc>
        <w:tc>
          <w:tcPr>
            <w:tcW w:w="537" w:type="pct"/>
            <w:shd w:val="clear" w:color="auto" w:fill="auto"/>
            <w:noWrap/>
            <w:vAlign w:val="center"/>
          </w:tcPr>
          <w:p w14:paraId="6DF2488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6.451</w:t>
            </w:r>
          </w:p>
        </w:tc>
        <w:tc>
          <w:tcPr>
            <w:tcW w:w="108" w:type="pct"/>
            <w:shd w:val="clear" w:color="auto" w:fill="auto"/>
            <w:noWrap/>
            <w:vAlign w:val="center"/>
            <w:hideMark/>
          </w:tcPr>
          <w:p w14:paraId="02D5993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5762DC8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0,7</w:t>
            </w:r>
          </w:p>
        </w:tc>
        <w:tc>
          <w:tcPr>
            <w:tcW w:w="334" w:type="pct"/>
            <w:shd w:val="clear" w:color="auto" w:fill="auto"/>
            <w:noWrap/>
            <w:vAlign w:val="center"/>
          </w:tcPr>
          <w:p w14:paraId="06B2AD7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0,8</w:t>
            </w:r>
          </w:p>
        </w:tc>
        <w:tc>
          <w:tcPr>
            <w:tcW w:w="334" w:type="pct"/>
            <w:shd w:val="clear" w:color="auto" w:fill="auto"/>
            <w:noWrap/>
          </w:tcPr>
          <w:p w14:paraId="0FB676B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0,8</w:t>
            </w:r>
          </w:p>
        </w:tc>
      </w:tr>
      <w:tr w:rsidR="002C0DC3" w:rsidRPr="002C0DC3" w14:paraId="7CC78CC7" w14:textId="77777777" w:rsidTr="002C0DC3">
        <w:trPr>
          <w:jc w:val="center"/>
        </w:trPr>
        <w:tc>
          <w:tcPr>
            <w:tcW w:w="2279" w:type="pct"/>
            <w:shd w:val="clear" w:color="auto" w:fill="auto"/>
            <w:noWrap/>
            <w:vAlign w:val="center"/>
          </w:tcPr>
          <w:p w14:paraId="0A4B1AC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Administración</w:t>
            </w:r>
          </w:p>
        </w:tc>
        <w:tc>
          <w:tcPr>
            <w:tcW w:w="537" w:type="pct"/>
            <w:shd w:val="clear" w:color="auto" w:fill="auto"/>
            <w:noWrap/>
            <w:vAlign w:val="center"/>
          </w:tcPr>
          <w:p w14:paraId="7E4EC9C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37" w:type="pct"/>
            <w:shd w:val="clear" w:color="auto" w:fill="auto"/>
            <w:noWrap/>
            <w:vAlign w:val="center"/>
          </w:tcPr>
          <w:p w14:paraId="2F9F21A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37" w:type="pct"/>
            <w:shd w:val="clear" w:color="auto" w:fill="auto"/>
            <w:noWrap/>
            <w:vAlign w:val="center"/>
          </w:tcPr>
          <w:p w14:paraId="06DA8E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108" w:type="pct"/>
            <w:shd w:val="clear" w:color="auto" w:fill="auto"/>
            <w:noWrap/>
            <w:vAlign w:val="center"/>
          </w:tcPr>
          <w:p w14:paraId="09A09DF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tcPr>
          <w:p w14:paraId="71D84CF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vAlign w:val="center"/>
          </w:tcPr>
          <w:p w14:paraId="120D89D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2C6D6BA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7A3DF638" w14:textId="77777777" w:rsidTr="002C0DC3">
        <w:trPr>
          <w:jc w:val="center"/>
        </w:trPr>
        <w:tc>
          <w:tcPr>
            <w:tcW w:w="2279" w:type="pct"/>
            <w:shd w:val="clear" w:color="auto" w:fill="auto"/>
            <w:noWrap/>
            <w:vAlign w:val="center"/>
          </w:tcPr>
          <w:p w14:paraId="0E70A77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Inactivos*</w:t>
            </w:r>
          </w:p>
        </w:tc>
        <w:tc>
          <w:tcPr>
            <w:tcW w:w="537" w:type="pct"/>
            <w:shd w:val="clear" w:color="auto" w:fill="auto"/>
            <w:noWrap/>
            <w:vAlign w:val="center"/>
          </w:tcPr>
          <w:p w14:paraId="12D4DC0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27.561</w:t>
            </w:r>
          </w:p>
        </w:tc>
        <w:tc>
          <w:tcPr>
            <w:tcW w:w="537" w:type="pct"/>
            <w:shd w:val="clear" w:color="auto" w:fill="auto"/>
            <w:noWrap/>
            <w:vAlign w:val="center"/>
          </w:tcPr>
          <w:p w14:paraId="0B0A4FB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37" w:type="pct"/>
            <w:shd w:val="clear" w:color="auto" w:fill="auto"/>
            <w:noWrap/>
            <w:vAlign w:val="center"/>
          </w:tcPr>
          <w:p w14:paraId="25A1D2E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w:t>
            </w:r>
          </w:p>
        </w:tc>
        <w:tc>
          <w:tcPr>
            <w:tcW w:w="108" w:type="pct"/>
            <w:shd w:val="clear" w:color="auto" w:fill="auto"/>
            <w:noWrap/>
            <w:vAlign w:val="center"/>
          </w:tcPr>
          <w:p w14:paraId="4C2518E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tcPr>
          <w:p w14:paraId="46390AB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4,0</w:t>
            </w:r>
          </w:p>
        </w:tc>
        <w:tc>
          <w:tcPr>
            <w:tcW w:w="334" w:type="pct"/>
            <w:shd w:val="clear" w:color="auto" w:fill="auto"/>
            <w:noWrap/>
          </w:tcPr>
          <w:p w14:paraId="155DF70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50DAF03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3E075B4F" w14:textId="77777777" w:rsidTr="002C0DC3">
        <w:trPr>
          <w:jc w:val="center"/>
        </w:trPr>
        <w:tc>
          <w:tcPr>
            <w:tcW w:w="2279" w:type="pct"/>
            <w:shd w:val="clear" w:color="auto" w:fill="auto"/>
            <w:noWrap/>
            <w:vAlign w:val="center"/>
            <w:hideMark/>
          </w:tcPr>
          <w:p w14:paraId="361BC1C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Sin Fase</w:t>
            </w:r>
          </w:p>
        </w:tc>
        <w:tc>
          <w:tcPr>
            <w:tcW w:w="537" w:type="pct"/>
            <w:shd w:val="clear" w:color="auto" w:fill="auto"/>
            <w:noWrap/>
            <w:vAlign w:val="center"/>
            <w:hideMark/>
          </w:tcPr>
          <w:p w14:paraId="61E687E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37" w:type="pct"/>
            <w:shd w:val="clear" w:color="auto" w:fill="auto"/>
            <w:noWrap/>
            <w:vAlign w:val="center"/>
          </w:tcPr>
          <w:p w14:paraId="63F865C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37" w:type="pct"/>
            <w:shd w:val="clear" w:color="auto" w:fill="auto"/>
            <w:noWrap/>
            <w:vAlign w:val="center"/>
          </w:tcPr>
          <w:p w14:paraId="4B64B03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1.347</w:t>
            </w:r>
          </w:p>
        </w:tc>
        <w:tc>
          <w:tcPr>
            <w:tcW w:w="108" w:type="pct"/>
            <w:shd w:val="clear" w:color="auto" w:fill="auto"/>
            <w:noWrap/>
            <w:vAlign w:val="center"/>
            <w:hideMark/>
          </w:tcPr>
          <w:p w14:paraId="70C85D8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hideMark/>
          </w:tcPr>
          <w:p w14:paraId="51B81AE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1EED895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19BB35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0,2</w:t>
            </w:r>
          </w:p>
        </w:tc>
      </w:tr>
      <w:tr w:rsidR="002C0DC3" w:rsidRPr="002C0DC3" w14:paraId="1405BAFB" w14:textId="77777777" w:rsidTr="002C0DC3">
        <w:trPr>
          <w:jc w:val="center"/>
        </w:trPr>
        <w:tc>
          <w:tcPr>
            <w:tcW w:w="2279" w:type="pct"/>
            <w:shd w:val="clear" w:color="auto" w:fill="auto"/>
            <w:noWrap/>
            <w:vAlign w:val="center"/>
          </w:tcPr>
          <w:p w14:paraId="3B46AC4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xml:space="preserve">Fase Incorrecta </w:t>
            </w:r>
            <w:r w:rsidRPr="002C0DC3">
              <w:rPr>
                <w:rFonts w:eastAsia="Calibri"/>
                <w:vertAlign w:val="superscript"/>
                <w:lang w:val="es-CR" w:eastAsia="en-US"/>
              </w:rPr>
              <w:t>(1)</w:t>
            </w:r>
          </w:p>
        </w:tc>
        <w:tc>
          <w:tcPr>
            <w:tcW w:w="537" w:type="pct"/>
            <w:shd w:val="clear" w:color="auto" w:fill="auto"/>
            <w:noWrap/>
            <w:vAlign w:val="center"/>
          </w:tcPr>
          <w:p w14:paraId="214C240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37" w:type="pct"/>
            <w:shd w:val="clear" w:color="auto" w:fill="auto"/>
            <w:noWrap/>
            <w:vAlign w:val="center"/>
          </w:tcPr>
          <w:p w14:paraId="010F845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w:t>
            </w:r>
          </w:p>
        </w:tc>
        <w:tc>
          <w:tcPr>
            <w:tcW w:w="537" w:type="pct"/>
            <w:shd w:val="clear" w:color="auto" w:fill="auto"/>
            <w:noWrap/>
            <w:vAlign w:val="center"/>
          </w:tcPr>
          <w:p w14:paraId="4B54452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108" w:type="pct"/>
            <w:shd w:val="clear" w:color="auto" w:fill="auto"/>
            <w:noWrap/>
            <w:vAlign w:val="center"/>
          </w:tcPr>
          <w:p w14:paraId="7AEEFE8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c>
          <w:tcPr>
            <w:tcW w:w="334" w:type="pct"/>
            <w:shd w:val="clear" w:color="auto" w:fill="auto"/>
            <w:noWrap/>
            <w:vAlign w:val="center"/>
          </w:tcPr>
          <w:p w14:paraId="3DA7804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5DF0C16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c>
          <w:tcPr>
            <w:tcW w:w="334" w:type="pct"/>
            <w:shd w:val="clear" w:color="auto" w:fill="auto"/>
            <w:noWrap/>
          </w:tcPr>
          <w:p w14:paraId="7837E98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0,0</w:t>
            </w:r>
          </w:p>
        </w:tc>
      </w:tr>
      <w:tr w:rsidR="002C0DC3" w:rsidRPr="002C0DC3" w14:paraId="2C3E0928" w14:textId="77777777" w:rsidTr="002C0DC3">
        <w:trPr>
          <w:jc w:val="center"/>
        </w:trPr>
        <w:tc>
          <w:tcPr>
            <w:tcW w:w="5000" w:type="pct"/>
            <w:gridSpan w:val="8"/>
            <w:shd w:val="clear" w:color="auto" w:fill="auto"/>
            <w:noWrap/>
            <w:vAlign w:val="center"/>
          </w:tcPr>
          <w:p w14:paraId="3AE2DCD1" w14:textId="77777777" w:rsidR="002C0DC3" w:rsidRPr="002C0DC3" w:rsidRDefault="002C0DC3" w:rsidP="002C0DC3">
            <w:pPr>
              <w:widowControl w:val="0"/>
              <w:suppressAutoHyphens w:val="0"/>
              <w:autoSpaceDE w:val="0"/>
              <w:autoSpaceDN w:val="0"/>
              <w:adjustRightInd w:val="0"/>
              <w:jc w:val="both"/>
              <w:rPr>
                <w:rFonts w:eastAsia="Calibri"/>
                <w:bCs/>
                <w:lang w:val="es-CR" w:eastAsia="en-US"/>
              </w:rPr>
            </w:pPr>
            <w:r w:rsidRPr="002C0DC3">
              <w:rPr>
                <w:rFonts w:eastAsia="Calibri"/>
                <w:b/>
                <w:lang w:val="es-CR" w:eastAsia="en-US"/>
              </w:rPr>
              <w:t xml:space="preserve">1-/ </w:t>
            </w:r>
            <w:r w:rsidRPr="002C0DC3">
              <w:rPr>
                <w:rFonts w:eastAsia="Calibri"/>
                <w:bCs/>
                <w:lang w:val="es-CR" w:eastAsia="en-US"/>
              </w:rPr>
              <w:t>Se refiere a fases incorrectas identificados en el sistema informático.</w:t>
            </w:r>
          </w:p>
        </w:tc>
      </w:tr>
      <w:tr w:rsidR="002C0DC3" w:rsidRPr="002C0DC3" w14:paraId="795FBAE3" w14:textId="77777777" w:rsidTr="002C0DC3">
        <w:trPr>
          <w:jc w:val="center"/>
        </w:trPr>
        <w:tc>
          <w:tcPr>
            <w:tcW w:w="5000" w:type="pct"/>
            <w:gridSpan w:val="8"/>
            <w:shd w:val="clear" w:color="auto" w:fill="auto"/>
            <w:noWrap/>
            <w:vAlign w:val="center"/>
          </w:tcPr>
          <w:p w14:paraId="62F2051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El sistema no cerrará estadísticamente los casos inactivos, pero, tampoco se contabilizarán en el circulante activo de la oficina.</w:t>
            </w:r>
          </w:p>
          <w:p w14:paraId="79BA4115" w14:textId="77777777" w:rsidR="002C0DC3" w:rsidRPr="002C0DC3" w:rsidRDefault="002C0DC3" w:rsidP="002C0DC3">
            <w:pPr>
              <w:widowControl w:val="0"/>
              <w:suppressAutoHyphens w:val="0"/>
              <w:autoSpaceDE w:val="0"/>
              <w:autoSpaceDN w:val="0"/>
              <w:adjustRightInd w:val="0"/>
              <w:jc w:val="both"/>
              <w:rPr>
                <w:rFonts w:eastAsia="Calibri"/>
                <w:b/>
                <w:lang w:val="es-CR" w:eastAsia="en-US"/>
              </w:rPr>
            </w:pPr>
            <w:r w:rsidRPr="002C0DC3">
              <w:rPr>
                <w:rFonts w:eastAsia="Calibri"/>
                <w:lang w:val="es-CR" w:eastAsia="en-US"/>
              </w:rPr>
              <w:t>Elaborado por: Subproceso de Estadística, Dirección de Planificación.</w:t>
            </w:r>
          </w:p>
        </w:tc>
      </w:tr>
    </w:tbl>
    <w:p w14:paraId="689184D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p w14:paraId="31A1CEA6"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r w:rsidRPr="002C0DC3">
        <w:rPr>
          <w:lang w:eastAsia="es-ES"/>
        </w:rPr>
        <w:t>De acuerdo con la información contenida en el cuadro 6.3, es posible establecer los siguientes puntos específicos:</w:t>
      </w:r>
    </w:p>
    <w:p w14:paraId="27818608"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p>
    <w:p w14:paraId="2EFF9E93"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r w:rsidRPr="002C0DC3">
        <w:rPr>
          <w:rFonts w:eastAsia="Calibri"/>
          <w:lang w:val="es-CR" w:eastAsia="en-US"/>
        </w:rPr>
        <w:t xml:space="preserve">Aproximadamente entre el 65% y el 70% de los expedientes en trámite pertenecientes a la materia cobratoria se encuentran en la fase de </w:t>
      </w:r>
      <w:r w:rsidRPr="002C0DC3">
        <w:rPr>
          <w:rFonts w:eastAsia="Calibri"/>
          <w:i/>
          <w:iCs/>
          <w:lang w:val="es-CR" w:eastAsia="en-US"/>
        </w:rPr>
        <w:t>Demanda e Inicial</w:t>
      </w:r>
      <w:r w:rsidRPr="002C0DC3">
        <w:rPr>
          <w:rFonts w:eastAsia="Calibri"/>
          <w:lang w:val="es-CR" w:eastAsia="en-US"/>
        </w:rPr>
        <w:t>. En otras palabras, se podría inferir que aproximadamente dos de cada tres expedientes que se encuentran en trámite en la materia cobratoria se ubican dentro de los primeros procedimientos de inicio del expediente.</w:t>
      </w:r>
    </w:p>
    <w:p w14:paraId="1F7333B0" w14:textId="77777777" w:rsidR="002C0DC3" w:rsidRPr="002C0DC3" w:rsidRDefault="002C0DC3" w:rsidP="002C0DC3">
      <w:pPr>
        <w:widowControl w:val="0"/>
        <w:suppressAutoHyphens w:val="0"/>
        <w:autoSpaceDE w:val="0"/>
        <w:autoSpaceDN w:val="0"/>
        <w:adjustRightInd w:val="0"/>
        <w:ind w:left="851" w:right="851" w:firstLine="709"/>
        <w:contextualSpacing/>
        <w:jc w:val="both"/>
        <w:rPr>
          <w:rFonts w:eastAsia="Calibri"/>
          <w:lang w:val="es-CR" w:eastAsia="en-US"/>
        </w:rPr>
      </w:pPr>
    </w:p>
    <w:p w14:paraId="2192A8F4"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r w:rsidRPr="002C0DC3">
        <w:rPr>
          <w:rFonts w:eastAsia="Calibri"/>
          <w:lang w:val="es-CR" w:eastAsia="en-US"/>
        </w:rPr>
        <w:t xml:space="preserve">En la fase de </w:t>
      </w:r>
      <w:r w:rsidRPr="002C0DC3">
        <w:rPr>
          <w:rFonts w:eastAsia="Calibri"/>
          <w:i/>
          <w:iCs/>
          <w:lang w:val="es-CR" w:eastAsia="en-US"/>
        </w:rPr>
        <w:t xml:space="preserve">ejecución específica </w:t>
      </w:r>
      <w:r w:rsidRPr="002C0DC3">
        <w:rPr>
          <w:rFonts w:eastAsia="Calibri"/>
          <w:lang w:val="es-CR" w:eastAsia="en-US"/>
        </w:rPr>
        <w:t xml:space="preserve">se ubicaron 236.594 expedientes al cierre de 2020, siendo dicha cifra 52.487 demandas más elevada que la del año anterior. De acuerdo con la información generada por el sistema de gestión, fue posible establecer que el incremento registrado fue mayormente vinculado a tres juzgados en específico, a saber; Juzgado Especializado Cobro I Circuito Judicial de San José, Secciones Primera (+9.647) y Tercera (+8.753), así como el Juzgado de Cobro de Cartago (+9.220).  </w:t>
      </w:r>
    </w:p>
    <w:p w14:paraId="12684D18" w14:textId="77777777" w:rsidR="002C0DC3" w:rsidRPr="002C0DC3" w:rsidRDefault="002C0DC3" w:rsidP="002C0DC3">
      <w:pPr>
        <w:suppressAutoHyphens w:val="0"/>
        <w:ind w:left="851" w:right="851" w:firstLine="709"/>
        <w:contextualSpacing/>
        <w:jc w:val="both"/>
        <w:rPr>
          <w:rFonts w:eastAsia="Calibri"/>
          <w:lang w:val="es-CR" w:eastAsia="en-US"/>
        </w:rPr>
      </w:pPr>
    </w:p>
    <w:p w14:paraId="46624AE4" w14:textId="175F23F9" w:rsid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r w:rsidRPr="002C0DC3">
        <w:rPr>
          <w:rFonts w:eastAsia="Calibri"/>
          <w:lang w:val="es-CR" w:eastAsia="en-US"/>
        </w:rPr>
        <w:t>La fase denominada “</w:t>
      </w:r>
      <w:r w:rsidRPr="002C0DC3">
        <w:rPr>
          <w:rFonts w:eastAsia="Calibri"/>
          <w:i/>
          <w:iCs/>
          <w:lang w:val="es-CR" w:eastAsia="en-US"/>
        </w:rPr>
        <w:t>Ejecución Específica-Saldos al descubierto”</w:t>
      </w:r>
      <w:r w:rsidRPr="002C0DC3">
        <w:rPr>
          <w:rFonts w:eastAsia="Calibri"/>
          <w:lang w:val="es-CR" w:eastAsia="en-US"/>
        </w:rPr>
        <w:t xml:space="preserve"> es cuarta en importancia con un volumen de casos diez mil asuntos y un crecimiento de 1.451 casos respecto al año anterior.</w:t>
      </w:r>
    </w:p>
    <w:p w14:paraId="37F3C2F3"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p>
    <w:p w14:paraId="43DFD702" w14:textId="77777777" w:rsidR="002C0DC3" w:rsidRPr="002C0DC3" w:rsidRDefault="002C0DC3" w:rsidP="002C0DC3">
      <w:pPr>
        <w:widowControl w:val="0"/>
        <w:suppressAutoHyphens w:val="0"/>
        <w:autoSpaceDE w:val="0"/>
        <w:autoSpaceDN w:val="0"/>
        <w:adjustRightInd w:val="0"/>
        <w:ind w:left="851" w:right="851" w:firstLine="709"/>
        <w:contextualSpacing/>
        <w:jc w:val="both"/>
        <w:rPr>
          <w:rFonts w:eastAsia="Calibri"/>
          <w:lang w:val="es-CR" w:eastAsia="en-US"/>
        </w:rPr>
      </w:pPr>
      <w:r w:rsidRPr="002C0DC3">
        <w:rPr>
          <w:rFonts w:eastAsia="Calibri"/>
          <w:lang w:val="es-CR" w:eastAsia="en-US"/>
        </w:rPr>
        <w:t xml:space="preserve">Los expedientes en </w:t>
      </w:r>
      <w:r w:rsidRPr="002C0DC3">
        <w:rPr>
          <w:rFonts w:eastAsia="Calibri"/>
          <w:i/>
          <w:iCs/>
          <w:lang w:val="es-CR" w:eastAsia="en-US"/>
        </w:rPr>
        <w:t xml:space="preserve">remate u oposición </w:t>
      </w:r>
      <w:r w:rsidRPr="002C0DC3">
        <w:rPr>
          <w:rFonts w:eastAsia="Calibri"/>
          <w:lang w:val="es-CR" w:eastAsia="en-US"/>
        </w:rPr>
        <w:t>incrementaron para el año en cuestión en un 12.3%, al mismo tiempo que las demandas en fase conclusiva se redujeron en un 2.3%.</w:t>
      </w:r>
    </w:p>
    <w:p w14:paraId="7D483AD2" w14:textId="77777777" w:rsidR="002C0DC3" w:rsidRPr="002C0DC3" w:rsidRDefault="002C0DC3" w:rsidP="002C0DC3">
      <w:pPr>
        <w:suppressAutoHyphens w:val="0"/>
        <w:ind w:left="851" w:right="851" w:firstLine="709"/>
        <w:contextualSpacing/>
        <w:jc w:val="both"/>
        <w:rPr>
          <w:rFonts w:eastAsia="Calibri"/>
          <w:lang w:val="es-CR" w:eastAsia="en-US"/>
        </w:rPr>
      </w:pPr>
    </w:p>
    <w:p w14:paraId="570574FC" w14:textId="77777777" w:rsidR="002C0DC3" w:rsidRPr="002C0DC3" w:rsidRDefault="002C0DC3" w:rsidP="002C0DC3">
      <w:pPr>
        <w:widowControl w:val="0"/>
        <w:suppressAutoHyphens w:val="0"/>
        <w:autoSpaceDE w:val="0"/>
        <w:autoSpaceDN w:val="0"/>
        <w:adjustRightInd w:val="0"/>
        <w:ind w:left="851" w:right="851" w:firstLine="709"/>
        <w:jc w:val="both"/>
        <w:rPr>
          <w:rFonts w:eastAsia="Calibri"/>
          <w:lang w:val="es-CR" w:eastAsia="en-US"/>
        </w:rPr>
      </w:pPr>
      <w:r w:rsidRPr="002C0DC3">
        <w:rPr>
          <w:rFonts w:eastAsia="Calibri"/>
          <w:lang w:val="es-CR" w:eastAsia="en-US"/>
        </w:rPr>
        <w:lastRenderedPageBreak/>
        <w:t xml:space="preserve">Para este año se registran 1.347 expedientes sin fase. </w:t>
      </w:r>
    </w:p>
    <w:p w14:paraId="0765DA91" w14:textId="77777777" w:rsidR="002C0DC3" w:rsidRPr="002C0DC3" w:rsidRDefault="002C0DC3" w:rsidP="002C0DC3">
      <w:pPr>
        <w:suppressAutoHyphens w:val="0"/>
        <w:ind w:left="851" w:right="851" w:firstLine="709"/>
        <w:jc w:val="both"/>
        <w:rPr>
          <w:rFonts w:eastAsia="Calibri"/>
          <w:lang w:val="es-CR" w:eastAsia="en-US"/>
        </w:rPr>
      </w:pPr>
    </w:p>
    <w:p w14:paraId="697E992E"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r w:rsidRPr="002C0DC3">
        <w:rPr>
          <w:lang w:eastAsia="es-ES"/>
        </w:rPr>
        <w:t>El cuadro anterior evidencia el denominado “</w:t>
      </w:r>
      <w:r w:rsidRPr="002C0DC3">
        <w:rPr>
          <w:i/>
          <w:lang w:eastAsia="es-ES"/>
        </w:rPr>
        <w:t>cuello de botella</w:t>
      </w:r>
      <w:r w:rsidRPr="002C0DC3">
        <w:rPr>
          <w:lang w:eastAsia="es-ES"/>
        </w:rPr>
        <w:t xml:space="preserve">”, pues aproximadamente el 70% del circulante actual se mantiene en etapa inicial, siendo uno de los principales obstáculos las demandas defectuosas. </w:t>
      </w:r>
    </w:p>
    <w:p w14:paraId="38C775DE"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p>
    <w:p w14:paraId="57019EAA"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r w:rsidRPr="002C0DC3">
        <w:rPr>
          <w:lang w:eastAsia="es-ES"/>
        </w:rPr>
        <w:t xml:space="preserve">Otra circunstancia clave se relaciona con la notificación a la parte demandada, lo cual provoca una gran cantidad de gestiones por parte de los acreedores, tendientes a procurar la localización de sus deudores, para notificarles sobre la existencia del asunto. </w:t>
      </w:r>
    </w:p>
    <w:p w14:paraId="7430B180"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p>
    <w:p w14:paraId="0B16823A"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r w:rsidRPr="002C0DC3">
        <w:rPr>
          <w:lang w:eastAsia="es-ES"/>
        </w:rPr>
        <w:t xml:space="preserve">Un factor adicional se relaciona con los embargos, pues en gran medida, la parte acreedora procura aletargar la notificación, mientras logra asegurar un apremio patrimonial, esto provoca -una vez más- que los procesos no avancen en su trámite, debido a que este tipo de gestiones experimenta un filtro judicial, en el cual se requiere de al menos una resolución -en cada caso- de la persona juzgadora, lo cual genera mayor congestión. </w:t>
      </w:r>
    </w:p>
    <w:p w14:paraId="798E8EF5"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p>
    <w:p w14:paraId="6D0F4D6E"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r w:rsidRPr="002C0DC3">
        <w:rPr>
          <w:lang w:eastAsia="es-ES"/>
        </w:rPr>
        <w:t xml:space="preserve">Con fundamento en lo expuesto en los párrafos anteriores, se explican los motivos por los cuales el circulante al finalizar el año en los juzgados cobratorios experimenta un crecimiento continuo y persistente, según se anunció en el presente apartado.   </w:t>
      </w:r>
    </w:p>
    <w:p w14:paraId="7F1A5BAF" w14:textId="77777777" w:rsidR="002C0DC3" w:rsidRPr="002C0DC3" w:rsidRDefault="002C0DC3" w:rsidP="002C0DC3">
      <w:pPr>
        <w:suppressAutoHyphens w:val="0"/>
        <w:ind w:left="851" w:right="851" w:firstLine="709"/>
        <w:jc w:val="both"/>
        <w:rPr>
          <w:rFonts w:eastAsia="Calibri"/>
          <w:lang w:val="es-CR" w:eastAsia="en-US"/>
        </w:rPr>
      </w:pPr>
    </w:p>
    <w:p w14:paraId="313C49FA"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Seguidamente se muestran aquellos despachos con los circulantes más elevados versus aquellos con los circulantes más bajos al cierre de 2020. </w:t>
      </w:r>
    </w:p>
    <w:p w14:paraId="70EEC9F8"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p w14:paraId="13C71A3F"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N°6.4</w:t>
      </w:r>
    </w:p>
    <w:p w14:paraId="58468CC5"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Oficinas judiciales con mayores y</w:t>
      </w:r>
    </w:p>
    <w:p w14:paraId="25935003"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Menores circulantes al finalizar el 2020</w:t>
      </w:r>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4"/>
        <w:gridCol w:w="1287"/>
        <w:gridCol w:w="1120"/>
      </w:tblGrid>
      <w:tr w:rsidR="002C0DC3" w:rsidRPr="002C0DC3" w14:paraId="0A360115" w14:textId="77777777" w:rsidTr="002C0DC3">
        <w:trPr>
          <w:tblHeader/>
          <w:jc w:val="center"/>
        </w:trPr>
        <w:tc>
          <w:tcPr>
            <w:tcW w:w="5954" w:type="dxa"/>
            <w:shd w:val="clear" w:color="auto" w:fill="auto"/>
            <w:noWrap/>
            <w:vAlign w:val="center"/>
            <w:hideMark/>
          </w:tcPr>
          <w:p w14:paraId="1F7152E4"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n-US"/>
              </w:rPr>
              <w:t> </w:t>
            </w:r>
          </w:p>
        </w:tc>
        <w:tc>
          <w:tcPr>
            <w:tcW w:w="1287" w:type="dxa"/>
            <w:shd w:val="clear" w:color="auto" w:fill="auto"/>
            <w:noWrap/>
            <w:vAlign w:val="center"/>
            <w:hideMark/>
          </w:tcPr>
          <w:p w14:paraId="5985B976"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Circulante</w:t>
            </w:r>
          </w:p>
        </w:tc>
        <w:tc>
          <w:tcPr>
            <w:tcW w:w="1120" w:type="dxa"/>
            <w:shd w:val="clear" w:color="auto" w:fill="auto"/>
            <w:noWrap/>
            <w:vAlign w:val="center"/>
            <w:hideMark/>
          </w:tcPr>
          <w:p w14:paraId="7A28CC6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r>
      <w:tr w:rsidR="002C0DC3" w:rsidRPr="002C0DC3" w14:paraId="3B4E5BB7" w14:textId="77777777" w:rsidTr="002C0DC3">
        <w:trPr>
          <w:tblHeader/>
          <w:jc w:val="center"/>
        </w:trPr>
        <w:tc>
          <w:tcPr>
            <w:tcW w:w="5954" w:type="dxa"/>
            <w:shd w:val="clear" w:color="auto" w:fill="auto"/>
            <w:noWrap/>
            <w:vAlign w:val="center"/>
            <w:hideMark/>
          </w:tcPr>
          <w:p w14:paraId="54D433B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Juzgado</w:t>
            </w:r>
          </w:p>
        </w:tc>
        <w:tc>
          <w:tcPr>
            <w:tcW w:w="1287" w:type="dxa"/>
            <w:shd w:val="clear" w:color="auto" w:fill="auto"/>
            <w:noWrap/>
            <w:vAlign w:val="center"/>
            <w:hideMark/>
          </w:tcPr>
          <w:p w14:paraId="6BD07F9E"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Final</w:t>
            </w:r>
          </w:p>
        </w:tc>
        <w:tc>
          <w:tcPr>
            <w:tcW w:w="1120" w:type="dxa"/>
            <w:shd w:val="clear" w:color="auto" w:fill="auto"/>
            <w:noWrap/>
            <w:vAlign w:val="center"/>
            <w:hideMark/>
          </w:tcPr>
          <w:p w14:paraId="38BCBA93"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Detalle</w:t>
            </w:r>
          </w:p>
        </w:tc>
      </w:tr>
      <w:tr w:rsidR="002C0DC3" w:rsidRPr="002C0DC3" w14:paraId="51362C73" w14:textId="77777777" w:rsidTr="002C0DC3">
        <w:trPr>
          <w:jc w:val="center"/>
        </w:trPr>
        <w:tc>
          <w:tcPr>
            <w:tcW w:w="5954" w:type="dxa"/>
            <w:shd w:val="clear" w:color="auto" w:fill="auto"/>
            <w:noWrap/>
            <w:vAlign w:val="center"/>
            <w:hideMark/>
          </w:tcPr>
          <w:p w14:paraId="48214BCE"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1287" w:type="dxa"/>
            <w:shd w:val="clear" w:color="auto" w:fill="auto"/>
            <w:noWrap/>
            <w:vAlign w:val="center"/>
            <w:hideMark/>
          </w:tcPr>
          <w:p w14:paraId="4065ECE3"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1120" w:type="dxa"/>
            <w:shd w:val="clear" w:color="auto" w:fill="auto"/>
            <w:noWrap/>
            <w:vAlign w:val="center"/>
            <w:hideMark/>
          </w:tcPr>
          <w:p w14:paraId="213D8C25"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p>
        </w:tc>
      </w:tr>
      <w:tr w:rsidR="002C0DC3" w:rsidRPr="002C0DC3" w14:paraId="1C39B1E7" w14:textId="77777777" w:rsidTr="002C0DC3">
        <w:trPr>
          <w:jc w:val="center"/>
        </w:trPr>
        <w:tc>
          <w:tcPr>
            <w:tcW w:w="5954" w:type="dxa"/>
            <w:shd w:val="clear" w:color="auto" w:fill="auto"/>
            <w:noWrap/>
            <w:vAlign w:val="center"/>
          </w:tcPr>
          <w:p w14:paraId="26541CC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Primero Especializado Cobro I Circuito San José</w:t>
            </w:r>
          </w:p>
        </w:tc>
        <w:tc>
          <w:tcPr>
            <w:tcW w:w="1287" w:type="dxa"/>
            <w:shd w:val="clear" w:color="auto" w:fill="auto"/>
            <w:noWrap/>
            <w:vAlign w:val="center"/>
          </w:tcPr>
          <w:p w14:paraId="03E0F8C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118.582</w:t>
            </w:r>
          </w:p>
        </w:tc>
        <w:tc>
          <w:tcPr>
            <w:tcW w:w="1120" w:type="dxa"/>
            <w:vMerge w:val="restart"/>
            <w:shd w:val="clear" w:color="auto" w:fill="auto"/>
            <w:vAlign w:val="center"/>
            <w:hideMark/>
          </w:tcPr>
          <w:p w14:paraId="68B5A9A3"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Mayores Cifras</w:t>
            </w:r>
          </w:p>
        </w:tc>
      </w:tr>
      <w:tr w:rsidR="002C0DC3" w:rsidRPr="002C0DC3" w14:paraId="3D67E6C8" w14:textId="77777777" w:rsidTr="002C0DC3">
        <w:trPr>
          <w:jc w:val="center"/>
        </w:trPr>
        <w:tc>
          <w:tcPr>
            <w:tcW w:w="5954" w:type="dxa"/>
            <w:shd w:val="clear" w:color="auto" w:fill="auto"/>
            <w:noWrap/>
            <w:vAlign w:val="center"/>
          </w:tcPr>
          <w:p w14:paraId="6C6A9CA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Tercero Especializado Cobro I Circuito San José</w:t>
            </w:r>
          </w:p>
        </w:tc>
        <w:tc>
          <w:tcPr>
            <w:tcW w:w="1287" w:type="dxa"/>
            <w:shd w:val="clear" w:color="auto" w:fill="auto"/>
            <w:noWrap/>
            <w:vAlign w:val="center"/>
          </w:tcPr>
          <w:p w14:paraId="51093D5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86.987</w:t>
            </w:r>
          </w:p>
        </w:tc>
        <w:tc>
          <w:tcPr>
            <w:tcW w:w="1120" w:type="dxa"/>
            <w:vMerge/>
            <w:vAlign w:val="center"/>
          </w:tcPr>
          <w:p w14:paraId="6A82F7C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0F0E105F" w14:textId="77777777" w:rsidTr="002C0DC3">
        <w:trPr>
          <w:jc w:val="center"/>
        </w:trPr>
        <w:tc>
          <w:tcPr>
            <w:tcW w:w="5954" w:type="dxa"/>
            <w:shd w:val="clear" w:color="auto" w:fill="auto"/>
            <w:noWrap/>
            <w:vAlign w:val="center"/>
            <w:hideMark/>
          </w:tcPr>
          <w:p w14:paraId="560D528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Segundo Especializado Cobro I Circuito San José</w:t>
            </w:r>
          </w:p>
        </w:tc>
        <w:tc>
          <w:tcPr>
            <w:tcW w:w="1287" w:type="dxa"/>
            <w:shd w:val="clear" w:color="auto" w:fill="auto"/>
            <w:noWrap/>
            <w:vAlign w:val="center"/>
          </w:tcPr>
          <w:p w14:paraId="582511D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79.044</w:t>
            </w:r>
          </w:p>
        </w:tc>
        <w:tc>
          <w:tcPr>
            <w:tcW w:w="1120" w:type="dxa"/>
            <w:vMerge/>
            <w:vAlign w:val="center"/>
            <w:hideMark/>
          </w:tcPr>
          <w:p w14:paraId="212B23ED"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16ECA521" w14:textId="77777777" w:rsidTr="002C0DC3">
        <w:trPr>
          <w:jc w:val="center"/>
        </w:trPr>
        <w:tc>
          <w:tcPr>
            <w:tcW w:w="5954" w:type="dxa"/>
            <w:shd w:val="clear" w:color="auto" w:fill="auto"/>
            <w:noWrap/>
            <w:vAlign w:val="center"/>
          </w:tcPr>
          <w:p w14:paraId="2996B4C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Cobro de Golfito</w:t>
            </w:r>
          </w:p>
        </w:tc>
        <w:tc>
          <w:tcPr>
            <w:tcW w:w="1287" w:type="dxa"/>
            <w:shd w:val="clear" w:color="auto" w:fill="auto"/>
            <w:noWrap/>
            <w:vAlign w:val="center"/>
          </w:tcPr>
          <w:p w14:paraId="15A0F1F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11.986</w:t>
            </w:r>
          </w:p>
        </w:tc>
        <w:tc>
          <w:tcPr>
            <w:tcW w:w="1120" w:type="dxa"/>
            <w:vMerge w:val="restart"/>
            <w:shd w:val="clear" w:color="auto" w:fill="auto"/>
            <w:vAlign w:val="center"/>
            <w:hideMark/>
          </w:tcPr>
          <w:p w14:paraId="5A7007EB"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Menores Cifras</w:t>
            </w:r>
          </w:p>
        </w:tc>
      </w:tr>
      <w:tr w:rsidR="002C0DC3" w:rsidRPr="002C0DC3" w14:paraId="50DDADB2" w14:textId="77777777" w:rsidTr="002C0DC3">
        <w:trPr>
          <w:jc w:val="center"/>
        </w:trPr>
        <w:tc>
          <w:tcPr>
            <w:tcW w:w="5954" w:type="dxa"/>
            <w:shd w:val="clear" w:color="auto" w:fill="auto"/>
            <w:noWrap/>
            <w:vAlign w:val="center"/>
            <w:hideMark/>
          </w:tcPr>
          <w:p w14:paraId="0F87A5E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Cobro y Menor Cuantía III Circuito Alajuela (San Ramón)</w:t>
            </w:r>
          </w:p>
        </w:tc>
        <w:tc>
          <w:tcPr>
            <w:tcW w:w="1287" w:type="dxa"/>
            <w:shd w:val="clear" w:color="auto" w:fill="auto"/>
            <w:noWrap/>
            <w:vAlign w:val="center"/>
          </w:tcPr>
          <w:p w14:paraId="61F44A4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13.332</w:t>
            </w:r>
          </w:p>
        </w:tc>
        <w:tc>
          <w:tcPr>
            <w:tcW w:w="1120" w:type="dxa"/>
            <w:vMerge/>
            <w:vAlign w:val="center"/>
            <w:hideMark/>
          </w:tcPr>
          <w:p w14:paraId="73D1C0C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2F3404BC" w14:textId="77777777" w:rsidTr="002C0DC3">
        <w:trPr>
          <w:jc w:val="center"/>
        </w:trPr>
        <w:tc>
          <w:tcPr>
            <w:tcW w:w="5954" w:type="dxa"/>
            <w:shd w:val="clear" w:color="auto" w:fill="auto"/>
            <w:noWrap/>
            <w:vAlign w:val="center"/>
          </w:tcPr>
          <w:p w14:paraId="635D5503"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Juzgado de Cobro de Grecia</w:t>
            </w:r>
          </w:p>
        </w:tc>
        <w:tc>
          <w:tcPr>
            <w:tcW w:w="1287" w:type="dxa"/>
            <w:shd w:val="clear" w:color="auto" w:fill="auto"/>
            <w:noWrap/>
            <w:vAlign w:val="center"/>
          </w:tcPr>
          <w:p w14:paraId="0E933BA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14.823</w:t>
            </w:r>
          </w:p>
        </w:tc>
        <w:tc>
          <w:tcPr>
            <w:tcW w:w="1120" w:type="dxa"/>
            <w:vMerge/>
            <w:vAlign w:val="center"/>
          </w:tcPr>
          <w:p w14:paraId="4163DD7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p>
        </w:tc>
      </w:tr>
      <w:tr w:rsidR="002C0DC3" w:rsidRPr="002C0DC3" w14:paraId="7FB18486" w14:textId="77777777" w:rsidTr="002C0DC3">
        <w:trPr>
          <w:trHeight w:val="300"/>
          <w:jc w:val="center"/>
        </w:trPr>
        <w:tc>
          <w:tcPr>
            <w:tcW w:w="8361" w:type="dxa"/>
            <w:gridSpan w:val="3"/>
            <w:shd w:val="clear" w:color="auto" w:fill="auto"/>
            <w:noWrap/>
            <w:vAlign w:val="center"/>
            <w:hideMark/>
          </w:tcPr>
          <w:p w14:paraId="79A6665A" w14:textId="77777777" w:rsidR="002C0DC3" w:rsidRPr="002C0DC3" w:rsidRDefault="002C0DC3" w:rsidP="002C0DC3">
            <w:pPr>
              <w:widowControl w:val="0"/>
              <w:suppressAutoHyphens w:val="0"/>
              <w:autoSpaceDE w:val="0"/>
              <w:autoSpaceDN w:val="0"/>
              <w:adjustRightInd w:val="0"/>
              <w:jc w:val="both"/>
              <w:rPr>
                <w:rFonts w:eastAsia="Calibri"/>
                <w:bCs/>
                <w:lang w:val="es-CR" w:eastAsia="en-US"/>
              </w:rPr>
            </w:pPr>
            <w:r w:rsidRPr="002C0DC3">
              <w:rPr>
                <w:rFonts w:eastAsia="Calibri"/>
                <w:bCs/>
                <w:lang w:val="es-CR" w:eastAsia="en-US"/>
              </w:rPr>
              <w:t>Elaborado por: Subproceso de Estadística, Dirección de Planificación.</w:t>
            </w:r>
          </w:p>
        </w:tc>
      </w:tr>
    </w:tbl>
    <w:p w14:paraId="5836165E" w14:textId="77777777" w:rsidR="002C0DC3" w:rsidRPr="002C0DC3" w:rsidRDefault="002C0DC3" w:rsidP="002C0DC3">
      <w:pPr>
        <w:suppressAutoHyphens w:val="0"/>
        <w:jc w:val="center"/>
        <w:rPr>
          <w:rFonts w:eastAsia="Calibri"/>
          <w:lang w:val="es-CR" w:eastAsia="en-US"/>
        </w:rPr>
      </w:pPr>
    </w:p>
    <w:p w14:paraId="2E050092" w14:textId="77777777" w:rsidR="002C0DC3" w:rsidRPr="002C0DC3" w:rsidRDefault="002C0DC3" w:rsidP="002C0DC3">
      <w:pPr>
        <w:widowControl w:val="0"/>
        <w:suppressAutoHyphens w:val="0"/>
        <w:autoSpaceDE w:val="0"/>
        <w:autoSpaceDN w:val="0"/>
        <w:adjustRightInd w:val="0"/>
        <w:ind w:left="851" w:right="851" w:firstLine="709"/>
        <w:jc w:val="both"/>
        <w:rPr>
          <w:lang w:eastAsia="es-ES"/>
        </w:rPr>
      </w:pPr>
      <w:r w:rsidRPr="002C0DC3">
        <w:rPr>
          <w:rFonts w:eastAsia="Calibri"/>
          <w:lang w:val="es-CR" w:eastAsia="en-US"/>
        </w:rPr>
        <w:lastRenderedPageBreak/>
        <w:t>El juzgado Primero Especializado Cobro del primer Circuito Judicial de San José es el despacho con el mayor circulante a nivel nacional con un total de 118.582 expedientes en trámite</w:t>
      </w:r>
      <w:r w:rsidRPr="002C0DC3">
        <w:rPr>
          <w:lang w:eastAsia="es-ES"/>
        </w:rPr>
        <w:t xml:space="preserve"> mientras que, el Juzgado de Cobro de Golfito muestra la menor cifra de casos activos con 11.986 en términos absolutos.</w:t>
      </w:r>
    </w:p>
    <w:p w14:paraId="6FF407D3" w14:textId="77777777" w:rsidR="002C0DC3" w:rsidRDefault="002C0DC3" w:rsidP="002C0DC3">
      <w:pPr>
        <w:keepNext/>
        <w:keepLines/>
        <w:suppressAutoHyphens w:val="0"/>
        <w:ind w:left="851" w:right="851" w:firstLine="709"/>
        <w:jc w:val="both"/>
        <w:rPr>
          <w:b/>
          <w:lang w:val="es-CR" w:eastAsia="es-CR"/>
        </w:rPr>
      </w:pPr>
      <w:bookmarkStart w:id="14" w:name="_Toc80351024"/>
    </w:p>
    <w:p w14:paraId="10F3B483" w14:textId="1D8AC6A9" w:rsidR="002C0DC3" w:rsidRPr="002C0DC3" w:rsidRDefault="002C0DC3" w:rsidP="002C0DC3">
      <w:pPr>
        <w:keepNext/>
        <w:keepLines/>
        <w:suppressAutoHyphens w:val="0"/>
        <w:ind w:left="851" w:right="851" w:firstLine="709"/>
        <w:jc w:val="both"/>
        <w:rPr>
          <w:b/>
          <w:lang w:val="es-CR" w:eastAsia="es-CR"/>
        </w:rPr>
      </w:pPr>
      <w:r w:rsidRPr="002C0DC3">
        <w:rPr>
          <w:b/>
          <w:lang w:val="es-CR" w:eastAsia="es-CR"/>
        </w:rPr>
        <w:t>Incidentes y Tercerías</w:t>
      </w:r>
      <w:bookmarkEnd w:id="14"/>
    </w:p>
    <w:p w14:paraId="7060C666" w14:textId="77777777" w:rsidR="002C0DC3" w:rsidRPr="002C0DC3" w:rsidRDefault="002C0DC3" w:rsidP="002C0DC3">
      <w:pPr>
        <w:suppressAutoHyphens w:val="0"/>
        <w:ind w:left="851" w:right="851" w:firstLine="709"/>
        <w:jc w:val="both"/>
        <w:rPr>
          <w:rFonts w:eastAsia="Calibri"/>
          <w:lang w:val="es-CR" w:eastAsia="en-US"/>
        </w:rPr>
      </w:pPr>
    </w:p>
    <w:p w14:paraId="4BA83BD4" w14:textId="77777777" w:rsidR="002C0DC3" w:rsidRPr="002C0DC3" w:rsidRDefault="002C0DC3" w:rsidP="002C0DC3">
      <w:pPr>
        <w:keepNext/>
        <w:keepLines/>
        <w:numPr>
          <w:ilvl w:val="1"/>
          <w:numId w:val="0"/>
        </w:numPr>
        <w:suppressAutoHyphens w:val="0"/>
        <w:ind w:left="851" w:right="851" w:firstLine="709"/>
        <w:jc w:val="both"/>
        <w:rPr>
          <w:b/>
          <w:lang w:val="es-CR" w:eastAsia="es-CR"/>
        </w:rPr>
      </w:pPr>
      <w:r w:rsidRPr="002C0DC3">
        <w:rPr>
          <w:b/>
          <w:lang w:val="es-CR" w:eastAsia="es-CR"/>
        </w:rPr>
        <w:t>Incidentes</w:t>
      </w:r>
    </w:p>
    <w:p w14:paraId="100C08C3" w14:textId="77777777" w:rsidR="002C0DC3" w:rsidRPr="002C0DC3" w:rsidRDefault="002C0DC3" w:rsidP="002C0DC3">
      <w:pPr>
        <w:suppressAutoHyphens w:val="0"/>
        <w:ind w:left="851" w:right="851" w:firstLine="709"/>
        <w:jc w:val="both"/>
        <w:rPr>
          <w:rFonts w:eastAsia="Calibri"/>
          <w:lang w:val="es-CR" w:eastAsia="en-US"/>
        </w:rPr>
      </w:pPr>
    </w:p>
    <w:p w14:paraId="38B8E50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A continuación, se realiza un diagnóstico del balance de incidentes, llevado a cabo por los despachos que atienden la materia cobratoria durante el 2020.  </w:t>
      </w:r>
    </w:p>
    <w:p w14:paraId="2836FC42" w14:textId="77777777" w:rsidR="002C0DC3" w:rsidRPr="002C0DC3" w:rsidRDefault="002C0DC3" w:rsidP="002C0DC3">
      <w:pPr>
        <w:suppressAutoHyphens w:val="0"/>
        <w:ind w:left="851" w:right="851" w:firstLine="709"/>
        <w:jc w:val="both"/>
        <w:rPr>
          <w:rFonts w:eastAsia="Calibri"/>
          <w:lang w:val="es-CR" w:eastAsia="en-US"/>
        </w:rPr>
      </w:pPr>
    </w:p>
    <w:p w14:paraId="60784B16"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Cuadro N°7.1</w:t>
      </w:r>
    </w:p>
    <w:p w14:paraId="01E58667"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Balance General de los Incidentes atendidos por los Juzgados de Cobro a</w:t>
      </w:r>
    </w:p>
    <w:p w14:paraId="5D61D71C"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nivel nacional, según Circuito Judicial al que pertenecen, período 2020</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5"/>
        <w:gridCol w:w="1099"/>
        <w:gridCol w:w="1307"/>
        <w:gridCol w:w="1425"/>
        <w:gridCol w:w="708"/>
        <w:gridCol w:w="877"/>
        <w:gridCol w:w="683"/>
        <w:gridCol w:w="585"/>
      </w:tblGrid>
      <w:tr w:rsidR="002C0DC3" w:rsidRPr="002C0DC3" w14:paraId="18AFFBD3" w14:textId="77777777" w:rsidTr="002C0DC3">
        <w:trPr>
          <w:gridAfter w:val="1"/>
          <w:wAfter w:w="585" w:type="dxa"/>
          <w:trHeight w:val="628"/>
        </w:trPr>
        <w:tc>
          <w:tcPr>
            <w:tcW w:w="2265" w:type="dxa"/>
            <w:vMerge w:val="restart"/>
            <w:shd w:val="clear" w:color="auto" w:fill="auto"/>
            <w:vAlign w:val="center"/>
            <w:hideMark/>
          </w:tcPr>
          <w:p w14:paraId="0D864823" w14:textId="77777777" w:rsidR="002C0DC3" w:rsidRPr="002C0DC3" w:rsidRDefault="002C0DC3" w:rsidP="002C0DC3">
            <w:pPr>
              <w:suppressAutoHyphens w:val="0"/>
              <w:jc w:val="center"/>
              <w:rPr>
                <w:b/>
                <w:bCs/>
                <w:lang w:val="es-CR" w:eastAsia="es-CR"/>
              </w:rPr>
            </w:pPr>
            <w:r w:rsidRPr="002C0DC3">
              <w:rPr>
                <w:b/>
                <w:bCs/>
                <w:lang w:val="es-CR" w:eastAsia="es-CR"/>
              </w:rPr>
              <w:t>CIRCUITO JUDICIAL Y OFICINA</w:t>
            </w:r>
          </w:p>
        </w:tc>
        <w:tc>
          <w:tcPr>
            <w:tcW w:w="1099" w:type="dxa"/>
            <w:vMerge w:val="restart"/>
            <w:shd w:val="clear" w:color="auto" w:fill="auto"/>
            <w:vAlign w:val="center"/>
            <w:hideMark/>
          </w:tcPr>
          <w:p w14:paraId="738A0D9A" w14:textId="77777777" w:rsidR="002C0DC3" w:rsidRPr="002C0DC3" w:rsidRDefault="002C0DC3" w:rsidP="002C0DC3">
            <w:pPr>
              <w:suppressAutoHyphens w:val="0"/>
              <w:jc w:val="center"/>
              <w:rPr>
                <w:b/>
                <w:bCs/>
                <w:lang w:val="es-CR" w:eastAsia="es-CR"/>
              </w:rPr>
            </w:pPr>
            <w:r w:rsidRPr="002C0DC3">
              <w:rPr>
                <w:b/>
                <w:bCs/>
                <w:lang w:val="es-CR" w:eastAsia="es-CR"/>
              </w:rPr>
              <w:t>ENTRADOS</w:t>
            </w:r>
          </w:p>
        </w:tc>
        <w:tc>
          <w:tcPr>
            <w:tcW w:w="1307" w:type="dxa"/>
            <w:vMerge w:val="restart"/>
            <w:shd w:val="clear" w:color="auto" w:fill="auto"/>
            <w:vAlign w:val="center"/>
            <w:hideMark/>
          </w:tcPr>
          <w:p w14:paraId="1238B134" w14:textId="77777777" w:rsidR="002C0DC3" w:rsidRPr="002C0DC3" w:rsidRDefault="002C0DC3" w:rsidP="002C0DC3">
            <w:pPr>
              <w:suppressAutoHyphens w:val="0"/>
              <w:jc w:val="center"/>
              <w:rPr>
                <w:b/>
                <w:bCs/>
                <w:lang w:val="es-CR" w:eastAsia="es-CR"/>
              </w:rPr>
            </w:pPr>
            <w:r w:rsidRPr="002C0DC3">
              <w:rPr>
                <w:b/>
                <w:bCs/>
                <w:lang w:val="es-CR" w:eastAsia="es-CR"/>
              </w:rPr>
              <w:t>REENTRADOS</w:t>
            </w:r>
          </w:p>
        </w:tc>
        <w:tc>
          <w:tcPr>
            <w:tcW w:w="1425" w:type="dxa"/>
            <w:vMerge w:val="restart"/>
            <w:shd w:val="clear" w:color="auto" w:fill="auto"/>
            <w:vAlign w:val="center"/>
            <w:hideMark/>
          </w:tcPr>
          <w:p w14:paraId="23F2CCDE" w14:textId="77777777" w:rsidR="002C0DC3" w:rsidRPr="002C0DC3" w:rsidRDefault="002C0DC3" w:rsidP="002C0DC3">
            <w:pPr>
              <w:suppressAutoHyphens w:val="0"/>
              <w:jc w:val="center"/>
              <w:rPr>
                <w:b/>
                <w:bCs/>
                <w:lang w:val="es-CR" w:eastAsia="es-CR"/>
              </w:rPr>
            </w:pPr>
            <w:r w:rsidRPr="002C0DC3">
              <w:rPr>
                <w:b/>
                <w:bCs/>
                <w:lang w:val="es-CR" w:eastAsia="es-CR"/>
              </w:rPr>
              <w:t>REACTIVADOS</w:t>
            </w:r>
          </w:p>
        </w:tc>
        <w:tc>
          <w:tcPr>
            <w:tcW w:w="708" w:type="dxa"/>
            <w:vMerge w:val="restart"/>
            <w:shd w:val="clear" w:color="auto" w:fill="auto"/>
            <w:vAlign w:val="center"/>
            <w:hideMark/>
          </w:tcPr>
          <w:p w14:paraId="34AA243C" w14:textId="77777777" w:rsidR="002C0DC3" w:rsidRPr="002C0DC3" w:rsidRDefault="002C0DC3" w:rsidP="002C0DC3">
            <w:pPr>
              <w:suppressAutoHyphens w:val="0"/>
              <w:jc w:val="center"/>
              <w:rPr>
                <w:b/>
                <w:bCs/>
                <w:lang w:val="es-CR" w:eastAsia="es-CR"/>
              </w:rPr>
            </w:pPr>
            <w:r w:rsidRPr="002C0DC3">
              <w:rPr>
                <w:b/>
                <w:bCs/>
                <w:lang w:val="es-CR" w:eastAsia="es-CR"/>
              </w:rPr>
              <w:t xml:space="preserve">TEST PIEZA </w:t>
            </w:r>
          </w:p>
        </w:tc>
        <w:tc>
          <w:tcPr>
            <w:tcW w:w="877" w:type="dxa"/>
            <w:vMerge w:val="restart"/>
            <w:shd w:val="clear" w:color="auto" w:fill="auto"/>
            <w:vAlign w:val="center"/>
            <w:hideMark/>
          </w:tcPr>
          <w:p w14:paraId="7E3CE57D" w14:textId="77777777" w:rsidR="002C0DC3" w:rsidRPr="002C0DC3" w:rsidRDefault="002C0DC3" w:rsidP="002C0DC3">
            <w:pPr>
              <w:suppressAutoHyphens w:val="0"/>
              <w:jc w:val="center"/>
              <w:rPr>
                <w:b/>
                <w:bCs/>
                <w:lang w:val="es-CR" w:eastAsia="es-CR"/>
              </w:rPr>
            </w:pPr>
            <w:r w:rsidRPr="002C0DC3">
              <w:rPr>
                <w:b/>
                <w:bCs/>
                <w:lang w:val="es-CR" w:eastAsia="es-CR"/>
              </w:rPr>
              <w:t>TERMINADOS</w:t>
            </w:r>
          </w:p>
        </w:tc>
        <w:tc>
          <w:tcPr>
            <w:tcW w:w="683" w:type="dxa"/>
            <w:vMerge w:val="restart"/>
            <w:shd w:val="clear" w:color="auto" w:fill="auto"/>
            <w:vAlign w:val="center"/>
            <w:hideMark/>
          </w:tcPr>
          <w:p w14:paraId="013CE87F" w14:textId="77777777" w:rsidR="002C0DC3" w:rsidRPr="002C0DC3" w:rsidRDefault="002C0DC3" w:rsidP="002C0DC3">
            <w:pPr>
              <w:suppressAutoHyphens w:val="0"/>
              <w:jc w:val="center"/>
              <w:rPr>
                <w:b/>
                <w:bCs/>
                <w:lang w:val="es-CR" w:eastAsia="es-CR"/>
              </w:rPr>
            </w:pPr>
            <w:r w:rsidRPr="002C0DC3">
              <w:rPr>
                <w:b/>
                <w:bCs/>
                <w:lang w:val="es-CR" w:eastAsia="es-CR"/>
              </w:rPr>
              <w:t>INACTIVOS</w:t>
            </w:r>
          </w:p>
        </w:tc>
      </w:tr>
      <w:tr w:rsidR="002C0DC3" w:rsidRPr="002C0DC3" w14:paraId="63D85887" w14:textId="77777777" w:rsidTr="002C0DC3">
        <w:trPr>
          <w:trHeight w:val="465"/>
        </w:trPr>
        <w:tc>
          <w:tcPr>
            <w:tcW w:w="2265" w:type="dxa"/>
            <w:vMerge/>
            <w:vAlign w:val="center"/>
            <w:hideMark/>
          </w:tcPr>
          <w:p w14:paraId="325C7D29" w14:textId="77777777" w:rsidR="002C0DC3" w:rsidRPr="002C0DC3" w:rsidRDefault="002C0DC3" w:rsidP="002C0DC3">
            <w:pPr>
              <w:suppressAutoHyphens w:val="0"/>
              <w:rPr>
                <w:b/>
                <w:bCs/>
                <w:lang w:val="es-CR" w:eastAsia="es-CR"/>
              </w:rPr>
            </w:pPr>
          </w:p>
        </w:tc>
        <w:tc>
          <w:tcPr>
            <w:tcW w:w="1099" w:type="dxa"/>
            <w:vMerge/>
            <w:vAlign w:val="center"/>
            <w:hideMark/>
          </w:tcPr>
          <w:p w14:paraId="213A5305" w14:textId="77777777" w:rsidR="002C0DC3" w:rsidRPr="002C0DC3" w:rsidRDefault="002C0DC3" w:rsidP="002C0DC3">
            <w:pPr>
              <w:suppressAutoHyphens w:val="0"/>
              <w:rPr>
                <w:b/>
                <w:bCs/>
                <w:lang w:val="es-CR" w:eastAsia="es-CR"/>
              </w:rPr>
            </w:pPr>
          </w:p>
        </w:tc>
        <w:tc>
          <w:tcPr>
            <w:tcW w:w="1307" w:type="dxa"/>
            <w:vMerge/>
            <w:vAlign w:val="center"/>
            <w:hideMark/>
          </w:tcPr>
          <w:p w14:paraId="558F9CBA" w14:textId="77777777" w:rsidR="002C0DC3" w:rsidRPr="002C0DC3" w:rsidRDefault="002C0DC3" w:rsidP="002C0DC3">
            <w:pPr>
              <w:suppressAutoHyphens w:val="0"/>
              <w:rPr>
                <w:b/>
                <w:bCs/>
                <w:lang w:val="es-CR" w:eastAsia="es-CR"/>
              </w:rPr>
            </w:pPr>
          </w:p>
        </w:tc>
        <w:tc>
          <w:tcPr>
            <w:tcW w:w="1425" w:type="dxa"/>
            <w:vMerge/>
            <w:vAlign w:val="center"/>
            <w:hideMark/>
          </w:tcPr>
          <w:p w14:paraId="017C6CB8" w14:textId="77777777" w:rsidR="002C0DC3" w:rsidRPr="002C0DC3" w:rsidRDefault="002C0DC3" w:rsidP="002C0DC3">
            <w:pPr>
              <w:suppressAutoHyphens w:val="0"/>
              <w:rPr>
                <w:b/>
                <w:bCs/>
                <w:lang w:val="es-CR" w:eastAsia="es-CR"/>
              </w:rPr>
            </w:pPr>
          </w:p>
        </w:tc>
        <w:tc>
          <w:tcPr>
            <w:tcW w:w="708" w:type="dxa"/>
            <w:vMerge/>
            <w:vAlign w:val="center"/>
            <w:hideMark/>
          </w:tcPr>
          <w:p w14:paraId="1D63823F" w14:textId="77777777" w:rsidR="002C0DC3" w:rsidRPr="002C0DC3" w:rsidRDefault="002C0DC3" w:rsidP="002C0DC3">
            <w:pPr>
              <w:suppressAutoHyphens w:val="0"/>
              <w:rPr>
                <w:b/>
                <w:bCs/>
                <w:lang w:val="es-CR" w:eastAsia="es-CR"/>
              </w:rPr>
            </w:pPr>
          </w:p>
        </w:tc>
        <w:tc>
          <w:tcPr>
            <w:tcW w:w="877" w:type="dxa"/>
            <w:vMerge/>
            <w:vAlign w:val="center"/>
            <w:hideMark/>
          </w:tcPr>
          <w:p w14:paraId="0D887598" w14:textId="77777777" w:rsidR="002C0DC3" w:rsidRPr="002C0DC3" w:rsidRDefault="002C0DC3" w:rsidP="002C0DC3">
            <w:pPr>
              <w:suppressAutoHyphens w:val="0"/>
              <w:rPr>
                <w:b/>
                <w:bCs/>
                <w:lang w:val="es-CR" w:eastAsia="es-CR"/>
              </w:rPr>
            </w:pPr>
          </w:p>
        </w:tc>
        <w:tc>
          <w:tcPr>
            <w:tcW w:w="683" w:type="dxa"/>
            <w:vMerge/>
            <w:vAlign w:val="center"/>
            <w:hideMark/>
          </w:tcPr>
          <w:p w14:paraId="47140ADE" w14:textId="77777777" w:rsidR="002C0DC3" w:rsidRPr="002C0DC3" w:rsidRDefault="002C0DC3" w:rsidP="002C0DC3">
            <w:pPr>
              <w:suppressAutoHyphens w:val="0"/>
              <w:rPr>
                <w:b/>
                <w:bCs/>
                <w:lang w:val="es-CR" w:eastAsia="es-CR"/>
              </w:rPr>
            </w:pPr>
          </w:p>
        </w:tc>
        <w:tc>
          <w:tcPr>
            <w:tcW w:w="585" w:type="dxa"/>
            <w:shd w:val="clear" w:color="auto" w:fill="auto"/>
            <w:noWrap/>
            <w:vAlign w:val="bottom"/>
            <w:hideMark/>
          </w:tcPr>
          <w:p w14:paraId="66F1C325" w14:textId="77777777" w:rsidR="002C0DC3" w:rsidRPr="002C0DC3" w:rsidRDefault="002C0DC3" w:rsidP="002C0DC3">
            <w:pPr>
              <w:suppressAutoHyphens w:val="0"/>
              <w:jc w:val="center"/>
              <w:rPr>
                <w:b/>
                <w:bCs/>
                <w:lang w:val="es-CR" w:eastAsia="es-CR"/>
              </w:rPr>
            </w:pPr>
          </w:p>
        </w:tc>
      </w:tr>
      <w:tr w:rsidR="002C0DC3" w:rsidRPr="002C0DC3" w14:paraId="6C70235E" w14:textId="77777777" w:rsidTr="002C0DC3">
        <w:trPr>
          <w:trHeight w:val="230"/>
        </w:trPr>
        <w:tc>
          <w:tcPr>
            <w:tcW w:w="2265" w:type="dxa"/>
            <w:shd w:val="clear" w:color="auto" w:fill="auto"/>
            <w:noWrap/>
            <w:vAlign w:val="bottom"/>
            <w:hideMark/>
          </w:tcPr>
          <w:p w14:paraId="7DC91712" w14:textId="77777777" w:rsidR="002C0DC3" w:rsidRPr="002C0DC3" w:rsidRDefault="002C0DC3" w:rsidP="002C0DC3">
            <w:pPr>
              <w:suppressAutoHyphens w:val="0"/>
              <w:jc w:val="center"/>
              <w:rPr>
                <w:b/>
                <w:bCs/>
                <w:lang w:val="es-CR" w:eastAsia="es-CR"/>
              </w:rPr>
            </w:pPr>
            <w:r w:rsidRPr="002C0DC3">
              <w:rPr>
                <w:b/>
                <w:bCs/>
                <w:lang w:val="es-CR" w:eastAsia="es-CR"/>
              </w:rPr>
              <w:t>Total</w:t>
            </w:r>
          </w:p>
        </w:tc>
        <w:tc>
          <w:tcPr>
            <w:tcW w:w="1099" w:type="dxa"/>
            <w:shd w:val="clear" w:color="auto" w:fill="auto"/>
            <w:noWrap/>
            <w:vAlign w:val="bottom"/>
            <w:hideMark/>
          </w:tcPr>
          <w:p w14:paraId="2686FA3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779</w:t>
            </w:r>
          </w:p>
        </w:tc>
        <w:tc>
          <w:tcPr>
            <w:tcW w:w="1307" w:type="dxa"/>
            <w:shd w:val="clear" w:color="auto" w:fill="auto"/>
            <w:noWrap/>
            <w:vAlign w:val="bottom"/>
            <w:hideMark/>
          </w:tcPr>
          <w:p w14:paraId="2338C59A"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143</w:t>
            </w:r>
          </w:p>
        </w:tc>
        <w:tc>
          <w:tcPr>
            <w:tcW w:w="1425" w:type="dxa"/>
            <w:shd w:val="clear" w:color="auto" w:fill="auto"/>
            <w:noWrap/>
            <w:vAlign w:val="bottom"/>
            <w:hideMark/>
          </w:tcPr>
          <w:p w14:paraId="54016755"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157</w:t>
            </w:r>
          </w:p>
        </w:tc>
        <w:tc>
          <w:tcPr>
            <w:tcW w:w="708" w:type="dxa"/>
            <w:shd w:val="clear" w:color="auto" w:fill="auto"/>
            <w:noWrap/>
            <w:vAlign w:val="bottom"/>
            <w:hideMark/>
          </w:tcPr>
          <w:p w14:paraId="54E5FF2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167B05EA"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624</w:t>
            </w:r>
          </w:p>
        </w:tc>
        <w:tc>
          <w:tcPr>
            <w:tcW w:w="683" w:type="dxa"/>
            <w:shd w:val="clear" w:color="auto" w:fill="auto"/>
            <w:noWrap/>
            <w:vAlign w:val="bottom"/>
            <w:hideMark/>
          </w:tcPr>
          <w:p w14:paraId="089EAE1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270</w:t>
            </w:r>
          </w:p>
        </w:tc>
        <w:tc>
          <w:tcPr>
            <w:tcW w:w="585" w:type="dxa"/>
            <w:vAlign w:val="center"/>
            <w:hideMark/>
          </w:tcPr>
          <w:p w14:paraId="4A885D4D" w14:textId="77777777" w:rsidR="002C0DC3" w:rsidRPr="002C0DC3" w:rsidRDefault="002C0DC3" w:rsidP="002C0DC3">
            <w:pPr>
              <w:suppressAutoHyphens w:val="0"/>
              <w:rPr>
                <w:lang w:val="es-CR" w:eastAsia="es-CR"/>
              </w:rPr>
            </w:pPr>
          </w:p>
        </w:tc>
      </w:tr>
      <w:tr w:rsidR="002C0DC3" w:rsidRPr="002C0DC3" w14:paraId="6E411256" w14:textId="77777777" w:rsidTr="002C0DC3">
        <w:trPr>
          <w:trHeight w:val="230"/>
        </w:trPr>
        <w:tc>
          <w:tcPr>
            <w:tcW w:w="2265" w:type="dxa"/>
            <w:shd w:val="clear" w:color="auto" w:fill="auto"/>
            <w:noWrap/>
            <w:vAlign w:val="bottom"/>
            <w:hideMark/>
          </w:tcPr>
          <w:p w14:paraId="2509C988" w14:textId="77777777" w:rsidR="002C0DC3" w:rsidRPr="002C0DC3" w:rsidRDefault="002C0DC3" w:rsidP="002C0DC3">
            <w:pPr>
              <w:suppressAutoHyphens w:val="0"/>
              <w:rPr>
                <w:b/>
                <w:bCs/>
                <w:lang w:val="es-CR" w:eastAsia="es-CR"/>
              </w:rPr>
            </w:pPr>
            <w:r w:rsidRPr="002C0DC3">
              <w:rPr>
                <w:b/>
                <w:bCs/>
                <w:lang w:val="es-CR" w:eastAsia="es-CR"/>
              </w:rPr>
              <w:t>I Circuito Jud. de San José</w:t>
            </w:r>
          </w:p>
        </w:tc>
        <w:tc>
          <w:tcPr>
            <w:tcW w:w="1099" w:type="dxa"/>
            <w:shd w:val="clear" w:color="auto" w:fill="auto"/>
            <w:noWrap/>
            <w:vAlign w:val="bottom"/>
            <w:hideMark/>
          </w:tcPr>
          <w:p w14:paraId="03852DF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76</w:t>
            </w:r>
          </w:p>
        </w:tc>
        <w:tc>
          <w:tcPr>
            <w:tcW w:w="1307" w:type="dxa"/>
            <w:shd w:val="clear" w:color="auto" w:fill="auto"/>
            <w:noWrap/>
            <w:vAlign w:val="bottom"/>
            <w:hideMark/>
          </w:tcPr>
          <w:p w14:paraId="2741221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4</w:t>
            </w:r>
          </w:p>
        </w:tc>
        <w:tc>
          <w:tcPr>
            <w:tcW w:w="1425" w:type="dxa"/>
            <w:shd w:val="clear" w:color="auto" w:fill="auto"/>
            <w:noWrap/>
            <w:vAlign w:val="bottom"/>
            <w:hideMark/>
          </w:tcPr>
          <w:p w14:paraId="08C69405"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708" w:type="dxa"/>
            <w:shd w:val="clear" w:color="auto" w:fill="auto"/>
            <w:noWrap/>
            <w:vAlign w:val="bottom"/>
            <w:hideMark/>
          </w:tcPr>
          <w:p w14:paraId="4529435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5B09D51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34</w:t>
            </w:r>
          </w:p>
        </w:tc>
        <w:tc>
          <w:tcPr>
            <w:tcW w:w="683" w:type="dxa"/>
            <w:shd w:val="clear" w:color="auto" w:fill="auto"/>
            <w:noWrap/>
            <w:vAlign w:val="bottom"/>
            <w:hideMark/>
          </w:tcPr>
          <w:p w14:paraId="2340EE2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w:t>
            </w:r>
          </w:p>
        </w:tc>
        <w:tc>
          <w:tcPr>
            <w:tcW w:w="585" w:type="dxa"/>
            <w:vAlign w:val="center"/>
            <w:hideMark/>
          </w:tcPr>
          <w:p w14:paraId="0CFD58B7" w14:textId="77777777" w:rsidR="002C0DC3" w:rsidRPr="002C0DC3" w:rsidRDefault="002C0DC3" w:rsidP="002C0DC3">
            <w:pPr>
              <w:suppressAutoHyphens w:val="0"/>
              <w:rPr>
                <w:lang w:val="es-CR" w:eastAsia="es-CR"/>
              </w:rPr>
            </w:pPr>
          </w:p>
        </w:tc>
      </w:tr>
      <w:tr w:rsidR="002C0DC3" w:rsidRPr="002C0DC3" w14:paraId="00180464" w14:textId="77777777" w:rsidTr="002C0DC3">
        <w:trPr>
          <w:trHeight w:val="230"/>
        </w:trPr>
        <w:tc>
          <w:tcPr>
            <w:tcW w:w="2265" w:type="dxa"/>
            <w:shd w:val="clear" w:color="auto" w:fill="auto"/>
            <w:noWrap/>
            <w:vAlign w:val="bottom"/>
            <w:hideMark/>
          </w:tcPr>
          <w:p w14:paraId="51694D60" w14:textId="77777777" w:rsidR="002C0DC3" w:rsidRPr="002C0DC3" w:rsidRDefault="002C0DC3" w:rsidP="002C0DC3">
            <w:pPr>
              <w:suppressAutoHyphens w:val="0"/>
              <w:rPr>
                <w:lang w:val="es-CR" w:eastAsia="es-CR"/>
              </w:rPr>
            </w:pPr>
            <w:r w:rsidRPr="002C0DC3">
              <w:rPr>
                <w:lang w:val="es-CR" w:eastAsia="es-CR"/>
              </w:rPr>
              <w:t>Primero I Circ. San José</w:t>
            </w:r>
          </w:p>
        </w:tc>
        <w:tc>
          <w:tcPr>
            <w:tcW w:w="1099" w:type="dxa"/>
            <w:shd w:val="clear" w:color="auto" w:fill="auto"/>
            <w:noWrap/>
            <w:vAlign w:val="bottom"/>
            <w:hideMark/>
          </w:tcPr>
          <w:p w14:paraId="4FCA3783" w14:textId="77777777" w:rsidR="002C0DC3" w:rsidRPr="002C0DC3" w:rsidRDefault="002C0DC3" w:rsidP="002C0DC3">
            <w:pPr>
              <w:suppressAutoHyphens w:val="0"/>
              <w:jc w:val="center"/>
              <w:rPr>
                <w:lang w:val="es-CR" w:eastAsia="es-CR"/>
              </w:rPr>
            </w:pPr>
            <w:r w:rsidRPr="002C0DC3">
              <w:rPr>
                <w:lang w:val="es-CR" w:eastAsia="es-CR"/>
              </w:rPr>
              <w:t>28</w:t>
            </w:r>
          </w:p>
        </w:tc>
        <w:tc>
          <w:tcPr>
            <w:tcW w:w="1307" w:type="dxa"/>
            <w:shd w:val="clear" w:color="auto" w:fill="auto"/>
            <w:noWrap/>
            <w:vAlign w:val="bottom"/>
            <w:hideMark/>
          </w:tcPr>
          <w:p w14:paraId="1BC07C0D" w14:textId="77777777" w:rsidR="002C0DC3" w:rsidRPr="002C0DC3" w:rsidRDefault="002C0DC3" w:rsidP="002C0DC3">
            <w:pPr>
              <w:suppressAutoHyphens w:val="0"/>
              <w:jc w:val="center"/>
              <w:rPr>
                <w:lang w:val="es-CR" w:eastAsia="es-CR"/>
              </w:rPr>
            </w:pPr>
            <w:r w:rsidRPr="002C0DC3">
              <w:rPr>
                <w:lang w:val="es-CR" w:eastAsia="es-CR"/>
              </w:rPr>
              <w:t>4</w:t>
            </w:r>
          </w:p>
        </w:tc>
        <w:tc>
          <w:tcPr>
            <w:tcW w:w="1425" w:type="dxa"/>
            <w:shd w:val="clear" w:color="auto" w:fill="auto"/>
            <w:noWrap/>
            <w:vAlign w:val="bottom"/>
            <w:hideMark/>
          </w:tcPr>
          <w:p w14:paraId="4263C1EF"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0813C50B"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797AFAF4" w14:textId="77777777" w:rsidR="002C0DC3" w:rsidRPr="002C0DC3" w:rsidRDefault="002C0DC3" w:rsidP="002C0DC3">
            <w:pPr>
              <w:suppressAutoHyphens w:val="0"/>
              <w:jc w:val="center"/>
              <w:rPr>
                <w:lang w:val="es-CR" w:eastAsia="es-CR"/>
              </w:rPr>
            </w:pPr>
            <w:r w:rsidRPr="002C0DC3">
              <w:rPr>
                <w:lang w:val="es-CR" w:eastAsia="es-CR"/>
              </w:rPr>
              <w:t>9</w:t>
            </w:r>
          </w:p>
        </w:tc>
        <w:tc>
          <w:tcPr>
            <w:tcW w:w="683" w:type="dxa"/>
            <w:shd w:val="clear" w:color="auto" w:fill="auto"/>
            <w:noWrap/>
            <w:vAlign w:val="bottom"/>
            <w:hideMark/>
          </w:tcPr>
          <w:p w14:paraId="7DFA592C" w14:textId="77777777" w:rsidR="002C0DC3" w:rsidRPr="002C0DC3" w:rsidRDefault="002C0DC3" w:rsidP="002C0DC3">
            <w:pPr>
              <w:suppressAutoHyphens w:val="0"/>
              <w:jc w:val="center"/>
              <w:rPr>
                <w:lang w:val="es-CR" w:eastAsia="es-CR"/>
              </w:rPr>
            </w:pPr>
            <w:r w:rsidRPr="002C0DC3">
              <w:rPr>
                <w:lang w:val="es-CR" w:eastAsia="es-CR"/>
              </w:rPr>
              <w:t>0</w:t>
            </w:r>
          </w:p>
        </w:tc>
        <w:tc>
          <w:tcPr>
            <w:tcW w:w="585" w:type="dxa"/>
            <w:vAlign w:val="center"/>
            <w:hideMark/>
          </w:tcPr>
          <w:p w14:paraId="083BFAFA" w14:textId="77777777" w:rsidR="002C0DC3" w:rsidRPr="002C0DC3" w:rsidRDefault="002C0DC3" w:rsidP="002C0DC3">
            <w:pPr>
              <w:suppressAutoHyphens w:val="0"/>
              <w:rPr>
                <w:lang w:val="es-CR" w:eastAsia="es-CR"/>
              </w:rPr>
            </w:pPr>
          </w:p>
        </w:tc>
      </w:tr>
      <w:tr w:rsidR="002C0DC3" w:rsidRPr="002C0DC3" w14:paraId="1F4DACD1" w14:textId="77777777" w:rsidTr="002C0DC3">
        <w:trPr>
          <w:trHeight w:val="230"/>
        </w:trPr>
        <w:tc>
          <w:tcPr>
            <w:tcW w:w="2265" w:type="dxa"/>
            <w:shd w:val="clear" w:color="auto" w:fill="auto"/>
            <w:noWrap/>
            <w:vAlign w:val="bottom"/>
            <w:hideMark/>
          </w:tcPr>
          <w:p w14:paraId="346D3351" w14:textId="77777777" w:rsidR="002C0DC3" w:rsidRPr="002C0DC3" w:rsidRDefault="002C0DC3" w:rsidP="002C0DC3">
            <w:pPr>
              <w:suppressAutoHyphens w:val="0"/>
              <w:rPr>
                <w:lang w:val="es-CR" w:eastAsia="es-CR"/>
              </w:rPr>
            </w:pPr>
            <w:r w:rsidRPr="002C0DC3">
              <w:rPr>
                <w:lang w:val="es-CR" w:eastAsia="es-CR"/>
              </w:rPr>
              <w:t>Segundo I Circ. San José</w:t>
            </w:r>
          </w:p>
        </w:tc>
        <w:tc>
          <w:tcPr>
            <w:tcW w:w="1099" w:type="dxa"/>
            <w:shd w:val="clear" w:color="auto" w:fill="auto"/>
            <w:noWrap/>
            <w:vAlign w:val="bottom"/>
            <w:hideMark/>
          </w:tcPr>
          <w:p w14:paraId="5C566CBD" w14:textId="77777777" w:rsidR="002C0DC3" w:rsidRPr="002C0DC3" w:rsidRDefault="002C0DC3" w:rsidP="002C0DC3">
            <w:pPr>
              <w:suppressAutoHyphens w:val="0"/>
              <w:jc w:val="center"/>
              <w:rPr>
                <w:lang w:val="es-CR" w:eastAsia="es-CR"/>
              </w:rPr>
            </w:pPr>
            <w:r w:rsidRPr="002C0DC3">
              <w:rPr>
                <w:lang w:val="es-CR" w:eastAsia="es-CR"/>
              </w:rPr>
              <w:t>21</w:t>
            </w:r>
          </w:p>
        </w:tc>
        <w:tc>
          <w:tcPr>
            <w:tcW w:w="1307" w:type="dxa"/>
            <w:shd w:val="clear" w:color="auto" w:fill="auto"/>
            <w:noWrap/>
            <w:vAlign w:val="bottom"/>
            <w:hideMark/>
          </w:tcPr>
          <w:p w14:paraId="7A966C9E"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77D1E10E"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49B3D96F"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13A96133" w14:textId="77777777" w:rsidR="002C0DC3" w:rsidRPr="002C0DC3" w:rsidRDefault="002C0DC3" w:rsidP="002C0DC3">
            <w:pPr>
              <w:suppressAutoHyphens w:val="0"/>
              <w:jc w:val="center"/>
              <w:rPr>
                <w:lang w:val="es-CR" w:eastAsia="es-CR"/>
              </w:rPr>
            </w:pPr>
            <w:r w:rsidRPr="002C0DC3">
              <w:rPr>
                <w:lang w:val="es-CR" w:eastAsia="es-CR"/>
              </w:rPr>
              <w:t>8</w:t>
            </w:r>
          </w:p>
        </w:tc>
        <w:tc>
          <w:tcPr>
            <w:tcW w:w="683" w:type="dxa"/>
            <w:shd w:val="clear" w:color="auto" w:fill="auto"/>
            <w:noWrap/>
            <w:vAlign w:val="bottom"/>
            <w:hideMark/>
          </w:tcPr>
          <w:p w14:paraId="6402AE41" w14:textId="77777777" w:rsidR="002C0DC3" w:rsidRPr="002C0DC3" w:rsidRDefault="002C0DC3" w:rsidP="002C0DC3">
            <w:pPr>
              <w:suppressAutoHyphens w:val="0"/>
              <w:jc w:val="center"/>
              <w:rPr>
                <w:lang w:val="es-CR" w:eastAsia="es-CR"/>
              </w:rPr>
            </w:pPr>
            <w:r w:rsidRPr="002C0DC3">
              <w:rPr>
                <w:lang w:val="es-CR" w:eastAsia="es-CR"/>
              </w:rPr>
              <w:t>2</w:t>
            </w:r>
          </w:p>
        </w:tc>
        <w:tc>
          <w:tcPr>
            <w:tcW w:w="585" w:type="dxa"/>
            <w:vAlign w:val="center"/>
            <w:hideMark/>
          </w:tcPr>
          <w:p w14:paraId="55E3CD74" w14:textId="77777777" w:rsidR="002C0DC3" w:rsidRPr="002C0DC3" w:rsidRDefault="002C0DC3" w:rsidP="002C0DC3">
            <w:pPr>
              <w:suppressAutoHyphens w:val="0"/>
              <w:rPr>
                <w:lang w:val="es-CR" w:eastAsia="es-CR"/>
              </w:rPr>
            </w:pPr>
          </w:p>
        </w:tc>
      </w:tr>
      <w:tr w:rsidR="002C0DC3" w:rsidRPr="002C0DC3" w14:paraId="0E99E7B2" w14:textId="77777777" w:rsidTr="002C0DC3">
        <w:trPr>
          <w:trHeight w:val="230"/>
        </w:trPr>
        <w:tc>
          <w:tcPr>
            <w:tcW w:w="2265" w:type="dxa"/>
            <w:shd w:val="clear" w:color="auto" w:fill="auto"/>
            <w:noWrap/>
            <w:vAlign w:val="bottom"/>
            <w:hideMark/>
          </w:tcPr>
          <w:p w14:paraId="01EB80F5" w14:textId="77777777" w:rsidR="002C0DC3" w:rsidRPr="002C0DC3" w:rsidRDefault="002C0DC3" w:rsidP="002C0DC3">
            <w:pPr>
              <w:suppressAutoHyphens w:val="0"/>
              <w:rPr>
                <w:lang w:val="es-CR" w:eastAsia="es-CR"/>
              </w:rPr>
            </w:pPr>
            <w:r w:rsidRPr="002C0DC3">
              <w:rPr>
                <w:lang w:val="es-CR" w:eastAsia="es-CR"/>
              </w:rPr>
              <w:t>Tercero I Circ. San José</w:t>
            </w:r>
          </w:p>
        </w:tc>
        <w:tc>
          <w:tcPr>
            <w:tcW w:w="1099" w:type="dxa"/>
            <w:shd w:val="clear" w:color="auto" w:fill="auto"/>
            <w:noWrap/>
            <w:vAlign w:val="bottom"/>
            <w:hideMark/>
          </w:tcPr>
          <w:p w14:paraId="42BEDEDE" w14:textId="77777777" w:rsidR="002C0DC3" w:rsidRPr="002C0DC3" w:rsidRDefault="002C0DC3" w:rsidP="002C0DC3">
            <w:pPr>
              <w:suppressAutoHyphens w:val="0"/>
              <w:jc w:val="center"/>
              <w:rPr>
                <w:lang w:val="es-CR" w:eastAsia="es-CR"/>
              </w:rPr>
            </w:pPr>
            <w:r w:rsidRPr="002C0DC3">
              <w:rPr>
                <w:lang w:val="es-CR" w:eastAsia="es-CR"/>
              </w:rPr>
              <w:t>27</w:t>
            </w:r>
          </w:p>
        </w:tc>
        <w:tc>
          <w:tcPr>
            <w:tcW w:w="1307" w:type="dxa"/>
            <w:shd w:val="clear" w:color="auto" w:fill="auto"/>
            <w:noWrap/>
            <w:vAlign w:val="bottom"/>
            <w:hideMark/>
          </w:tcPr>
          <w:p w14:paraId="2F78B668"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44FA7066"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56B6D0DF"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3E77D05B" w14:textId="77777777" w:rsidR="002C0DC3" w:rsidRPr="002C0DC3" w:rsidRDefault="002C0DC3" w:rsidP="002C0DC3">
            <w:pPr>
              <w:suppressAutoHyphens w:val="0"/>
              <w:jc w:val="center"/>
              <w:rPr>
                <w:lang w:val="es-CR" w:eastAsia="es-CR"/>
              </w:rPr>
            </w:pPr>
            <w:r w:rsidRPr="002C0DC3">
              <w:rPr>
                <w:lang w:val="es-CR" w:eastAsia="es-CR"/>
              </w:rPr>
              <w:t>17</w:t>
            </w:r>
          </w:p>
        </w:tc>
        <w:tc>
          <w:tcPr>
            <w:tcW w:w="683" w:type="dxa"/>
            <w:shd w:val="clear" w:color="auto" w:fill="auto"/>
            <w:noWrap/>
            <w:vAlign w:val="bottom"/>
            <w:hideMark/>
          </w:tcPr>
          <w:p w14:paraId="158108A1" w14:textId="77777777" w:rsidR="002C0DC3" w:rsidRPr="002C0DC3" w:rsidRDefault="002C0DC3" w:rsidP="002C0DC3">
            <w:pPr>
              <w:suppressAutoHyphens w:val="0"/>
              <w:jc w:val="center"/>
              <w:rPr>
                <w:lang w:val="es-CR" w:eastAsia="es-CR"/>
              </w:rPr>
            </w:pPr>
            <w:r w:rsidRPr="002C0DC3">
              <w:rPr>
                <w:lang w:val="es-CR" w:eastAsia="es-CR"/>
              </w:rPr>
              <w:t>0</w:t>
            </w:r>
          </w:p>
        </w:tc>
        <w:tc>
          <w:tcPr>
            <w:tcW w:w="585" w:type="dxa"/>
            <w:vAlign w:val="center"/>
            <w:hideMark/>
          </w:tcPr>
          <w:p w14:paraId="1234CC9A" w14:textId="77777777" w:rsidR="002C0DC3" w:rsidRPr="002C0DC3" w:rsidRDefault="002C0DC3" w:rsidP="002C0DC3">
            <w:pPr>
              <w:suppressAutoHyphens w:val="0"/>
              <w:rPr>
                <w:lang w:val="es-CR" w:eastAsia="es-CR"/>
              </w:rPr>
            </w:pPr>
          </w:p>
        </w:tc>
      </w:tr>
      <w:tr w:rsidR="002C0DC3" w:rsidRPr="002C0DC3" w14:paraId="10517FCF" w14:textId="77777777" w:rsidTr="002C0DC3">
        <w:trPr>
          <w:trHeight w:val="230"/>
        </w:trPr>
        <w:tc>
          <w:tcPr>
            <w:tcW w:w="2265" w:type="dxa"/>
            <w:shd w:val="clear" w:color="auto" w:fill="auto"/>
            <w:noWrap/>
            <w:vAlign w:val="bottom"/>
            <w:hideMark/>
          </w:tcPr>
          <w:p w14:paraId="415A5089" w14:textId="77777777" w:rsidR="002C0DC3" w:rsidRPr="002C0DC3" w:rsidRDefault="002C0DC3" w:rsidP="002C0DC3">
            <w:pPr>
              <w:suppressAutoHyphens w:val="0"/>
              <w:rPr>
                <w:b/>
                <w:bCs/>
                <w:lang w:val="es-CR" w:eastAsia="es-CR"/>
              </w:rPr>
            </w:pPr>
            <w:r w:rsidRPr="002C0DC3">
              <w:rPr>
                <w:b/>
                <w:bCs/>
                <w:lang w:val="es-CR" w:eastAsia="es-CR"/>
              </w:rPr>
              <w:t>II Circuito Jud. San José</w:t>
            </w:r>
          </w:p>
        </w:tc>
        <w:tc>
          <w:tcPr>
            <w:tcW w:w="1099" w:type="dxa"/>
            <w:shd w:val="clear" w:color="auto" w:fill="auto"/>
            <w:noWrap/>
            <w:vAlign w:val="bottom"/>
            <w:hideMark/>
          </w:tcPr>
          <w:p w14:paraId="40D06C7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322</w:t>
            </w:r>
          </w:p>
        </w:tc>
        <w:tc>
          <w:tcPr>
            <w:tcW w:w="1307" w:type="dxa"/>
            <w:shd w:val="clear" w:color="auto" w:fill="auto"/>
            <w:noWrap/>
            <w:vAlign w:val="bottom"/>
            <w:hideMark/>
          </w:tcPr>
          <w:p w14:paraId="16DCE845"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132</w:t>
            </w:r>
          </w:p>
        </w:tc>
        <w:tc>
          <w:tcPr>
            <w:tcW w:w="1425" w:type="dxa"/>
            <w:shd w:val="clear" w:color="auto" w:fill="auto"/>
            <w:noWrap/>
            <w:vAlign w:val="bottom"/>
            <w:hideMark/>
          </w:tcPr>
          <w:p w14:paraId="33C761E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155</w:t>
            </w:r>
          </w:p>
        </w:tc>
        <w:tc>
          <w:tcPr>
            <w:tcW w:w="708" w:type="dxa"/>
            <w:shd w:val="clear" w:color="auto" w:fill="auto"/>
            <w:noWrap/>
            <w:vAlign w:val="bottom"/>
            <w:hideMark/>
          </w:tcPr>
          <w:p w14:paraId="0303B5A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405CC69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263</w:t>
            </w:r>
          </w:p>
        </w:tc>
        <w:tc>
          <w:tcPr>
            <w:tcW w:w="683" w:type="dxa"/>
            <w:shd w:val="clear" w:color="auto" w:fill="auto"/>
            <w:noWrap/>
            <w:vAlign w:val="bottom"/>
            <w:hideMark/>
          </w:tcPr>
          <w:p w14:paraId="423BA9E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224</w:t>
            </w:r>
          </w:p>
        </w:tc>
        <w:tc>
          <w:tcPr>
            <w:tcW w:w="585" w:type="dxa"/>
            <w:vAlign w:val="center"/>
            <w:hideMark/>
          </w:tcPr>
          <w:p w14:paraId="05F12CD4" w14:textId="77777777" w:rsidR="002C0DC3" w:rsidRPr="002C0DC3" w:rsidRDefault="002C0DC3" w:rsidP="002C0DC3">
            <w:pPr>
              <w:suppressAutoHyphens w:val="0"/>
              <w:rPr>
                <w:lang w:val="es-CR" w:eastAsia="es-CR"/>
              </w:rPr>
            </w:pPr>
          </w:p>
        </w:tc>
      </w:tr>
      <w:tr w:rsidR="002C0DC3" w:rsidRPr="002C0DC3" w14:paraId="17A181DC" w14:textId="77777777" w:rsidTr="002C0DC3">
        <w:trPr>
          <w:trHeight w:val="230"/>
        </w:trPr>
        <w:tc>
          <w:tcPr>
            <w:tcW w:w="2265" w:type="dxa"/>
            <w:shd w:val="clear" w:color="auto" w:fill="auto"/>
            <w:noWrap/>
            <w:vAlign w:val="bottom"/>
            <w:hideMark/>
          </w:tcPr>
          <w:p w14:paraId="21A0E3EB" w14:textId="77777777" w:rsidR="002C0DC3" w:rsidRPr="002C0DC3" w:rsidRDefault="002C0DC3" w:rsidP="002C0DC3">
            <w:pPr>
              <w:suppressAutoHyphens w:val="0"/>
              <w:rPr>
                <w:lang w:val="es-CR" w:eastAsia="es-CR"/>
              </w:rPr>
            </w:pPr>
            <w:r w:rsidRPr="002C0DC3">
              <w:rPr>
                <w:lang w:val="es-CR" w:eastAsia="es-CR"/>
              </w:rPr>
              <w:t>II Circ. SJ, Sección Primera</w:t>
            </w:r>
          </w:p>
        </w:tc>
        <w:tc>
          <w:tcPr>
            <w:tcW w:w="1099" w:type="dxa"/>
            <w:shd w:val="clear" w:color="auto" w:fill="auto"/>
            <w:noWrap/>
            <w:vAlign w:val="bottom"/>
            <w:hideMark/>
          </w:tcPr>
          <w:p w14:paraId="34547F4B" w14:textId="77777777" w:rsidR="002C0DC3" w:rsidRPr="002C0DC3" w:rsidRDefault="002C0DC3" w:rsidP="002C0DC3">
            <w:pPr>
              <w:suppressAutoHyphens w:val="0"/>
              <w:jc w:val="center"/>
              <w:rPr>
                <w:lang w:val="es-CR" w:eastAsia="es-CR"/>
              </w:rPr>
            </w:pPr>
            <w:r w:rsidRPr="002C0DC3">
              <w:rPr>
                <w:lang w:val="es-CR" w:eastAsia="es-CR"/>
              </w:rPr>
              <w:t>43</w:t>
            </w:r>
          </w:p>
        </w:tc>
        <w:tc>
          <w:tcPr>
            <w:tcW w:w="1307" w:type="dxa"/>
            <w:shd w:val="clear" w:color="auto" w:fill="auto"/>
            <w:noWrap/>
            <w:vAlign w:val="bottom"/>
            <w:hideMark/>
          </w:tcPr>
          <w:p w14:paraId="28A440AE" w14:textId="77777777" w:rsidR="002C0DC3" w:rsidRPr="002C0DC3" w:rsidRDefault="002C0DC3" w:rsidP="002C0DC3">
            <w:pPr>
              <w:suppressAutoHyphens w:val="0"/>
              <w:jc w:val="center"/>
              <w:rPr>
                <w:lang w:val="es-CR" w:eastAsia="es-CR"/>
              </w:rPr>
            </w:pPr>
            <w:r w:rsidRPr="002C0DC3">
              <w:rPr>
                <w:lang w:val="es-CR" w:eastAsia="es-CR"/>
              </w:rPr>
              <w:t>19</w:t>
            </w:r>
          </w:p>
        </w:tc>
        <w:tc>
          <w:tcPr>
            <w:tcW w:w="1425" w:type="dxa"/>
            <w:shd w:val="clear" w:color="auto" w:fill="auto"/>
            <w:noWrap/>
            <w:vAlign w:val="bottom"/>
            <w:hideMark/>
          </w:tcPr>
          <w:p w14:paraId="40522449" w14:textId="77777777" w:rsidR="002C0DC3" w:rsidRPr="002C0DC3" w:rsidRDefault="002C0DC3" w:rsidP="002C0DC3">
            <w:pPr>
              <w:suppressAutoHyphens w:val="0"/>
              <w:jc w:val="center"/>
              <w:rPr>
                <w:lang w:val="es-CR" w:eastAsia="es-CR"/>
              </w:rPr>
            </w:pPr>
            <w:r w:rsidRPr="002C0DC3">
              <w:rPr>
                <w:lang w:val="es-CR" w:eastAsia="es-CR"/>
              </w:rPr>
              <w:t>61</w:t>
            </w:r>
          </w:p>
        </w:tc>
        <w:tc>
          <w:tcPr>
            <w:tcW w:w="708" w:type="dxa"/>
            <w:shd w:val="clear" w:color="auto" w:fill="auto"/>
            <w:noWrap/>
            <w:vAlign w:val="bottom"/>
            <w:hideMark/>
          </w:tcPr>
          <w:p w14:paraId="2A46CC87"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79211FDF" w14:textId="77777777" w:rsidR="002C0DC3" w:rsidRPr="002C0DC3" w:rsidRDefault="002C0DC3" w:rsidP="002C0DC3">
            <w:pPr>
              <w:suppressAutoHyphens w:val="0"/>
              <w:jc w:val="center"/>
              <w:rPr>
                <w:lang w:val="es-CR" w:eastAsia="es-CR"/>
              </w:rPr>
            </w:pPr>
            <w:r w:rsidRPr="002C0DC3">
              <w:rPr>
                <w:lang w:val="es-CR" w:eastAsia="es-CR"/>
              </w:rPr>
              <w:t>60</w:t>
            </w:r>
          </w:p>
        </w:tc>
        <w:tc>
          <w:tcPr>
            <w:tcW w:w="683" w:type="dxa"/>
            <w:shd w:val="clear" w:color="auto" w:fill="auto"/>
            <w:noWrap/>
            <w:vAlign w:val="bottom"/>
            <w:hideMark/>
          </w:tcPr>
          <w:p w14:paraId="06D09D22" w14:textId="77777777" w:rsidR="002C0DC3" w:rsidRPr="002C0DC3" w:rsidRDefault="002C0DC3" w:rsidP="002C0DC3">
            <w:pPr>
              <w:suppressAutoHyphens w:val="0"/>
              <w:jc w:val="center"/>
              <w:rPr>
                <w:lang w:val="es-CR" w:eastAsia="es-CR"/>
              </w:rPr>
            </w:pPr>
            <w:r w:rsidRPr="002C0DC3">
              <w:rPr>
                <w:lang w:val="es-CR" w:eastAsia="es-CR"/>
              </w:rPr>
              <w:t>0</w:t>
            </w:r>
          </w:p>
        </w:tc>
        <w:tc>
          <w:tcPr>
            <w:tcW w:w="585" w:type="dxa"/>
            <w:vAlign w:val="center"/>
            <w:hideMark/>
          </w:tcPr>
          <w:p w14:paraId="0C28E338" w14:textId="77777777" w:rsidR="002C0DC3" w:rsidRPr="002C0DC3" w:rsidRDefault="002C0DC3" w:rsidP="002C0DC3">
            <w:pPr>
              <w:suppressAutoHyphens w:val="0"/>
              <w:rPr>
                <w:lang w:val="es-CR" w:eastAsia="es-CR"/>
              </w:rPr>
            </w:pPr>
          </w:p>
        </w:tc>
      </w:tr>
      <w:tr w:rsidR="002C0DC3" w:rsidRPr="002C0DC3" w14:paraId="6BCA931E" w14:textId="77777777" w:rsidTr="002C0DC3">
        <w:trPr>
          <w:trHeight w:val="230"/>
        </w:trPr>
        <w:tc>
          <w:tcPr>
            <w:tcW w:w="2265" w:type="dxa"/>
            <w:shd w:val="clear" w:color="auto" w:fill="auto"/>
            <w:noWrap/>
            <w:vAlign w:val="bottom"/>
            <w:hideMark/>
          </w:tcPr>
          <w:p w14:paraId="29FF9656" w14:textId="77777777" w:rsidR="002C0DC3" w:rsidRPr="002C0DC3" w:rsidRDefault="002C0DC3" w:rsidP="002C0DC3">
            <w:pPr>
              <w:suppressAutoHyphens w:val="0"/>
              <w:rPr>
                <w:lang w:val="es-CR" w:eastAsia="es-CR"/>
              </w:rPr>
            </w:pPr>
            <w:r w:rsidRPr="002C0DC3">
              <w:rPr>
                <w:lang w:val="es-CR" w:eastAsia="es-CR"/>
              </w:rPr>
              <w:t>II Circ. SJ, Sección Segunda</w:t>
            </w:r>
          </w:p>
        </w:tc>
        <w:tc>
          <w:tcPr>
            <w:tcW w:w="1099" w:type="dxa"/>
            <w:shd w:val="clear" w:color="auto" w:fill="auto"/>
            <w:noWrap/>
            <w:vAlign w:val="bottom"/>
            <w:hideMark/>
          </w:tcPr>
          <w:p w14:paraId="4D372AAC" w14:textId="77777777" w:rsidR="002C0DC3" w:rsidRPr="002C0DC3" w:rsidRDefault="002C0DC3" w:rsidP="002C0DC3">
            <w:pPr>
              <w:suppressAutoHyphens w:val="0"/>
              <w:jc w:val="center"/>
              <w:rPr>
                <w:lang w:val="es-CR" w:eastAsia="es-CR"/>
              </w:rPr>
            </w:pPr>
            <w:r w:rsidRPr="002C0DC3">
              <w:rPr>
                <w:lang w:val="es-CR" w:eastAsia="es-CR"/>
              </w:rPr>
              <w:t>140</w:t>
            </w:r>
          </w:p>
        </w:tc>
        <w:tc>
          <w:tcPr>
            <w:tcW w:w="1307" w:type="dxa"/>
            <w:shd w:val="clear" w:color="auto" w:fill="auto"/>
            <w:noWrap/>
            <w:vAlign w:val="bottom"/>
            <w:hideMark/>
          </w:tcPr>
          <w:p w14:paraId="586CE29F" w14:textId="77777777" w:rsidR="002C0DC3" w:rsidRPr="002C0DC3" w:rsidRDefault="002C0DC3" w:rsidP="002C0DC3">
            <w:pPr>
              <w:suppressAutoHyphens w:val="0"/>
              <w:jc w:val="center"/>
              <w:rPr>
                <w:lang w:val="es-CR" w:eastAsia="es-CR"/>
              </w:rPr>
            </w:pPr>
            <w:r w:rsidRPr="002C0DC3">
              <w:rPr>
                <w:lang w:val="es-CR" w:eastAsia="es-CR"/>
              </w:rPr>
              <w:t>66</w:t>
            </w:r>
          </w:p>
        </w:tc>
        <w:tc>
          <w:tcPr>
            <w:tcW w:w="1425" w:type="dxa"/>
            <w:shd w:val="clear" w:color="auto" w:fill="auto"/>
            <w:noWrap/>
            <w:vAlign w:val="bottom"/>
            <w:hideMark/>
          </w:tcPr>
          <w:p w14:paraId="643EDB4E" w14:textId="77777777" w:rsidR="002C0DC3" w:rsidRPr="002C0DC3" w:rsidRDefault="002C0DC3" w:rsidP="002C0DC3">
            <w:pPr>
              <w:suppressAutoHyphens w:val="0"/>
              <w:jc w:val="center"/>
              <w:rPr>
                <w:lang w:val="es-CR" w:eastAsia="es-CR"/>
              </w:rPr>
            </w:pPr>
            <w:r w:rsidRPr="002C0DC3">
              <w:rPr>
                <w:lang w:val="es-CR" w:eastAsia="es-CR"/>
              </w:rPr>
              <w:t>49</w:t>
            </w:r>
          </w:p>
        </w:tc>
        <w:tc>
          <w:tcPr>
            <w:tcW w:w="708" w:type="dxa"/>
            <w:shd w:val="clear" w:color="auto" w:fill="auto"/>
            <w:noWrap/>
            <w:vAlign w:val="bottom"/>
            <w:hideMark/>
          </w:tcPr>
          <w:p w14:paraId="5A702E9A"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1CB8C009" w14:textId="77777777" w:rsidR="002C0DC3" w:rsidRPr="002C0DC3" w:rsidRDefault="002C0DC3" w:rsidP="002C0DC3">
            <w:pPr>
              <w:suppressAutoHyphens w:val="0"/>
              <w:jc w:val="center"/>
              <w:rPr>
                <w:lang w:val="es-CR" w:eastAsia="es-CR"/>
              </w:rPr>
            </w:pPr>
            <w:r w:rsidRPr="002C0DC3">
              <w:rPr>
                <w:lang w:val="es-CR" w:eastAsia="es-CR"/>
              </w:rPr>
              <w:t>137</w:t>
            </w:r>
          </w:p>
        </w:tc>
        <w:tc>
          <w:tcPr>
            <w:tcW w:w="683" w:type="dxa"/>
            <w:shd w:val="clear" w:color="auto" w:fill="auto"/>
            <w:noWrap/>
            <w:vAlign w:val="bottom"/>
            <w:hideMark/>
          </w:tcPr>
          <w:p w14:paraId="76ABD6EF" w14:textId="77777777" w:rsidR="002C0DC3" w:rsidRPr="002C0DC3" w:rsidRDefault="002C0DC3" w:rsidP="002C0DC3">
            <w:pPr>
              <w:suppressAutoHyphens w:val="0"/>
              <w:jc w:val="center"/>
              <w:rPr>
                <w:lang w:val="es-CR" w:eastAsia="es-CR"/>
              </w:rPr>
            </w:pPr>
            <w:r w:rsidRPr="002C0DC3">
              <w:rPr>
                <w:lang w:val="es-CR" w:eastAsia="es-CR"/>
              </w:rPr>
              <w:t>224</w:t>
            </w:r>
          </w:p>
        </w:tc>
        <w:tc>
          <w:tcPr>
            <w:tcW w:w="585" w:type="dxa"/>
            <w:vAlign w:val="center"/>
            <w:hideMark/>
          </w:tcPr>
          <w:p w14:paraId="39617B79" w14:textId="77777777" w:rsidR="002C0DC3" w:rsidRPr="002C0DC3" w:rsidRDefault="002C0DC3" w:rsidP="002C0DC3">
            <w:pPr>
              <w:suppressAutoHyphens w:val="0"/>
              <w:rPr>
                <w:lang w:val="es-CR" w:eastAsia="es-CR"/>
              </w:rPr>
            </w:pPr>
          </w:p>
        </w:tc>
      </w:tr>
      <w:tr w:rsidR="002C0DC3" w:rsidRPr="002C0DC3" w14:paraId="540FCDE7" w14:textId="77777777" w:rsidTr="002C0DC3">
        <w:trPr>
          <w:trHeight w:val="230"/>
        </w:trPr>
        <w:tc>
          <w:tcPr>
            <w:tcW w:w="2265" w:type="dxa"/>
            <w:shd w:val="clear" w:color="auto" w:fill="auto"/>
            <w:noWrap/>
            <w:vAlign w:val="bottom"/>
            <w:hideMark/>
          </w:tcPr>
          <w:p w14:paraId="557ACEA6" w14:textId="77777777" w:rsidR="002C0DC3" w:rsidRPr="002C0DC3" w:rsidRDefault="002C0DC3" w:rsidP="002C0DC3">
            <w:pPr>
              <w:suppressAutoHyphens w:val="0"/>
              <w:rPr>
                <w:lang w:val="es-CR" w:eastAsia="es-CR"/>
              </w:rPr>
            </w:pPr>
            <w:r w:rsidRPr="002C0DC3">
              <w:rPr>
                <w:lang w:val="es-CR" w:eastAsia="es-CR"/>
              </w:rPr>
              <w:t>II Circ. SJ, Sección Tercera</w:t>
            </w:r>
          </w:p>
        </w:tc>
        <w:tc>
          <w:tcPr>
            <w:tcW w:w="1099" w:type="dxa"/>
            <w:shd w:val="clear" w:color="auto" w:fill="auto"/>
            <w:noWrap/>
            <w:vAlign w:val="bottom"/>
            <w:hideMark/>
          </w:tcPr>
          <w:p w14:paraId="63568DBF" w14:textId="77777777" w:rsidR="002C0DC3" w:rsidRPr="002C0DC3" w:rsidRDefault="002C0DC3" w:rsidP="002C0DC3">
            <w:pPr>
              <w:suppressAutoHyphens w:val="0"/>
              <w:jc w:val="center"/>
              <w:rPr>
                <w:lang w:val="es-CR" w:eastAsia="es-CR"/>
              </w:rPr>
            </w:pPr>
            <w:r w:rsidRPr="002C0DC3">
              <w:rPr>
                <w:lang w:val="es-CR" w:eastAsia="es-CR"/>
              </w:rPr>
              <w:t>139</w:t>
            </w:r>
          </w:p>
        </w:tc>
        <w:tc>
          <w:tcPr>
            <w:tcW w:w="1307" w:type="dxa"/>
            <w:shd w:val="clear" w:color="auto" w:fill="auto"/>
            <w:noWrap/>
            <w:vAlign w:val="bottom"/>
            <w:hideMark/>
          </w:tcPr>
          <w:p w14:paraId="0A88B141" w14:textId="77777777" w:rsidR="002C0DC3" w:rsidRPr="002C0DC3" w:rsidRDefault="002C0DC3" w:rsidP="002C0DC3">
            <w:pPr>
              <w:suppressAutoHyphens w:val="0"/>
              <w:jc w:val="center"/>
              <w:rPr>
                <w:lang w:val="es-CR" w:eastAsia="es-CR"/>
              </w:rPr>
            </w:pPr>
            <w:r w:rsidRPr="002C0DC3">
              <w:rPr>
                <w:lang w:val="es-CR" w:eastAsia="es-CR"/>
              </w:rPr>
              <w:t>47</w:t>
            </w:r>
          </w:p>
        </w:tc>
        <w:tc>
          <w:tcPr>
            <w:tcW w:w="1425" w:type="dxa"/>
            <w:shd w:val="clear" w:color="auto" w:fill="auto"/>
            <w:noWrap/>
            <w:vAlign w:val="bottom"/>
            <w:hideMark/>
          </w:tcPr>
          <w:p w14:paraId="3904CE6D" w14:textId="77777777" w:rsidR="002C0DC3" w:rsidRPr="002C0DC3" w:rsidRDefault="002C0DC3" w:rsidP="002C0DC3">
            <w:pPr>
              <w:suppressAutoHyphens w:val="0"/>
              <w:jc w:val="center"/>
              <w:rPr>
                <w:lang w:val="es-CR" w:eastAsia="es-CR"/>
              </w:rPr>
            </w:pPr>
            <w:r w:rsidRPr="002C0DC3">
              <w:rPr>
                <w:lang w:val="es-CR" w:eastAsia="es-CR"/>
              </w:rPr>
              <w:t>45</w:t>
            </w:r>
          </w:p>
        </w:tc>
        <w:tc>
          <w:tcPr>
            <w:tcW w:w="708" w:type="dxa"/>
            <w:shd w:val="clear" w:color="auto" w:fill="auto"/>
            <w:noWrap/>
            <w:vAlign w:val="bottom"/>
            <w:hideMark/>
          </w:tcPr>
          <w:p w14:paraId="086FEDD7"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4903F419" w14:textId="77777777" w:rsidR="002C0DC3" w:rsidRPr="002C0DC3" w:rsidRDefault="002C0DC3" w:rsidP="002C0DC3">
            <w:pPr>
              <w:suppressAutoHyphens w:val="0"/>
              <w:jc w:val="center"/>
              <w:rPr>
                <w:lang w:val="es-CR" w:eastAsia="es-CR"/>
              </w:rPr>
            </w:pPr>
            <w:r w:rsidRPr="002C0DC3">
              <w:rPr>
                <w:lang w:val="es-CR" w:eastAsia="es-CR"/>
              </w:rPr>
              <w:t>66</w:t>
            </w:r>
          </w:p>
        </w:tc>
        <w:tc>
          <w:tcPr>
            <w:tcW w:w="683" w:type="dxa"/>
            <w:shd w:val="clear" w:color="auto" w:fill="auto"/>
            <w:noWrap/>
            <w:vAlign w:val="bottom"/>
            <w:hideMark/>
          </w:tcPr>
          <w:p w14:paraId="37B83641" w14:textId="77777777" w:rsidR="002C0DC3" w:rsidRPr="002C0DC3" w:rsidRDefault="002C0DC3" w:rsidP="002C0DC3">
            <w:pPr>
              <w:suppressAutoHyphens w:val="0"/>
              <w:jc w:val="center"/>
              <w:rPr>
                <w:lang w:val="es-CR" w:eastAsia="es-CR"/>
              </w:rPr>
            </w:pPr>
            <w:r w:rsidRPr="002C0DC3">
              <w:rPr>
                <w:lang w:val="es-CR" w:eastAsia="es-CR"/>
              </w:rPr>
              <w:t>0</w:t>
            </w:r>
          </w:p>
        </w:tc>
        <w:tc>
          <w:tcPr>
            <w:tcW w:w="585" w:type="dxa"/>
            <w:vAlign w:val="center"/>
            <w:hideMark/>
          </w:tcPr>
          <w:p w14:paraId="310626EB" w14:textId="77777777" w:rsidR="002C0DC3" w:rsidRPr="002C0DC3" w:rsidRDefault="002C0DC3" w:rsidP="002C0DC3">
            <w:pPr>
              <w:suppressAutoHyphens w:val="0"/>
              <w:rPr>
                <w:lang w:val="es-CR" w:eastAsia="es-CR"/>
              </w:rPr>
            </w:pPr>
          </w:p>
        </w:tc>
      </w:tr>
      <w:tr w:rsidR="002C0DC3" w:rsidRPr="002C0DC3" w14:paraId="470C6088" w14:textId="77777777" w:rsidTr="002C0DC3">
        <w:trPr>
          <w:trHeight w:val="230"/>
        </w:trPr>
        <w:tc>
          <w:tcPr>
            <w:tcW w:w="2265" w:type="dxa"/>
            <w:shd w:val="clear" w:color="auto" w:fill="auto"/>
            <w:noWrap/>
            <w:vAlign w:val="bottom"/>
            <w:hideMark/>
          </w:tcPr>
          <w:p w14:paraId="7D5AEA29" w14:textId="77777777" w:rsidR="002C0DC3" w:rsidRPr="002C0DC3" w:rsidRDefault="002C0DC3" w:rsidP="002C0DC3">
            <w:pPr>
              <w:suppressAutoHyphens w:val="0"/>
              <w:rPr>
                <w:b/>
                <w:bCs/>
                <w:lang w:val="es-CR" w:eastAsia="es-CR"/>
              </w:rPr>
            </w:pPr>
            <w:r w:rsidRPr="002C0DC3">
              <w:rPr>
                <w:b/>
                <w:bCs/>
                <w:lang w:val="es-CR" w:eastAsia="es-CR"/>
              </w:rPr>
              <w:lastRenderedPageBreak/>
              <w:t>I Circuito Jud. Alajuela</w:t>
            </w:r>
          </w:p>
        </w:tc>
        <w:tc>
          <w:tcPr>
            <w:tcW w:w="1099" w:type="dxa"/>
            <w:shd w:val="clear" w:color="auto" w:fill="auto"/>
            <w:noWrap/>
            <w:vAlign w:val="bottom"/>
            <w:hideMark/>
          </w:tcPr>
          <w:p w14:paraId="23D61F8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232</w:t>
            </w:r>
          </w:p>
        </w:tc>
        <w:tc>
          <w:tcPr>
            <w:tcW w:w="1307" w:type="dxa"/>
            <w:shd w:val="clear" w:color="auto" w:fill="auto"/>
            <w:noWrap/>
            <w:vAlign w:val="bottom"/>
            <w:hideMark/>
          </w:tcPr>
          <w:p w14:paraId="688468F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25" w:type="dxa"/>
            <w:shd w:val="clear" w:color="auto" w:fill="auto"/>
            <w:noWrap/>
            <w:vAlign w:val="bottom"/>
            <w:hideMark/>
          </w:tcPr>
          <w:p w14:paraId="3ABBAD4A"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708" w:type="dxa"/>
            <w:shd w:val="clear" w:color="auto" w:fill="auto"/>
            <w:noWrap/>
            <w:vAlign w:val="bottom"/>
            <w:hideMark/>
          </w:tcPr>
          <w:p w14:paraId="4CF3B664"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3CA8F13F"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134</w:t>
            </w:r>
          </w:p>
        </w:tc>
        <w:tc>
          <w:tcPr>
            <w:tcW w:w="683" w:type="dxa"/>
            <w:shd w:val="clear" w:color="auto" w:fill="auto"/>
            <w:noWrap/>
            <w:vAlign w:val="bottom"/>
            <w:hideMark/>
          </w:tcPr>
          <w:p w14:paraId="383BCC56"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585" w:type="dxa"/>
            <w:vAlign w:val="center"/>
            <w:hideMark/>
          </w:tcPr>
          <w:p w14:paraId="691ADFE6" w14:textId="77777777" w:rsidR="002C0DC3" w:rsidRPr="002C0DC3" w:rsidRDefault="002C0DC3" w:rsidP="002C0DC3">
            <w:pPr>
              <w:suppressAutoHyphens w:val="0"/>
              <w:rPr>
                <w:lang w:val="es-CR" w:eastAsia="es-CR"/>
              </w:rPr>
            </w:pPr>
          </w:p>
        </w:tc>
      </w:tr>
      <w:tr w:rsidR="002C0DC3" w:rsidRPr="002C0DC3" w14:paraId="7C5C75F1" w14:textId="77777777" w:rsidTr="002C0DC3">
        <w:trPr>
          <w:trHeight w:val="230"/>
        </w:trPr>
        <w:tc>
          <w:tcPr>
            <w:tcW w:w="2265" w:type="dxa"/>
            <w:shd w:val="clear" w:color="auto" w:fill="auto"/>
            <w:noWrap/>
            <w:vAlign w:val="bottom"/>
            <w:hideMark/>
          </w:tcPr>
          <w:p w14:paraId="40E0236A" w14:textId="77777777" w:rsidR="002C0DC3" w:rsidRPr="002C0DC3" w:rsidRDefault="002C0DC3" w:rsidP="002C0DC3">
            <w:pPr>
              <w:suppressAutoHyphens w:val="0"/>
              <w:rPr>
                <w:lang w:val="es-CR" w:eastAsia="es-CR"/>
              </w:rPr>
            </w:pPr>
            <w:r w:rsidRPr="002C0DC3">
              <w:rPr>
                <w:lang w:val="es-CR" w:eastAsia="es-CR"/>
              </w:rPr>
              <w:t>Cobro del I Circ. Alajuela</w:t>
            </w:r>
          </w:p>
        </w:tc>
        <w:tc>
          <w:tcPr>
            <w:tcW w:w="1099" w:type="dxa"/>
            <w:shd w:val="clear" w:color="auto" w:fill="auto"/>
            <w:noWrap/>
            <w:vAlign w:val="bottom"/>
            <w:hideMark/>
          </w:tcPr>
          <w:p w14:paraId="71BB6376" w14:textId="77777777" w:rsidR="002C0DC3" w:rsidRPr="002C0DC3" w:rsidRDefault="002C0DC3" w:rsidP="002C0DC3">
            <w:pPr>
              <w:suppressAutoHyphens w:val="0"/>
              <w:jc w:val="center"/>
              <w:rPr>
                <w:lang w:val="es-CR" w:eastAsia="es-CR"/>
              </w:rPr>
            </w:pPr>
            <w:r w:rsidRPr="002C0DC3">
              <w:rPr>
                <w:lang w:val="es-CR" w:eastAsia="es-CR"/>
              </w:rPr>
              <w:t>232</w:t>
            </w:r>
          </w:p>
        </w:tc>
        <w:tc>
          <w:tcPr>
            <w:tcW w:w="1307" w:type="dxa"/>
            <w:shd w:val="clear" w:color="auto" w:fill="auto"/>
            <w:noWrap/>
            <w:vAlign w:val="bottom"/>
            <w:hideMark/>
          </w:tcPr>
          <w:p w14:paraId="3CE38A6C"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00422216" w14:textId="77777777" w:rsidR="002C0DC3" w:rsidRPr="002C0DC3" w:rsidRDefault="002C0DC3" w:rsidP="002C0DC3">
            <w:pPr>
              <w:suppressAutoHyphens w:val="0"/>
              <w:jc w:val="center"/>
              <w:rPr>
                <w:lang w:val="es-CR" w:eastAsia="es-CR"/>
              </w:rPr>
            </w:pPr>
            <w:r w:rsidRPr="002C0DC3">
              <w:rPr>
                <w:lang w:val="es-CR" w:eastAsia="es-CR"/>
              </w:rPr>
              <w:t>1</w:t>
            </w:r>
          </w:p>
        </w:tc>
        <w:tc>
          <w:tcPr>
            <w:tcW w:w="708" w:type="dxa"/>
            <w:shd w:val="clear" w:color="auto" w:fill="auto"/>
            <w:noWrap/>
            <w:vAlign w:val="bottom"/>
            <w:hideMark/>
          </w:tcPr>
          <w:p w14:paraId="04225919"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34C0C2EA" w14:textId="77777777" w:rsidR="002C0DC3" w:rsidRPr="002C0DC3" w:rsidRDefault="002C0DC3" w:rsidP="002C0DC3">
            <w:pPr>
              <w:suppressAutoHyphens w:val="0"/>
              <w:jc w:val="center"/>
              <w:rPr>
                <w:lang w:val="es-CR" w:eastAsia="es-CR"/>
              </w:rPr>
            </w:pPr>
            <w:r w:rsidRPr="002C0DC3">
              <w:rPr>
                <w:lang w:val="es-CR" w:eastAsia="es-CR"/>
              </w:rPr>
              <w:t>134</w:t>
            </w:r>
          </w:p>
        </w:tc>
        <w:tc>
          <w:tcPr>
            <w:tcW w:w="683" w:type="dxa"/>
            <w:shd w:val="clear" w:color="auto" w:fill="auto"/>
            <w:noWrap/>
            <w:vAlign w:val="bottom"/>
            <w:hideMark/>
          </w:tcPr>
          <w:p w14:paraId="62026102" w14:textId="77777777" w:rsidR="002C0DC3" w:rsidRPr="002C0DC3" w:rsidRDefault="002C0DC3" w:rsidP="002C0DC3">
            <w:pPr>
              <w:suppressAutoHyphens w:val="0"/>
              <w:jc w:val="center"/>
              <w:rPr>
                <w:lang w:val="es-CR" w:eastAsia="es-CR"/>
              </w:rPr>
            </w:pPr>
            <w:r w:rsidRPr="002C0DC3">
              <w:rPr>
                <w:lang w:val="es-CR" w:eastAsia="es-CR"/>
              </w:rPr>
              <w:t>1</w:t>
            </w:r>
          </w:p>
        </w:tc>
        <w:tc>
          <w:tcPr>
            <w:tcW w:w="585" w:type="dxa"/>
            <w:vAlign w:val="center"/>
            <w:hideMark/>
          </w:tcPr>
          <w:p w14:paraId="1050871F" w14:textId="77777777" w:rsidR="002C0DC3" w:rsidRPr="002C0DC3" w:rsidRDefault="002C0DC3" w:rsidP="002C0DC3">
            <w:pPr>
              <w:suppressAutoHyphens w:val="0"/>
              <w:rPr>
                <w:lang w:val="es-CR" w:eastAsia="es-CR"/>
              </w:rPr>
            </w:pPr>
          </w:p>
        </w:tc>
      </w:tr>
      <w:tr w:rsidR="002C0DC3" w:rsidRPr="002C0DC3" w14:paraId="5E0D8397" w14:textId="77777777" w:rsidTr="002C0DC3">
        <w:trPr>
          <w:trHeight w:val="230"/>
        </w:trPr>
        <w:tc>
          <w:tcPr>
            <w:tcW w:w="2265" w:type="dxa"/>
            <w:shd w:val="clear" w:color="auto" w:fill="auto"/>
            <w:noWrap/>
            <w:vAlign w:val="bottom"/>
            <w:hideMark/>
          </w:tcPr>
          <w:p w14:paraId="02259BE9" w14:textId="77777777" w:rsidR="002C0DC3" w:rsidRPr="002C0DC3" w:rsidRDefault="002C0DC3" w:rsidP="002C0DC3">
            <w:pPr>
              <w:suppressAutoHyphens w:val="0"/>
              <w:rPr>
                <w:b/>
                <w:bCs/>
                <w:lang w:val="es-CR" w:eastAsia="es-CR"/>
              </w:rPr>
            </w:pPr>
            <w:r w:rsidRPr="002C0DC3">
              <w:rPr>
                <w:b/>
                <w:bCs/>
                <w:lang w:val="es-CR" w:eastAsia="es-CR"/>
              </w:rPr>
              <w:t>II Circuito Jud. Alajuela</w:t>
            </w:r>
          </w:p>
        </w:tc>
        <w:tc>
          <w:tcPr>
            <w:tcW w:w="1099" w:type="dxa"/>
            <w:shd w:val="clear" w:color="auto" w:fill="auto"/>
            <w:noWrap/>
            <w:vAlign w:val="bottom"/>
            <w:hideMark/>
          </w:tcPr>
          <w:p w14:paraId="77DAE8C5"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9</w:t>
            </w:r>
          </w:p>
        </w:tc>
        <w:tc>
          <w:tcPr>
            <w:tcW w:w="1307" w:type="dxa"/>
            <w:shd w:val="clear" w:color="auto" w:fill="auto"/>
            <w:noWrap/>
            <w:vAlign w:val="bottom"/>
            <w:hideMark/>
          </w:tcPr>
          <w:p w14:paraId="2420D77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25" w:type="dxa"/>
            <w:shd w:val="clear" w:color="auto" w:fill="auto"/>
            <w:noWrap/>
            <w:vAlign w:val="bottom"/>
            <w:hideMark/>
          </w:tcPr>
          <w:p w14:paraId="1AF5B6A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708" w:type="dxa"/>
            <w:shd w:val="clear" w:color="auto" w:fill="auto"/>
            <w:noWrap/>
            <w:vAlign w:val="bottom"/>
            <w:hideMark/>
          </w:tcPr>
          <w:p w14:paraId="5F6C419C"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571DF8E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5</w:t>
            </w:r>
          </w:p>
        </w:tc>
        <w:tc>
          <w:tcPr>
            <w:tcW w:w="683" w:type="dxa"/>
            <w:shd w:val="clear" w:color="auto" w:fill="auto"/>
            <w:noWrap/>
            <w:vAlign w:val="bottom"/>
            <w:hideMark/>
          </w:tcPr>
          <w:p w14:paraId="33E39495"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585" w:type="dxa"/>
            <w:vAlign w:val="center"/>
            <w:hideMark/>
          </w:tcPr>
          <w:p w14:paraId="3CC7F4F7" w14:textId="77777777" w:rsidR="002C0DC3" w:rsidRPr="002C0DC3" w:rsidRDefault="002C0DC3" w:rsidP="002C0DC3">
            <w:pPr>
              <w:suppressAutoHyphens w:val="0"/>
              <w:rPr>
                <w:lang w:val="es-CR" w:eastAsia="es-CR"/>
              </w:rPr>
            </w:pPr>
          </w:p>
        </w:tc>
      </w:tr>
      <w:tr w:rsidR="002C0DC3" w:rsidRPr="002C0DC3" w14:paraId="289CB9AC" w14:textId="77777777" w:rsidTr="002C0DC3">
        <w:trPr>
          <w:trHeight w:val="230"/>
        </w:trPr>
        <w:tc>
          <w:tcPr>
            <w:tcW w:w="2265" w:type="dxa"/>
            <w:shd w:val="clear" w:color="auto" w:fill="auto"/>
            <w:noWrap/>
            <w:vAlign w:val="bottom"/>
            <w:hideMark/>
          </w:tcPr>
          <w:p w14:paraId="477E2C38" w14:textId="77777777" w:rsidR="002C0DC3" w:rsidRPr="002C0DC3" w:rsidRDefault="002C0DC3" w:rsidP="002C0DC3">
            <w:pPr>
              <w:suppressAutoHyphens w:val="0"/>
              <w:rPr>
                <w:lang w:val="es-CR" w:eastAsia="es-CR"/>
              </w:rPr>
            </w:pPr>
            <w:r w:rsidRPr="002C0DC3">
              <w:rPr>
                <w:lang w:val="es-CR" w:eastAsia="es-CR"/>
              </w:rPr>
              <w:t>Cobro II Circ. Jud. Alajuela</w:t>
            </w:r>
          </w:p>
        </w:tc>
        <w:tc>
          <w:tcPr>
            <w:tcW w:w="1099" w:type="dxa"/>
            <w:shd w:val="clear" w:color="auto" w:fill="auto"/>
            <w:noWrap/>
            <w:vAlign w:val="bottom"/>
            <w:hideMark/>
          </w:tcPr>
          <w:p w14:paraId="4E733D8E" w14:textId="77777777" w:rsidR="002C0DC3" w:rsidRPr="002C0DC3" w:rsidRDefault="002C0DC3" w:rsidP="002C0DC3">
            <w:pPr>
              <w:suppressAutoHyphens w:val="0"/>
              <w:jc w:val="center"/>
              <w:rPr>
                <w:lang w:val="es-CR" w:eastAsia="es-CR"/>
              </w:rPr>
            </w:pPr>
            <w:r w:rsidRPr="002C0DC3">
              <w:rPr>
                <w:lang w:val="es-CR" w:eastAsia="es-CR"/>
              </w:rPr>
              <w:t>9</w:t>
            </w:r>
          </w:p>
        </w:tc>
        <w:tc>
          <w:tcPr>
            <w:tcW w:w="1307" w:type="dxa"/>
            <w:shd w:val="clear" w:color="auto" w:fill="auto"/>
            <w:noWrap/>
            <w:vAlign w:val="bottom"/>
            <w:hideMark/>
          </w:tcPr>
          <w:p w14:paraId="360D48ED"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36B38BDB"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21092FA5"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787593AC" w14:textId="77777777" w:rsidR="002C0DC3" w:rsidRPr="002C0DC3" w:rsidRDefault="002C0DC3" w:rsidP="002C0DC3">
            <w:pPr>
              <w:suppressAutoHyphens w:val="0"/>
              <w:jc w:val="center"/>
              <w:rPr>
                <w:lang w:val="es-CR" w:eastAsia="es-CR"/>
              </w:rPr>
            </w:pPr>
            <w:r w:rsidRPr="002C0DC3">
              <w:rPr>
                <w:lang w:val="es-CR" w:eastAsia="es-CR"/>
              </w:rPr>
              <w:t>5</w:t>
            </w:r>
          </w:p>
        </w:tc>
        <w:tc>
          <w:tcPr>
            <w:tcW w:w="683" w:type="dxa"/>
            <w:shd w:val="clear" w:color="auto" w:fill="auto"/>
            <w:noWrap/>
            <w:vAlign w:val="bottom"/>
            <w:hideMark/>
          </w:tcPr>
          <w:p w14:paraId="51AF194E" w14:textId="77777777" w:rsidR="002C0DC3" w:rsidRPr="002C0DC3" w:rsidRDefault="002C0DC3" w:rsidP="002C0DC3">
            <w:pPr>
              <w:suppressAutoHyphens w:val="0"/>
              <w:jc w:val="center"/>
              <w:rPr>
                <w:lang w:val="es-CR" w:eastAsia="es-CR"/>
              </w:rPr>
            </w:pPr>
            <w:r w:rsidRPr="002C0DC3">
              <w:rPr>
                <w:lang w:val="es-CR" w:eastAsia="es-CR"/>
              </w:rPr>
              <w:t>0</w:t>
            </w:r>
          </w:p>
        </w:tc>
        <w:tc>
          <w:tcPr>
            <w:tcW w:w="585" w:type="dxa"/>
            <w:vAlign w:val="center"/>
            <w:hideMark/>
          </w:tcPr>
          <w:p w14:paraId="456AADDC" w14:textId="77777777" w:rsidR="002C0DC3" w:rsidRPr="002C0DC3" w:rsidRDefault="002C0DC3" w:rsidP="002C0DC3">
            <w:pPr>
              <w:suppressAutoHyphens w:val="0"/>
              <w:rPr>
                <w:lang w:val="es-CR" w:eastAsia="es-CR"/>
              </w:rPr>
            </w:pPr>
          </w:p>
        </w:tc>
      </w:tr>
      <w:tr w:rsidR="002C0DC3" w:rsidRPr="002C0DC3" w14:paraId="4C0C6F70" w14:textId="77777777" w:rsidTr="002C0DC3">
        <w:trPr>
          <w:trHeight w:val="230"/>
        </w:trPr>
        <w:tc>
          <w:tcPr>
            <w:tcW w:w="2265" w:type="dxa"/>
            <w:shd w:val="clear" w:color="auto" w:fill="auto"/>
            <w:noWrap/>
            <w:vAlign w:val="bottom"/>
            <w:hideMark/>
          </w:tcPr>
          <w:p w14:paraId="1F8BD2C7" w14:textId="77777777" w:rsidR="002C0DC3" w:rsidRPr="002C0DC3" w:rsidRDefault="002C0DC3" w:rsidP="002C0DC3">
            <w:pPr>
              <w:suppressAutoHyphens w:val="0"/>
              <w:rPr>
                <w:b/>
                <w:bCs/>
                <w:lang w:val="es-CR" w:eastAsia="es-CR"/>
              </w:rPr>
            </w:pPr>
            <w:r w:rsidRPr="002C0DC3">
              <w:rPr>
                <w:b/>
                <w:bCs/>
                <w:lang w:val="es-CR" w:eastAsia="es-CR"/>
              </w:rPr>
              <w:t>III Circuito Jud. Alajuela</w:t>
            </w:r>
          </w:p>
        </w:tc>
        <w:tc>
          <w:tcPr>
            <w:tcW w:w="1099" w:type="dxa"/>
            <w:shd w:val="clear" w:color="auto" w:fill="auto"/>
            <w:noWrap/>
            <w:vAlign w:val="bottom"/>
            <w:hideMark/>
          </w:tcPr>
          <w:p w14:paraId="5221E73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11</w:t>
            </w:r>
          </w:p>
        </w:tc>
        <w:tc>
          <w:tcPr>
            <w:tcW w:w="1307" w:type="dxa"/>
            <w:shd w:val="clear" w:color="auto" w:fill="auto"/>
            <w:noWrap/>
            <w:vAlign w:val="bottom"/>
            <w:hideMark/>
          </w:tcPr>
          <w:p w14:paraId="79B041C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25" w:type="dxa"/>
            <w:shd w:val="clear" w:color="auto" w:fill="auto"/>
            <w:noWrap/>
            <w:vAlign w:val="bottom"/>
            <w:hideMark/>
          </w:tcPr>
          <w:p w14:paraId="79D7975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708" w:type="dxa"/>
            <w:shd w:val="clear" w:color="auto" w:fill="auto"/>
            <w:noWrap/>
            <w:vAlign w:val="bottom"/>
            <w:hideMark/>
          </w:tcPr>
          <w:p w14:paraId="5ED5421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365443D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6</w:t>
            </w:r>
          </w:p>
        </w:tc>
        <w:tc>
          <w:tcPr>
            <w:tcW w:w="683" w:type="dxa"/>
            <w:shd w:val="clear" w:color="auto" w:fill="auto"/>
            <w:noWrap/>
            <w:vAlign w:val="bottom"/>
            <w:hideMark/>
          </w:tcPr>
          <w:p w14:paraId="59BB7BC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585" w:type="dxa"/>
            <w:vAlign w:val="center"/>
            <w:hideMark/>
          </w:tcPr>
          <w:p w14:paraId="08875D21" w14:textId="77777777" w:rsidR="002C0DC3" w:rsidRPr="002C0DC3" w:rsidRDefault="002C0DC3" w:rsidP="002C0DC3">
            <w:pPr>
              <w:suppressAutoHyphens w:val="0"/>
              <w:rPr>
                <w:lang w:val="es-CR" w:eastAsia="es-CR"/>
              </w:rPr>
            </w:pPr>
          </w:p>
        </w:tc>
      </w:tr>
      <w:tr w:rsidR="002C0DC3" w:rsidRPr="002C0DC3" w14:paraId="1B4D4EF7" w14:textId="77777777" w:rsidTr="002C0DC3">
        <w:trPr>
          <w:trHeight w:val="230"/>
        </w:trPr>
        <w:tc>
          <w:tcPr>
            <w:tcW w:w="2265" w:type="dxa"/>
            <w:shd w:val="clear" w:color="auto" w:fill="auto"/>
            <w:noWrap/>
            <w:vAlign w:val="bottom"/>
            <w:hideMark/>
          </w:tcPr>
          <w:p w14:paraId="141BFB39" w14:textId="77777777" w:rsidR="002C0DC3" w:rsidRPr="002C0DC3" w:rsidRDefault="002C0DC3" w:rsidP="002C0DC3">
            <w:pPr>
              <w:suppressAutoHyphens w:val="0"/>
              <w:rPr>
                <w:lang w:val="es-CR" w:eastAsia="es-CR"/>
              </w:rPr>
            </w:pPr>
            <w:r w:rsidRPr="002C0DC3">
              <w:rPr>
                <w:lang w:val="es-CR" w:eastAsia="es-CR"/>
              </w:rPr>
              <w:t>III Circ. San Ramón</w:t>
            </w:r>
          </w:p>
        </w:tc>
        <w:tc>
          <w:tcPr>
            <w:tcW w:w="1099" w:type="dxa"/>
            <w:shd w:val="clear" w:color="auto" w:fill="auto"/>
            <w:noWrap/>
            <w:vAlign w:val="bottom"/>
            <w:hideMark/>
          </w:tcPr>
          <w:p w14:paraId="108183E4" w14:textId="77777777" w:rsidR="002C0DC3" w:rsidRPr="002C0DC3" w:rsidRDefault="002C0DC3" w:rsidP="002C0DC3">
            <w:pPr>
              <w:suppressAutoHyphens w:val="0"/>
              <w:jc w:val="center"/>
              <w:rPr>
                <w:lang w:val="es-CR" w:eastAsia="es-CR"/>
              </w:rPr>
            </w:pPr>
            <w:r w:rsidRPr="002C0DC3">
              <w:rPr>
                <w:lang w:val="es-CR" w:eastAsia="es-CR"/>
              </w:rPr>
              <w:t>6</w:t>
            </w:r>
          </w:p>
        </w:tc>
        <w:tc>
          <w:tcPr>
            <w:tcW w:w="1307" w:type="dxa"/>
            <w:shd w:val="clear" w:color="auto" w:fill="auto"/>
            <w:noWrap/>
            <w:vAlign w:val="bottom"/>
            <w:hideMark/>
          </w:tcPr>
          <w:p w14:paraId="53AD6E8F"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3F774EA6"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5F1102F4"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2AAB43E0" w14:textId="77777777" w:rsidR="002C0DC3" w:rsidRPr="002C0DC3" w:rsidRDefault="002C0DC3" w:rsidP="002C0DC3">
            <w:pPr>
              <w:suppressAutoHyphens w:val="0"/>
              <w:jc w:val="center"/>
              <w:rPr>
                <w:lang w:val="es-CR" w:eastAsia="es-CR"/>
              </w:rPr>
            </w:pPr>
            <w:r w:rsidRPr="002C0DC3">
              <w:rPr>
                <w:lang w:val="es-CR" w:eastAsia="es-CR"/>
              </w:rPr>
              <w:t>2</w:t>
            </w:r>
          </w:p>
        </w:tc>
        <w:tc>
          <w:tcPr>
            <w:tcW w:w="683" w:type="dxa"/>
            <w:shd w:val="clear" w:color="auto" w:fill="auto"/>
            <w:noWrap/>
            <w:vAlign w:val="bottom"/>
            <w:hideMark/>
          </w:tcPr>
          <w:p w14:paraId="0757BE2C" w14:textId="77777777" w:rsidR="002C0DC3" w:rsidRPr="002C0DC3" w:rsidRDefault="002C0DC3" w:rsidP="002C0DC3">
            <w:pPr>
              <w:suppressAutoHyphens w:val="0"/>
              <w:jc w:val="center"/>
              <w:rPr>
                <w:lang w:val="es-CR" w:eastAsia="es-CR"/>
              </w:rPr>
            </w:pPr>
            <w:r w:rsidRPr="002C0DC3">
              <w:rPr>
                <w:lang w:val="es-CR" w:eastAsia="es-CR"/>
              </w:rPr>
              <w:t>0</w:t>
            </w:r>
          </w:p>
        </w:tc>
        <w:tc>
          <w:tcPr>
            <w:tcW w:w="585" w:type="dxa"/>
            <w:vAlign w:val="center"/>
            <w:hideMark/>
          </w:tcPr>
          <w:p w14:paraId="4C2750A3" w14:textId="77777777" w:rsidR="002C0DC3" w:rsidRPr="002C0DC3" w:rsidRDefault="002C0DC3" w:rsidP="002C0DC3">
            <w:pPr>
              <w:suppressAutoHyphens w:val="0"/>
              <w:rPr>
                <w:lang w:val="es-CR" w:eastAsia="es-CR"/>
              </w:rPr>
            </w:pPr>
          </w:p>
        </w:tc>
      </w:tr>
      <w:tr w:rsidR="002C0DC3" w:rsidRPr="002C0DC3" w14:paraId="7252F386" w14:textId="77777777" w:rsidTr="002C0DC3">
        <w:trPr>
          <w:trHeight w:val="230"/>
        </w:trPr>
        <w:tc>
          <w:tcPr>
            <w:tcW w:w="2265" w:type="dxa"/>
            <w:shd w:val="clear" w:color="auto" w:fill="auto"/>
            <w:noWrap/>
            <w:vAlign w:val="bottom"/>
            <w:hideMark/>
          </w:tcPr>
          <w:p w14:paraId="7FDB13B9" w14:textId="77777777" w:rsidR="002C0DC3" w:rsidRPr="002C0DC3" w:rsidRDefault="002C0DC3" w:rsidP="002C0DC3">
            <w:pPr>
              <w:suppressAutoHyphens w:val="0"/>
              <w:rPr>
                <w:lang w:val="es-CR" w:eastAsia="es-CR"/>
              </w:rPr>
            </w:pPr>
            <w:r w:rsidRPr="002C0DC3">
              <w:rPr>
                <w:lang w:val="es-CR" w:eastAsia="es-CR"/>
              </w:rPr>
              <w:t>Juzgado de Cobro de Grecia</w:t>
            </w:r>
          </w:p>
        </w:tc>
        <w:tc>
          <w:tcPr>
            <w:tcW w:w="1099" w:type="dxa"/>
            <w:shd w:val="clear" w:color="auto" w:fill="auto"/>
            <w:noWrap/>
            <w:vAlign w:val="bottom"/>
            <w:hideMark/>
          </w:tcPr>
          <w:p w14:paraId="129090AD" w14:textId="77777777" w:rsidR="002C0DC3" w:rsidRPr="002C0DC3" w:rsidRDefault="002C0DC3" w:rsidP="002C0DC3">
            <w:pPr>
              <w:suppressAutoHyphens w:val="0"/>
              <w:jc w:val="center"/>
              <w:rPr>
                <w:lang w:val="es-CR" w:eastAsia="es-CR"/>
              </w:rPr>
            </w:pPr>
            <w:r w:rsidRPr="002C0DC3">
              <w:rPr>
                <w:lang w:val="es-CR" w:eastAsia="es-CR"/>
              </w:rPr>
              <w:t>5</w:t>
            </w:r>
          </w:p>
        </w:tc>
        <w:tc>
          <w:tcPr>
            <w:tcW w:w="1307" w:type="dxa"/>
            <w:shd w:val="clear" w:color="auto" w:fill="auto"/>
            <w:noWrap/>
            <w:vAlign w:val="bottom"/>
            <w:hideMark/>
          </w:tcPr>
          <w:p w14:paraId="4F0B090D"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75670725"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0C8A04F7"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25ED2836" w14:textId="77777777" w:rsidR="002C0DC3" w:rsidRPr="002C0DC3" w:rsidRDefault="002C0DC3" w:rsidP="002C0DC3">
            <w:pPr>
              <w:suppressAutoHyphens w:val="0"/>
              <w:jc w:val="center"/>
              <w:rPr>
                <w:lang w:val="es-CR" w:eastAsia="es-CR"/>
              </w:rPr>
            </w:pPr>
            <w:r w:rsidRPr="002C0DC3">
              <w:rPr>
                <w:lang w:val="es-CR" w:eastAsia="es-CR"/>
              </w:rPr>
              <w:t>4</w:t>
            </w:r>
          </w:p>
        </w:tc>
        <w:tc>
          <w:tcPr>
            <w:tcW w:w="683" w:type="dxa"/>
            <w:shd w:val="clear" w:color="auto" w:fill="auto"/>
            <w:noWrap/>
            <w:vAlign w:val="bottom"/>
            <w:hideMark/>
          </w:tcPr>
          <w:p w14:paraId="162C671A" w14:textId="77777777" w:rsidR="002C0DC3" w:rsidRPr="002C0DC3" w:rsidRDefault="002C0DC3" w:rsidP="002C0DC3">
            <w:pPr>
              <w:suppressAutoHyphens w:val="0"/>
              <w:jc w:val="center"/>
              <w:rPr>
                <w:lang w:val="es-CR" w:eastAsia="es-CR"/>
              </w:rPr>
            </w:pPr>
            <w:r w:rsidRPr="002C0DC3">
              <w:rPr>
                <w:lang w:val="es-CR" w:eastAsia="es-CR"/>
              </w:rPr>
              <w:t>1</w:t>
            </w:r>
          </w:p>
        </w:tc>
        <w:tc>
          <w:tcPr>
            <w:tcW w:w="585" w:type="dxa"/>
            <w:vAlign w:val="center"/>
            <w:hideMark/>
          </w:tcPr>
          <w:p w14:paraId="407C0EDC" w14:textId="77777777" w:rsidR="002C0DC3" w:rsidRPr="002C0DC3" w:rsidRDefault="002C0DC3" w:rsidP="002C0DC3">
            <w:pPr>
              <w:suppressAutoHyphens w:val="0"/>
              <w:rPr>
                <w:lang w:val="es-CR" w:eastAsia="es-CR"/>
              </w:rPr>
            </w:pPr>
          </w:p>
        </w:tc>
      </w:tr>
      <w:tr w:rsidR="002C0DC3" w:rsidRPr="002C0DC3" w14:paraId="2259D4B4" w14:textId="77777777" w:rsidTr="002C0DC3">
        <w:trPr>
          <w:trHeight w:val="230"/>
        </w:trPr>
        <w:tc>
          <w:tcPr>
            <w:tcW w:w="2265" w:type="dxa"/>
            <w:shd w:val="clear" w:color="auto" w:fill="auto"/>
            <w:noWrap/>
            <w:vAlign w:val="bottom"/>
            <w:hideMark/>
          </w:tcPr>
          <w:p w14:paraId="73554134" w14:textId="77777777" w:rsidR="002C0DC3" w:rsidRPr="002C0DC3" w:rsidRDefault="002C0DC3" w:rsidP="002C0DC3">
            <w:pPr>
              <w:suppressAutoHyphens w:val="0"/>
              <w:rPr>
                <w:b/>
                <w:bCs/>
                <w:lang w:val="es-CR" w:eastAsia="es-CR"/>
              </w:rPr>
            </w:pPr>
            <w:r w:rsidRPr="002C0DC3">
              <w:rPr>
                <w:b/>
                <w:bCs/>
                <w:lang w:val="es-CR" w:eastAsia="es-CR"/>
              </w:rPr>
              <w:t>Circuito Judicial Cartago</w:t>
            </w:r>
          </w:p>
        </w:tc>
        <w:tc>
          <w:tcPr>
            <w:tcW w:w="1099" w:type="dxa"/>
            <w:shd w:val="clear" w:color="auto" w:fill="auto"/>
            <w:noWrap/>
            <w:vAlign w:val="bottom"/>
            <w:hideMark/>
          </w:tcPr>
          <w:p w14:paraId="28B36CE4"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30</w:t>
            </w:r>
          </w:p>
        </w:tc>
        <w:tc>
          <w:tcPr>
            <w:tcW w:w="1307" w:type="dxa"/>
            <w:shd w:val="clear" w:color="auto" w:fill="auto"/>
            <w:noWrap/>
            <w:vAlign w:val="bottom"/>
            <w:hideMark/>
          </w:tcPr>
          <w:p w14:paraId="06652A31"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25" w:type="dxa"/>
            <w:shd w:val="clear" w:color="auto" w:fill="auto"/>
            <w:noWrap/>
            <w:vAlign w:val="bottom"/>
            <w:hideMark/>
          </w:tcPr>
          <w:p w14:paraId="7210589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708" w:type="dxa"/>
            <w:shd w:val="clear" w:color="auto" w:fill="auto"/>
            <w:noWrap/>
            <w:vAlign w:val="bottom"/>
            <w:hideMark/>
          </w:tcPr>
          <w:p w14:paraId="78237AEF"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04301A3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17</w:t>
            </w:r>
          </w:p>
        </w:tc>
        <w:tc>
          <w:tcPr>
            <w:tcW w:w="683" w:type="dxa"/>
            <w:shd w:val="clear" w:color="auto" w:fill="auto"/>
            <w:noWrap/>
            <w:vAlign w:val="bottom"/>
            <w:hideMark/>
          </w:tcPr>
          <w:p w14:paraId="4469648D"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w:t>
            </w:r>
          </w:p>
        </w:tc>
        <w:tc>
          <w:tcPr>
            <w:tcW w:w="585" w:type="dxa"/>
            <w:vAlign w:val="center"/>
            <w:hideMark/>
          </w:tcPr>
          <w:p w14:paraId="1A434925" w14:textId="77777777" w:rsidR="002C0DC3" w:rsidRPr="002C0DC3" w:rsidRDefault="002C0DC3" w:rsidP="002C0DC3">
            <w:pPr>
              <w:suppressAutoHyphens w:val="0"/>
              <w:rPr>
                <w:lang w:val="es-CR" w:eastAsia="es-CR"/>
              </w:rPr>
            </w:pPr>
          </w:p>
        </w:tc>
      </w:tr>
      <w:tr w:rsidR="002C0DC3" w:rsidRPr="002C0DC3" w14:paraId="4A073111" w14:textId="77777777" w:rsidTr="002C0DC3">
        <w:trPr>
          <w:trHeight w:val="230"/>
        </w:trPr>
        <w:tc>
          <w:tcPr>
            <w:tcW w:w="2265" w:type="dxa"/>
            <w:shd w:val="clear" w:color="auto" w:fill="auto"/>
            <w:noWrap/>
            <w:vAlign w:val="bottom"/>
            <w:hideMark/>
          </w:tcPr>
          <w:p w14:paraId="6B41C312" w14:textId="77777777" w:rsidR="002C0DC3" w:rsidRPr="002C0DC3" w:rsidRDefault="002C0DC3" w:rsidP="002C0DC3">
            <w:pPr>
              <w:suppressAutoHyphens w:val="0"/>
              <w:rPr>
                <w:lang w:val="es-CR" w:eastAsia="es-CR"/>
              </w:rPr>
            </w:pPr>
            <w:r w:rsidRPr="002C0DC3">
              <w:rPr>
                <w:lang w:val="es-CR" w:eastAsia="es-CR"/>
              </w:rPr>
              <w:t xml:space="preserve">Especializado Cobro Cartago </w:t>
            </w:r>
          </w:p>
        </w:tc>
        <w:tc>
          <w:tcPr>
            <w:tcW w:w="1099" w:type="dxa"/>
            <w:shd w:val="clear" w:color="auto" w:fill="auto"/>
            <w:noWrap/>
            <w:vAlign w:val="bottom"/>
            <w:hideMark/>
          </w:tcPr>
          <w:p w14:paraId="54E586E5" w14:textId="77777777" w:rsidR="002C0DC3" w:rsidRPr="002C0DC3" w:rsidRDefault="002C0DC3" w:rsidP="002C0DC3">
            <w:pPr>
              <w:suppressAutoHyphens w:val="0"/>
              <w:jc w:val="center"/>
              <w:rPr>
                <w:lang w:val="es-CR" w:eastAsia="es-CR"/>
              </w:rPr>
            </w:pPr>
            <w:r w:rsidRPr="002C0DC3">
              <w:rPr>
                <w:lang w:val="es-CR" w:eastAsia="es-CR"/>
              </w:rPr>
              <w:t>30</w:t>
            </w:r>
          </w:p>
        </w:tc>
        <w:tc>
          <w:tcPr>
            <w:tcW w:w="1307" w:type="dxa"/>
            <w:shd w:val="clear" w:color="auto" w:fill="auto"/>
            <w:noWrap/>
            <w:vAlign w:val="bottom"/>
            <w:hideMark/>
          </w:tcPr>
          <w:p w14:paraId="0474D4B0"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11102115" w14:textId="77777777" w:rsidR="002C0DC3" w:rsidRPr="002C0DC3" w:rsidRDefault="002C0DC3" w:rsidP="002C0DC3">
            <w:pPr>
              <w:suppressAutoHyphens w:val="0"/>
              <w:jc w:val="center"/>
              <w:rPr>
                <w:lang w:val="es-CR" w:eastAsia="es-CR"/>
              </w:rPr>
            </w:pPr>
            <w:r w:rsidRPr="002C0DC3">
              <w:rPr>
                <w:lang w:val="es-CR" w:eastAsia="es-CR"/>
              </w:rPr>
              <w:t>1</w:t>
            </w:r>
          </w:p>
        </w:tc>
        <w:tc>
          <w:tcPr>
            <w:tcW w:w="708" w:type="dxa"/>
            <w:shd w:val="clear" w:color="auto" w:fill="auto"/>
            <w:noWrap/>
            <w:vAlign w:val="bottom"/>
            <w:hideMark/>
          </w:tcPr>
          <w:p w14:paraId="32D1DE7F"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38518CFF" w14:textId="77777777" w:rsidR="002C0DC3" w:rsidRPr="002C0DC3" w:rsidRDefault="002C0DC3" w:rsidP="002C0DC3">
            <w:pPr>
              <w:suppressAutoHyphens w:val="0"/>
              <w:jc w:val="center"/>
              <w:rPr>
                <w:lang w:val="es-CR" w:eastAsia="es-CR"/>
              </w:rPr>
            </w:pPr>
            <w:r w:rsidRPr="002C0DC3">
              <w:rPr>
                <w:lang w:val="es-CR" w:eastAsia="es-CR"/>
              </w:rPr>
              <w:t>17</w:t>
            </w:r>
          </w:p>
        </w:tc>
        <w:tc>
          <w:tcPr>
            <w:tcW w:w="683" w:type="dxa"/>
            <w:shd w:val="clear" w:color="auto" w:fill="auto"/>
            <w:noWrap/>
            <w:vAlign w:val="bottom"/>
            <w:hideMark/>
          </w:tcPr>
          <w:p w14:paraId="2B9AEAD4" w14:textId="77777777" w:rsidR="002C0DC3" w:rsidRPr="002C0DC3" w:rsidRDefault="002C0DC3" w:rsidP="002C0DC3">
            <w:pPr>
              <w:suppressAutoHyphens w:val="0"/>
              <w:jc w:val="center"/>
              <w:rPr>
                <w:lang w:val="es-CR" w:eastAsia="es-CR"/>
              </w:rPr>
            </w:pPr>
            <w:r w:rsidRPr="002C0DC3">
              <w:rPr>
                <w:lang w:val="es-CR" w:eastAsia="es-CR"/>
              </w:rPr>
              <w:t>3</w:t>
            </w:r>
          </w:p>
        </w:tc>
        <w:tc>
          <w:tcPr>
            <w:tcW w:w="585" w:type="dxa"/>
            <w:vAlign w:val="center"/>
            <w:hideMark/>
          </w:tcPr>
          <w:p w14:paraId="712F98D6" w14:textId="77777777" w:rsidR="002C0DC3" w:rsidRPr="002C0DC3" w:rsidRDefault="002C0DC3" w:rsidP="002C0DC3">
            <w:pPr>
              <w:suppressAutoHyphens w:val="0"/>
              <w:rPr>
                <w:lang w:val="es-CR" w:eastAsia="es-CR"/>
              </w:rPr>
            </w:pPr>
          </w:p>
        </w:tc>
      </w:tr>
      <w:tr w:rsidR="002C0DC3" w:rsidRPr="002C0DC3" w14:paraId="43CAD7CD" w14:textId="77777777" w:rsidTr="002C0DC3">
        <w:trPr>
          <w:trHeight w:val="230"/>
        </w:trPr>
        <w:tc>
          <w:tcPr>
            <w:tcW w:w="2265" w:type="dxa"/>
            <w:shd w:val="clear" w:color="auto" w:fill="auto"/>
            <w:noWrap/>
            <w:vAlign w:val="bottom"/>
            <w:hideMark/>
          </w:tcPr>
          <w:p w14:paraId="10F2459A" w14:textId="77777777" w:rsidR="002C0DC3" w:rsidRPr="002C0DC3" w:rsidRDefault="002C0DC3" w:rsidP="002C0DC3">
            <w:pPr>
              <w:suppressAutoHyphens w:val="0"/>
              <w:rPr>
                <w:b/>
                <w:bCs/>
                <w:lang w:val="es-CR" w:eastAsia="es-CR"/>
              </w:rPr>
            </w:pPr>
            <w:r w:rsidRPr="002C0DC3">
              <w:rPr>
                <w:b/>
                <w:bCs/>
                <w:lang w:val="es-CR" w:eastAsia="es-CR"/>
              </w:rPr>
              <w:t>Circuito Judicial Heredia</w:t>
            </w:r>
          </w:p>
        </w:tc>
        <w:tc>
          <w:tcPr>
            <w:tcW w:w="1099" w:type="dxa"/>
            <w:shd w:val="clear" w:color="auto" w:fill="auto"/>
            <w:noWrap/>
            <w:vAlign w:val="bottom"/>
            <w:hideMark/>
          </w:tcPr>
          <w:p w14:paraId="3964D20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39</w:t>
            </w:r>
          </w:p>
        </w:tc>
        <w:tc>
          <w:tcPr>
            <w:tcW w:w="1307" w:type="dxa"/>
            <w:shd w:val="clear" w:color="auto" w:fill="auto"/>
            <w:noWrap/>
            <w:vAlign w:val="bottom"/>
            <w:hideMark/>
          </w:tcPr>
          <w:p w14:paraId="6BDB23E6"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4</w:t>
            </w:r>
          </w:p>
        </w:tc>
        <w:tc>
          <w:tcPr>
            <w:tcW w:w="1425" w:type="dxa"/>
            <w:shd w:val="clear" w:color="auto" w:fill="auto"/>
            <w:noWrap/>
            <w:vAlign w:val="bottom"/>
            <w:hideMark/>
          </w:tcPr>
          <w:p w14:paraId="50FD0CF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708" w:type="dxa"/>
            <w:shd w:val="clear" w:color="auto" w:fill="auto"/>
            <w:noWrap/>
            <w:vAlign w:val="bottom"/>
            <w:hideMark/>
          </w:tcPr>
          <w:p w14:paraId="16E7347A"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3ED4F081"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33</w:t>
            </w:r>
          </w:p>
        </w:tc>
        <w:tc>
          <w:tcPr>
            <w:tcW w:w="683" w:type="dxa"/>
            <w:shd w:val="clear" w:color="auto" w:fill="auto"/>
            <w:noWrap/>
            <w:vAlign w:val="bottom"/>
            <w:hideMark/>
          </w:tcPr>
          <w:p w14:paraId="0A1B69F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8</w:t>
            </w:r>
          </w:p>
        </w:tc>
        <w:tc>
          <w:tcPr>
            <w:tcW w:w="585" w:type="dxa"/>
            <w:vAlign w:val="center"/>
            <w:hideMark/>
          </w:tcPr>
          <w:p w14:paraId="58BC1DAA" w14:textId="77777777" w:rsidR="002C0DC3" w:rsidRPr="002C0DC3" w:rsidRDefault="002C0DC3" w:rsidP="002C0DC3">
            <w:pPr>
              <w:suppressAutoHyphens w:val="0"/>
              <w:rPr>
                <w:lang w:val="es-CR" w:eastAsia="es-CR"/>
              </w:rPr>
            </w:pPr>
          </w:p>
        </w:tc>
      </w:tr>
      <w:tr w:rsidR="002C0DC3" w:rsidRPr="002C0DC3" w14:paraId="4286C4F5" w14:textId="77777777" w:rsidTr="002C0DC3">
        <w:trPr>
          <w:trHeight w:val="230"/>
        </w:trPr>
        <w:tc>
          <w:tcPr>
            <w:tcW w:w="2265" w:type="dxa"/>
            <w:shd w:val="clear" w:color="auto" w:fill="auto"/>
            <w:noWrap/>
            <w:vAlign w:val="bottom"/>
            <w:hideMark/>
          </w:tcPr>
          <w:p w14:paraId="57C5B388" w14:textId="77777777" w:rsidR="002C0DC3" w:rsidRPr="002C0DC3" w:rsidRDefault="002C0DC3" w:rsidP="002C0DC3">
            <w:pPr>
              <w:suppressAutoHyphens w:val="0"/>
              <w:rPr>
                <w:lang w:val="es-CR" w:eastAsia="es-CR"/>
              </w:rPr>
            </w:pPr>
            <w:r w:rsidRPr="002C0DC3">
              <w:rPr>
                <w:lang w:val="es-CR" w:eastAsia="es-CR"/>
              </w:rPr>
              <w:t>Cobro de Heredia</w:t>
            </w:r>
          </w:p>
        </w:tc>
        <w:tc>
          <w:tcPr>
            <w:tcW w:w="1099" w:type="dxa"/>
            <w:shd w:val="clear" w:color="auto" w:fill="auto"/>
            <w:noWrap/>
            <w:vAlign w:val="bottom"/>
            <w:hideMark/>
          </w:tcPr>
          <w:p w14:paraId="56853D00" w14:textId="77777777" w:rsidR="002C0DC3" w:rsidRPr="002C0DC3" w:rsidRDefault="002C0DC3" w:rsidP="002C0DC3">
            <w:pPr>
              <w:suppressAutoHyphens w:val="0"/>
              <w:jc w:val="center"/>
              <w:rPr>
                <w:lang w:val="es-CR" w:eastAsia="es-CR"/>
              </w:rPr>
            </w:pPr>
            <w:r w:rsidRPr="002C0DC3">
              <w:rPr>
                <w:lang w:val="es-CR" w:eastAsia="es-CR"/>
              </w:rPr>
              <w:t>39</w:t>
            </w:r>
          </w:p>
        </w:tc>
        <w:tc>
          <w:tcPr>
            <w:tcW w:w="1307" w:type="dxa"/>
            <w:shd w:val="clear" w:color="auto" w:fill="auto"/>
            <w:noWrap/>
            <w:vAlign w:val="bottom"/>
            <w:hideMark/>
          </w:tcPr>
          <w:p w14:paraId="5082059C" w14:textId="77777777" w:rsidR="002C0DC3" w:rsidRPr="002C0DC3" w:rsidRDefault="002C0DC3" w:rsidP="002C0DC3">
            <w:pPr>
              <w:suppressAutoHyphens w:val="0"/>
              <w:jc w:val="center"/>
              <w:rPr>
                <w:lang w:val="es-CR" w:eastAsia="es-CR"/>
              </w:rPr>
            </w:pPr>
            <w:r w:rsidRPr="002C0DC3">
              <w:rPr>
                <w:lang w:val="es-CR" w:eastAsia="es-CR"/>
              </w:rPr>
              <w:t>4</w:t>
            </w:r>
          </w:p>
        </w:tc>
        <w:tc>
          <w:tcPr>
            <w:tcW w:w="1425" w:type="dxa"/>
            <w:shd w:val="clear" w:color="auto" w:fill="auto"/>
            <w:noWrap/>
            <w:vAlign w:val="bottom"/>
            <w:hideMark/>
          </w:tcPr>
          <w:p w14:paraId="271E1EFE"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4997D0A3"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602BD94D" w14:textId="77777777" w:rsidR="002C0DC3" w:rsidRPr="002C0DC3" w:rsidRDefault="002C0DC3" w:rsidP="002C0DC3">
            <w:pPr>
              <w:suppressAutoHyphens w:val="0"/>
              <w:jc w:val="center"/>
              <w:rPr>
                <w:lang w:val="es-CR" w:eastAsia="es-CR"/>
              </w:rPr>
            </w:pPr>
            <w:r w:rsidRPr="002C0DC3">
              <w:rPr>
                <w:lang w:val="es-CR" w:eastAsia="es-CR"/>
              </w:rPr>
              <w:t>33</w:t>
            </w:r>
          </w:p>
        </w:tc>
        <w:tc>
          <w:tcPr>
            <w:tcW w:w="683" w:type="dxa"/>
            <w:shd w:val="clear" w:color="auto" w:fill="auto"/>
            <w:noWrap/>
            <w:vAlign w:val="bottom"/>
            <w:hideMark/>
          </w:tcPr>
          <w:p w14:paraId="0D3C41E2" w14:textId="77777777" w:rsidR="002C0DC3" w:rsidRPr="002C0DC3" w:rsidRDefault="002C0DC3" w:rsidP="002C0DC3">
            <w:pPr>
              <w:suppressAutoHyphens w:val="0"/>
              <w:jc w:val="center"/>
              <w:rPr>
                <w:lang w:val="es-CR" w:eastAsia="es-CR"/>
              </w:rPr>
            </w:pPr>
            <w:r w:rsidRPr="002C0DC3">
              <w:rPr>
                <w:lang w:val="es-CR" w:eastAsia="es-CR"/>
              </w:rPr>
              <w:t>8</w:t>
            </w:r>
          </w:p>
        </w:tc>
        <w:tc>
          <w:tcPr>
            <w:tcW w:w="585" w:type="dxa"/>
            <w:vAlign w:val="center"/>
            <w:hideMark/>
          </w:tcPr>
          <w:p w14:paraId="5BB82596" w14:textId="77777777" w:rsidR="002C0DC3" w:rsidRPr="002C0DC3" w:rsidRDefault="002C0DC3" w:rsidP="002C0DC3">
            <w:pPr>
              <w:suppressAutoHyphens w:val="0"/>
              <w:rPr>
                <w:lang w:val="es-CR" w:eastAsia="es-CR"/>
              </w:rPr>
            </w:pPr>
          </w:p>
        </w:tc>
      </w:tr>
      <w:tr w:rsidR="002C0DC3" w:rsidRPr="002C0DC3" w14:paraId="7074D78A" w14:textId="77777777" w:rsidTr="002C0DC3">
        <w:trPr>
          <w:trHeight w:val="230"/>
        </w:trPr>
        <w:tc>
          <w:tcPr>
            <w:tcW w:w="2265" w:type="dxa"/>
            <w:shd w:val="clear" w:color="auto" w:fill="auto"/>
            <w:noWrap/>
            <w:vAlign w:val="bottom"/>
            <w:hideMark/>
          </w:tcPr>
          <w:p w14:paraId="473EC032" w14:textId="77777777" w:rsidR="002C0DC3" w:rsidRPr="002C0DC3" w:rsidRDefault="002C0DC3" w:rsidP="002C0DC3">
            <w:pPr>
              <w:suppressAutoHyphens w:val="0"/>
              <w:rPr>
                <w:b/>
                <w:bCs/>
                <w:lang w:val="es-CR" w:eastAsia="es-CR"/>
              </w:rPr>
            </w:pPr>
            <w:r w:rsidRPr="002C0DC3">
              <w:rPr>
                <w:b/>
                <w:bCs/>
                <w:lang w:val="es-CR" w:eastAsia="es-CR"/>
              </w:rPr>
              <w:t>I Circuito Jud. Guanacaste</w:t>
            </w:r>
          </w:p>
        </w:tc>
        <w:tc>
          <w:tcPr>
            <w:tcW w:w="1099" w:type="dxa"/>
            <w:shd w:val="clear" w:color="auto" w:fill="auto"/>
            <w:noWrap/>
            <w:vAlign w:val="bottom"/>
            <w:hideMark/>
          </w:tcPr>
          <w:p w14:paraId="4D602C2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w:t>
            </w:r>
          </w:p>
        </w:tc>
        <w:tc>
          <w:tcPr>
            <w:tcW w:w="1307" w:type="dxa"/>
            <w:shd w:val="clear" w:color="auto" w:fill="auto"/>
            <w:noWrap/>
            <w:vAlign w:val="bottom"/>
            <w:hideMark/>
          </w:tcPr>
          <w:p w14:paraId="7D8AED3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25" w:type="dxa"/>
            <w:shd w:val="clear" w:color="auto" w:fill="auto"/>
            <w:noWrap/>
            <w:vAlign w:val="bottom"/>
            <w:hideMark/>
          </w:tcPr>
          <w:p w14:paraId="55BC673F"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708" w:type="dxa"/>
            <w:shd w:val="clear" w:color="auto" w:fill="auto"/>
            <w:noWrap/>
            <w:vAlign w:val="bottom"/>
            <w:hideMark/>
          </w:tcPr>
          <w:p w14:paraId="37D1C251"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05185C85"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683" w:type="dxa"/>
            <w:shd w:val="clear" w:color="auto" w:fill="auto"/>
            <w:noWrap/>
            <w:vAlign w:val="bottom"/>
            <w:hideMark/>
          </w:tcPr>
          <w:p w14:paraId="12A20B8C"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585" w:type="dxa"/>
            <w:vAlign w:val="center"/>
            <w:hideMark/>
          </w:tcPr>
          <w:p w14:paraId="6DA1BA4C" w14:textId="77777777" w:rsidR="002C0DC3" w:rsidRPr="002C0DC3" w:rsidRDefault="002C0DC3" w:rsidP="002C0DC3">
            <w:pPr>
              <w:suppressAutoHyphens w:val="0"/>
              <w:rPr>
                <w:lang w:val="es-CR" w:eastAsia="es-CR"/>
              </w:rPr>
            </w:pPr>
          </w:p>
        </w:tc>
      </w:tr>
      <w:tr w:rsidR="002C0DC3" w:rsidRPr="002C0DC3" w14:paraId="184C9544" w14:textId="77777777" w:rsidTr="002C0DC3">
        <w:trPr>
          <w:trHeight w:val="230"/>
        </w:trPr>
        <w:tc>
          <w:tcPr>
            <w:tcW w:w="2265" w:type="dxa"/>
            <w:shd w:val="clear" w:color="auto" w:fill="auto"/>
            <w:noWrap/>
            <w:vAlign w:val="bottom"/>
            <w:hideMark/>
          </w:tcPr>
          <w:p w14:paraId="4D7DB28E" w14:textId="77777777" w:rsidR="002C0DC3" w:rsidRPr="002C0DC3" w:rsidRDefault="002C0DC3" w:rsidP="002C0DC3">
            <w:pPr>
              <w:suppressAutoHyphens w:val="0"/>
              <w:rPr>
                <w:lang w:val="es-CR" w:eastAsia="es-CR"/>
              </w:rPr>
            </w:pPr>
            <w:r w:rsidRPr="002C0DC3">
              <w:rPr>
                <w:lang w:val="es-CR" w:eastAsia="es-CR"/>
              </w:rPr>
              <w:t>Cobro del I Circ. Guanacaste</w:t>
            </w:r>
          </w:p>
        </w:tc>
        <w:tc>
          <w:tcPr>
            <w:tcW w:w="1099" w:type="dxa"/>
            <w:shd w:val="clear" w:color="auto" w:fill="auto"/>
            <w:noWrap/>
            <w:vAlign w:val="bottom"/>
            <w:hideMark/>
          </w:tcPr>
          <w:p w14:paraId="6A37E14D" w14:textId="77777777" w:rsidR="002C0DC3" w:rsidRPr="002C0DC3" w:rsidRDefault="002C0DC3" w:rsidP="002C0DC3">
            <w:pPr>
              <w:suppressAutoHyphens w:val="0"/>
              <w:jc w:val="center"/>
              <w:rPr>
                <w:lang w:val="es-CR" w:eastAsia="es-CR"/>
              </w:rPr>
            </w:pPr>
            <w:r w:rsidRPr="002C0DC3">
              <w:rPr>
                <w:lang w:val="es-CR" w:eastAsia="es-CR"/>
              </w:rPr>
              <w:t>2</w:t>
            </w:r>
          </w:p>
        </w:tc>
        <w:tc>
          <w:tcPr>
            <w:tcW w:w="1307" w:type="dxa"/>
            <w:shd w:val="clear" w:color="auto" w:fill="auto"/>
            <w:noWrap/>
            <w:vAlign w:val="bottom"/>
            <w:hideMark/>
          </w:tcPr>
          <w:p w14:paraId="7CCB4081"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1C768688"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0A13D804"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3652C54E" w14:textId="77777777" w:rsidR="002C0DC3" w:rsidRPr="002C0DC3" w:rsidRDefault="002C0DC3" w:rsidP="002C0DC3">
            <w:pPr>
              <w:suppressAutoHyphens w:val="0"/>
              <w:jc w:val="center"/>
              <w:rPr>
                <w:lang w:val="es-CR" w:eastAsia="es-CR"/>
              </w:rPr>
            </w:pPr>
            <w:r w:rsidRPr="002C0DC3">
              <w:rPr>
                <w:lang w:val="es-CR" w:eastAsia="es-CR"/>
              </w:rPr>
              <w:t>1</w:t>
            </w:r>
          </w:p>
        </w:tc>
        <w:tc>
          <w:tcPr>
            <w:tcW w:w="683" w:type="dxa"/>
            <w:shd w:val="clear" w:color="auto" w:fill="auto"/>
            <w:noWrap/>
            <w:vAlign w:val="bottom"/>
            <w:hideMark/>
          </w:tcPr>
          <w:p w14:paraId="20680F7D" w14:textId="77777777" w:rsidR="002C0DC3" w:rsidRPr="002C0DC3" w:rsidRDefault="002C0DC3" w:rsidP="002C0DC3">
            <w:pPr>
              <w:suppressAutoHyphens w:val="0"/>
              <w:jc w:val="center"/>
              <w:rPr>
                <w:lang w:val="es-CR" w:eastAsia="es-CR"/>
              </w:rPr>
            </w:pPr>
            <w:r w:rsidRPr="002C0DC3">
              <w:rPr>
                <w:lang w:val="es-CR" w:eastAsia="es-CR"/>
              </w:rPr>
              <w:t>0</w:t>
            </w:r>
          </w:p>
        </w:tc>
        <w:tc>
          <w:tcPr>
            <w:tcW w:w="585" w:type="dxa"/>
            <w:vAlign w:val="center"/>
            <w:hideMark/>
          </w:tcPr>
          <w:p w14:paraId="5326F332" w14:textId="77777777" w:rsidR="002C0DC3" w:rsidRPr="002C0DC3" w:rsidRDefault="002C0DC3" w:rsidP="002C0DC3">
            <w:pPr>
              <w:suppressAutoHyphens w:val="0"/>
              <w:rPr>
                <w:lang w:val="es-CR" w:eastAsia="es-CR"/>
              </w:rPr>
            </w:pPr>
          </w:p>
        </w:tc>
      </w:tr>
      <w:tr w:rsidR="002C0DC3" w:rsidRPr="002C0DC3" w14:paraId="231DBA5D" w14:textId="77777777" w:rsidTr="002C0DC3">
        <w:trPr>
          <w:trHeight w:val="230"/>
        </w:trPr>
        <w:tc>
          <w:tcPr>
            <w:tcW w:w="2265" w:type="dxa"/>
            <w:shd w:val="clear" w:color="auto" w:fill="auto"/>
            <w:noWrap/>
            <w:vAlign w:val="bottom"/>
            <w:hideMark/>
          </w:tcPr>
          <w:p w14:paraId="4D070BD9" w14:textId="77777777" w:rsidR="002C0DC3" w:rsidRPr="002C0DC3" w:rsidRDefault="002C0DC3" w:rsidP="002C0DC3">
            <w:pPr>
              <w:suppressAutoHyphens w:val="0"/>
              <w:rPr>
                <w:b/>
                <w:bCs/>
                <w:lang w:val="es-CR" w:eastAsia="es-CR"/>
              </w:rPr>
            </w:pPr>
            <w:r w:rsidRPr="002C0DC3">
              <w:rPr>
                <w:b/>
                <w:bCs/>
                <w:lang w:val="es-CR" w:eastAsia="es-CR"/>
              </w:rPr>
              <w:t>II Circuito Guanacaste</w:t>
            </w:r>
          </w:p>
        </w:tc>
        <w:tc>
          <w:tcPr>
            <w:tcW w:w="1099" w:type="dxa"/>
            <w:shd w:val="clear" w:color="auto" w:fill="auto"/>
            <w:noWrap/>
            <w:vAlign w:val="bottom"/>
            <w:hideMark/>
          </w:tcPr>
          <w:p w14:paraId="225E5BE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w:t>
            </w:r>
          </w:p>
        </w:tc>
        <w:tc>
          <w:tcPr>
            <w:tcW w:w="1307" w:type="dxa"/>
            <w:shd w:val="clear" w:color="auto" w:fill="auto"/>
            <w:noWrap/>
            <w:vAlign w:val="bottom"/>
            <w:hideMark/>
          </w:tcPr>
          <w:p w14:paraId="18F7644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25" w:type="dxa"/>
            <w:shd w:val="clear" w:color="auto" w:fill="auto"/>
            <w:noWrap/>
            <w:vAlign w:val="bottom"/>
            <w:hideMark/>
          </w:tcPr>
          <w:p w14:paraId="65CE278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708" w:type="dxa"/>
            <w:shd w:val="clear" w:color="auto" w:fill="auto"/>
            <w:noWrap/>
            <w:vAlign w:val="bottom"/>
            <w:hideMark/>
          </w:tcPr>
          <w:p w14:paraId="30CFEB1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337ACB44"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w:t>
            </w:r>
          </w:p>
        </w:tc>
        <w:tc>
          <w:tcPr>
            <w:tcW w:w="683" w:type="dxa"/>
            <w:shd w:val="clear" w:color="auto" w:fill="auto"/>
            <w:noWrap/>
            <w:vAlign w:val="bottom"/>
            <w:hideMark/>
          </w:tcPr>
          <w:p w14:paraId="08D4B77D"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585" w:type="dxa"/>
            <w:vAlign w:val="center"/>
            <w:hideMark/>
          </w:tcPr>
          <w:p w14:paraId="638FEA55" w14:textId="77777777" w:rsidR="002C0DC3" w:rsidRPr="002C0DC3" w:rsidRDefault="002C0DC3" w:rsidP="002C0DC3">
            <w:pPr>
              <w:suppressAutoHyphens w:val="0"/>
              <w:rPr>
                <w:lang w:val="es-CR" w:eastAsia="es-CR"/>
              </w:rPr>
            </w:pPr>
          </w:p>
        </w:tc>
      </w:tr>
      <w:tr w:rsidR="002C0DC3" w:rsidRPr="002C0DC3" w14:paraId="5CABA7D9" w14:textId="77777777" w:rsidTr="002C0DC3">
        <w:trPr>
          <w:trHeight w:val="230"/>
        </w:trPr>
        <w:tc>
          <w:tcPr>
            <w:tcW w:w="2265" w:type="dxa"/>
            <w:shd w:val="clear" w:color="auto" w:fill="auto"/>
            <w:noWrap/>
            <w:vAlign w:val="bottom"/>
            <w:hideMark/>
          </w:tcPr>
          <w:p w14:paraId="46834273" w14:textId="77777777" w:rsidR="002C0DC3" w:rsidRPr="002C0DC3" w:rsidRDefault="002C0DC3" w:rsidP="002C0DC3">
            <w:pPr>
              <w:suppressAutoHyphens w:val="0"/>
              <w:rPr>
                <w:lang w:val="es-CR" w:eastAsia="es-CR"/>
              </w:rPr>
            </w:pPr>
            <w:r w:rsidRPr="002C0DC3">
              <w:rPr>
                <w:lang w:val="es-CR" w:eastAsia="es-CR"/>
              </w:rPr>
              <w:t>II Circ. Jud. Santa Cruz</w:t>
            </w:r>
          </w:p>
        </w:tc>
        <w:tc>
          <w:tcPr>
            <w:tcW w:w="1099" w:type="dxa"/>
            <w:shd w:val="clear" w:color="auto" w:fill="auto"/>
            <w:noWrap/>
            <w:vAlign w:val="bottom"/>
            <w:hideMark/>
          </w:tcPr>
          <w:p w14:paraId="34990640" w14:textId="77777777" w:rsidR="002C0DC3" w:rsidRPr="002C0DC3" w:rsidRDefault="002C0DC3" w:rsidP="002C0DC3">
            <w:pPr>
              <w:suppressAutoHyphens w:val="0"/>
              <w:jc w:val="center"/>
              <w:rPr>
                <w:lang w:val="es-CR" w:eastAsia="es-CR"/>
              </w:rPr>
            </w:pPr>
            <w:r w:rsidRPr="002C0DC3">
              <w:rPr>
                <w:lang w:val="es-CR" w:eastAsia="es-CR"/>
              </w:rPr>
              <w:t>3</w:t>
            </w:r>
          </w:p>
        </w:tc>
        <w:tc>
          <w:tcPr>
            <w:tcW w:w="1307" w:type="dxa"/>
            <w:shd w:val="clear" w:color="auto" w:fill="auto"/>
            <w:noWrap/>
            <w:vAlign w:val="bottom"/>
            <w:hideMark/>
          </w:tcPr>
          <w:p w14:paraId="6D91A23C"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0709C199"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1C54D058"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7CC97790" w14:textId="77777777" w:rsidR="002C0DC3" w:rsidRPr="002C0DC3" w:rsidRDefault="002C0DC3" w:rsidP="002C0DC3">
            <w:pPr>
              <w:suppressAutoHyphens w:val="0"/>
              <w:jc w:val="center"/>
              <w:rPr>
                <w:lang w:val="es-CR" w:eastAsia="es-CR"/>
              </w:rPr>
            </w:pPr>
            <w:r w:rsidRPr="002C0DC3">
              <w:rPr>
                <w:lang w:val="es-CR" w:eastAsia="es-CR"/>
              </w:rPr>
              <w:t>3</w:t>
            </w:r>
          </w:p>
        </w:tc>
        <w:tc>
          <w:tcPr>
            <w:tcW w:w="683" w:type="dxa"/>
            <w:shd w:val="clear" w:color="auto" w:fill="auto"/>
            <w:noWrap/>
            <w:vAlign w:val="bottom"/>
            <w:hideMark/>
          </w:tcPr>
          <w:p w14:paraId="57FCC6F9" w14:textId="77777777" w:rsidR="002C0DC3" w:rsidRPr="002C0DC3" w:rsidRDefault="002C0DC3" w:rsidP="002C0DC3">
            <w:pPr>
              <w:suppressAutoHyphens w:val="0"/>
              <w:jc w:val="center"/>
              <w:rPr>
                <w:lang w:val="es-CR" w:eastAsia="es-CR"/>
              </w:rPr>
            </w:pPr>
            <w:r w:rsidRPr="002C0DC3">
              <w:rPr>
                <w:lang w:val="es-CR" w:eastAsia="es-CR"/>
              </w:rPr>
              <w:t>0</w:t>
            </w:r>
          </w:p>
        </w:tc>
        <w:tc>
          <w:tcPr>
            <w:tcW w:w="585" w:type="dxa"/>
            <w:vAlign w:val="center"/>
            <w:hideMark/>
          </w:tcPr>
          <w:p w14:paraId="176A1B72" w14:textId="77777777" w:rsidR="002C0DC3" w:rsidRPr="002C0DC3" w:rsidRDefault="002C0DC3" w:rsidP="002C0DC3">
            <w:pPr>
              <w:suppressAutoHyphens w:val="0"/>
              <w:rPr>
                <w:lang w:val="es-CR" w:eastAsia="es-CR"/>
              </w:rPr>
            </w:pPr>
          </w:p>
        </w:tc>
      </w:tr>
      <w:tr w:rsidR="002C0DC3" w:rsidRPr="002C0DC3" w14:paraId="5BC40044" w14:textId="77777777" w:rsidTr="002C0DC3">
        <w:trPr>
          <w:trHeight w:val="230"/>
        </w:trPr>
        <w:tc>
          <w:tcPr>
            <w:tcW w:w="2265" w:type="dxa"/>
            <w:shd w:val="clear" w:color="auto" w:fill="auto"/>
            <w:noWrap/>
            <w:vAlign w:val="bottom"/>
            <w:hideMark/>
          </w:tcPr>
          <w:p w14:paraId="40531BF4" w14:textId="77777777" w:rsidR="002C0DC3" w:rsidRPr="002C0DC3" w:rsidRDefault="002C0DC3" w:rsidP="002C0DC3">
            <w:pPr>
              <w:suppressAutoHyphens w:val="0"/>
              <w:rPr>
                <w:b/>
                <w:bCs/>
                <w:lang w:val="es-CR" w:eastAsia="es-CR"/>
              </w:rPr>
            </w:pPr>
            <w:r w:rsidRPr="002C0DC3">
              <w:rPr>
                <w:b/>
                <w:bCs/>
                <w:lang w:val="es-CR" w:eastAsia="es-CR"/>
              </w:rPr>
              <w:t>Circuito Jud. Puntarenas</w:t>
            </w:r>
          </w:p>
        </w:tc>
        <w:tc>
          <w:tcPr>
            <w:tcW w:w="1099" w:type="dxa"/>
            <w:shd w:val="clear" w:color="auto" w:fill="auto"/>
            <w:noWrap/>
            <w:vAlign w:val="bottom"/>
            <w:hideMark/>
          </w:tcPr>
          <w:p w14:paraId="4F643D9A"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w:t>
            </w:r>
          </w:p>
        </w:tc>
        <w:tc>
          <w:tcPr>
            <w:tcW w:w="1307" w:type="dxa"/>
            <w:shd w:val="clear" w:color="auto" w:fill="auto"/>
            <w:noWrap/>
            <w:vAlign w:val="bottom"/>
            <w:hideMark/>
          </w:tcPr>
          <w:p w14:paraId="539C0E3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25" w:type="dxa"/>
            <w:shd w:val="clear" w:color="auto" w:fill="auto"/>
            <w:noWrap/>
            <w:vAlign w:val="bottom"/>
            <w:hideMark/>
          </w:tcPr>
          <w:p w14:paraId="24DB3D7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708" w:type="dxa"/>
            <w:shd w:val="clear" w:color="auto" w:fill="auto"/>
            <w:noWrap/>
            <w:vAlign w:val="bottom"/>
            <w:hideMark/>
          </w:tcPr>
          <w:p w14:paraId="09D0AE2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25B5FE6A"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4</w:t>
            </w:r>
          </w:p>
        </w:tc>
        <w:tc>
          <w:tcPr>
            <w:tcW w:w="683" w:type="dxa"/>
            <w:shd w:val="clear" w:color="auto" w:fill="auto"/>
            <w:noWrap/>
            <w:vAlign w:val="bottom"/>
            <w:hideMark/>
          </w:tcPr>
          <w:p w14:paraId="51EDDFB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6</w:t>
            </w:r>
          </w:p>
        </w:tc>
        <w:tc>
          <w:tcPr>
            <w:tcW w:w="585" w:type="dxa"/>
            <w:vAlign w:val="center"/>
            <w:hideMark/>
          </w:tcPr>
          <w:p w14:paraId="2DACDDC1" w14:textId="77777777" w:rsidR="002C0DC3" w:rsidRPr="002C0DC3" w:rsidRDefault="002C0DC3" w:rsidP="002C0DC3">
            <w:pPr>
              <w:suppressAutoHyphens w:val="0"/>
              <w:rPr>
                <w:lang w:val="es-CR" w:eastAsia="es-CR"/>
              </w:rPr>
            </w:pPr>
          </w:p>
        </w:tc>
      </w:tr>
      <w:tr w:rsidR="002C0DC3" w:rsidRPr="002C0DC3" w14:paraId="0F345E88" w14:textId="77777777" w:rsidTr="002C0DC3">
        <w:trPr>
          <w:trHeight w:val="230"/>
        </w:trPr>
        <w:tc>
          <w:tcPr>
            <w:tcW w:w="2265" w:type="dxa"/>
            <w:shd w:val="clear" w:color="auto" w:fill="auto"/>
            <w:noWrap/>
            <w:vAlign w:val="bottom"/>
            <w:hideMark/>
          </w:tcPr>
          <w:p w14:paraId="094B11AA" w14:textId="77777777" w:rsidR="002C0DC3" w:rsidRPr="002C0DC3" w:rsidRDefault="002C0DC3" w:rsidP="002C0DC3">
            <w:pPr>
              <w:suppressAutoHyphens w:val="0"/>
              <w:rPr>
                <w:lang w:val="es-CR" w:eastAsia="es-CR"/>
              </w:rPr>
            </w:pPr>
            <w:r w:rsidRPr="002C0DC3">
              <w:rPr>
                <w:lang w:val="es-CR" w:eastAsia="es-CR"/>
              </w:rPr>
              <w:t>Cobro de Puntarenas</w:t>
            </w:r>
          </w:p>
        </w:tc>
        <w:tc>
          <w:tcPr>
            <w:tcW w:w="1099" w:type="dxa"/>
            <w:shd w:val="clear" w:color="auto" w:fill="auto"/>
            <w:noWrap/>
            <w:vAlign w:val="bottom"/>
            <w:hideMark/>
          </w:tcPr>
          <w:p w14:paraId="1FF15BE2" w14:textId="77777777" w:rsidR="002C0DC3" w:rsidRPr="002C0DC3" w:rsidRDefault="002C0DC3" w:rsidP="002C0DC3">
            <w:pPr>
              <w:suppressAutoHyphens w:val="0"/>
              <w:jc w:val="center"/>
              <w:rPr>
                <w:lang w:val="es-CR" w:eastAsia="es-CR"/>
              </w:rPr>
            </w:pPr>
            <w:r w:rsidRPr="002C0DC3">
              <w:rPr>
                <w:lang w:val="es-CR" w:eastAsia="es-CR"/>
              </w:rPr>
              <w:t>3</w:t>
            </w:r>
          </w:p>
        </w:tc>
        <w:tc>
          <w:tcPr>
            <w:tcW w:w="1307" w:type="dxa"/>
            <w:shd w:val="clear" w:color="auto" w:fill="auto"/>
            <w:noWrap/>
            <w:vAlign w:val="bottom"/>
            <w:hideMark/>
          </w:tcPr>
          <w:p w14:paraId="095EBEA1"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12C3CB95"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7C65C33B"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66FF9FCC" w14:textId="77777777" w:rsidR="002C0DC3" w:rsidRPr="002C0DC3" w:rsidRDefault="002C0DC3" w:rsidP="002C0DC3">
            <w:pPr>
              <w:suppressAutoHyphens w:val="0"/>
              <w:jc w:val="center"/>
              <w:rPr>
                <w:lang w:val="es-CR" w:eastAsia="es-CR"/>
              </w:rPr>
            </w:pPr>
            <w:r w:rsidRPr="002C0DC3">
              <w:rPr>
                <w:lang w:val="es-CR" w:eastAsia="es-CR"/>
              </w:rPr>
              <w:t>4</w:t>
            </w:r>
          </w:p>
        </w:tc>
        <w:tc>
          <w:tcPr>
            <w:tcW w:w="683" w:type="dxa"/>
            <w:shd w:val="clear" w:color="auto" w:fill="auto"/>
            <w:noWrap/>
            <w:vAlign w:val="bottom"/>
            <w:hideMark/>
          </w:tcPr>
          <w:p w14:paraId="77A24E91" w14:textId="77777777" w:rsidR="002C0DC3" w:rsidRPr="002C0DC3" w:rsidRDefault="002C0DC3" w:rsidP="002C0DC3">
            <w:pPr>
              <w:suppressAutoHyphens w:val="0"/>
              <w:jc w:val="center"/>
              <w:rPr>
                <w:lang w:val="es-CR" w:eastAsia="es-CR"/>
              </w:rPr>
            </w:pPr>
            <w:r w:rsidRPr="002C0DC3">
              <w:rPr>
                <w:lang w:val="es-CR" w:eastAsia="es-CR"/>
              </w:rPr>
              <w:t>6</w:t>
            </w:r>
          </w:p>
        </w:tc>
        <w:tc>
          <w:tcPr>
            <w:tcW w:w="585" w:type="dxa"/>
            <w:vAlign w:val="center"/>
            <w:hideMark/>
          </w:tcPr>
          <w:p w14:paraId="28ACFB60" w14:textId="77777777" w:rsidR="002C0DC3" w:rsidRPr="002C0DC3" w:rsidRDefault="002C0DC3" w:rsidP="002C0DC3">
            <w:pPr>
              <w:suppressAutoHyphens w:val="0"/>
              <w:rPr>
                <w:lang w:val="es-CR" w:eastAsia="es-CR"/>
              </w:rPr>
            </w:pPr>
          </w:p>
        </w:tc>
      </w:tr>
      <w:tr w:rsidR="002C0DC3" w:rsidRPr="002C0DC3" w14:paraId="3CAC015C" w14:textId="77777777" w:rsidTr="002C0DC3">
        <w:trPr>
          <w:trHeight w:val="230"/>
        </w:trPr>
        <w:tc>
          <w:tcPr>
            <w:tcW w:w="2265" w:type="dxa"/>
            <w:shd w:val="clear" w:color="auto" w:fill="auto"/>
            <w:noWrap/>
            <w:vAlign w:val="bottom"/>
            <w:hideMark/>
          </w:tcPr>
          <w:p w14:paraId="671B33E9" w14:textId="77777777" w:rsidR="002C0DC3" w:rsidRPr="002C0DC3" w:rsidRDefault="002C0DC3" w:rsidP="002C0DC3">
            <w:pPr>
              <w:suppressAutoHyphens w:val="0"/>
              <w:rPr>
                <w:b/>
                <w:bCs/>
                <w:lang w:val="es-CR" w:eastAsia="es-CR"/>
              </w:rPr>
            </w:pPr>
            <w:r w:rsidRPr="002C0DC3">
              <w:rPr>
                <w:b/>
                <w:bCs/>
                <w:lang w:val="es-CR" w:eastAsia="es-CR"/>
              </w:rPr>
              <w:t>I Cir. Jud. Zona Atlántica</w:t>
            </w:r>
          </w:p>
        </w:tc>
        <w:tc>
          <w:tcPr>
            <w:tcW w:w="1099" w:type="dxa"/>
            <w:shd w:val="clear" w:color="auto" w:fill="auto"/>
            <w:noWrap/>
            <w:vAlign w:val="bottom"/>
            <w:hideMark/>
          </w:tcPr>
          <w:p w14:paraId="19A36DC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w:t>
            </w:r>
          </w:p>
        </w:tc>
        <w:tc>
          <w:tcPr>
            <w:tcW w:w="1307" w:type="dxa"/>
            <w:shd w:val="clear" w:color="auto" w:fill="auto"/>
            <w:noWrap/>
            <w:vAlign w:val="bottom"/>
            <w:hideMark/>
          </w:tcPr>
          <w:p w14:paraId="2DB82A7D"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w:t>
            </w:r>
          </w:p>
        </w:tc>
        <w:tc>
          <w:tcPr>
            <w:tcW w:w="1425" w:type="dxa"/>
            <w:shd w:val="clear" w:color="auto" w:fill="auto"/>
            <w:noWrap/>
            <w:vAlign w:val="bottom"/>
            <w:hideMark/>
          </w:tcPr>
          <w:p w14:paraId="0D42CF2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708" w:type="dxa"/>
            <w:shd w:val="clear" w:color="auto" w:fill="auto"/>
            <w:noWrap/>
            <w:vAlign w:val="bottom"/>
            <w:hideMark/>
          </w:tcPr>
          <w:p w14:paraId="571211E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6B4521E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76</w:t>
            </w:r>
          </w:p>
        </w:tc>
        <w:tc>
          <w:tcPr>
            <w:tcW w:w="683" w:type="dxa"/>
            <w:shd w:val="clear" w:color="auto" w:fill="auto"/>
            <w:noWrap/>
            <w:vAlign w:val="bottom"/>
            <w:hideMark/>
          </w:tcPr>
          <w:p w14:paraId="563399F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23</w:t>
            </w:r>
          </w:p>
        </w:tc>
        <w:tc>
          <w:tcPr>
            <w:tcW w:w="585" w:type="dxa"/>
            <w:vAlign w:val="center"/>
            <w:hideMark/>
          </w:tcPr>
          <w:p w14:paraId="14A5EE19" w14:textId="77777777" w:rsidR="002C0DC3" w:rsidRPr="002C0DC3" w:rsidRDefault="002C0DC3" w:rsidP="002C0DC3">
            <w:pPr>
              <w:suppressAutoHyphens w:val="0"/>
              <w:rPr>
                <w:lang w:val="es-CR" w:eastAsia="es-CR"/>
              </w:rPr>
            </w:pPr>
          </w:p>
        </w:tc>
      </w:tr>
      <w:tr w:rsidR="002C0DC3" w:rsidRPr="002C0DC3" w14:paraId="0AFBDA9A" w14:textId="77777777" w:rsidTr="002C0DC3">
        <w:trPr>
          <w:trHeight w:val="230"/>
        </w:trPr>
        <w:tc>
          <w:tcPr>
            <w:tcW w:w="2265" w:type="dxa"/>
            <w:shd w:val="clear" w:color="auto" w:fill="auto"/>
            <w:noWrap/>
            <w:vAlign w:val="bottom"/>
            <w:hideMark/>
          </w:tcPr>
          <w:p w14:paraId="2DBCFCD1" w14:textId="77777777" w:rsidR="002C0DC3" w:rsidRPr="002C0DC3" w:rsidRDefault="002C0DC3" w:rsidP="002C0DC3">
            <w:pPr>
              <w:suppressAutoHyphens w:val="0"/>
              <w:rPr>
                <w:lang w:val="es-CR" w:eastAsia="es-CR"/>
              </w:rPr>
            </w:pPr>
            <w:r w:rsidRPr="002C0DC3">
              <w:rPr>
                <w:lang w:val="es-CR" w:eastAsia="es-CR"/>
              </w:rPr>
              <w:t>Cobro I Circ. Zona Atlántica</w:t>
            </w:r>
          </w:p>
        </w:tc>
        <w:tc>
          <w:tcPr>
            <w:tcW w:w="1099" w:type="dxa"/>
            <w:shd w:val="clear" w:color="auto" w:fill="auto"/>
            <w:noWrap/>
            <w:vAlign w:val="bottom"/>
            <w:hideMark/>
          </w:tcPr>
          <w:p w14:paraId="463BA1F6" w14:textId="77777777" w:rsidR="002C0DC3" w:rsidRPr="002C0DC3" w:rsidRDefault="002C0DC3" w:rsidP="002C0DC3">
            <w:pPr>
              <w:suppressAutoHyphens w:val="0"/>
              <w:jc w:val="center"/>
              <w:rPr>
                <w:lang w:val="es-CR" w:eastAsia="es-CR"/>
              </w:rPr>
            </w:pPr>
            <w:r w:rsidRPr="002C0DC3">
              <w:rPr>
                <w:lang w:val="es-CR" w:eastAsia="es-CR"/>
              </w:rPr>
              <w:t>2</w:t>
            </w:r>
          </w:p>
        </w:tc>
        <w:tc>
          <w:tcPr>
            <w:tcW w:w="1307" w:type="dxa"/>
            <w:shd w:val="clear" w:color="auto" w:fill="auto"/>
            <w:noWrap/>
            <w:vAlign w:val="bottom"/>
            <w:hideMark/>
          </w:tcPr>
          <w:p w14:paraId="78C13181" w14:textId="77777777" w:rsidR="002C0DC3" w:rsidRPr="002C0DC3" w:rsidRDefault="002C0DC3" w:rsidP="002C0DC3">
            <w:pPr>
              <w:suppressAutoHyphens w:val="0"/>
              <w:jc w:val="center"/>
              <w:rPr>
                <w:lang w:val="es-CR" w:eastAsia="es-CR"/>
              </w:rPr>
            </w:pPr>
            <w:r w:rsidRPr="002C0DC3">
              <w:rPr>
                <w:lang w:val="es-CR" w:eastAsia="es-CR"/>
              </w:rPr>
              <w:t>3</w:t>
            </w:r>
          </w:p>
        </w:tc>
        <w:tc>
          <w:tcPr>
            <w:tcW w:w="1425" w:type="dxa"/>
            <w:shd w:val="clear" w:color="auto" w:fill="auto"/>
            <w:noWrap/>
            <w:vAlign w:val="bottom"/>
            <w:hideMark/>
          </w:tcPr>
          <w:p w14:paraId="26952B95"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43B5C793"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2FB62114" w14:textId="77777777" w:rsidR="002C0DC3" w:rsidRPr="002C0DC3" w:rsidRDefault="002C0DC3" w:rsidP="002C0DC3">
            <w:pPr>
              <w:suppressAutoHyphens w:val="0"/>
              <w:jc w:val="center"/>
              <w:rPr>
                <w:lang w:val="es-CR" w:eastAsia="es-CR"/>
              </w:rPr>
            </w:pPr>
            <w:r w:rsidRPr="002C0DC3">
              <w:rPr>
                <w:lang w:val="es-CR" w:eastAsia="es-CR"/>
              </w:rPr>
              <w:t>76</w:t>
            </w:r>
          </w:p>
        </w:tc>
        <w:tc>
          <w:tcPr>
            <w:tcW w:w="683" w:type="dxa"/>
            <w:shd w:val="clear" w:color="auto" w:fill="auto"/>
            <w:noWrap/>
            <w:vAlign w:val="bottom"/>
            <w:hideMark/>
          </w:tcPr>
          <w:p w14:paraId="791FCB76" w14:textId="77777777" w:rsidR="002C0DC3" w:rsidRPr="002C0DC3" w:rsidRDefault="002C0DC3" w:rsidP="002C0DC3">
            <w:pPr>
              <w:suppressAutoHyphens w:val="0"/>
              <w:jc w:val="center"/>
              <w:rPr>
                <w:lang w:val="es-CR" w:eastAsia="es-CR"/>
              </w:rPr>
            </w:pPr>
            <w:r w:rsidRPr="002C0DC3">
              <w:rPr>
                <w:lang w:val="es-CR" w:eastAsia="es-CR"/>
              </w:rPr>
              <w:t>23</w:t>
            </w:r>
          </w:p>
        </w:tc>
        <w:tc>
          <w:tcPr>
            <w:tcW w:w="585" w:type="dxa"/>
            <w:vAlign w:val="center"/>
            <w:hideMark/>
          </w:tcPr>
          <w:p w14:paraId="53CD6DD8" w14:textId="77777777" w:rsidR="002C0DC3" w:rsidRPr="002C0DC3" w:rsidRDefault="002C0DC3" w:rsidP="002C0DC3">
            <w:pPr>
              <w:suppressAutoHyphens w:val="0"/>
              <w:rPr>
                <w:lang w:val="es-CR" w:eastAsia="es-CR"/>
              </w:rPr>
            </w:pPr>
          </w:p>
        </w:tc>
      </w:tr>
      <w:tr w:rsidR="002C0DC3" w:rsidRPr="002C0DC3" w14:paraId="41F17E43" w14:textId="77777777" w:rsidTr="002C0DC3">
        <w:trPr>
          <w:trHeight w:val="230"/>
        </w:trPr>
        <w:tc>
          <w:tcPr>
            <w:tcW w:w="2265" w:type="dxa"/>
            <w:shd w:val="clear" w:color="auto" w:fill="auto"/>
            <w:noWrap/>
            <w:vAlign w:val="bottom"/>
            <w:hideMark/>
          </w:tcPr>
          <w:p w14:paraId="7AFE0555" w14:textId="77777777" w:rsidR="002C0DC3" w:rsidRPr="002C0DC3" w:rsidRDefault="002C0DC3" w:rsidP="002C0DC3">
            <w:pPr>
              <w:suppressAutoHyphens w:val="0"/>
              <w:rPr>
                <w:b/>
                <w:bCs/>
                <w:lang w:val="es-CR" w:eastAsia="es-CR"/>
              </w:rPr>
            </w:pPr>
            <w:r w:rsidRPr="002C0DC3">
              <w:rPr>
                <w:b/>
                <w:bCs/>
                <w:lang w:val="es-CR" w:eastAsia="es-CR"/>
              </w:rPr>
              <w:t>II Circuito Zona Atlántica</w:t>
            </w:r>
          </w:p>
        </w:tc>
        <w:tc>
          <w:tcPr>
            <w:tcW w:w="1099" w:type="dxa"/>
            <w:shd w:val="clear" w:color="auto" w:fill="auto"/>
            <w:noWrap/>
            <w:vAlign w:val="bottom"/>
            <w:hideMark/>
          </w:tcPr>
          <w:p w14:paraId="7E1F815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50</w:t>
            </w:r>
          </w:p>
        </w:tc>
        <w:tc>
          <w:tcPr>
            <w:tcW w:w="1307" w:type="dxa"/>
            <w:shd w:val="clear" w:color="auto" w:fill="auto"/>
            <w:noWrap/>
            <w:vAlign w:val="bottom"/>
            <w:hideMark/>
          </w:tcPr>
          <w:p w14:paraId="19B1E35D"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25" w:type="dxa"/>
            <w:shd w:val="clear" w:color="auto" w:fill="auto"/>
            <w:noWrap/>
            <w:vAlign w:val="bottom"/>
            <w:hideMark/>
          </w:tcPr>
          <w:p w14:paraId="586C2AE5"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708" w:type="dxa"/>
            <w:shd w:val="clear" w:color="auto" w:fill="auto"/>
            <w:noWrap/>
            <w:vAlign w:val="bottom"/>
            <w:hideMark/>
          </w:tcPr>
          <w:p w14:paraId="48B6714D"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877" w:type="dxa"/>
            <w:shd w:val="clear" w:color="auto" w:fill="auto"/>
            <w:noWrap/>
            <w:vAlign w:val="bottom"/>
            <w:hideMark/>
          </w:tcPr>
          <w:p w14:paraId="1A257636"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48</w:t>
            </w:r>
          </w:p>
        </w:tc>
        <w:tc>
          <w:tcPr>
            <w:tcW w:w="683" w:type="dxa"/>
            <w:shd w:val="clear" w:color="auto" w:fill="auto"/>
            <w:noWrap/>
            <w:vAlign w:val="bottom"/>
            <w:hideMark/>
          </w:tcPr>
          <w:p w14:paraId="2A34A3ED"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w:t>
            </w:r>
          </w:p>
        </w:tc>
        <w:tc>
          <w:tcPr>
            <w:tcW w:w="585" w:type="dxa"/>
            <w:vAlign w:val="center"/>
            <w:hideMark/>
          </w:tcPr>
          <w:p w14:paraId="40817850" w14:textId="77777777" w:rsidR="002C0DC3" w:rsidRPr="002C0DC3" w:rsidRDefault="002C0DC3" w:rsidP="002C0DC3">
            <w:pPr>
              <w:suppressAutoHyphens w:val="0"/>
              <w:rPr>
                <w:lang w:val="es-CR" w:eastAsia="es-CR"/>
              </w:rPr>
            </w:pPr>
          </w:p>
        </w:tc>
      </w:tr>
      <w:tr w:rsidR="002C0DC3" w:rsidRPr="002C0DC3" w14:paraId="1A766394" w14:textId="77777777" w:rsidTr="002C0DC3">
        <w:trPr>
          <w:trHeight w:val="230"/>
        </w:trPr>
        <w:tc>
          <w:tcPr>
            <w:tcW w:w="2265" w:type="dxa"/>
            <w:shd w:val="clear" w:color="auto" w:fill="auto"/>
            <w:noWrap/>
            <w:vAlign w:val="bottom"/>
            <w:hideMark/>
          </w:tcPr>
          <w:p w14:paraId="6885AB13" w14:textId="77777777" w:rsidR="002C0DC3" w:rsidRPr="002C0DC3" w:rsidRDefault="002C0DC3" w:rsidP="002C0DC3">
            <w:pPr>
              <w:suppressAutoHyphens w:val="0"/>
              <w:rPr>
                <w:lang w:val="es-CR" w:eastAsia="es-CR"/>
              </w:rPr>
            </w:pPr>
            <w:r w:rsidRPr="002C0DC3">
              <w:rPr>
                <w:lang w:val="es-CR" w:eastAsia="es-CR"/>
              </w:rPr>
              <w:t>Cobro II Circ Zona Atlántica</w:t>
            </w:r>
          </w:p>
        </w:tc>
        <w:tc>
          <w:tcPr>
            <w:tcW w:w="1099" w:type="dxa"/>
            <w:shd w:val="clear" w:color="auto" w:fill="auto"/>
            <w:noWrap/>
            <w:vAlign w:val="bottom"/>
            <w:hideMark/>
          </w:tcPr>
          <w:p w14:paraId="6B00F6D4" w14:textId="77777777" w:rsidR="002C0DC3" w:rsidRPr="002C0DC3" w:rsidRDefault="002C0DC3" w:rsidP="002C0DC3">
            <w:pPr>
              <w:suppressAutoHyphens w:val="0"/>
              <w:jc w:val="center"/>
              <w:rPr>
                <w:lang w:val="es-CR" w:eastAsia="es-CR"/>
              </w:rPr>
            </w:pPr>
            <w:r w:rsidRPr="002C0DC3">
              <w:rPr>
                <w:lang w:val="es-CR" w:eastAsia="es-CR"/>
              </w:rPr>
              <w:t>50</w:t>
            </w:r>
          </w:p>
        </w:tc>
        <w:tc>
          <w:tcPr>
            <w:tcW w:w="1307" w:type="dxa"/>
            <w:shd w:val="clear" w:color="auto" w:fill="auto"/>
            <w:noWrap/>
            <w:vAlign w:val="bottom"/>
            <w:hideMark/>
          </w:tcPr>
          <w:p w14:paraId="1F0A17AE" w14:textId="77777777" w:rsidR="002C0DC3" w:rsidRPr="002C0DC3" w:rsidRDefault="002C0DC3" w:rsidP="002C0DC3">
            <w:pPr>
              <w:suppressAutoHyphens w:val="0"/>
              <w:jc w:val="center"/>
              <w:rPr>
                <w:lang w:val="es-CR" w:eastAsia="es-CR"/>
              </w:rPr>
            </w:pPr>
            <w:r w:rsidRPr="002C0DC3">
              <w:rPr>
                <w:lang w:val="es-CR" w:eastAsia="es-CR"/>
              </w:rPr>
              <w:t>0</w:t>
            </w:r>
          </w:p>
        </w:tc>
        <w:tc>
          <w:tcPr>
            <w:tcW w:w="1425" w:type="dxa"/>
            <w:shd w:val="clear" w:color="auto" w:fill="auto"/>
            <w:noWrap/>
            <w:vAlign w:val="bottom"/>
            <w:hideMark/>
          </w:tcPr>
          <w:p w14:paraId="613B4101" w14:textId="77777777" w:rsidR="002C0DC3" w:rsidRPr="002C0DC3" w:rsidRDefault="002C0DC3" w:rsidP="002C0DC3">
            <w:pPr>
              <w:suppressAutoHyphens w:val="0"/>
              <w:jc w:val="center"/>
              <w:rPr>
                <w:lang w:val="es-CR" w:eastAsia="es-CR"/>
              </w:rPr>
            </w:pPr>
            <w:r w:rsidRPr="002C0DC3">
              <w:rPr>
                <w:lang w:val="es-CR" w:eastAsia="es-CR"/>
              </w:rPr>
              <w:t>0</w:t>
            </w:r>
          </w:p>
        </w:tc>
        <w:tc>
          <w:tcPr>
            <w:tcW w:w="708" w:type="dxa"/>
            <w:shd w:val="clear" w:color="auto" w:fill="auto"/>
            <w:noWrap/>
            <w:vAlign w:val="bottom"/>
            <w:hideMark/>
          </w:tcPr>
          <w:p w14:paraId="3939B88D" w14:textId="77777777" w:rsidR="002C0DC3" w:rsidRPr="002C0DC3" w:rsidRDefault="002C0DC3" w:rsidP="002C0DC3">
            <w:pPr>
              <w:suppressAutoHyphens w:val="0"/>
              <w:jc w:val="center"/>
              <w:rPr>
                <w:lang w:val="es-CR" w:eastAsia="es-CR"/>
              </w:rPr>
            </w:pPr>
            <w:r w:rsidRPr="002C0DC3">
              <w:rPr>
                <w:lang w:val="es-CR" w:eastAsia="es-CR"/>
              </w:rPr>
              <w:t>0</w:t>
            </w:r>
          </w:p>
        </w:tc>
        <w:tc>
          <w:tcPr>
            <w:tcW w:w="877" w:type="dxa"/>
            <w:shd w:val="clear" w:color="auto" w:fill="auto"/>
            <w:noWrap/>
            <w:vAlign w:val="bottom"/>
            <w:hideMark/>
          </w:tcPr>
          <w:p w14:paraId="7669D65B" w14:textId="77777777" w:rsidR="002C0DC3" w:rsidRPr="002C0DC3" w:rsidRDefault="002C0DC3" w:rsidP="002C0DC3">
            <w:pPr>
              <w:suppressAutoHyphens w:val="0"/>
              <w:jc w:val="center"/>
              <w:rPr>
                <w:lang w:val="es-CR" w:eastAsia="es-CR"/>
              </w:rPr>
            </w:pPr>
            <w:r w:rsidRPr="002C0DC3">
              <w:rPr>
                <w:lang w:val="es-CR" w:eastAsia="es-CR"/>
              </w:rPr>
              <w:t>48</w:t>
            </w:r>
          </w:p>
        </w:tc>
        <w:tc>
          <w:tcPr>
            <w:tcW w:w="683" w:type="dxa"/>
            <w:shd w:val="clear" w:color="auto" w:fill="auto"/>
            <w:noWrap/>
            <w:vAlign w:val="bottom"/>
            <w:hideMark/>
          </w:tcPr>
          <w:p w14:paraId="555158CB" w14:textId="77777777" w:rsidR="002C0DC3" w:rsidRPr="002C0DC3" w:rsidRDefault="002C0DC3" w:rsidP="002C0DC3">
            <w:pPr>
              <w:suppressAutoHyphens w:val="0"/>
              <w:jc w:val="center"/>
              <w:rPr>
                <w:lang w:val="es-CR" w:eastAsia="es-CR"/>
              </w:rPr>
            </w:pPr>
            <w:r w:rsidRPr="002C0DC3">
              <w:rPr>
                <w:lang w:val="es-CR" w:eastAsia="es-CR"/>
              </w:rPr>
              <w:t>2</w:t>
            </w:r>
          </w:p>
        </w:tc>
        <w:tc>
          <w:tcPr>
            <w:tcW w:w="585" w:type="dxa"/>
            <w:vAlign w:val="center"/>
            <w:hideMark/>
          </w:tcPr>
          <w:p w14:paraId="2CC847C7" w14:textId="77777777" w:rsidR="002C0DC3" w:rsidRPr="002C0DC3" w:rsidRDefault="002C0DC3" w:rsidP="002C0DC3">
            <w:pPr>
              <w:suppressAutoHyphens w:val="0"/>
              <w:rPr>
                <w:lang w:val="es-CR" w:eastAsia="es-CR"/>
              </w:rPr>
            </w:pPr>
          </w:p>
        </w:tc>
      </w:tr>
    </w:tbl>
    <w:p w14:paraId="4AD6E6C7" w14:textId="77777777" w:rsidR="002C0DC3" w:rsidRPr="002C0DC3" w:rsidRDefault="002C0DC3" w:rsidP="002C0DC3">
      <w:pPr>
        <w:suppressAutoHyphens w:val="0"/>
        <w:jc w:val="both"/>
        <w:rPr>
          <w:rFonts w:eastAsia="Calibri"/>
          <w:lang w:val="es-CR" w:eastAsia="en-US"/>
        </w:rPr>
      </w:pPr>
    </w:p>
    <w:p w14:paraId="31603B1B"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lastRenderedPageBreak/>
        <w:t>Elaborado por: Subproceso de Estadística, Dirección de Planificación.</w:t>
      </w:r>
    </w:p>
    <w:p w14:paraId="53C85A57" w14:textId="77777777" w:rsidR="002C0DC3" w:rsidRPr="002C0DC3" w:rsidRDefault="002C0DC3" w:rsidP="002C0DC3">
      <w:pPr>
        <w:suppressAutoHyphens w:val="0"/>
        <w:ind w:left="851" w:right="851" w:firstLine="709"/>
        <w:jc w:val="both"/>
        <w:rPr>
          <w:rFonts w:eastAsia="Calibri"/>
          <w:lang w:val="es-CR" w:eastAsia="en-US"/>
        </w:rPr>
      </w:pPr>
    </w:p>
    <w:p w14:paraId="483EAC2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Durante el 2020 ingresaron un total de 779 nuevos incidentes para ser procesados en los 19 juzgados que atienden la materia cobratoria, además se suman a la carga de trabajo de incidentes 143 reentrados y 157 reactivados, para una carga total de trabajo de 1.079 incidentes. De ese total terminaron 624 incidentes, que representa el 57.8%. Otros 270 incidentes fueron dados de baja al ser inactivados.</w:t>
      </w:r>
    </w:p>
    <w:p w14:paraId="275F00E7" w14:textId="77777777" w:rsidR="002C0DC3" w:rsidRPr="002C0DC3" w:rsidRDefault="002C0DC3" w:rsidP="002C0DC3">
      <w:pPr>
        <w:suppressAutoHyphens w:val="0"/>
        <w:ind w:left="851" w:right="851" w:firstLine="709"/>
        <w:jc w:val="both"/>
        <w:rPr>
          <w:rFonts w:eastAsia="Calibri"/>
          <w:lang w:val="es-CR" w:eastAsia="en-US"/>
        </w:rPr>
      </w:pPr>
    </w:p>
    <w:p w14:paraId="02B2624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Destacan de forma individual por su alto volumen de </w:t>
      </w:r>
      <w:r w:rsidRPr="002C0DC3">
        <w:rPr>
          <w:rFonts w:eastAsia="Calibri"/>
          <w:i/>
          <w:iCs/>
          <w:lang w:val="es-CR" w:eastAsia="en-US"/>
        </w:rPr>
        <w:t>Carga de Trabajo</w:t>
      </w:r>
      <w:r w:rsidRPr="002C0DC3">
        <w:rPr>
          <w:rFonts w:eastAsia="Calibri"/>
          <w:i/>
          <w:iCs/>
          <w:vertAlign w:val="superscript"/>
          <w:lang w:val="es-CR" w:eastAsia="en-US"/>
        </w:rPr>
        <w:footnoteReference w:id="1"/>
      </w:r>
      <w:r w:rsidRPr="002C0DC3">
        <w:rPr>
          <w:rFonts w:eastAsia="Calibri"/>
          <w:lang w:val="es-CR" w:eastAsia="en-US"/>
        </w:rPr>
        <w:t>, las tres secciones del II circuito Judicial de San José con un total de 609 incidentes y una participación sobre el total del 56.4% y Cobro del I Circuito Judicial de Alajuela con 233 y un aporte relativo del 21.6%.</w:t>
      </w:r>
    </w:p>
    <w:p w14:paraId="10702445" w14:textId="77777777" w:rsidR="002C0DC3" w:rsidRPr="002C0DC3" w:rsidRDefault="002C0DC3" w:rsidP="002C0DC3">
      <w:pPr>
        <w:suppressAutoHyphens w:val="0"/>
        <w:ind w:left="851" w:right="851" w:firstLine="709"/>
        <w:jc w:val="both"/>
        <w:rPr>
          <w:rFonts w:eastAsia="Calibri"/>
          <w:lang w:val="es-CR" w:eastAsia="en-US"/>
        </w:rPr>
      </w:pPr>
    </w:p>
    <w:p w14:paraId="392C179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El </w:t>
      </w:r>
      <w:r w:rsidRPr="002C0DC3">
        <w:rPr>
          <w:rFonts w:eastAsia="Calibri"/>
          <w:i/>
          <w:iCs/>
          <w:lang w:val="es-CR" w:eastAsia="en-US"/>
        </w:rPr>
        <w:t>Cobro de Honorarios</w:t>
      </w:r>
      <w:r w:rsidRPr="002C0DC3">
        <w:rPr>
          <w:rFonts w:eastAsia="Calibri"/>
          <w:lang w:val="es-CR" w:eastAsia="en-US"/>
        </w:rPr>
        <w:t xml:space="preserve"> es el tipo de incidente que ingresa con mayor frecuencia a los Juzgados de Cobro, comprendiendo el 98% de la totalidad de procesos incidentales durante el 2020.</w:t>
      </w:r>
    </w:p>
    <w:p w14:paraId="6B914F32" w14:textId="77777777" w:rsidR="002C0DC3" w:rsidRPr="002C0DC3" w:rsidRDefault="002C0DC3" w:rsidP="002C0DC3">
      <w:pPr>
        <w:suppressAutoHyphens w:val="0"/>
        <w:ind w:left="851" w:right="851" w:firstLine="709"/>
        <w:jc w:val="both"/>
        <w:rPr>
          <w:rFonts w:eastAsia="Calibri"/>
          <w:lang w:val="es-CR" w:eastAsia="en-US"/>
        </w:rPr>
      </w:pPr>
    </w:p>
    <w:p w14:paraId="4098277A"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Con relación a los motivos de términos asociados a estos 1.079 incidentes en trámite, se tiene que este colectivo logró dar finalización a 624, ósea al 57.8%, siendo la </w:t>
      </w:r>
      <w:r w:rsidRPr="002C0DC3">
        <w:rPr>
          <w:rFonts w:eastAsia="Calibri"/>
          <w:i/>
          <w:iCs/>
          <w:lang w:val="es-CR" w:eastAsia="en-US"/>
        </w:rPr>
        <w:t>Satisfacción Extraprocesal</w:t>
      </w:r>
      <w:r w:rsidRPr="002C0DC3">
        <w:rPr>
          <w:rFonts w:eastAsia="Calibri"/>
          <w:lang w:val="es-CR" w:eastAsia="en-US"/>
        </w:rPr>
        <w:t xml:space="preserve"> el motivo más recurrente con una participación del 54% y un volumen de resolución equivalente a 337. Otros en importancia lo fueron </w:t>
      </w:r>
      <w:r w:rsidRPr="002C0DC3">
        <w:rPr>
          <w:rFonts w:eastAsia="Calibri"/>
          <w:i/>
          <w:iCs/>
          <w:lang w:val="es-CR" w:eastAsia="en-US"/>
        </w:rPr>
        <w:t xml:space="preserve">Resolución de Fondo SEP (100) </w:t>
      </w:r>
      <w:r w:rsidRPr="002C0DC3">
        <w:rPr>
          <w:rFonts w:eastAsia="Calibri"/>
          <w:lang w:val="es-CR" w:eastAsia="en-US"/>
        </w:rPr>
        <w:t xml:space="preserve">y </w:t>
      </w:r>
      <w:r w:rsidRPr="002C0DC3">
        <w:rPr>
          <w:rFonts w:eastAsia="Calibri"/>
          <w:i/>
          <w:iCs/>
          <w:lang w:val="es-CR" w:eastAsia="en-US"/>
        </w:rPr>
        <w:t xml:space="preserve">Resolución Cumplida (40). </w:t>
      </w:r>
      <w:r w:rsidRPr="002C0DC3">
        <w:rPr>
          <w:rFonts w:eastAsia="Calibri"/>
          <w:lang w:val="es-CR" w:eastAsia="en-US"/>
        </w:rPr>
        <w:t xml:space="preserve"> </w:t>
      </w:r>
    </w:p>
    <w:p w14:paraId="282F45F8" w14:textId="77777777" w:rsidR="002C0DC3" w:rsidRPr="002C0DC3" w:rsidRDefault="002C0DC3" w:rsidP="002C0DC3">
      <w:pPr>
        <w:suppressAutoHyphens w:val="0"/>
        <w:jc w:val="both"/>
        <w:rPr>
          <w:rFonts w:eastAsia="Calibri"/>
          <w:lang w:val="es-CR" w:eastAsia="en-US"/>
        </w:rPr>
      </w:pPr>
    </w:p>
    <w:p w14:paraId="389BFBFC" w14:textId="77777777" w:rsidR="002C0DC3" w:rsidRPr="002C0DC3" w:rsidRDefault="002C0DC3" w:rsidP="002C0DC3">
      <w:pPr>
        <w:keepNext/>
        <w:keepLines/>
        <w:numPr>
          <w:ilvl w:val="1"/>
          <w:numId w:val="0"/>
        </w:numPr>
        <w:suppressAutoHyphens w:val="0"/>
        <w:ind w:left="851" w:right="851" w:firstLine="709"/>
        <w:jc w:val="both"/>
        <w:rPr>
          <w:b/>
          <w:lang w:val="es-CR" w:eastAsia="es-CR"/>
        </w:rPr>
      </w:pPr>
      <w:r w:rsidRPr="002C0DC3">
        <w:rPr>
          <w:b/>
          <w:lang w:val="es-CR" w:eastAsia="es-CR"/>
        </w:rPr>
        <w:t>Tercerías</w:t>
      </w:r>
    </w:p>
    <w:p w14:paraId="531EB190" w14:textId="77777777" w:rsidR="002C0DC3" w:rsidRPr="002C0DC3" w:rsidRDefault="002C0DC3" w:rsidP="002C0DC3">
      <w:pPr>
        <w:suppressAutoHyphens w:val="0"/>
        <w:ind w:left="851" w:right="851" w:firstLine="709"/>
        <w:jc w:val="both"/>
        <w:rPr>
          <w:rFonts w:eastAsia="Calibri"/>
          <w:lang w:val="es-CR" w:eastAsia="en-US"/>
        </w:rPr>
      </w:pPr>
    </w:p>
    <w:p w14:paraId="5B8EB1EF"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Cuadro N°7.2</w:t>
      </w:r>
    </w:p>
    <w:p w14:paraId="025568F3" w14:textId="3933D22A"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Balance General de las Tercerías atendidas por los Juzgados de Cobro a</w:t>
      </w:r>
      <w:r>
        <w:rPr>
          <w:rFonts w:eastAsia="Calibri"/>
          <w:b/>
          <w:bCs/>
          <w:lang w:val="es-CR" w:eastAsia="en-US"/>
        </w:rPr>
        <w:t xml:space="preserve"> </w:t>
      </w:r>
      <w:r w:rsidRPr="002C0DC3">
        <w:rPr>
          <w:rFonts w:eastAsia="Calibri"/>
          <w:b/>
          <w:bCs/>
          <w:lang w:val="es-CR" w:eastAsia="en-US"/>
        </w:rPr>
        <w:t>nivel nacional, según Circuito Judicial al que pertenecen, período 2020</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5"/>
        <w:gridCol w:w="1134"/>
        <w:gridCol w:w="1276"/>
        <w:gridCol w:w="1134"/>
        <w:gridCol w:w="1417"/>
        <w:gridCol w:w="1134"/>
        <w:gridCol w:w="851"/>
        <w:gridCol w:w="160"/>
      </w:tblGrid>
      <w:tr w:rsidR="002C0DC3" w:rsidRPr="002C0DC3" w14:paraId="62F28B81" w14:textId="77777777" w:rsidTr="002C0DC3">
        <w:trPr>
          <w:gridAfter w:val="1"/>
          <w:wAfter w:w="160" w:type="dxa"/>
          <w:trHeight w:val="628"/>
          <w:tblHeader/>
        </w:trPr>
        <w:tc>
          <w:tcPr>
            <w:tcW w:w="1985" w:type="dxa"/>
            <w:vMerge w:val="restart"/>
            <w:shd w:val="clear" w:color="auto" w:fill="auto"/>
            <w:vAlign w:val="center"/>
            <w:hideMark/>
          </w:tcPr>
          <w:p w14:paraId="21A7D26C" w14:textId="77777777" w:rsidR="002C0DC3" w:rsidRPr="002C0DC3" w:rsidRDefault="002C0DC3" w:rsidP="002C0DC3">
            <w:pPr>
              <w:suppressAutoHyphens w:val="0"/>
              <w:jc w:val="center"/>
              <w:rPr>
                <w:b/>
                <w:bCs/>
                <w:lang w:val="es-CR" w:eastAsia="es-CR"/>
              </w:rPr>
            </w:pPr>
            <w:r w:rsidRPr="002C0DC3">
              <w:rPr>
                <w:b/>
                <w:bCs/>
                <w:lang w:val="es-CR" w:eastAsia="es-CR"/>
              </w:rPr>
              <w:t>CIRCUITO JUDICIAL Y OFICINA</w:t>
            </w:r>
          </w:p>
        </w:tc>
        <w:tc>
          <w:tcPr>
            <w:tcW w:w="1134" w:type="dxa"/>
            <w:vMerge w:val="restart"/>
            <w:shd w:val="clear" w:color="auto" w:fill="auto"/>
            <w:vAlign w:val="center"/>
            <w:hideMark/>
          </w:tcPr>
          <w:p w14:paraId="3E405027" w14:textId="77777777" w:rsidR="002C0DC3" w:rsidRPr="002C0DC3" w:rsidRDefault="002C0DC3" w:rsidP="002C0DC3">
            <w:pPr>
              <w:suppressAutoHyphens w:val="0"/>
              <w:jc w:val="center"/>
              <w:rPr>
                <w:b/>
                <w:bCs/>
                <w:lang w:val="es-CR" w:eastAsia="es-CR"/>
              </w:rPr>
            </w:pPr>
            <w:r w:rsidRPr="002C0DC3">
              <w:rPr>
                <w:b/>
                <w:bCs/>
                <w:lang w:val="es-CR" w:eastAsia="es-CR"/>
              </w:rPr>
              <w:t>ENTRADOS</w:t>
            </w:r>
          </w:p>
        </w:tc>
        <w:tc>
          <w:tcPr>
            <w:tcW w:w="1276" w:type="dxa"/>
            <w:vMerge w:val="restart"/>
            <w:shd w:val="clear" w:color="auto" w:fill="auto"/>
            <w:vAlign w:val="center"/>
            <w:hideMark/>
          </w:tcPr>
          <w:p w14:paraId="444FCD9F" w14:textId="77777777" w:rsidR="002C0DC3" w:rsidRPr="002C0DC3" w:rsidRDefault="002C0DC3" w:rsidP="002C0DC3">
            <w:pPr>
              <w:suppressAutoHyphens w:val="0"/>
              <w:jc w:val="center"/>
              <w:rPr>
                <w:b/>
                <w:bCs/>
                <w:lang w:val="es-CR" w:eastAsia="es-CR"/>
              </w:rPr>
            </w:pPr>
            <w:r w:rsidRPr="002C0DC3">
              <w:rPr>
                <w:b/>
                <w:bCs/>
                <w:lang w:val="es-CR" w:eastAsia="es-CR"/>
              </w:rPr>
              <w:t>REENTRADOS</w:t>
            </w:r>
          </w:p>
        </w:tc>
        <w:tc>
          <w:tcPr>
            <w:tcW w:w="1134" w:type="dxa"/>
            <w:vMerge w:val="restart"/>
            <w:shd w:val="clear" w:color="auto" w:fill="auto"/>
            <w:vAlign w:val="center"/>
            <w:hideMark/>
          </w:tcPr>
          <w:p w14:paraId="4490245A" w14:textId="77777777" w:rsidR="002C0DC3" w:rsidRPr="002C0DC3" w:rsidRDefault="002C0DC3" w:rsidP="002C0DC3">
            <w:pPr>
              <w:suppressAutoHyphens w:val="0"/>
              <w:jc w:val="center"/>
              <w:rPr>
                <w:b/>
                <w:bCs/>
                <w:lang w:val="es-CR" w:eastAsia="es-CR"/>
              </w:rPr>
            </w:pPr>
            <w:r w:rsidRPr="002C0DC3">
              <w:rPr>
                <w:b/>
                <w:bCs/>
                <w:lang w:val="es-CR" w:eastAsia="es-CR"/>
              </w:rPr>
              <w:t>REACTIVADOS</w:t>
            </w:r>
          </w:p>
        </w:tc>
        <w:tc>
          <w:tcPr>
            <w:tcW w:w="1417" w:type="dxa"/>
            <w:vMerge w:val="restart"/>
            <w:shd w:val="clear" w:color="auto" w:fill="auto"/>
            <w:vAlign w:val="center"/>
            <w:hideMark/>
          </w:tcPr>
          <w:p w14:paraId="68CF777F" w14:textId="77777777" w:rsidR="002C0DC3" w:rsidRPr="002C0DC3" w:rsidRDefault="002C0DC3" w:rsidP="002C0DC3">
            <w:pPr>
              <w:suppressAutoHyphens w:val="0"/>
              <w:jc w:val="center"/>
              <w:rPr>
                <w:b/>
                <w:bCs/>
                <w:lang w:val="es-CR" w:eastAsia="es-CR"/>
              </w:rPr>
            </w:pPr>
            <w:r w:rsidRPr="002C0DC3">
              <w:rPr>
                <w:b/>
                <w:bCs/>
                <w:lang w:val="es-CR" w:eastAsia="es-CR"/>
              </w:rPr>
              <w:t xml:space="preserve">TESTIMONIO DE PIEZAS </w:t>
            </w:r>
          </w:p>
        </w:tc>
        <w:tc>
          <w:tcPr>
            <w:tcW w:w="1134" w:type="dxa"/>
            <w:vMerge w:val="restart"/>
            <w:shd w:val="clear" w:color="auto" w:fill="auto"/>
            <w:vAlign w:val="center"/>
            <w:hideMark/>
          </w:tcPr>
          <w:p w14:paraId="7A282511" w14:textId="77777777" w:rsidR="002C0DC3" w:rsidRPr="002C0DC3" w:rsidRDefault="002C0DC3" w:rsidP="002C0DC3">
            <w:pPr>
              <w:suppressAutoHyphens w:val="0"/>
              <w:jc w:val="center"/>
              <w:rPr>
                <w:b/>
                <w:bCs/>
                <w:lang w:val="es-CR" w:eastAsia="es-CR"/>
              </w:rPr>
            </w:pPr>
            <w:r w:rsidRPr="002C0DC3">
              <w:rPr>
                <w:b/>
                <w:bCs/>
                <w:lang w:val="es-CR" w:eastAsia="es-CR"/>
              </w:rPr>
              <w:t>TERMINADOS</w:t>
            </w:r>
          </w:p>
        </w:tc>
        <w:tc>
          <w:tcPr>
            <w:tcW w:w="851" w:type="dxa"/>
            <w:vMerge w:val="restart"/>
            <w:shd w:val="clear" w:color="auto" w:fill="auto"/>
            <w:vAlign w:val="center"/>
            <w:hideMark/>
          </w:tcPr>
          <w:p w14:paraId="7122E686" w14:textId="77777777" w:rsidR="002C0DC3" w:rsidRPr="002C0DC3" w:rsidRDefault="002C0DC3" w:rsidP="002C0DC3">
            <w:pPr>
              <w:suppressAutoHyphens w:val="0"/>
              <w:jc w:val="center"/>
              <w:rPr>
                <w:b/>
                <w:bCs/>
                <w:lang w:val="es-CR" w:eastAsia="es-CR"/>
              </w:rPr>
            </w:pPr>
            <w:r w:rsidRPr="002C0DC3">
              <w:rPr>
                <w:b/>
                <w:bCs/>
                <w:lang w:val="es-CR" w:eastAsia="es-CR"/>
              </w:rPr>
              <w:t>INACTIVOS</w:t>
            </w:r>
          </w:p>
        </w:tc>
      </w:tr>
      <w:tr w:rsidR="002C0DC3" w:rsidRPr="002C0DC3" w14:paraId="7251CE83" w14:textId="77777777" w:rsidTr="002C0DC3">
        <w:trPr>
          <w:trHeight w:val="630"/>
        </w:trPr>
        <w:tc>
          <w:tcPr>
            <w:tcW w:w="1985" w:type="dxa"/>
            <w:vMerge/>
            <w:vAlign w:val="center"/>
            <w:hideMark/>
          </w:tcPr>
          <w:p w14:paraId="0DDEB234" w14:textId="77777777" w:rsidR="002C0DC3" w:rsidRPr="002C0DC3" w:rsidRDefault="002C0DC3" w:rsidP="002C0DC3">
            <w:pPr>
              <w:suppressAutoHyphens w:val="0"/>
              <w:rPr>
                <w:b/>
                <w:bCs/>
                <w:lang w:val="es-CR" w:eastAsia="es-CR"/>
              </w:rPr>
            </w:pPr>
          </w:p>
        </w:tc>
        <w:tc>
          <w:tcPr>
            <w:tcW w:w="1134" w:type="dxa"/>
            <w:vMerge/>
            <w:vAlign w:val="center"/>
            <w:hideMark/>
          </w:tcPr>
          <w:p w14:paraId="33671C4E" w14:textId="77777777" w:rsidR="002C0DC3" w:rsidRPr="002C0DC3" w:rsidRDefault="002C0DC3" w:rsidP="002C0DC3">
            <w:pPr>
              <w:suppressAutoHyphens w:val="0"/>
              <w:rPr>
                <w:b/>
                <w:bCs/>
                <w:lang w:val="es-CR" w:eastAsia="es-CR"/>
              </w:rPr>
            </w:pPr>
          </w:p>
        </w:tc>
        <w:tc>
          <w:tcPr>
            <w:tcW w:w="1276" w:type="dxa"/>
            <w:vMerge/>
            <w:vAlign w:val="center"/>
            <w:hideMark/>
          </w:tcPr>
          <w:p w14:paraId="15B5A4A5" w14:textId="77777777" w:rsidR="002C0DC3" w:rsidRPr="002C0DC3" w:rsidRDefault="002C0DC3" w:rsidP="002C0DC3">
            <w:pPr>
              <w:suppressAutoHyphens w:val="0"/>
              <w:rPr>
                <w:b/>
                <w:bCs/>
                <w:lang w:val="es-CR" w:eastAsia="es-CR"/>
              </w:rPr>
            </w:pPr>
          </w:p>
        </w:tc>
        <w:tc>
          <w:tcPr>
            <w:tcW w:w="1134" w:type="dxa"/>
            <w:vMerge/>
            <w:vAlign w:val="center"/>
            <w:hideMark/>
          </w:tcPr>
          <w:p w14:paraId="747A0C47" w14:textId="77777777" w:rsidR="002C0DC3" w:rsidRPr="002C0DC3" w:rsidRDefault="002C0DC3" w:rsidP="002C0DC3">
            <w:pPr>
              <w:suppressAutoHyphens w:val="0"/>
              <w:rPr>
                <w:b/>
                <w:bCs/>
                <w:lang w:val="es-CR" w:eastAsia="es-CR"/>
              </w:rPr>
            </w:pPr>
          </w:p>
        </w:tc>
        <w:tc>
          <w:tcPr>
            <w:tcW w:w="1417" w:type="dxa"/>
            <w:vMerge/>
            <w:vAlign w:val="center"/>
            <w:hideMark/>
          </w:tcPr>
          <w:p w14:paraId="093604CB" w14:textId="77777777" w:rsidR="002C0DC3" w:rsidRPr="002C0DC3" w:rsidRDefault="002C0DC3" w:rsidP="002C0DC3">
            <w:pPr>
              <w:suppressAutoHyphens w:val="0"/>
              <w:rPr>
                <w:b/>
                <w:bCs/>
                <w:lang w:val="es-CR" w:eastAsia="es-CR"/>
              </w:rPr>
            </w:pPr>
          </w:p>
        </w:tc>
        <w:tc>
          <w:tcPr>
            <w:tcW w:w="1134" w:type="dxa"/>
            <w:vMerge/>
            <w:vAlign w:val="center"/>
            <w:hideMark/>
          </w:tcPr>
          <w:p w14:paraId="7862A31A" w14:textId="77777777" w:rsidR="002C0DC3" w:rsidRPr="002C0DC3" w:rsidRDefault="002C0DC3" w:rsidP="002C0DC3">
            <w:pPr>
              <w:suppressAutoHyphens w:val="0"/>
              <w:rPr>
                <w:b/>
                <w:bCs/>
                <w:lang w:val="es-CR" w:eastAsia="es-CR"/>
              </w:rPr>
            </w:pPr>
          </w:p>
        </w:tc>
        <w:tc>
          <w:tcPr>
            <w:tcW w:w="851" w:type="dxa"/>
            <w:vMerge/>
            <w:vAlign w:val="center"/>
            <w:hideMark/>
          </w:tcPr>
          <w:p w14:paraId="7B1827F5" w14:textId="77777777" w:rsidR="002C0DC3" w:rsidRPr="002C0DC3" w:rsidRDefault="002C0DC3" w:rsidP="002C0DC3">
            <w:pPr>
              <w:suppressAutoHyphens w:val="0"/>
              <w:rPr>
                <w:b/>
                <w:bCs/>
                <w:lang w:val="es-CR" w:eastAsia="es-CR"/>
              </w:rPr>
            </w:pPr>
          </w:p>
        </w:tc>
        <w:tc>
          <w:tcPr>
            <w:tcW w:w="160" w:type="dxa"/>
            <w:shd w:val="clear" w:color="auto" w:fill="auto"/>
            <w:noWrap/>
            <w:vAlign w:val="bottom"/>
            <w:hideMark/>
          </w:tcPr>
          <w:p w14:paraId="68C1EA99" w14:textId="77777777" w:rsidR="002C0DC3" w:rsidRPr="002C0DC3" w:rsidRDefault="002C0DC3" w:rsidP="002C0DC3">
            <w:pPr>
              <w:suppressAutoHyphens w:val="0"/>
              <w:jc w:val="center"/>
              <w:rPr>
                <w:b/>
                <w:bCs/>
                <w:lang w:val="es-CR" w:eastAsia="es-CR"/>
              </w:rPr>
            </w:pPr>
          </w:p>
        </w:tc>
      </w:tr>
      <w:tr w:rsidR="002C0DC3" w:rsidRPr="002C0DC3" w14:paraId="7AB8A027" w14:textId="77777777" w:rsidTr="002C0DC3">
        <w:trPr>
          <w:trHeight w:val="230"/>
        </w:trPr>
        <w:tc>
          <w:tcPr>
            <w:tcW w:w="1985" w:type="dxa"/>
            <w:shd w:val="clear" w:color="auto" w:fill="auto"/>
            <w:noWrap/>
            <w:vAlign w:val="bottom"/>
            <w:hideMark/>
          </w:tcPr>
          <w:p w14:paraId="476C7D1D" w14:textId="77777777" w:rsidR="002C0DC3" w:rsidRPr="002C0DC3" w:rsidRDefault="002C0DC3" w:rsidP="002C0DC3">
            <w:pPr>
              <w:suppressAutoHyphens w:val="0"/>
              <w:jc w:val="center"/>
              <w:rPr>
                <w:b/>
                <w:bCs/>
                <w:lang w:val="es-CR" w:eastAsia="es-CR"/>
              </w:rPr>
            </w:pPr>
            <w:r w:rsidRPr="002C0DC3">
              <w:rPr>
                <w:b/>
                <w:bCs/>
                <w:lang w:val="es-CR" w:eastAsia="es-CR"/>
              </w:rPr>
              <w:t>Total</w:t>
            </w:r>
          </w:p>
        </w:tc>
        <w:tc>
          <w:tcPr>
            <w:tcW w:w="1134" w:type="dxa"/>
            <w:shd w:val="clear" w:color="auto" w:fill="auto"/>
            <w:noWrap/>
            <w:vAlign w:val="bottom"/>
            <w:hideMark/>
          </w:tcPr>
          <w:p w14:paraId="28088F6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167</w:t>
            </w:r>
          </w:p>
        </w:tc>
        <w:tc>
          <w:tcPr>
            <w:tcW w:w="1276" w:type="dxa"/>
            <w:shd w:val="clear" w:color="auto" w:fill="auto"/>
            <w:noWrap/>
            <w:vAlign w:val="bottom"/>
            <w:hideMark/>
          </w:tcPr>
          <w:p w14:paraId="6B71983D"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28</w:t>
            </w:r>
          </w:p>
        </w:tc>
        <w:tc>
          <w:tcPr>
            <w:tcW w:w="1134" w:type="dxa"/>
            <w:shd w:val="clear" w:color="auto" w:fill="auto"/>
            <w:noWrap/>
            <w:vAlign w:val="bottom"/>
            <w:hideMark/>
          </w:tcPr>
          <w:p w14:paraId="7FEA3CBD"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1417" w:type="dxa"/>
            <w:shd w:val="clear" w:color="auto" w:fill="auto"/>
            <w:noWrap/>
            <w:vAlign w:val="bottom"/>
            <w:hideMark/>
          </w:tcPr>
          <w:p w14:paraId="5829241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3D5B0CF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124</w:t>
            </w:r>
          </w:p>
        </w:tc>
        <w:tc>
          <w:tcPr>
            <w:tcW w:w="851" w:type="dxa"/>
            <w:shd w:val="clear" w:color="auto" w:fill="auto"/>
            <w:noWrap/>
            <w:vAlign w:val="bottom"/>
            <w:hideMark/>
          </w:tcPr>
          <w:p w14:paraId="690DC59C"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22</w:t>
            </w:r>
          </w:p>
        </w:tc>
        <w:tc>
          <w:tcPr>
            <w:tcW w:w="160" w:type="dxa"/>
            <w:vAlign w:val="center"/>
            <w:hideMark/>
          </w:tcPr>
          <w:p w14:paraId="5062D600" w14:textId="77777777" w:rsidR="002C0DC3" w:rsidRPr="002C0DC3" w:rsidRDefault="002C0DC3" w:rsidP="002C0DC3">
            <w:pPr>
              <w:suppressAutoHyphens w:val="0"/>
              <w:rPr>
                <w:lang w:val="es-CR" w:eastAsia="es-CR"/>
              </w:rPr>
            </w:pPr>
          </w:p>
        </w:tc>
      </w:tr>
      <w:tr w:rsidR="002C0DC3" w:rsidRPr="002C0DC3" w14:paraId="58DB16C1" w14:textId="77777777" w:rsidTr="002C0DC3">
        <w:trPr>
          <w:trHeight w:val="230"/>
        </w:trPr>
        <w:tc>
          <w:tcPr>
            <w:tcW w:w="1985" w:type="dxa"/>
            <w:shd w:val="clear" w:color="auto" w:fill="auto"/>
            <w:noWrap/>
            <w:vAlign w:val="bottom"/>
            <w:hideMark/>
          </w:tcPr>
          <w:p w14:paraId="17E4F66D" w14:textId="77777777" w:rsidR="002C0DC3" w:rsidRPr="002C0DC3" w:rsidRDefault="002C0DC3" w:rsidP="002C0DC3">
            <w:pPr>
              <w:suppressAutoHyphens w:val="0"/>
              <w:rPr>
                <w:b/>
                <w:bCs/>
                <w:lang w:val="es-CR" w:eastAsia="es-CR"/>
              </w:rPr>
            </w:pPr>
            <w:r w:rsidRPr="002C0DC3">
              <w:rPr>
                <w:b/>
                <w:bCs/>
                <w:lang w:val="es-CR" w:eastAsia="es-CR"/>
              </w:rPr>
              <w:t xml:space="preserve">I Circuito </w:t>
            </w:r>
            <w:proofErr w:type="spellStart"/>
            <w:r w:rsidRPr="002C0DC3">
              <w:rPr>
                <w:b/>
                <w:bCs/>
                <w:lang w:val="es-CR" w:eastAsia="es-CR"/>
              </w:rPr>
              <w:t>Jud.San</w:t>
            </w:r>
            <w:proofErr w:type="spellEnd"/>
            <w:r w:rsidRPr="002C0DC3">
              <w:rPr>
                <w:b/>
                <w:bCs/>
                <w:lang w:val="es-CR" w:eastAsia="es-CR"/>
              </w:rPr>
              <w:t xml:space="preserve"> José</w:t>
            </w:r>
          </w:p>
        </w:tc>
        <w:tc>
          <w:tcPr>
            <w:tcW w:w="1134" w:type="dxa"/>
            <w:shd w:val="clear" w:color="auto" w:fill="auto"/>
            <w:noWrap/>
            <w:vAlign w:val="bottom"/>
            <w:hideMark/>
          </w:tcPr>
          <w:p w14:paraId="45CE699F" w14:textId="77777777" w:rsidR="002C0DC3" w:rsidRPr="002C0DC3" w:rsidRDefault="002C0DC3" w:rsidP="002C0DC3">
            <w:pPr>
              <w:suppressAutoHyphens w:val="0"/>
              <w:jc w:val="center"/>
              <w:rPr>
                <w:b/>
                <w:bCs/>
                <w:lang w:val="es-CR" w:eastAsia="es-CR"/>
              </w:rPr>
            </w:pPr>
            <w:r w:rsidRPr="002C0DC3">
              <w:rPr>
                <w:b/>
                <w:bCs/>
                <w:lang w:val="es-CR" w:eastAsia="es-CR"/>
              </w:rPr>
              <w:t>80</w:t>
            </w:r>
          </w:p>
        </w:tc>
        <w:tc>
          <w:tcPr>
            <w:tcW w:w="1276" w:type="dxa"/>
            <w:shd w:val="clear" w:color="auto" w:fill="auto"/>
            <w:noWrap/>
            <w:vAlign w:val="bottom"/>
            <w:hideMark/>
          </w:tcPr>
          <w:p w14:paraId="1AB6D12E" w14:textId="77777777" w:rsidR="002C0DC3" w:rsidRPr="002C0DC3" w:rsidRDefault="002C0DC3" w:rsidP="002C0DC3">
            <w:pPr>
              <w:suppressAutoHyphens w:val="0"/>
              <w:jc w:val="center"/>
              <w:rPr>
                <w:b/>
                <w:bCs/>
                <w:lang w:val="es-CR" w:eastAsia="es-CR"/>
              </w:rPr>
            </w:pPr>
            <w:r w:rsidRPr="002C0DC3">
              <w:rPr>
                <w:b/>
                <w:bCs/>
                <w:lang w:val="es-CR" w:eastAsia="es-CR"/>
              </w:rPr>
              <w:t>3</w:t>
            </w:r>
          </w:p>
        </w:tc>
        <w:tc>
          <w:tcPr>
            <w:tcW w:w="1134" w:type="dxa"/>
            <w:shd w:val="clear" w:color="auto" w:fill="auto"/>
            <w:noWrap/>
            <w:vAlign w:val="bottom"/>
            <w:hideMark/>
          </w:tcPr>
          <w:p w14:paraId="72839212" w14:textId="77777777" w:rsidR="002C0DC3" w:rsidRPr="002C0DC3" w:rsidRDefault="002C0DC3" w:rsidP="002C0DC3">
            <w:pPr>
              <w:suppressAutoHyphens w:val="0"/>
              <w:jc w:val="center"/>
              <w:rPr>
                <w:b/>
                <w:bCs/>
                <w:lang w:val="es-CR" w:eastAsia="es-CR"/>
              </w:rPr>
            </w:pPr>
            <w:r w:rsidRPr="002C0DC3">
              <w:rPr>
                <w:b/>
                <w:bCs/>
                <w:lang w:val="es-CR" w:eastAsia="es-CR"/>
              </w:rPr>
              <w:t>0</w:t>
            </w:r>
          </w:p>
        </w:tc>
        <w:tc>
          <w:tcPr>
            <w:tcW w:w="1417" w:type="dxa"/>
            <w:shd w:val="clear" w:color="auto" w:fill="auto"/>
            <w:noWrap/>
            <w:vAlign w:val="bottom"/>
            <w:hideMark/>
          </w:tcPr>
          <w:p w14:paraId="3C87BDDE" w14:textId="77777777" w:rsidR="002C0DC3" w:rsidRPr="002C0DC3" w:rsidRDefault="002C0DC3" w:rsidP="002C0DC3">
            <w:pPr>
              <w:suppressAutoHyphens w:val="0"/>
              <w:jc w:val="center"/>
              <w:rPr>
                <w:b/>
                <w:bCs/>
                <w:lang w:val="es-CR" w:eastAsia="es-CR"/>
              </w:rPr>
            </w:pPr>
            <w:r w:rsidRPr="002C0DC3">
              <w:rPr>
                <w:b/>
                <w:bCs/>
                <w:lang w:val="es-CR" w:eastAsia="es-CR"/>
              </w:rPr>
              <w:t>0</w:t>
            </w:r>
          </w:p>
        </w:tc>
        <w:tc>
          <w:tcPr>
            <w:tcW w:w="1134" w:type="dxa"/>
            <w:shd w:val="clear" w:color="auto" w:fill="auto"/>
            <w:noWrap/>
            <w:vAlign w:val="bottom"/>
            <w:hideMark/>
          </w:tcPr>
          <w:p w14:paraId="3E8BB4E8" w14:textId="77777777" w:rsidR="002C0DC3" w:rsidRPr="002C0DC3" w:rsidRDefault="002C0DC3" w:rsidP="002C0DC3">
            <w:pPr>
              <w:suppressAutoHyphens w:val="0"/>
              <w:jc w:val="center"/>
              <w:rPr>
                <w:b/>
                <w:bCs/>
                <w:lang w:val="es-CR" w:eastAsia="es-CR"/>
              </w:rPr>
            </w:pPr>
            <w:r w:rsidRPr="002C0DC3">
              <w:rPr>
                <w:b/>
                <w:bCs/>
                <w:lang w:val="es-CR" w:eastAsia="es-CR"/>
              </w:rPr>
              <w:t>39</w:t>
            </w:r>
          </w:p>
        </w:tc>
        <w:tc>
          <w:tcPr>
            <w:tcW w:w="851" w:type="dxa"/>
            <w:shd w:val="clear" w:color="auto" w:fill="auto"/>
            <w:noWrap/>
            <w:vAlign w:val="bottom"/>
            <w:hideMark/>
          </w:tcPr>
          <w:p w14:paraId="10A7F828" w14:textId="77777777" w:rsidR="002C0DC3" w:rsidRPr="002C0DC3" w:rsidRDefault="002C0DC3" w:rsidP="002C0DC3">
            <w:pPr>
              <w:suppressAutoHyphens w:val="0"/>
              <w:jc w:val="center"/>
              <w:rPr>
                <w:b/>
                <w:bCs/>
                <w:lang w:val="es-CR" w:eastAsia="es-CR"/>
              </w:rPr>
            </w:pPr>
            <w:r w:rsidRPr="002C0DC3">
              <w:rPr>
                <w:b/>
                <w:bCs/>
                <w:lang w:val="es-CR" w:eastAsia="es-CR"/>
              </w:rPr>
              <w:t>4</w:t>
            </w:r>
          </w:p>
        </w:tc>
        <w:tc>
          <w:tcPr>
            <w:tcW w:w="160" w:type="dxa"/>
            <w:vAlign w:val="center"/>
            <w:hideMark/>
          </w:tcPr>
          <w:p w14:paraId="16E7E223" w14:textId="77777777" w:rsidR="002C0DC3" w:rsidRPr="002C0DC3" w:rsidRDefault="002C0DC3" w:rsidP="002C0DC3">
            <w:pPr>
              <w:suppressAutoHyphens w:val="0"/>
              <w:rPr>
                <w:lang w:val="es-CR" w:eastAsia="es-CR"/>
              </w:rPr>
            </w:pPr>
          </w:p>
        </w:tc>
      </w:tr>
      <w:tr w:rsidR="002C0DC3" w:rsidRPr="002C0DC3" w14:paraId="743DDF81" w14:textId="77777777" w:rsidTr="002C0DC3">
        <w:trPr>
          <w:trHeight w:val="230"/>
        </w:trPr>
        <w:tc>
          <w:tcPr>
            <w:tcW w:w="1985" w:type="dxa"/>
            <w:shd w:val="clear" w:color="auto" w:fill="auto"/>
            <w:noWrap/>
            <w:vAlign w:val="bottom"/>
            <w:hideMark/>
          </w:tcPr>
          <w:p w14:paraId="6804D33C" w14:textId="77777777" w:rsidR="002C0DC3" w:rsidRPr="002C0DC3" w:rsidRDefault="002C0DC3" w:rsidP="002C0DC3">
            <w:pPr>
              <w:suppressAutoHyphens w:val="0"/>
              <w:rPr>
                <w:lang w:val="es-CR" w:eastAsia="es-CR"/>
              </w:rPr>
            </w:pPr>
            <w:r w:rsidRPr="002C0DC3">
              <w:rPr>
                <w:lang w:val="es-CR" w:eastAsia="es-CR"/>
              </w:rPr>
              <w:lastRenderedPageBreak/>
              <w:t>Primero I Circ. San José</w:t>
            </w:r>
          </w:p>
        </w:tc>
        <w:tc>
          <w:tcPr>
            <w:tcW w:w="1134" w:type="dxa"/>
            <w:shd w:val="clear" w:color="auto" w:fill="auto"/>
            <w:noWrap/>
            <w:vAlign w:val="bottom"/>
            <w:hideMark/>
          </w:tcPr>
          <w:p w14:paraId="1C289EEF" w14:textId="77777777" w:rsidR="002C0DC3" w:rsidRPr="002C0DC3" w:rsidRDefault="002C0DC3" w:rsidP="002C0DC3">
            <w:pPr>
              <w:suppressAutoHyphens w:val="0"/>
              <w:jc w:val="center"/>
              <w:rPr>
                <w:lang w:val="es-CR" w:eastAsia="es-CR"/>
              </w:rPr>
            </w:pPr>
            <w:r w:rsidRPr="002C0DC3">
              <w:rPr>
                <w:lang w:val="es-CR" w:eastAsia="es-CR"/>
              </w:rPr>
              <w:t>51</w:t>
            </w:r>
          </w:p>
        </w:tc>
        <w:tc>
          <w:tcPr>
            <w:tcW w:w="1276" w:type="dxa"/>
            <w:shd w:val="clear" w:color="auto" w:fill="auto"/>
            <w:noWrap/>
            <w:vAlign w:val="bottom"/>
            <w:hideMark/>
          </w:tcPr>
          <w:p w14:paraId="5D65ED25" w14:textId="77777777" w:rsidR="002C0DC3" w:rsidRPr="002C0DC3" w:rsidRDefault="002C0DC3" w:rsidP="002C0DC3">
            <w:pPr>
              <w:suppressAutoHyphens w:val="0"/>
              <w:jc w:val="center"/>
              <w:rPr>
                <w:lang w:val="es-CR" w:eastAsia="es-CR"/>
              </w:rPr>
            </w:pPr>
            <w:r w:rsidRPr="002C0DC3">
              <w:rPr>
                <w:lang w:val="es-CR" w:eastAsia="es-CR"/>
              </w:rPr>
              <w:t>2</w:t>
            </w:r>
          </w:p>
        </w:tc>
        <w:tc>
          <w:tcPr>
            <w:tcW w:w="1134" w:type="dxa"/>
            <w:shd w:val="clear" w:color="auto" w:fill="auto"/>
            <w:noWrap/>
            <w:vAlign w:val="bottom"/>
            <w:hideMark/>
          </w:tcPr>
          <w:p w14:paraId="2A4798BB"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17BB142E"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7F01DECE" w14:textId="77777777" w:rsidR="002C0DC3" w:rsidRPr="002C0DC3" w:rsidRDefault="002C0DC3" w:rsidP="002C0DC3">
            <w:pPr>
              <w:suppressAutoHyphens w:val="0"/>
              <w:jc w:val="center"/>
              <w:rPr>
                <w:lang w:val="es-CR" w:eastAsia="es-CR"/>
              </w:rPr>
            </w:pPr>
            <w:r w:rsidRPr="002C0DC3">
              <w:rPr>
                <w:lang w:val="es-CR" w:eastAsia="es-CR"/>
              </w:rPr>
              <w:t>20</w:t>
            </w:r>
          </w:p>
        </w:tc>
        <w:tc>
          <w:tcPr>
            <w:tcW w:w="851" w:type="dxa"/>
            <w:shd w:val="clear" w:color="auto" w:fill="auto"/>
            <w:noWrap/>
            <w:vAlign w:val="bottom"/>
            <w:hideMark/>
          </w:tcPr>
          <w:p w14:paraId="05CD8A96" w14:textId="77777777" w:rsidR="002C0DC3" w:rsidRPr="002C0DC3" w:rsidRDefault="002C0DC3" w:rsidP="002C0DC3">
            <w:pPr>
              <w:suppressAutoHyphens w:val="0"/>
              <w:jc w:val="center"/>
              <w:rPr>
                <w:lang w:val="es-CR" w:eastAsia="es-CR"/>
              </w:rPr>
            </w:pPr>
            <w:r w:rsidRPr="002C0DC3">
              <w:rPr>
                <w:lang w:val="es-CR" w:eastAsia="es-CR"/>
              </w:rPr>
              <w:t>1</w:t>
            </w:r>
          </w:p>
        </w:tc>
        <w:tc>
          <w:tcPr>
            <w:tcW w:w="160" w:type="dxa"/>
            <w:vAlign w:val="center"/>
            <w:hideMark/>
          </w:tcPr>
          <w:p w14:paraId="394A58CF" w14:textId="77777777" w:rsidR="002C0DC3" w:rsidRPr="002C0DC3" w:rsidRDefault="002C0DC3" w:rsidP="002C0DC3">
            <w:pPr>
              <w:suppressAutoHyphens w:val="0"/>
              <w:rPr>
                <w:lang w:val="es-CR" w:eastAsia="es-CR"/>
              </w:rPr>
            </w:pPr>
          </w:p>
        </w:tc>
      </w:tr>
      <w:tr w:rsidR="002C0DC3" w:rsidRPr="002C0DC3" w14:paraId="06013336" w14:textId="77777777" w:rsidTr="002C0DC3">
        <w:trPr>
          <w:trHeight w:val="230"/>
        </w:trPr>
        <w:tc>
          <w:tcPr>
            <w:tcW w:w="1985" w:type="dxa"/>
            <w:shd w:val="clear" w:color="auto" w:fill="auto"/>
            <w:noWrap/>
            <w:vAlign w:val="bottom"/>
            <w:hideMark/>
          </w:tcPr>
          <w:p w14:paraId="04B43DB2" w14:textId="77777777" w:rsidR="002C0DC3" w:rsidRPr="002C0DC3" w:rsidRDefault="002C0DC3" w:rsidP="002C0DC3">
            <w:pPr>
              <w:suppressAutoHyphens w:val="0"/>
              <w:rPr>
                <w:lang w:val="es-CR" w:eastAsia="es-CR"/>
              </w:rPr>
            </w:pPr>
            <w:r w:rsidRPr="002C0DC3">
              <w:rPr>
                <w:lang w:val="es-CR" w:eastAsia="es-CR"/>
              </w:rPr>
              <w:t>Segundo I Circ. San José</w:t>
            </w:r>
          </w:p>
        </w:tc>
        <w:tc>
          <w:tcPr>
            <w:tcW w:w="1134" w:type="dxa"/>
            <w:shd w:val="clear" w:color="auto" w:fill="auto"/>
            <w:noWrap/>
            <w:vAlign w:val="bottom"/>
            <w:hideMark/>
          </w:tcPr>
          <w:p w14:paraId="11AF8373" w14:textId="77777777" w:rsidR="002C0DC3" w:rsidRPr="002C0DC3" w:rsidRDefault="002C0DC3" w:rsidP="002C0DC3">
            <w:pPr>
              <w:suppressAutoHyphens w:val="0"/>
              <w:jc w:val="center"/>
              <w:rPr>
                <w:lang w:val="es-CR" w:eastAsia="es-CR"/>
              </w:rPr>
            </w:pPr>
            <w:r w:rsidRPr="002C0DC3">
              <w:rPr>
                <w:lang w:val="es-CR" w:eastAsia="es-CR"/>
              </w:rPr>
              <w:t>17</w:t>
            </w:r>
          </w:p>
        </w:tc>
        <w:tc>
          <w:tcPr>
            <w:tcW w:w="1276" w:type="dxa"/>
            <w:shd w:val="clear" w:color="auto" w:fill="auto"/>
            <w:noWrap/>
            <w:vAlign w:val="bottom"/>
            <w:hideMark/>
          </w:tcPr>
          <w:p w14:paraId="15528595" w14:textId="77777777" w:rsidR="002C0DC3" w:rsidRPr="002C0DC3" w:rsidRDefault="002C0DC3" w:rsidP="002C0DC3">
            <w:pPr>
              <w:suppressAutoHyphens w:val="0"/>
              <w:jc w:val="center"/>
              <w:rPr>
                <w:lang w:val="es-CR" w:eastAsia="es-CR"/>
              </w:rPr>
            </w:pPr>
            <w:r w:rsidRPr="002C0DC3">
              <w:rPr>
                <w:lang w:val="es-CR" w:eastAsia="es-CR"/>
              </w:rPr>
              <w:t>1</w:t>
            </w:r>
          </w:p>
        </w:tc>
        <w:tc>
          <w:tcPr>
            <w:tcW w:w="1134" w:type="dxa"/>
            <w:shd w:val="clear" w:color="auto" w:fill="auto"/>
            <w:noWrap/>
            <w:vAlign w:val="bottom"/>
            <w:hideMark/>
          </w:tcPr>
          <w:p w14:paraId="19DB5E74"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0FC339E5"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4F90D10B" w14:textId="77777777" w:rsidR="002C0DC3" w:rsidRPr="002C0DC3" w:rsidRDefault="002C0DC3" w:rsidP="002C0DC3">
            <w:pPr>
              <w:suppressAutoHyphens w:val="0"/>
              <w:jc w:val="center"/>
              <w:rPr>
                <w:lang w:val="es-CR" w:eastAsia="es-CR"/>
              </w:rPr>
            </w:pPr>
            <w:r w:rsidRPr="002C0DC3">
              <w:rPr>
                <w:lang w:val="es-CR" w:eastAsia="es-CR"/>
              </w:rPr>
              <w:t>12</w:t>
            </w:r>
          </w:p>
        </w:tc>
        <w:tc>
          <w:tcPr>
            <w:tcW w:w="851" w:type="dxa"/>
            <w:shd w:val="clear" w:color="auto" w:fill="auto"/>
            <w:noWrap/>
            <w:vAlign w:val="bottom"/>
            <w:hideMark/>
          </w:tcPr>
          <w:p w14:paraId="01B07E73"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6AEFA105" w14:textId="77777777" w:rsidR="002C0DC3" w:rsidRPr="002C0DC3" w:rsidRDefault="002C0DC3" w:rsidP="002C0DC3">
            <w:pPr>
              <w:suppressAutoHyphens w:val="0"/>
              <w:rPr>
                <w:lang w:val="es-CR" w:eastAsia="es-CR"/>
              </w:rPr>
            </w:pPr>
          </w:p>
        </w:tc>
      </w:tr>
      <w:tr w:rsidR="002C0DC3" w:rsidRPr="002C0DC3" w14:paraId="52A11E9E" w14:textId="77777777" w:rsidTr="002C0DC3">
        <w:trPr>
          <w:trHeight w:val="230"/>
        </w:trPr>
        <w:tc>
          <w:tcPr>
            <w:tcW w:w="1985" w:type="dxa"/>
            <w:shd w:val="clear" w:color="auto" w:fill="auto"/>
            <w:noWrap/>
            <w:vAlign w:val="bottom"/>
            <w:hideMark/>
          </w:tcPr>
          <w:p w14:paraId="77164281" w14:textId="77777777" w:rsidR="002C0DC3" w:rsidRPr="002C0DC3" w:rsidRDefault="002C0DC3" w:rsidP="002C0DC3">
            <w:pPr>
              <w:suppressAutoHyphens w:val="0"/>
              <w:rPr>
                <w:lang w:val="es-CR" w:eastAsia="es-CR"/>
              </w:rPr>
            </w:pPr>
            <w:r w:rsidRPr="002C0DC3">
              <w:rPr>
                <w:lang w:val="es-CR" w:eastAsia="es-CR"/>
              </w:rPr>
              <w:t>Tercero I Circ.  San José</w:t>
            </w:r>
          </w:p>
        </w:tc>
        <w:tc>
          <w:tcPr>
            <w:tcW w:w="1134" w:type="dxa"/>
            <w:shd w:val="clear" w:color="auto" w:fill="auto"/>
            <w:noWrap/>
            <w:vAlign w:val="bottom"/>
            <w:hideMark/>
          </w:tcPr>
          <w:p w14:paraId="2C024F4B" w14:textId="77777777" w:rsidR="002C0DC3" w:rsidRPr="002C0DC3" w:rsidRDefault="002C0DC3" w:rsidP="002C0DC3">
            <w:pPr>
              <w:suppressAutoHyphens w:val="0"/>
              <w:jc w:val="center"/>
              <w:rPr>
                <w:lang w:val="es-CR" w:eastAsia="es-CR"/>
              </w:rPr>
            </w:pPr>
            <w:r w:rsidRPr="002C0DC3">
              <w:rPr>
                <w:lang w:val="es-CR" w:eastAsia="es-CR"/>
              </w:rPr>
              <w:t>12</w:t>
            </w:r>
          </w:p>
        </w:tc>
        <w:tc>
          <w:tcPr>
            <w:tcW w:w="1276" w:type="dxa"/>
            <w:shd w:val="clear" w:color="auto" w:fill="auto"/>
            <w:noWrap/>
            <w:vAlign w:val="bottom"/>
            <w:hideMark/>
          </w:tcPr>
          <w:p w14:paraId="6FA8B09B"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358C2BA3"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5D72D378"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192798D5" w14:textId="77777777" w:rsidR="002C0DC3" w:rsidRPr="002C0DC3" w:rsidRDefault="002C0DC3" w:rsidP="002C0DC3">
            <w:pPr>
              <w:suppressAutoHyphens w:val="0"/>
              <w:jc w:val="center"/>
              <w:rPr>
                <w:lang w:val="es-CR" w:eastAsia="es-CR"/>
              </w:rPr>
            </w:pPr>
            <w:r w:rsidRPr="002C0DC3">
              <w:rPr>
                <w:lang w:val="es-CR" w:eastAsia="es-CR"/>
              </w:rPr>
              <w:t>7</w:t>
            </w:r>
          </w:p>
        </w:tc>
        <w:tc>
          <w:tcPr>
            <w:tcW w:w="851" w:type="dxa"/>
            <w:shd w:val="clear" w:color="auto" w:fill="auto"/>
            <w:noWrap/>
            <w:vAlign w:val="bottom"/>
            <w:hideMark/>
          </w:tcPr>
          <w:p w14:paraId="1F1EEEFC" w14:textId="77777777" w:rsidR="002C0DC3" w:rsidRPr="002C0DC3" w:rsidRDefault="002C0DC3" w:rsidP="002C0DC3">
            <w:pPr>
              <w:suppressAutoHyphens w:val="0"/>
              <w:jc w:val="center"/>
              <w:rPr>
                <w:lang w:val="es-CR" w:eastAsia="es-CR"/>
              </w:rPr>
            </w:pPr>
            <w:r w:rsidRPr="002C0DC3">
              <w:rPr>
                <w:lang w:val="es-CR" w:eastAsia="es-CR"/>
              </w:rPr>
              <w:t>3</w:t>
            </w:r>
          </w:p>
        </w:tc>
        <w:tc>
          <w:tcPr>
            <w:tcW w:w="160" w:type="dxa"/>
            <w:vAlign w:val="center"/>
            <w:hideMark/>
          </w:tcPr>
          <w:p w14:paraId="00C2F797" w14:textId="77777777" w:rsidR="002C0DC3" w:rsidRPr="002C0DC3" w:rsidRDefault="002C0DC3" w:rsidP="002C0DC3">
            <w:pPr>
              <w:suppressAutoHyphens w:val="0"/>
              <w:rPr>
                <w:lang w:val="es-CR" w:eastAsia="es-CR"/>
              </w:rPr>
            </w:pPr>
          </w:p>
        </w:tc>
      </w:tr>
      <w:tr w:rsidR="002C0DC3" w:rsidRPr="002C0DC3" w14:paraId="2CC99366" w14:textId="77777777" w:rsidTr="002C0DC3">
        <w:trPr>
          <w:trHeight w:val="230"/>
        </w:trPr>
        <w:tc>
          <w:tcPr>
            <w:tcW w:w="1985" w:type="dxa"/>
            <w:shd w:val="clear" w:color="auto" w:fill="auto"/>
            <w:noWrap/>
            <w:vAlign w:val="bottom"/>
            <w:hideMark/>
          </w:tcPr>
          <w:p w14:paraId="0A20672C" w14:textId="77777777" w:rsidR="002C0DC3" w:rsidRPr="002C0DC3" w:rsidRDefault="002C0DC3" w:rsidP="002C0DC3">
            <w:pPr>
              <w:suppressAutoHyphens w:val="0"/>
              <w:rPr>
                <w:b/>
                <w:bCs/>
                <w:lang w:val="es-CR" w:eastAsia="es-CR"/>
              </w:rPr>
            </w:pPr>
            <w:r w:rsidRPr="002C0DC3">
              <w:rPr>
                <w:b/>
                <w:bCs/>
                <w:lang w:val="es-CR" w:eastAsia="es-CR"/>
              </w:rPr>
              <w:t xml:space="preserve">II Circuito Jud. </w:t>
            </w:r>
            <w:proofErr w:type="spellStart"/>
            <w:r w:rsidRPr="002C0DC3">
              <w:rPr>
                <w:b/>
                <w:bCs/>
                <w:lang w:val="es-CR" w:eastAsia="es-CR"/>
              </w:rPr>
              <w:t>S.José</w:t>
            </w:r>
            <w:proofErr w:type="spellEnd"/>
          </w:p>
        </w:tc>
        <w:tc>
          <w:tcPr>
            <w:tcW w:w="1134" w:type="dxa"/>
            <w:shd w:val="clear" w:color="auto" w:fill="auto"/>
            <w:noWrap/>
            <w:vAlign w:val="bottom"/>
            <w:hideMark/>
          </w:tcPr>
          <w:p w14:paraId="1822C4C6"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12</w:t>
            </w:r>
          </w:p>
        </w:tc>
        <w:tc>
          <w:tcPr>
            <w:tcW w:w="1276" w:type="dxa"/>
            <w:shd w:val="clear" w:color="auto" w:fill="auto"/>
            <w:noWrap/>
            <w:vAlign w:val="bottom"/>
            <w:hideMark/>
          </w:tcPr>
          <w:p w14:paraId="08E3A5D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5</w:t>
            </w:r>
          </w:p>
        </w:tc>
        <w:tc>
          <w:tcPr>
            <w:tcW w:w="1134" w:type="dxa"/>
            <w:shd w:val="clear" w:color="auto" w:fill="auto"/>
            <w:noWrap/>
            <w:vAlign w:val="bottom"/>
            <w:hideMark/>
          </w:tcPr>
          <w:p w14:paraId="205DEEA4"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1417" w:type="dxa"/>
            <w:shd w:val="clear" w:color="auto" w:fill="auto"/>
            <w:noWrap/>
            <w:vAlign w:val="bottom"/>
            <w:hideMark/>
          </w:tcPr>
          <w:p w14:paraId="4E98D2A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57D56E8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9</w:t>
            </w:r>
          </w:p>
        </w:tc>
        <w:tc>
          <w:tcPr>
            <w:tcW w:w="851" w:type="dxa"/>
            <w:shd w:val="clear" w:color="auto" w:fill="auto"/>
            <w:noWrap/>
            <w:vAlign w:val="bottom"/>
            <w:hideMark/>
          </w:tcPr>
          <w:p w14:paraId="31FD7361"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11</w:t>
            </w:r>
          </w:p>
        </w:tc>
        <w:tc>
          <w:tcPr>
            <w:tcW w:w="160" w:type="dxa"/>
            <w:vAlign w:val="center"/>
            <w:hideMark/>
          </w:tcPr>
          <w:p w14:paraId="63401745" w14:textId="77777777" w:rsidR="002C0DC3" w:rsidRPr="002C0DC3" w:rsidRDefault="002C0DC3" w:rsidP="002C0DC3">
            <w:pPr>
              <w:suppressAutoHyphens w:val="0"/>
              <w:rPr>
                <w:lang w:val="es-CR" w:eastAsia="es-CR"/>
              </w:rPr>
            </w:pPr>
          </w:p>
        </w:tc>
      </w:tr>
      <w:tr w:rsidR="002C0DC3" w:rsidRPr="002C0DC3" w14:paraId="526D447F" w14:textId="77777777" w:rsidTr="002C0DC3">
        <w:trPr>
          <w:trHeight w:val="230"/>
        </w:trPr>
        <w:tc>
          <w:tcPr>
            <w:tcW w:w="1985" w:type="dxa"/>
            <w:shd w:val="clear" w:color="auto" w:fill="auto"/>
            <w:noWrap/>
            <w:vAlign w:val="bottom"/>
            <w:hideMark/>
          </w:tcPr>
          <w:p w14:paraId="4C288805" w14:textId="77777777" w:rsidR="002C0DC3" w:rsidRPr="002C0DC3" w:rsidRDefault="002C0DC3" w:rsidP="002C0DC3">
            <w:pPr>
              <w:suppressAutoHyphens w:val="0"/>
              <w:rPr>
                <w:lang w:val="es-CR" w:eastAsia="es-CR"/>
              </w:rPr>
            </w:pPr>
            <w:r w:rsidRPr="002C0DC3">
              <w:rPr>
                <w:lang w:val="es-CR" w:eastAsia="es-CR"/>
              </w:rPr>
              <w:t>II Circ. SJ, Sec. Primera</w:t>
            </w:r>
          </w:p>
        </w:tc>
        <w:tc>
          <w:tcPr>
            <w:tcW w:w="1134" w:type="dxa"/>
            <w:shd w:val="clear" w:color="auto" w:fill="auto"/>
            <w:noWrap/>
            <w:vAlign w:val="bottom"/>
            <w:hideMark/>
          </w:tcPr>
          <w:p w14:paraId="49F70B19" w14:textId="77777777" w:rsidR="002C0DC3" w:rsidRPr="002C0DC3" w:rsidRDefault="002C0DC3" w:rsidP="002C0DC3">
            <w:pPr>
              <w:suppressAutoHyphens w:val="0"/>
              <w:jc w:val="center"/>
              <w:rPr>
                <w:lang w:val="es-CR" w:eastAsia="es-CR"/>
              </w:rPr>
            </w:pPr>
            <w:r w:rsidRPr="002C0DC3">
              <w:rPr>
                <w:lang w:val="es-CR" w:eastAsia="es-CR"/>
              </w:rPr>
              <w:t>5</w:t>
            </w:r>
          </w:p>
        </w:tc>
        <w:tc>
          <w:tcPr>
            <w:tcW w:w="1276" w:type="dxa"/>
            <w:shd w:val="clear" w:color="auto" w:fill="auto"/>
            <w:noWrap/>
            <w:vAlign w:val="bottom"/>
            <w:hideMark/>
          </w:tcPr>
          <w:p w14:paraId="25718B69" w14:textId="77777777" w:rsidR="002C0DC3" w:rsidRPr="002C0DC3" w:rsidRDefault="002C0DC3" w:rsidP="002C0DC3">
            <w:pPr>
              <w:suppressAutoHyphens w:val="0"/>
              <w:jc w:val="center"/>
              <w:rPr>
                <w:lang w:val="es-CR" w:eastAsia="es-CR"/>
              </w:rPr>
            </w:pPr>
            <w:r w:rsidRPr="002C0DC3">
              <w:rPr>
                <w:lang w:val="es-CR" w:eastAsia="es-CR"/>
              </w:rPr>
              <w:t>2</w:t>
            </w:r>
          </w:p>
        </w:tc>
        <w:tc>
          <w:tcPr>
            <w:tcW w:w="1134" w:type="dxa"/>
            <w:shd w:val="clear" w:color="auto" w:fill="auto"/>
            <w:noWrap/>
            <w:vAlign w:val="bottom"/>
            <w:hideMark/>
          </w:tcPr>
          <w:p w14:paraId="0FFE0002"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1E52FD6F"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70D14158" w14:textId="77777777" w:rsidR="002C0DC3" w:rsidRPr="002C0DC3" w:rsidRDefault="002C0DC3" w:rsidP="002C0DC3">
            <w:pPr>
              <w:suppressAutoHyphens w:val="0"/>
              <w:jc w:val="center"/>
              <w:rPr>
                <w:lang w:val="es-CR" w:eastAsia="es-CR"/>
              </w:rPr>
            </w:pPr>
            <w:r w:rsidRPr="002C0DC3">
              <w:rPr>
                <w:lang w:val="es-CR" w:eastAsia="es-CR"/>
              </w:rPr>
              <w:t>2</w:t>
            </w:r>
          </w:p>
        </w:tc>
        <w:tc>
          <w:tcPr>
            <w:tcW w:w="851" w:type="dxa"/>
            <w:shd w:val="clear" w:color="auto" w:fill="auto"/>
            <w:noWrap/>
            <w:vAlign w:val="bottom"/>
            <w:hideMark/>
          </w:tcPr>
          <w:p w14:paraId="26C4CBC0"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66C9451D" w14:textId="77777777" w:rsidR="002C0DC3" w:rsidRPr="002C0DC3" w:rsidRDefault="002C0DC3" w:rsidP="002C0DC3">
            <w:pPr>
              <w:suppressAutoHyphens w:val="0"/>
              <w:rPr>
                <w:lang w:val="es-CR" w:eastAsia="es-CR"/>
              </w:rPr>
            </w:pPr>
          </w:p>
        </w:tc>
      </w:tr>
      <w:tr w:rsidR="002C0DC3" w:rsidRPr="002C0DC3" w14:paraId="347A35AF" w14:textId="77777777" w:rsidTr="002C0DC3">
        <w:trPr>
          <w:trHeight w:val="230"/>
        </w:trPr>
        <w:tc>
          <w:tcPr>
            <w:tcW w:w="1985" w:type="dxa"/>
            <w:shd w:val="clear" w:color="auto" w:fill="auto"/>
            <w:noWrap/>
            <w:vAlign w:val="bottom"/>
            <w:hideMark/>
          </w:tcPr>
          <w:p w14:paraId="44E9A99B" w14:textId="77777777" w:rsidR="002C0DC3" w:rsidRPr="002C0DC3" w:rsidRDefault="002C0DC3" w:rsidP="002C0DC3">
            <w:pPr>
              <w:suppressAutoHyphens w:val="0"/>
              <w:rPr>
                <w:lang w:val="es-CR" w:eastAsia="es-CR"/>
              </w:rPr>
            </w:pPr>
            <w:r w:rsidRPr="002C0DC3">
              <w:rPr>
                <w:lang w:val="es-CR" w:eastAsia="es-CR"/>
              </w:rPr>
              <w:t>II Circ. SJ, Sec. Segunda</w:t>
            </w:r>
          </w:p>
        </w:tc>
        <w:tc>
          <w:tcPr>
            <w:tcW w:w="1134" w:type="dxa"/>
            <w:shd w:val="clear" w:color="auto" w:fill="auto"/>
            <w:noWrap/>
            <w:vAlign w:val="bottom"/>
            <w:hideMark/>
          </w:tcPr>
          <w:p w14:paraId="531C879C" w14:textId="77777777" w:rsidR="002C0DC3" w:rsidRPr="002C0DC3" w:rsidRDefault="002C0DC3" w:rsidP="002C0DC3">
            <w:pPr>
              <w:suppressAutoHyphens w:val="0"/>
              <w:jc w:val="center"/>
              <w:rPr>
                <w:lang w:val="es-CR" w:eastAsia="es-CR"/>
              </w:rPr>
            </w:pPr>
            <w:r w:rsidRPr="002C0DC3">
              <w:rPr>
                <w:lang w:val="es-CR" w:eastAsia="es-CR"/>
              </w:rPr>
              <w:t>4</w:t>
            </w:r>
          </w:p>
        </w:tc>
        <w:tc>
          <w:tcPr>
            <w:tcW w:w="1276" w:type="dxa"/>
            <w:shd w:val="clear" w:color="auto" w:fill="auto"/>
            <w:noWrap/>
            <w:vAlign w:val="bottom"/>
            <w:hideMark/>
          </w:tcPr>
          <w:p w14:paraId="088B3F85" w14:textId="77777777" w:rsidR="002C0DC3" w:rsidRPr="002C0DC3" w:rsidRDefault="002C0DC3" w:rsidP="002C0DC3">
            <w:pPr>
              <w:suppressAutoHyphens w:val="0"/>
              <w:jc w:val="center"/>
              <w:rPr>
                <w:lang w:val="es-CR" w:eastAsia="es-CR"/>
              </w:rPr>
            </w:pPr>
            <w:r w:rsidRPr="002C0DC3">
              <w:rPr>
                <w:lang w:val="es-CR" w:eastAsia="es-CR"/>
              </w:rPr>
              <w:t>3</w:t>
            </w:r>
          </w:p>
        </w:tc>
        <w:tc>
          <w:tcPr>
            <w:tcW w:w="1134" w:type="dxa"/>
            <w:shd w:val="clear" w:color="auto" w:fill="auto"/>
            <w:noWrap/>
            <w:vAlign w:val="bottom"/>
            <w:hideMark/>
          </w:tcPr>
          <w:p w14:paraId="61108E9B" w14:textId="77777777" w:rsidR="002C0DC3" w:rsidRPr="002C0DC3" w:rsidRDefault="002C0DC3" w:rsidP="002C0DC3">
            <w:pPr>
              <w:suppressAutoHyphens w:val="0"/>
              <w:jc w:val="center"/>
              <w:rPr>
                <w:lang w:val="es-CR" w:eastAsia="es-CR"/>
              </w:rPr>
            </w:pPr>
            <w:r w:rsidRPr="002C0DC3">
              <w:rPr>
                <w:lang w:val="es-CR" w:eastAsia="es-CR"/>
              </w:rPr>
              <w:t>1</w:t>
            </w:r>
          </w:p>
        </w:tc>
        <w:tc>
          <w:tcPr>
            <w:tcW w:w="1417" w:type="dxa"/>
            <w:shd w:val="clear" w:color="auto" w:fill="auto"/>
            <w:noWrap/>
            <w:vAlign w:val="bottom"/>
            <w:hideMark/>
          </w:tcPr>
          <w:p w14:paraId="533BC07A"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3653DEF0" w14:textId="77777777" w:rsidR="002C0DC3" w:rsidRPr="002C0DC3" w:rsidRDefault="002C0DC3" w:rsidP="002C0DC3">
            <w:pPr>
              <w:suppressAutoHyphens w:val="0"/>
              <w:jc w:val="center"/>
              <w:rPr>
                <w:lang w:val="es-CR" w:eastAsia="es-CR"/>
              </w:rPr>
            </w:pPr>
            <w:r w:rsidRPr="002C0DC3">
              <w:rPr>
                <w:lang w:val="es-CR" w:eastAsia="es-CR"/>
              </w:rPr>
              <w:t>6</w:t>
            </w:r>
          </w:p>
        </w:tc>
        <w:tc>
          <w:tcPr>
            <w:tcW w:w="851" w:type="dxa"/>
            <w:shd w:val="clear" w:color="auto" w:fill="auto"/>
            <w:noWrap/>
            <w:vAlign w:val="bottom"/>
            <w:hideMark/>
          </w:tcPr>
          <w:p w14:paraId="4A9C7621" w14:textId="77777777" w:rsidR="002C0DC3" w:rsidRPr="002C0DC3" w:rsidRDefault="002C0DC3" w:rsidP="002C0DC3">
            <w:pPr>
              <w:suppressAutoHyphens w:val="0"/>
              <w:jc w:val="center"/>
              <w:rPr>
                <w:lang w:val="es-CR" w:eastAsia="es-CR"/>
              </w:rPr>
            </w:pPr>
            <w:r w:rsidRPr="002C0DC3">
              <w:rPr>
                <w:lang w:val="es-CR" w:eastAsia="es-CR"/>
              </w:rPr>
              <w:t>9</w:t>
            </w:r>
          </w:p>
        </w:tc>
        <w:tc>
          <w:tcPr>
            <w:tcW w:w="160" w:type="dxa"/>
            <w:vAlign w:val="center"/>
            <w:hideMark/>
          </w:tcPr>
          <w:p w14:paraId="6F6C9AC4" w14:textId="77777777" w:rsidR="002C0DC3" w:rsidRPr="002C0DC3" w:rsidRDefault="002C0DC3" w:rsidP="002C0DC3">
            <w:pPr>
              <w:suppressAutoHyphens w:val="0"/>
              <w:rPr>
                <w:lang w:val="es-CR" w:eastAsia="es-CR"/>
              </w:rPr>
            </w:pPr>
          </w:p>
        </w:tc>
      </w:tr>
      <w:tr w:rsidR="002C0DC3" w:rsidRPr="002C0DC3" w14:paraId="6855325A" w14:textId="77777777" w:rsidTr="002C0DC3">
        <w:trPr>
          <w:trHeight w:val="230"/>
        </w:trPr>
        <w:tc>
          <w:tcPr>
            <w:tcW w:w="1985" w:type="dxa"/>
            <w:shd w:val="clear" w:color="auto" w:fill="auto"/>
            <w:noWrap/>
            <w:vAlign w:val="bottom"/>
            <w:hideMark/>
          </w:tcPr>
          <w:p w14:paraId="4F6A4461" w14:textId="77777777" w:rsidR="002C0DC3" w:rsidRPr="002C0DC3" w:rsidRDefault="002C0DC3" w:rsidP="002C0DC3">
            <w:pPr>
              <w:suppressAutoHyphens w:val="0"/>
              <w:rPr>
                <w:lang w:val="es-CR" w:eastAsia="es-CR"/>
              </w:rPr>
            </w:pPr>
            <w:r w:rsidRPr="002C0DC3">
              <w:rPr>
                <w:lang w:val="es-CR" w:eastAsia="es-CR"/>
              </w:rPr>
              <w:t>II Circ. SJ, Sec. Tercera</w:t>
            </w:r>
          </w:p>
        </w:tc>
        <w:tc>
          <w:tcPr>
            <w:tcW w:w="1134" w:type="dxa"/>
            <w:shd w:val="clear" w:color="auto" w:fill="auto"/>
            <w:noWrap/>
            <w:vAlign w:val="bottom"/>
            <w:hideMark/>
          </w:tcPr>
          <w:p w14:paraId="3ACE13DB" w14:textId="77777777" w:rsidR="002C0DC3" w:rsidRPr="002C0DC3" w:rsidRDefault="002C0DC3" w:rsidP="002C0DC3">
            <w:pPr>
              <w:suppressAutoHyphens w:val="0"/>
              <w:jc w:val="center"/>
              <w:rPr>
                <w:lang w:val="es-CR" w:eastAsia="es-CR"/>
              </w:rPr>
            </w:pPr>
            <w:r w:rsidRPr="002C0DC3">
              <w:rPr>
                <w:lang w:val="es-CR" w:eastAsia="es-CR"/>
              </w:rPr>
              <w:t>3</w:t>
            </w:r>
          </w:p>
        </w:tc>
        <w:tc>
          <w:tcPr>
            <w:tcW w:w="1276" w:type="dxa"/>
            <w:shd w:val="clear" w:color="auto" w:fill="auto"/>
            <w:noWrap/>
            <w:vAlign w:val="bottom"/>
            <w:hideMark/>
          </w:tcPr>
          <w:p w14:paraId="0EDC9180"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3EC6A647"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65E5D645"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3D5A0529" w14:textId="77777777" w:rsidR="002C0DC3" w:rsidRPr="002C0DC3" w:rsidRDefault="002C0DC3" w:rsidP="002C0DC3">
            <w:pPr>
              <w:suppressAutoHyphens w:val="0"/>
              <w:jc w:val="center"/>
              <w:rPr>
                <w:lang w:val="es-CR" w:eastAsia="es-CR"/>
              </w:rPr>
            </w:pPr>
            <w:r w:rsidRPr="002C0DC3">
              <w:rPr>
                <w:lang w:val="es-CR" w:eastAsia="es-CR"/>
              </w:rPr>
              <w:t>1</w:t>
            </w:r>
          </w:p>
        </w:tc>
        <w:tc>
          <w:tcPr>
            <w:tcW w:w="851" w:type="dxa"/>
            <w:shd w:val="clear" w:color="auto" w:fill="auto"/>
            <w:noWrap/>
            <w:vAlign w:val="bottom"/>
            <w:hideMark/>
          </w:tcPr>
          <w:p w14:paraId="4184C58B" w14:textId="77777777" w:rsidR="002C0DC3" w:rsidRPr="002C0DC3" w:rsidRDefault="002C0DC3" w:rsidP="002C0DC3">
            <w:pPr>
              <w:suppressAutoHyphens w:val="0"/>
              <w:jc w:val="center"/>
              <w:rPr>
                <w:lang w:val="es-CR" w:eastAsia="es-CR"/>
              </w:rPr>
            </w:pPr>
            <w:r w:rsidRPr="002C0DC3">
              <w:rPr>
                <w:lang w:val="es-CR" w:eastAsia="es-CR"/>
              </w:rPr>
              <w:t>2</w:t>
            </w:r>
          </w:p>
        </w:tc>
        <w:tc>
          <w:tcPr>
            <w:tcW w:w="160" w:type="dxa"/>
            <w:vAlign w:val="center"/>
            <w:hideMark/>
          </w:tcPr>
          <w:p w14:paraId="1D9B428F" w14:textId="77777777" w:rsidR="002C0DC3" w:rsidRPr="002C0DC3" w:rsidRDefault="002C0DC3" w:rsidP="002C0DC3">
            <w:pPr>
              <w:suppressAutoHyphens w:val="0"/>
              <w:rPr>
                <w:lang w:val="es-CR" w:eastAsia="es-CR"/>
              </w:rPr>
            </w:pPr>
          </w:p>
        </w:tc>
      </w:tr>
      <w:tr w:rsidR="002C0DC3" w:rsidRPr="002C0DC3" w14:paraId="19EB6031" w14:textId="77777777" w:rsidTr="002C0DC3">
        <w:trPr>
          <w:trHeight w:val="230"/>
        </w:trPr>
        <w:tc>
          <w:tcPr>
            <w:tcW w:w="1985" w:type="dxa"/>
            <w:shd w:val="clear" w:color="auto" w:fill="auto"/>
            <w:noWrap/>
            <w:vAlign w:val="bottom"/>
            <w:hideMark/>
          </w:tcPr>
          <w:p w14:paraId="27798EB3" w14:textId="77777777" w:rsidR="002C0DC3" w:rsidRPr="002C0DC3" w:rsidRDefault="002C0DC3" w:rsidP="002C0DC3">
            <w:pPr>
              <w:suppressAutoHyphens w:val="0"/>
              <w:rPr>
                <w:b/>
                <w:bCs/>
                <w:lang w:val="es-CR" w:eastAsia="es-CR"/>
              </w:rPr>
            </w:pPr>
            <w:r w:rsidRPr="002C0DC3">
              <w:rPr>
                <w:b/>
                <w:bCs/>
                <w:lang w:val="es-CR" w:eastAsia="es-CR"/>
              </w:rPr>
              <w:t>I Circuito Jud. Alajuela</w:t>
            </w:r>
          </w:p>
        </w:tc>
        <w:tc>
          <w:tcPr>
            <w:tcW w:w="1134" w:type="dxa"/>
            <w:shd w:val="clear" w:color="auto" w:fill="auto"/>
            <w:noWrap/>
            <w:vAlign w:val="bottom"/>
            <w:hideMark/>
          </w:tcPr>
          <w:p w14:paraId="7D6420FF"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w:t>
            </w:r>
          </w:p>
        </w:tc>
        <w:tc>
          <w:tcPr>
            <w:tcW w:w="1276" w:type="dxa"/>
            <w:shd w:val="clear" w:color="auto" w:fill="auto"/>
            <w:noWrap/>
            <w:vAlign w:val="bottom"/>
            <w:hideMark/>
          </w:tcPr>
          <w:p w14:paraId="0552CAC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5439FCBF"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4FA21E0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1966C8F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w:t>
            </w:r>
          </w:p>
        </w:tc>
        <w:tc>
          <w:tcPr>
            <w:tcW w:w="851" w:type="dxa"/>
            <w:shd w:val="clear" w:color="auto" w:fill="auto"/>
            <w:noWrap/>
            <w:vAlign w:val="bottom"/>
            <w:hideMark/>
          </w:tcPr>
          <w:p w14:paraId="1737633A"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60" w:type="dxa"/>
            <w:vAlign w:val="center"/>
            <w:hideMark/>
          </w:tcPr>
          <w:p w14:paraId="42E658D9" w14:textId="77777777" w:rsidR="002C0DC3" w:rsidRPr="002C0DC3" w:rsidRDefault="002C0DC3" w:rsidP="002C0DC3">
            <w:pPr>
              <w:suppressAutoHyphens w:val="0"/>
              <w:rPr>
                <w:lang w:val="es-CR" w:eastAsia="es-CR"/>
              </w:rPr>
            </w:pPr>
          </w:p>
        </w:tc>
      </w:tr>
      <w:tr w:rsidR="002C0DC3" w:rsidRPr="002C0DC3" w14:paraId="61EC3709" w14:textId="77777777" w:rsidTr="002C0DC3">
        <w:trPr>
          <w:trHeight w:val="230"/>
        </w:trPr>
        <w:tc>
          <w:tcPr>
            <w:tcW w:w="1985" w:type="dxa"/>
            <w:shd w:val="clear" w:color="auto" w:fill="auto"/>
            <w:noWrap/>
            <w:vAlign w:val="bottom"/>
            <w:hideMark/>
          </w:tcPr>
          <w:p w14:paraId="75D5E5BB" w14:textId="77777777" w:rsidR="002C0DC3" w:rsidRPr="002C0DC3" w:rsidRDefault="002C0DC3" w:rsidP="002C0DC3">
            <w:pPr>
              <w:suppressAutoHyphens w:val="0"/>
              <w:rPr>
                <w:lang w:val="es-CR" w:eastAsia="es-CR"/>
              </w:rPr>
            </w:pPr>
            <w:r w:rsidRPr="002C0DC3">
              <w:rPr>
                <w:lang w:val="es-CR" w:eastAsia="es-CR"/>
              </w:rPr>
              <w:t>I Circ. Jud. Alajuela</w:t>
            </w:r>
          </w:p>
        </w:tc>
        <w:tc>
          <w:tcPr>
            <w:tcW w:w="1134" w:type="dxa"/>
            <w:shd w:val="clear" w:color="auto" w:fill="auto"/>
            <w:noWrap/>
            <w:vAlign w:val="bottom"/>
            <w:hideMark/>
          </w:tcPr>
          <w:p w14:paraId="29DB1E09" w14:textId="77777777" w:rsidR="002C0DC3" w:rsidRPr="002C0DC3" w:rsidRDefault="002C0DC3" w:rsidP="002C0DC3">
            <w:pPr>
              <w:suppressAutoHyphens w:val="0"/>
              <w:jc w:val="center"/>
              <w:rPr>
                <w:lang w:val="es-CR" w:eastAsia="es-CR"/>
              </w:rPr>
            </w:pPr>
            <w:r w:rsidRPr="002C0DC3">
              <w:rPr>
                <w:lang w:val="es-CR" w:eastAsia="es-CR"/>
              </w:rPr>
              <w:t>3</w:t>
            </w:r>
          </w:p>
        </w:tc>
        <w:tc>
          <w:tcPr>
            <w:tcW w:w="1276" w:type="dxa"/>
            <w:shd w:val="clear" w:color="auto" w:fill="auto"/>
            <w:noWrap/>
            <w:vAlign w:val="bottom"/>
            <w:hideMark/>
          </w:tcPr>
          <w:p w14:paraId="561C16B6"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0EA01CFC"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2F84B35C"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10E192A9" w14:textId="77777777" w:rsidR="002C0DC3" w:rsidRPr="002C0DC3" w:rsidRDefault="002C0DC3" w:rsidP="002C0DC3">
            <w:pPr>
              <w:suppressAutoHyphens w:val="0"/>
              <w:jc w:val="center"/>
              <w:rPr>
                <w:lang w:val="es-CR" w:eastAsia="es-CR"/>
              </w:rPr>
            </w:pPr>
            <w:r w:rsidRPr="002C0DC3">
              <w:rPr>
                <w:lang w:val="es-CR" w:eastAsia="es-CR"/>
              </w:rPr>
              <w:t>2</w:t>
            </w:r>
          </w:p>
        </w:tc>
        <w:tc>
          <w:tcPr>
            <w:tcW w:w="851" w:type="dxa"/>
            <w:shd w:val="clear" w:color="auto" w:fill="auto"/>
            <w:noWrap/>
            <w:vAlign w:val="bottom"/>
            <w:hideMark/>
          </w:tcPr>
          <w:p w14:paraId="38C426C0"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580F66EB" w14:textId="77777777" w:rsidR="002C0DC3" w:rsidRPr="002C0DC3" w:rsidRDefault="002C0DC3" w:rsidP="002C0DC3">
            <w:pPr>
              <w:suppressAutoHyphens w:val="0"/>
              <w:rPr>
                <w:lang w:val="es-CR" w:eastAsia="es-CR"/>
              </w:rPr>
            </w:pPr>
          </w:p>
        </w:tc>
      </w:tr>
      <w:tr w:rsidR="002C0DC3" w:rsidRPr="002C0DC3" w14:paraId="01CBA13A" w14:textId="77777777" w:rsidTr="002C0DC3">
        <w:trPr>
          <w:trHeight w:val="230"/>
        </w:trPr>
        <w:tc>
          <w:tcPr>
            <w:tcW w:w="1985" w:type="dxa"/>
            <w:shd w:val="clear" w:color="auto" w:fill="auto"/>
            <w:noWrap/>
            <w:vAlign w:val="bottom"/>
            <w:hideMark/>
          </w:tcPr>
          <w:p w14:paraId="3E08432A" w14:textId="77777777" w:rsidR="002C0DC3" w:rsidRPr="002C0DC3" w:rsidRDefault="002C0DC3" w:rsidP="002C0DC3">
            <w:pPr>
              <w:suppressAutoHyphens w:val="0"/>
              <w:rPr>
                <w:b/>
                <w:bCs/>
                <w:lang w:val="es-CR" w:eastAsia="es-CR"/>
              </w:rPr>
            </w:pPr>
            <w:r w:rsidRPr="002C0DC3">
              <w:rPr>
                <w:b/>
                <w:bCs/>
                <w:lang w:val="es-CR" w:eastAsia="es-CR"/>
              </w:rPr>
              <w:t xml:space="preserve">II </w:t>
            </w:r>
            <w:proofErr w:type="spellStart"/>
            <w:r w:rsidRPr="002C0DC3">
              <w:rPr>
                <w:b/>
                <w:bCs/>
                <w:lang w:val="es-CR" w:eastAsia="es-CR"/>
              </w:rPr>
              <w:t>Circuit</w:t>
            </w:r>
            <w:proofErr w:type="spellEnd"/>
            <w:r w:rsidRPr="002C0DC3">
              <w:rPr>
                <w:b/>
                <w:bCs/>
                <w:lang w:val="es-CR" w:eastAsia="es-CR"/>
              </w:rPr>
              <w:t xml:space="preserve">. </w:t>
            </w:r>
            <w:proofErr w:type="spellStart"/>
            <w:r w:rsidRPr="002C0DC3">
              <w:rPr>
                <w:b/>
                <w:bCs/>
                <w:lang w:val="es-CR" w:eastAsia="es-CR"/>
              </w:rPr>
              <w:t>Jud.Alajuela</w:t>
            </w:r>
            <w:proofErr w:type="spellEnd"/>
          </w:p>
        </w:tc>
        <w:tc>
          <w:tcPr>
            <w:tcW w:w="1134" w:type="dxa"/>
            <w:shd w:val="clear" w:color="auto" w:fill="auto"/>
            <w:noWrap/>
            <w:vAlign w:val="bottom"/>
            <w:hideMark/>
          </w:tcPr>
          <w:p w14:paraId="5E05758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7</w:t>
            </w:r>
          </w:p>
        </w:tc>
        <w:tc>
          <w:tcPr>
            <w:tcW w:w="1276" w:type="dxa"/>
            <w:shd w:val="clear" w:color="auto" w:fill="auto"/>
            <w:noWrap/>
            <w:vAlign w:val="bottom"/>
            <w:hideMark/>
          </w:tcPr>
          <w:p w14:paraId="1279A82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60340B1F"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479B9E3F"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3812A5A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6</w:t>
            </w:r>
          </w:p>
        </w:tc>
        <w:tc>
          <w:tcPr>
            <w:tcW w:w="851" w:type="dxa"/>
            <w:shd w:val="clear" w:color="auto" w:fill="auto"/>
            <w:noWrap/>
            <w:vAlign w:val="bottom"/>
            <w:hideMark/>
          </w:tcPr>
          <w:p w14:paraId="3E69346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160" w:type="dxa"/>
            <w:vAlign w:val="center"/>
            <w:hideMark/>
          </w:tcPr>
          <w:p w14:paraId="650B6918" w14:textId="77777777" w:rsidR="002C0DC3" w:rsidRPr="002C0DC3" w:rsidRDefault="002C0DC3" w:rsidP="002C0DC3">
            <w:pPr>
              <w:suppressAutoHyphens w:val="0"/>
              <w:rPr>
                <w:lang w:val="es-CR" w:eastAsia="es-CR"/>
              </w:rPr>
            </w:pPr>
          </w:p>
        </w:tc>
      </w:tr>
      <w:tr w:rsidR="002C0DC3" w:rsidRPr="002C0DC3" w14:paraId="6508B94E" w14:textId="77777777" w:rsidTr="002C0DC3">
        <w:trPr>
          <w:trHeight w:val="230"/>
        </w:trPr>
        <w:tc>
          <w:tcPr>
            <w:tcW w:w="1985" w:type="dxa"/>
            <w:shd w:val="clear" w:color="auto" w:fill="auto"/>
            <w:noWrap/>
            <w:vAlign w:val="bottom"/>
            <w:hideMark/>
          </w:tcPr>
          <w:p w14:paraId="7BF4E9EF" w14:textId="77777777" w:rsidR="002C0DC3" w:rsidRPr="002C0DC3" w:rsidRDefault="002C0DC3" w:rsidP="002C0DC3">
            <w:pPr>
              <w:suppressAutoHyphens w:val="0"/>
              <w:rPr>
                <w:lang w:val="es-CR" w:eastAsia="es-CR"/>
              </w:rPr>
            </w:pPr>
            <w:r w:rsidRPr="002C0DC3">
              <w:rPr>
                <w:lang w:val="es-CR" w:eastAsia="es-CR"/>
              </w:rPr>
              <w:t>II Circ. Jud. Alajuela</w:t>
            </w:r>
          </w:p>
        </w:tc>
        <w:tc>
          <w:tcPr>
            <w:tcW w:w="1134" w:type="dxa"/>
            <w:shd w:val="clear" w:color="auto" w:fill="auto"/>
            <w:noWrap/>
            <w:vAlign w:val="bottom"/>
            <w:hideMark/>
          </w:tcPr>
          <w:p w14:paraId="7DBF7B0C" w14:textId="77777777" w:rsidR="002C0DC3" w:rsidRPr="002C0DC3" w:rsidRDefault="002C0DC3" w:rsidP="002C0DC3">
            <w:pPr>
              <w:suppressAutoHyphens w:val="0"/>
              <w:jc w:val="center"/>
              <w:rPr>
                <w:lang w:val="es-CR" w:eastAsia="es-CR"/>
              </w:rPr>
            </w:pPr>
            <w:r w:rsidRPr="002C0DC3">
              <w:rPr>
                <w:lang w:val="es-CR" w:eastAsia="es-CR"/>
              </w:rPr>
              <w:t>7</w:t>
            </w:r>
          </w:p>
        </w:tc>
        <w:tc>
          <w:tcPr>
            <w:tcW w:w="1276" w:type="dxa"/>
            <w:shd w:val="clear" w:color="auto" w:fill="auto"/>
            <w:noWrap/>
            <w:vAlign w:val="bottom"/>
            <w:hideMark/>
          </w:tcPr>
          <w:p w14:paraId="35E06AA1"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7D677249"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04984585"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60AFC17A" w14:textId="77777777" w:rsidR="002C0DC3" w:rsidRPr="002C0DC3" w:rsidRDefault="002C0DC3" w:rsidP="002C0DC3">
            <w:pPr>
              <w:suppressAutoHyphens w:val="0"/>
              <w:jc w:val="center"/>
              <w:rPr>
                <w:lang w:val="es-CR" w:eastAsia="es-CR"/>
              </w:rPr>
            </w:pPr>
            <w:r w:rsidRPr="002C0DC3">
              <w:rPr>
                <w:lang w:val="es-CR" w:eastAsia="es-CR"/>
              </w:rPr>
              <w:t>6</w:t>
            </w:r>
          </w:p>
        </w:tc>
        <w:tc>
          <w:tcPr>
            <w:tcW w:w="851" w:type="dxa"/>
            <w:shd w:val="clear" w:color="auto" w:fill="auto"/>
            <w:noWrap/>
            <w:vAlign w:val="bottom"/>
            <w:hideMark/>
          </w:tcPr>
          <w:p w14:paraId="519E4E12" w14:textId="77777777" w:rsidR="002C0DC3" w:rsidRPr="002C0DC3" w:rsidRDefault="002C0DC3" w:rsidP="002C0DC3">
            <w:pPr>
              <w:suppressAutoHyphens w:val="0"/>
              <w:jc w:val="center"/>
              <w:rPr>
                <w:lang w:val="es-CR" w:eastAsia="es-CR"/>
              </w:rPr>
            </w:pPr>
            <w:r w:rsidRPr="002C0DC3">
              <w:rPr>
                <w:lang w:val="es-CR" w:eastAsia="es-CR"/>
              </w:rPr>
              <w:t>1</w:t>
            </w:r>
          </w:p>
        </w:tc>
        <w:tc>
          <w:tcPr>
            <w:tcW w:w="160" w:type="dxa"/>
            <w:vAlign w:val="center"/>
            <w:hideMark/>
          </w:tcPr>
          <w:p w14:paraId="4125DFD5" w14:textId="77777777" w:rsidR="002C0DC3" w:rsidRPr="002C0DC3" w:rsidRDefault="002C0DC3" w:rsidP="002C0DC3">
            <w:pPr>
              <w:suppressAutoHyphens w:val="0"/>
              <w:rPr>
                <w:lang w:val="es-CR" w:eastAsia="es-CR"/>
              </w:rPr>
            </w:pPr>
          </w:p>
        </w:tc>
      </w:tr>
      <w:tr w:rsidR="002C0DC3" w:rsidRPr="002C0DC3" w14:paraId="16D5656A" w14:textId="77777777" w:rsidTr="002C0DC3">
        <w:trPr>
          <w:trHeight w:val="230"/>
        </w:trPr>
        <w:tc>
          <w:tcPr>
            <w:tcW w:w="1985" w:type="dxa"/>
            <w:shd w:val="clear" w:color="auto" w:fill="auto"/>
            <w:noWrap/>
            <w:vAlign w:val="bottom"/>
            <w:hideMark/>
          </w:tcPr>
          <w:p w14:paraId="1AB9D7C1" w14:textId="77777777" w:rsidR="002C0DC3" w:rsidRPr="002C0DC3" w:rsidRDefault="002C0DC3" w:rsidP="002C0DC3">
            <w:pPr>
              <w:suppressAutoHyphens w:val="0"/>
              <w:rPr>
                <w:b/>
                <w:bCs/>
                <w:lang w:val="es-CR" w:eastAsia="es-CR"/>
              </w:rPr>
            </w:pPr>
            <w:r w:rsidRPr="002C0DC3">
              <w:rPr>
                <w:b/>
                <w:bCs/>
                <w:lang w:val="es-CR" w:eastAsia="es-CR"/>
              </w:rPr>
              <w:t xml:space="preserve">III </w:t>
            </w:r>
            <w:proofErr w:type="spellStart"/>
            <w:r w:rsidRPr="002C0DC3">
              <w:rPr>
                <w:b/>
                <w:bCs/>
                <w:lang w:val="es-CR" w:eastAsia="es-CR"/>
              </w:rPr>
              <w:t>Circ.Jud</w:t>
            </w:r>
            <w:proofErr w:type="spellEnd"/>
            <w:r w:rsidRPr="002C0DC3">
              <w:rPr>
                <w:b/>
                <w:bCs/>
                <w:lang w:val="es-CR" w:eastAsia="es-CR"/>
              </w:rPr>
              <w:t>. Alajuela</w:t>
            </w:r>
          </w:p>
        </w:tc>
        <w:tc>
          <w:tcPr>
            <w:tcW w:w="1134" w:type="dxa"/>
            <w:shd w:val="clear" w:color="auto" w:fill="auto"/>
            <w:noWrap/>
            <w:vAlign w:val="bottom"/>
            <w:hideMark/>
          </w:tcPr>
          <w:p w14:paraId="6696C89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23</w:t>
            </w:r>
          </w:p>
        </w:tc>
        <w:tc>
          <w:tcPr>
            <w:tcW w:w="1276" w:type="dxa"/>
            <w:shd w:val="clear" w:color="auto" w:fill="auto"/>
            <w:noWrap/>
            <w:vAlign w:val="bottom"/>
            <w:hideMark/>
          </w:tcPr>
          <w:p w14:paraId="419A8C5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14</w:t>
            </w:r>
          </w:p>
        </w:tc>
        <w:tc>
          <w:tcPr>
            <w:tcW w:w="1134" w:type="dxa"/>
            <w:shd w:val="clear" w:color="auto" w:fill="auto"/>
            <w:noWrap/>
            <w:vAlign w:val="bottom"/>
            <w:hideMark/>
          </w:tcPr>
          <w:p w14:paraId="6106E1FC"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60186E7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2452B6F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36</w:t>
            </w:r>
          </w:p>
        </w:tc>
        <w:tc>
          <w:tcPr>
            <w:tcW w:w="851" w:type="dxa"/>
            <w:shd w:val="clear" w:color="auto" w:fill="auto"/>
            <w:noWrap/>
            <w:vAlign w:val="bottom"/>
            <w:hideMark/>
          </w:tcPr>
          <w:p w14:paraId="1442764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5</w:t>
            </w:r>
          </w:p>
        </w:tc>
        <w:tc>
          <w:tcPr>
            <w:tcW w:w="160" w:type="dxa"/>
            <w:vAlign w:val="center"/>
            <w:hideMark/>
          </w:tcPr>
          <w:p w14:paraId="54C14DE0" w14:textId="77777777" w:rsidR="002C0DC3" w:rsidRPr="002C0DC3" w:rsidRDefault="002C0DC3" w:rsidP="002C0DC3">
            <w:pPr>
              <w:suppressAutoHyphens w:val="0"/>
              <w:rPr>
                <w:lang w:val="es-CR" w:eastAsia="es-CR"/>
              </w:rPr>
            </w:pPr>
          </w:p>
        </w:tc>
      </w:tr>
      <w:tr w:rsidR="002C0DC3" w:rsidRPr="002C0DC3" w14:paraId="7C2AB322" w14:textId="77777777" w:rsidTr="002C0DC3">
        <w:trPr>
          <w:trHeight w:val="230"/>
        </w:trPr>
        <w:tc>
          <w:tcPr>
            <w:tcW w:w="1985" w:type="dxa"/>
            <w:shd w:val="clear" w:color="auto" w:fill="auto"/>
            <w:noWrap/>
            <w:vAlign w:val="bottom"/>
            <w:hideMark/>
          </w:tcPr>
          <w:p w14:paraId="13A06196" w14:textId="77777777" w:rsidR="002C0DC3" w:rsidRPr="002C0DC3" w:rsidRDefault="002C0DC3" w:rsidP="002C0DC3">
            <w:pPr>
              <w:suppressAutoHyphens w:val="0"/>
              <w:rPr>
                <w:lang w:val="es-CR" w:eastAsia="es-CR"/>
              </w:rPr>
            </w:pPr>
            <w:r w:rsidRPr="002C0DC3">
              <w:rPr>
                <w:lang w:val="es-CR" w:eastAsia="es-CR"/>
              </w:rPr>
              <w:t xml:space="preserve">III </w:t>
            </w:r>
            <w:proofErr w:type="spellStart"/>
            <w:r w:rsidRPr="002C0DC3">
              <w:rPr>
                <w:lang w:val="es-CR" w:eastAsia="es-CR"/>
              </w:rPr>
              <w:t>Circ.Ala</w:t>
            </w:r>
            <w:proofErr w:type="spellEnd"/>
            <w:r w:rsidRPr="002C0DC3">
              <w:rPr>
                <w:lang w:val="es-CR" w:eastAsia="es-CR"/>
              </w:rPr>
              <w:t>. San Ramón</w:t>
            </w:r>
          </w:p>
        </w:tc>
        <w:tc>
          <w:tcPr>
            <w:tcW w:w="1134" w:type="dxa"/>
            <w:shd w:val="clear" w:color="auto" w:fill="auto"/>
            <w:noWrap/>
            <w:vAlign w:val="bottom"/>
            <w:hideMark/>
          </w:tcPr>
          <w:p w14:paraId="0ACC7550" w14:textId="77777777" w:rsidR="002C0DC3" w:rsidRPr="002C0DC3" w:rsidRDefault="002C0DC3" w:rsidP="002C0DC3">
            <w:pPr>
              <w:suppressAutoHyphens w:val="0"/>
              <w:jc w:val="center"/>
              <w:rPr>
                <w:lang w:val="es-CR" w:eastAsia="es-CR"/>
              </w:rPr>
            </w:pPr>
            <w:r w:rsidRPr="002C0DC3">
              <w:rPr>
                <w:lang w:val="es-CR" w:eastAsia="es-CR"/>
              </w:rPr>
              <w:t>1</w:t>
            </w:r>
          </w:p>
        </w:tc>
        <w:tc>
          <w:tcPr>
            <w:tcW w:w="1276" w:type="dxa"/>
            <w:shd w:val="clear" w:color="auto" w:fill="auto"/>
            <w:noWrap/>
            <w:vAlign w:val="bottom"/>
            <w:hideMark/>
          </w:tcPr>
          <w:p w14:paraId="60BD2BEB"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544AB681"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51484E6D"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5DF58416" w14:textId="77777777" w:rsidR="002C0DC3" w:rsidRPr="002C0DC3" w:rsidRDefault="002C0DC3" w:rsidP="002C0DC3">
            <w:pPr>
              <w:suppressAutoHyphens w:val="0"/>
              <w:jc w:val="center"/>
              <w:rPr>
                <w:lang w:val="es-CR" w:eastAsia="es-CR"/>
              </w:rPr>
            </w:pPr>
            <w:r w:rsidRPr="002C0DC3">
              <w:rPr>
                <w:lang w:val="es-CR" w:eastAsia="es-CR"/>
              </w:rPr>
              <w:t>1</w:t>
            </w:r>
          </w:p>
        </w:tc>
        <w:tc>
          <w:tcPr>
            <w:tcW w:w="851" w:type="dxa"/>
            <w:shd w:val="clear" w:color="auto" w:fill="auto"/>
            <w:noWrap/>
            <w:vAlign w:val="bottom"/>
            <w:hideMark/>
          </w:tcPr>
          <w:p w14:paraId="2ED92DB0"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5CBA8FC7" w14:textId="77777777" w:rsidR="002C0DC3" w:rsidRPr="002C0DC3" w:rsidRDefault="002C0DC3" w:rsidP="002C0DC3">
            <w:pPr>
              <w:suppressAutoHyphens w:val="0"/>
              <w:rPr>
                <w:lang w:val="es-CR" w:eastAsia="es-CR"/>
              </w:rPr>
            </w:pPr>
          </w:p>
        </w:tc>
      </w:tr>
      <w:tr w:rsidR="002C0DC3" w:rsidRPr="002C0DC3" w14:paraId="7EF49206" w14:textId="77777777" w:rsidTr="002C0DC3">
        <w:trPr>
          <w:trHeight w:val="230"/>
        </w:trPr>
        <w:tc>
          <w:tcPr>
            <w:tcW w:w="1985" w:type="dxa"/>
            <w:shd w:val="clear" w:color="auto" w:fill="auto"/>
            <w:noWrap/>
            <w:vAlign w:val="bottom"/>
            <w:hideMark/>
          </w:tcPr>
          <w:p w14:paraId="0D272A7F" w14:textId="77777777" w:rsidR="002C0DC3" w:rsidRPr="002C0DC3" w:rsidRDefault="002C0DC3" w:rsidP="002C0DC3">
            <w:pPr>
              <w:suppressAutoHyphens w:val="0"/>
              <w:rPr>
                <w:lang w:val="es-CR" w:eastAsia="es-CR"/>
              </w:rPr>
            </w:pPr>
            <w:r w:rsidRPr="002C0DC3">
              <w:rPr>
                <w:lang w:val="es-CR" w:eastAsia="es-CR"/>
              </w:rPr>
              <w:t>Juzgado Cobro de Grecia</w:t>
            </w:r>
          </w:p>
        </w:tc>
        <w:tc>
          <w:tcPr>
            <w:tcW w:w="1134" w:type="dxa"/>
            <w:shd w:val="clear" w:color="auto" w:fill="auto"/>
            <w:noWrap/>
            <w:vAlign w:val="bottom"/>
            <w:hideMark/>
          </w:tcPr>
          <w:p w14:paraId="32960974" w14:textId="77777777" w:rsidR="002C0DC3" w:rsidRPr="002C0DC3" w:rsidRDefault="002C0DC3" w:rsidP="002C0DC3">
            <w:pPr>
              <w:suppressAutoHyphens w:val="0"/>
              <w:jc w:val="center"/>
              <w:rPr>
                <w:lang w:val="es-CR" w:eastAsia="es-CR"/>
              </w:rPr>
            </w:pPr>
            <w:r w:rsidRPr="002C0DC3">
              <w:rPr>
                <w:lang w:val="es-CR" w:eastAsia="es-CR"/>
              </w:rPr>
              <w:t>22</w:t>
            </w:r>
          </w:p>
        </w:tc>
        <w:tc>
          <w:tcPr>
            <w:tcW w:w="1276" w:type="dxa"/>
            <w:shd w:val="clear" w:color="auto" w:fill="auto"/>
            <w:noWrap/>
            <w:vAlign w:val="bottom"/>
            <w:hideMark/>
          </w:tcPr>
          <w:p w14:paraId="40F56D46" w14:textId="77777777" w:rsidR="002C0DC3" w:rsidRPr="002C0DC3" w:rsidRDefault="002C0DC3" w:rsidP="002C0DC3">
            <w:pPr>
              <w:suppressAutoHyphens w:val="0"/>
              <w:jc w:val="center"/>
              <w:rPr>
                <w:lang w:val="es-CR" w:eastAsia="es-CR"/>
              </w:rPr>
            </w:pPr>
            <w:r w:rsidRPr="002C0DC3">
              <w:rPr>
                <w:lang w:val="es-CR" w:eastAsia="es-CR"/>
              </w:rPr>
              <w:t>14</w:t>
            </w:r>
          </w:p>
        </w:tc>
        <w:tc>
          <w:tcPr>
            <w:tcW w:w="1134" w:type="dxa"/>
            <w:shd w:val="clear" w:color="auto" w:fill="auto"/>
            <w:noWrap/>
            <w:vAlign w:val="bottom"/>
            <w:hideMark/>
          </w:tcPr>
          <w:p w14:paraId="226DF0DF"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6EBE57B3"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1737732E" w14:textId="77777777" w:rsidR="002C0DC3" w:rsidRPr="002C0DC3" w:rsidRDefault="002C0DC3" w:rsidP="002C0DC3">
            <w:pPr>
              <w:suppressAutoHyphens w:val="0"/>
              <w:jc w:val="center"/>
              <w:rPr>
                <w:lang w:val="es-CR" w:eastAsia="es-CR"/>
              </w:rPr>
            </w:pPr>
            <w:r w:rsidRPr="002C0DC3">
              <w:rPr>
                <w:lang w:val="es-CR" w:eastAsia="es-CR"/>
              </w:rPr>
              <w:t>35</w:t>
            </w:r>
          </w:p>
        </w:tc>
        <w:tc>
          <w:tcPr>
            <w:tcW w:w="851" w:type="dxa"/>
            <w:shd w:val="clear" w:color="auto" w:fill="auto"/>
            <w:noWrap/>
            <w:vAlign w:val="bottom"/>
            <w:hideMark/>
          </w:tcPr>
          <w:p w14:paraId="454A56A5" w14:textId="77777777" w:rsidR="002C0DC3" w:rsidRPr="002C0DC3" w:rsidRDefault="002C0DC3" w:rsidP="002C0DC3">
            <w:pPr>
              <w:suppressAutoHyphens w:val="0"/>
              <w:jc w:val="center"/>
              <w:rPr>
                <w:lang w:val="es-CR" w:eastAsia="es-CR"/>
              </w:rPr>
            </w:pPr>
            <w:r w:rsidRPr="002C0DC3">
              <w:rPr>
                <w:lang w:val="es-CR" w:eastAsia="es-CR"/>
              </w:rPr>
              <w:t>5</w:t>
            </w:r>
          </w:p>
        </w:tc>
        <w:tc>
          <w:tcPr>
            <w:tcW w:w="160" w:type="dxa"/>
            <w:vAlign w:val="center"/>
            <w:hideMark/>
          </w:tcPr>
          <w:p w14:paraId="4FEAD4DA" w14:textId="77777777" w:rsidR="002C0DC3" w:rsidRPr="002C0DC3" w:rsidRDefault="002C0DC3" w:rsidP="002C0DC3">
            <w:pPr>
              <w:suppressAutoHyphens w:val="0"/>
              <w:rPr>
                <w:lang w:val="es-CR" w:eastAsia="es-CR"/>
              </w:rPr>
            </w:pPr>
          </w:p>
        </w:tc>
      </w:tr>
      <w:tr w:rsidR="002C0DC3" w:rsidRPr="002C0DC3" w14:paraId="6D2CC90A" w14:textId="77777777" w:rsidTr="002C0DC3">
        <w:trPr>
          <w:trHeight w:val="230"/>
        </w:trPr>
        <w:tc>
          <w:tcPr>
            <w:tcW w:w="1985" w:type="dxa"/>
            <w:shd w:val="clear" w:color="auto" w:fill="auto"/>
            <w:noWrap/>
            <w:vAlign w:val="bottom"/>
            <w:hideMark/>
          </w:tcPr>
          <w:p w14:paraId="0792E06D" w14:textId="77777777" w:rsidR="002C0DC3" w:rsidRPr="002C0DC3" w:rsidRDefault="002C0DC3" w:rsidP="002C0DC3">
            <w:pPr>
              <w:suppressAutoHyphens w:val="0"/>
              <w:rPr>
                <w:b/>
                <w:bCs/>
                <w:lang w:val="es-CR" w:eastAsia="es-CR"/>
              </w:rPr>
            </w:pPr>
            <w:r w:rsidRPr="002C0DC3">
              <w:rPr>
                <w:b/>
                <w:bCs/>
                <w:lang w:val="es-CR" w:eastAsia="es-CR"/>
              </w:rPr>
              <w:t>Circuito Jud. Cartago</w:t>
            </w:r>
          </w:p>
        </w:tc>
        <w:tc>
          <w:tcPr>
            <w:tcW w:w="1134" w:type="dxa"/>
            <w:shd w:val="clear" w:color="auto" w:fill="auto"/>
            <w:noWrap/>
            <w:vAlign w:val="bottom"/>
            <w:hideMark/>
          </w:tcPr>
          <w:p w14:paraId="28B86CF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13</w:t>
            </w:r>
          </w:p>
        </w:tc>
        <w:tc>
          <w:tcPr>
            <w:tcW w:w="1276" w:type="dxa"/>
            <w:shd w:val="clear" w:color="auto" w:fill="auto"/>
            <w:noWrap/>
            <w:vAlign w:val="bottom"/>
            <w:hideMark/>
          </w:tcPr>
          <w:p w14:paraId="463948D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6</w:t>
            </w:r>
          </w:p>
        </w:tc>
        <w:tc>
          <w:tcPr>
            <w:tcW w:w="1134" w:type="dxa"/>
            <w:shd w:val="clear" w:color="auto" w:fill="auto"/>
            <w:noWrap/>
            <w:vAlign w:val="bottom"/>
            <w:hideMark/>
          </w:tcPr>
          <w:p w14:paraId="1EAC961C"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5E076B8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5DB47B65"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16</w:t>
            </w:r>
          </w:p>
        </w:tc>
        <w:tc>
          <w:tcPr>
            <w:tcW w:w="851" w:type="dxa"/>
            <w:shd w:val="clear" w:color="auto" w:fill="auto"/>
            <w:noWrap/>
            <w:vAlign w:val="bottom"/>
            <w:hideMark/>
          </w:tcPr>
          <w:p w14:paraId="6FEEC6BA"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60" w:type="dxa"/>
            <w:vAlign w:val="center"/>
            <w:hideMark/>
          </w:tcPr>
          <w:p w14:paraId="364AC322" w14:textId="77777777" w:rsidR="002C0DC3" w:rsidRPr="002C0DC3" w:rsidRDefault="002C0DC3" w:rsidP="002C0DC3">
            <w:pPr>
              <w:suppressAutoHyphens w:val="0"/>
              <w:rPr>
                <w:lang w:val="es-CR" w:eastAsia="es-CR"/>
              </w:rPr>
            </w:pPr>
          </w:p>
        </w:tc>
      </w:tr>
      <w:tr w:rsidR="002C0DC3" w:rsidRPr="002C0DC3" w14:paraId="2DDB7AB1" w14:textId="77777777" w:rsidTr="002C0DC3">
        <w:trPr>
          <w:trHeight w:val="230"/>
        </w:trPr>
        <w:tc>
          <w:tcPr>
            <w:tcW w:w="1985" w:type="dxa"/>
            <w:shd w:val="clear" w:color="auto" w:fill="auto"/>
            <w:noWrap/>
            <w:vAlign w:val="bottom"/>
            <w:hideMark/>
          </w:tcPr>
          <w:p w14:paraId="6A296EBB" w14:textId="77777777" w:rsidR="002C0DC3" w:rsidRPr="002C0DC3" w:rsidRDefault="002C0DC3" w:rsidP="002C0DC3">
            <w:pPr>
              <w:suppressAutoHyphens w:val="0"/>
              <w:rPr>
                <w:lang w:val="es-CR" w:eastAsia="es-CR"/>
              </w:rPr>
            </w:pPr>
            <w:r w:rsidRPr="002C0DC3">
              <w:rPr>
                <w:lang w:val="es-CR" w:eastAsia="es-CR"/>
              </w:rPr>
              <w:t xml:space="preserve">Cobro de Cartago </w:t>
            </w:r>
          </w:p>
        </w:tc>
        <w:tc>
          <w:tcPr>
            <w:tcW w:w="1134" w:type="dxa"/>
            <w:shd w:val="clear" w:color="auto" w:fill="auto"/>
            <w:noWrap/>
            <w:vAlign w:val="bottom"/>
            <w:hideMark/>
          </w:tcPr>
          <w:p w14:paraId="5289DD90" w14:textId="77777777" w:rsidR="002C0DC3" w:rsidRPr="002C0DC3" w:rsidRDefault="002C0DC3" w:rsidP="002C0DC3">
            <w:pPr>
              <w:suppressAutoHyphens w:val="0"/>
              <w:jc w:val="center"/>
              <w:rPr>
                <w:lang w:val="es-CR" w:eastAsia="es-CR"/>
              </w:rPr>
            </w:pPr>
            <w:r w:rsidRPr="002C0DC3">
              <w:rPr>
                <w:lang w:val="es-CR" w:eastAsia="es-CR"/>
              </w:rPr>
              <w:t>13</w:t>
            </w:r>
          </w:p>
        </w:tc>
        <w:tc>
          <w:tcPr>
            <w:tcW w:w="1276" w:type="dxa"/>
            <w:shd w:val="clear" w:color="auto" w:fill="auto"/>
            <w:noWrap/>
            <w:vAlign w:val="bottom"/>
            <w:hideMark/>
          </w:tcPr>
          <w:p w14:paraId="0E05D128" w14:textId="77777777" w:rsidR="002C0DC3" w:rsidRPr="002C0DC3" w:rsidRDefault="002C0DC3" w:rsidP="002C0DC3">
            <w:pPr>
              <w:suppressAutoHyphens w:val="0"/>
              <w:jc w:val="center"/>
              <w:rPr>
                <w:lang w:val="es-CR" w:eastAsia="es-CR"/>
              </w:rPr>
            </w:pPr>
            <w:r w:rsidRPr="002C0DC3">
              <w:rPr>
                <w:lang w:val="es-CR" w:eastAsia="es-CR"/>
              </w:rPr>
              <w:t>6</w:t>
            </w:r>
          </w:p>
        </w:tc>
        <w:tc>
          <w:tcPr>
            <w:tcW w:w="1134" w:type="dxa"/>
            <w:shd w:val="clear" w:color="auto" w:fill="auto"/>
            <w:noWrap/>
            <w:vAlign w:val="bottom"/>
            <w:hideMark/>
          </w:tcPr>
          <w:p w14:paraId="103597F8"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7313AD8D"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54F5FDB9" w14:textId="77777777" w:rsidR="002C0DC3" w:rsidRPr="002C0DC3" w:rsidRDefault="002C0DC3" w:rsidP="002C0DC3">
            <w:pPr>
              <w:suppressAutoHyphens w:val="0"/>
              <w:jc w:val="center"/>
              <w:rPr>
                <w:lang w:val="es-CR" w:eastAsia="es-CR"/>
              </w:rPr>
            </w:pPr>
            <w:r w:rsidRPr="002C0DC3">
              <w:rPr>
                <w:lang w:val="es-CR" w:eastAsia="es-CR"/>
              </w:rPr>
              <w:t>16</w:t>
            </w:r>
          </w:p>
        </w:tc>
        <w:tc>
          <w:tcPr>
            <w:tcW w:w="851" w:type="dxa"/>
            <w:shd w:val="clear" w:color="auto" w:fill="auto"/>
            <w:noWrap/>
            <w:vAlign w:val="bottom"/>
            <w:hideMark/>
          </w:tcPr>
          <w:p w14:paraId="7C1373A7"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1148B885" w14:textId="77777777" w:rsidR="002C0DC3" w:rsidRPr="002C0DC3" w:rsidRDefault="002C0DC3" w:rsidP="002C0DC3">
            <w:pPr>
              <w:suppressAutoHyphens w:val="0"/>
              <w:rPr>
                <w:lang w:val="es-CR" w:eastAsia="es-CR"/>
              </w:rPr>
            </w:pPr>
          </w:p>
        </w:tc>
      </w:tr>
      <w:tr w:rsidR="002C0DC3" w:rsidRPr="002C0DC3" w14:paraId="57DFEA80" w14:textId="77777777" w:rsidTr="002C0DC3">
        <w:trPr>
          <w:trHeight w:val="230"/>
        </w:trPr>
        <w:tc>
          <w:tcPr>
            <w:tcW w:w="1985" w:type="dxa"/>
            <w:shd w:val="clear" w:color="auto" w:fill="auto"/>
            <w:noWrap/>
            <w:vAlign w:val="bottom"/>
            <w:hideMark/>
          </w:tcPr>
          <w:p w14:paraId="57FEB0DD" w14:textId="77777777" w:rsidR="002C0DC3" w:rsidRPr="002C0DC3" w:rsidRDefault="002C0DC3" w:rsidP="002C0DC3">
            <w:pPr>
              <w:suppressAutoHyphens w:val="0"/>
              <w:rPr>
                <w:b/>
                <w:bCs/>
                <w:lang w:val="es-CR" w:eastAsia="es-CR"/>
              </w:rPr>
            </w:pPr>
            <w:r w:rsidRPr="002C0DC3">
              <w:rPr>
                <w:b/>
                <w:bCs/>
                <w:lang w:val="es-CR" w:eastAsia="es-CR"/>
              </w:rPr>
              <w:t>Circuito Jud. Heredia</w:t>
            </w:r>
          </w:p>
        </w:tc>
        <w:tc>
          <w:tcPr>
            <w:tcW w:w="1134" w:type="dxa"/>
            <w:shd w:val="clear" w:color="auto" w:fill="auto"/>
            <w:noWrap/>
            <w:vAlign w:val="bottom"/>
            <w:hideMark/>
          </w:tcPr>
          <w:p w14:paraId="60D402F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8</w:t>
            </w:r>
          </w:p>
        </w:tc>
        <w:tc>
          <w:tcPr>
            <w:tcW w:w="1276" w:type="dxa"/>
            <w:shd w:val="clear" w:color="auto" w:fill="auto"/>
            <w:noWrap/>
            <w:vAlign w:val="bottom"/>
            <w:hideMark/>
          </w:tcPr>
          <w:p w14:paraId="4081F70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54ED82D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36C1ECD1"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48A6DEEC"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851" w:type="dxa"/>
            <w:shd w:val="clear" w:color="auto" w:fill="auto"/>
            <w:noWrap/>
            <w:vAlign w:val="bottom"/>
            <w:hideMark/>
          </w:tcPr>
          <w:p w14:paraId="44C2EB2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160" w:type="dxa"/>
            <w:vAlign w:val="center"/>
            <w:hideMark/>
          </w:tcPr>
          <w:p w14:paraId="04C36AAC" w14:textId="77777777" w:rsidR="002C0DC3" w:rsidRPr="002C0DC3" w:rsidRDefault="002C0DC3" w:rsidP="002C0DC3">
            <w:pPr>
              <w:suppressAutoHyphens w:val="0"/>
              <w:rPr>
                <w:lang w:val="es-CR" w:eastAsia="es-CR"/>
              </w:rPr>
            </w:pPr>
          </w:p>
        </w:tc>
      </w:tr>
      <w:tr w:rsidR="002C0DC3" w:rsidRPr="002C0DC3" w14:paraId="0667A13B" w14:textId="77777777" w:rsidTr="002C0DC3">
        <w:trPr>
          <w:trHeight w:val="230"/>
        </w:trPr>
        <w:tc>
          <w:tcPr>
            <w:tcW w:w="1985" w:type="dxa"/>
            <w:shd w:val="clear" w:color="auto" w:fill="auto"/>
            <w:noWrap/>
            <w:vAlign w:val="bottom"/>
            <w:hideMark/>
          </w:tcPr>
          <w:p w14:paraId="44341C2C" w14:textId="77777777" w:rsidR="002C0DC3" w:rsidRPr="002C0DC3" w:rsidRDefault="002C0DC3" w:rsidP="002C0DC3">
            <w:pPr>
              <w:suppressAutoHyphens w:val="0"/>
              <w:rPr>
                <w:lang w:val="es-CR" w:eastAsia="es-CR"/>
              </w:rPr>
            </w:pPr>
            <w:r w:rsidRPr="002C0DC3">
              <w:rPr>
                <w:lang w:val="es-CR" w:eastAsia="es-CR"/>
              </w:rPr>
              <w:t>Cobro de Heredia</w:t>
            </w:r>
          </w:p>
        </w:tc>
        <w:tc>
          <w:tcPr>
            <w:tcW w:w="1134" w:type="dxa"/>
            <w:shd w:val="clear" w:color="auto" w:fill="auto"/>
            <w:noWrap/>
            <w:vAlign w:val="bottom"/>
            <w:hideMark/>
          </w:tcPr>
          <w:p w14:paraId="1E299E80" w14:textId="77777777" w:rsidR="002C0DC3" w:rsidRPr="002C0DC3" w:rsidRDefault="002C0DC3" w:rsidP="002C0DC3">
            <w:pPr>
              <w:suppressAutoHyphens w:val="0"/>
              <w:jc w:val="center"/>
              <w:rPr>
                <w:lang w:val="es-CR" w:eastAsia="es-CR"/>
              </w:rPr>
            </w:pPr>
            <w:r w:rsidRPr="002C0DC3">
              <w:rPr>
                <w:lang w:val="es-CR" w:eastAsia="es-CR"/>
              </w:rPr>
              <w:t>8</w:t>
            </w:r>
          </w:p>
        </w:tc>
        <w:tc>
          <w:tcPr>
            <w:tcW w:w="1276" w:type="dxa"/>
            <w:shd w:val="clear" w:color="auto" w:fill="auto"/>
            <w:noWrap/>
            <w:vAlign w:val="bottom"/>
            <w:hideMark/>
          </w:tcPr>
          <w:p w14:paraId="3DB25829"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7DECF78E"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06E1FA8D"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26559F5B" w14:textId="77777777" w:rsidR="002C0DC3" w:rsidRPr="002C0DC3" w:rsidRDefault="002C0DC3" w:rsidP="002C0DC3">
            <w:pPr>
              <w:suppressAutoHyphens w:val="0"/>
              <w:jc w:val="center"/>
              <w:rPr>
                <w:lang w:val="es-CR" w:eastAsia="es-CR"/>
              </w:rPr>
            </w:pPr>
            <w:r w:rsidRPr="002C0DC3">
              <w:rPr>
                <w:lang w:val="es-CR" w:eastAsia="es-CR"/>
              </w:rPr>
              <w:t>1</w:t>
            </w:r>
          </w:p>
        </w:tc>
        <w:tc>
          <w:tcPr>
            <w:tcW w:w="851" w:type="dxa"/>
            <w:shd w:val="clear" w:color="auto" w:fill="auto"/>
            <w:noWrap/>
            <w:vAlign w:val="bottom"/>
            <w:hideMark/>
          </w:tcPr>
          <w:p w14:paraId="3DCF3F60" w14:textId="77777777" w:rsidR="002C0DC3" w:rsidRPr="002C0DC3" w:rsidRDefault="002C0DC3" w:rsidP="002C0DC3">
            <w:pPr>
              <w:suppressAutoHyphens w:val="0"/>
              <w:jc w:val="center"/>
              <w:rPr>
                <w:lang w:val="es-CR" w:eastAsia="es-CR"/>
              </w:rPr>
            </w:pPr>
            <w:r w:rsidRPr="002C0DC3">
              <w:rPr>
                <w:lang w:val="es-CR" w:eastAsia="es-CR"/>
              </w:rPr>
              <w:t>1</w:t>
            </w:r>
          </w:p>
        </w:tc>
        <w:tc>
          <w:tcPr>
            <w:tcW w:w="160" w:type="dxa"/>
            <w:vAlign w:val="center"/>
            <w:hideMark/>
          </w:tcPr>
          <w:p w14:paraId="52BF0D22" w14:textId="77777777" w:rsidR="002C0DC3" w:rsidRPr="002C0DC3" w:rsidRDefault="002C0DC3" w:rsidP="002C0DC3">
            <w:pPr>
              <w:suppressAutoHyphens w:val="0"/>
              <w:rPr>
                <w:lang w:val="es-CR" w:eastAsia="es-CR"/>
              </w:rPr>
            </w:pPr>
          </w:p>
        </w:tc>
      </w:tr>
      <w:tr w:rsidR="002C0DC3" w:rsidRPr="002C0DC3" w14:paraId="640BC85F" w14:textId="77777777" w:rsidTr="002C0DC3">
        <w:trPr>
          <w:trHeight w:val="230"/>
        </w:trPr>
        <w:tc>
          <w:tcPr>
            <w:tcW w:w="1985" w:type="dxa"/>
            <w:shd w:val="clear" w:color="auto" w:fill="auto"/>
            <w:noWrap/>
            <w:vAlign w:val="bottom"/>
            <w:hideMark/>
          </w:tcPr>
          <w:p w14:paraId="50A0F9AC" w14:textId="77777777" w:rsidR="002C0DC3" w:rsidRPr="002C0DC3" w:rsidRDefault="002C0DC3" w:rsidP="002C0DC3">
            <w:pPr>
              <w:suppressAutoHyphens w:val="0"/>
              <w:rPr>
                <w:b/>
                <w:bCs/>
                <w:lang w:val="es-CR" w:eastAsia="es-CR"/>
              </w:rPr>
            </w:pPr>
            <w:r w:rsidRPr="002C0DC3">
              <w:rPr>
                <w:b/>
                <w:bCs/>
                <w:lang w:val="es-CR" w:eastAsia="es-CR"/>
              </w:rPr>
              <w:lastRenderedPageBreak/>
              <w:t xml:space="preserve">I </w:t>
            </w:r>
            <w:proofErr w:type="spellStart"/>
            <w:r w:rsidRPr="002C0DC3">
              <w:rPr>
                <w:b/>
                <w:bCs/>
                <w:lang w:val="es-CR" w:eastAsia="es-CR"/>
              </w:rPr>
              <w:t>Circ.Jud</w:t>
            </w:r>
            <w:proofErr w:type="spellEnd"/>
            <w:r w:rsidRPr="002C0DC3">
              <w:rPr>
                <w:b/>
                <w:bCs/>
                <w:lang w:val="es-CR" w:eastAsia="es-CR"/>
              </w:rPr>
              <w:t>. Guanacaste</w:t>
            </w:r>
          </w:p>
        </w:tc>
        <w:tc>
          <w:tcPr>
            <w:tcW w:w="1134" w:type="dxa"/>
            <w:shd w:val="clear" w:color="auto" w:fill="auto"/>
            <w:noWrap/>
            <w:vAlign w:val="bottom"/>
            <w:hideMark/>
          </w:tcPr>
          <w:p w14:paraId="4A971FE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6</w:t>
            </w:r>
          </w:p>
        </w:tc>
        <w:tc>
          <w:tcPr>
            <w:tcW w:w="1276" w:type="dxa"/>
            <w:shd w:val="clear" w:color="auto" w:fill="auto"/>
            <w:noWrap/>
            <w:vAlign w:val="bottom"/>
            <w:hideMark/>
          </w:tcPr>
          <w:p w14:paraId="22AF309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35E7E4A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1C3AAAD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11B7BB7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3</w:t>
            </w:r>
          </w:p>
        </w:tc>
        <w:tc>
          <w:tcPr>
            <w:tcW w:w="851" w:type="dxa"/>
            <w:shd w:val="clear" w:color="auto" w:fill="auto"/>
            <w:noWrap/>
            <w:vAlign w:val="bottom"/>
            <w:hideMark/>
          </w:tcPr>
          <w:p w14:paraId="50A080A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60" w:type="dxa"/>
            <w:vAlign w:val="center"/>
            <w:hideMark/>
          </w:tcPr>
          <w:p w14:paraId="38746321" w14:textId="77777777" w:rsidR="002C0DC3" w:rsidRPr="002C0DC3" w:rsidRDefault="002C0DC3" w:rsidP="002C0DC3">
            <w:pPr>
              <w:suppressAutoHyphens w:val="0"/>
              <w:rPr>
                <w:lang w:val="es-CR" w:eastAsia="es-CR"/>
              </w:rPr>
            </w:pPr>
          </w:p>
        </w:tc>
      </w:tr>
      <w:tr w:rsidR="002C0DC3" w:rsidRPr="002C0DC3" w14:paraId="2A9CCE8E" w14:textId="77777777" w:rsidTr="002C0DC3">
        <w:trPr>
          <w:trHeight w:val="230"/>
        </w:trPr>
        <w:tc>
          <w:tcPr>
            <w:tcW w:w="1985" w:type="dxa"/>
            <w:shd w:val="clear" w:color="auto" w:fill="auto"/>
            <w:noWrap/>
            <w:vAlign w:val="bottom"/>
            <w:hideMark/>
          </w:tcPr>
          <w:p w14:paraId="3312C71E" w14:textId="77777777" w:rsidR="002C0DC3" w:rsidRPr="002C0DC3" w:rsidRDefault="002C0DC3" w:rsidP="002C0DC3">
            <w:pPr>
              <w:suppressAutoHyphens w:val="0"/>
              <w:rPr>
                <w:lang w:val="es-CR" w:eastAsia="es-CR"/>
              </w:rPr>
            </w:pPr>
            <w:r w:rsidRPr="002C0DC3">
              <w:rPr>
                <w:lang w:val="es-CR" w:eastAsia="es-CR"/>
              </w:rPr>
              <w:t>I Circ. Jud. Guanacaste</w:t>
            </w:r>
          </w:p>
        </w:tc>
        <w:tc>
          <w:tcPr>
            <w:tcW w:w="1134" w:type="dxa"/>
            <w:shd w:val="clear" w:color="auto" w:fill="auto"/>
            <w:noWrap/>
            <w:vAlign w:val="bottom"/>
            <w:hideMark/>
          </w:tcPr>
          <w:p w14:paraId="726DA53C" w14:textId="77777777" w:rsidR="002C0DC3" w:rsidRPr="002C0DC3" w:rsidRDefault="002C0DC3" w:rsidP="002C0DC3">
            <w:pPr>
              <w:suppressAutoHyphens w:val="0"/>
              <w:jc w:val="center"/>
              <w:rPr>
                <w:lang w:val="es-CR" w:eastAsia="es-CR"/>
              </w:rPr>
            </w:pPr>
            <w:r w:rsidRPr="002C0DC3">
              <w:rPr>
                <w:lang w:val="es-CR" w:eastAsia="es-CR"/>
              </w:rPr>
              <w:t>6</w:t>
            </w:r>
          </w:p>
        </w:tc>
        <w:tc>
          <w:tcPr>
            <w:tcW w:w="1276" w:type="dxa"/>
            <w:shd w:val="clear" w:color="auto" w:fill="auto"/>
            <w:noWrap/>
            <w:vAlign w:val="bottom"/>
            <w:hideMark/>
          </w:tcPr>
          <w:p w14:paraId="7368D8BE"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184FEB3C"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4D001A2A"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17F88E09" w14:textId="77777777" w:rsidR="002C0DC3" w:rsidRPr="002C0DC3" w:rsidRDefault="002C0DC3" w:rsidP="002C0DC3">
            <w:pPr>
              <w:suppressAutoHyphens w:val="0"/>
              <w:jc w:val="center"/>
              <w:rPr>
                <w:lang w:val="es-CR" w:eastAsia="es-CR"/>
              </w:rPr>
            </w:pPr>
            <w:r w:rsidRPr="002C0DC3">
              <w:rPr>
                <w:lang w:val="es-CR" w:eastAsia="es-CR"/>
              </w:rPr>
              <w:t>3</w:t>
            </w:r>
          </w:p>
        </w:tc>
        <w:tc>
          <w:tcPr>
            <w:tcW w:w="851" w:type="dxa"/>
            <w:shd w:val="clear" w:color="auto" w:fill="auto"/>
            <w:noWrap/>
            <w:vAlign w:val="bottom"/>
            <w:hideMark/>
          </w:tcPr>
          <w:p w14:paraId="356D9B67"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48EF97BB" w14:textId="77777777" w:rsidR="002C0DC3" w:rsidRPr="002C0DC3" w:rsidRDefault="002C0DC3" w:rsidP="002C0DC3">
            <w:pPr>
              <w:suppressAutoHyphens w:val="0"/>
              <w:rPr>
                <w:lang w:val="es-CR" w:eastAsia="es-CR"/>
              </w:rPr>
            </w:pPr>
          </w:p>
        </w:tc>
      </w:tr>
      <w:tr w:rsidR="002C0DC3" w:rsidRPr="002C0DC3" w14:paraId="3737F4DD" w14:textId="77777777" w:rsidTr="002C0DC3">
        <w:trPr>
          <w:trHeight w:val="230"/>
        </w:trPr>
        <w:tc>
          <w:tcPr>
            <w:tcW w:w="1985" w:type="dxa"/>
            <w:shd w:val="clear" w:color="auto" w:fill="auto"/>
            <w:noWrap/>
            <w:vAlign w:val="bottom"/>
            <w:hideMark/>
          </w:tcPr>
          <w:p w14:paraId="5CACED75" w14:textId="77777777" w:rsidR="002C0DC3" w:rsidRPr="002C0DC3" w:rsidRDefault="002C0DC3" w:rsidP="002C0DC3">
            <w:pPr>
              <w:suppressAutoHyphens w:val="0"/>
              <w:rPr>
                <w:b/>
                <w:bCs/>
                <w:lang w:val="es-CR" w:eastAsia="es-CR"/>
              </w:rPr>
            </w:pPr>
            <w:r w:rsidRPr="002C0DC3">
              <w:rPr>
                <w:b/>
                <w:bCs/>
                <w:lang w:val="es-CR" w:eastAsia="es-CR"/>
              </w:rPr>
              <w:t>II Circ. Guanacaste</w:t>
            </w:r>
          </w:p>
        </w:tc>
        <w:tc>
          <w:tcPr>
            <w:tcW w:w="1134" w:type="dxa"/>
            <w:shd w:val="clear" w:color="auto" w:fill="auto"/>
            <w:noWrap/>
            <w:vAlign w:val="bottom"/>
            <w:hideMark/>
          </w:tcPr>
          <w:p w14:paraId="711E937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4</w:t>
            </w:r>
          </w:p>
        </w:tc>
        <w:tc>
          <w:tcPr>
            <w:tcW w:w="1276" w:type="dxa"/>
            <w:shd w:val="clear" w:color="auto" w:fill="auto"/>
            <w:noWrap/>
            <w:vAlign w:val="bottom"/>
            <w:hideMark/>
          </w:tcPr>
          <w:p w14:paraId="3D0C470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1B0C8DC4"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4BA7459C"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6B264E5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4</w:t>
            </w:r>
          </w:p>
        </w:tc>
        <w:tc>
          <w:tcPr>
            <w:tcW w:w="851" w:type="dxa"/>
            <w:shd w:val="clear" w:color="auto" w:fill="auto"/>
            <w:noWrap/>
            <w:vAlign w:val="bottom"/>
            <w:hideMark/>
          </w:tcPr>
          <w:p w14:paraId="3798ED5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60" w:type="dxa"/>
            <w:vAlign w:val="center"/>
            <w:hideMark/>
          </w:tcPr>
          <w:p w14:paraId="00D64594" w14:textId="77777777" w:rsidR="002C0DC3" w:rsidRPr="002C0DC3" w:rsidRDefault="002C0DC3" w:rsidP="002C0DC3">
            <w:pPr>
              <w:suppressAutoHyphens w:val="0"/>
              <w:rPr>
                <w:lang w:val="es-CR" w:eastAsia="es-CR"/>
              </w:rPr>
            </w:pPr>
          </w:p>
        </w:tc>
      </w:tr>
      <w:tr w:rsidR="002C0DC3" w:rsidRPr="002C0DC3" w14:paraId="7FEE7AF9" w14:textId="77777777" w:rsidTr="002C0DC3">
        <w:trPr>
          <w:trHeight w:val="230"/>
        </w:trPr>
        <w:tc>
          <w:tcPr>
            <w:tcW w:w="1985" w:type="dxa"/>
            <w:shd w:val="clear" w:color="auto" w:fill="auto"/>
            <w:noWrap/>
            <w:vAlign w:val="bottom"/>
            <w:hideMark/>
          </w:tcPr>
          <w:p w14:paraId="78B9A1AB" w14:textId="77777777" w:rsidR="002C0DC3" w:rsidRPr="002C0DC3" w:rsidRDefault="002C0DC3" w:rsidP="002C0DC3">
            <w:pPr>
              <w:suppressAutoHyphens w:val="0"/>
              <w:rPr>
                <w:lang w:val="es-CR" w:eastAsia="es-CR"/>
              </w:rPr>
            </w:pPr>
            <w:r w:rsidRPr="002C0DC3">
              <w:rPr>
                <w:lang w:val="es-CR" w:eastAsia="es-CR"/>
              </w:rPr>
              <w:t>II Circ. Santa Cruz</w:t>
            </w:r>
          </w:p>
        </w:tc>
        <w:tc>
          <w:tcPr>
            <w:tcW w:w="1134" w:type="dxa"/>
            <w:shd w:val="clear" w:color="auto" w:fill="auto"/>
            <w:noWrap/>
            <w:vAlign w:val="bottom"/>
            <w:hideMark/>
          </w:tcPr>
          <w:p w14:paraId="047C0B32" w14:textId="77777777" w:rsidR="002C0DC3" w:rsidRPr="002C0DC3" w:rsidRDefault="002C0DC3" w:rsidP="002C0DC3">
            <w:pPr>
              <w:suppressAutoHyphens w:val="0"/>
              <w:jc w:val="center"/>
              <w:rPr>
                <w:lang w:val="es-CR" w:eastAsia="es-CR"/>
              </w:rPr>
            </w:pPr>
            <w:r w:rsidRPr="002C0DC3">
              <w:rPr>
                <w:lang w:val="es-CR" w:eastAsia="es-CR"/>
              </w:rPr>
              <w:t>4</w:t>
            </w:r>
          </w:p>
        </w:tc>
        <w:tc>
          <w:tcPr>
            <w:tcW w:w="1276" w:type="dxa"/>
            <w:shd w:val="clear" w:color="auto" w:fill="auto"/>
            <w:noWrap/>
            <w:vAlign w:val="bottom"/>
            <w:hideMark/>
          </w:tcPr>
          <w:p w14:paraId="25C62A33"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3E4DA05F"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430E3F0B"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14955D5E" w14:textId="77777777" w:rsidR="002C0DC3" w:rsidRPr="002C0DC3" w:rsidRDefault="002C0DC3" w:rsidP="002C0DC3">
            <w:pPr>
              <w:suppressAutoHyphens w:val="0"/>
              <w:jc w:val="center"/>
              <w:rPr>
                <w:lang w:val="es-CR" w:eastAsia="es-CR"/>
              </w:rPr>
            </w:pPr>
            <w:r w:rsidRPr="002C0DC3">
              <w:rPr>
                <w:lang w:val="es-CR" w:eastAsia="es-CR"/>
              </w:rPr>
              <w:t>4</w:t>
            </w:r>
          </w:p>
        </w:tc>
        <w:tc>
          <w:tcPr>
            <w:tcW w:w="851" w:type="dxa"/>
            <w:shd w:val="clear" w:color="auto" w:fill="auto"/>
            <w:noWrap/>
            <w:vAlign w:val="bottom"/>
            <w:hideMark/>
          </w:tcPr>
          <w:p w14:paraId="412BA6DB"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42ACF2E1" w14:textId="77777777" w:rsidR="002C0DC3" w:rsidRPr="002C0DC3" w:rsidRDefault="002C0DC3" w:rsidP="002C0DC3">
            <w:pPr>
              <w:suppressAutoHyphens w:val="0"/>
              <w:rPr>
                <w:lang w:val="es-CR" w:eastAsia="es-CR"/>
              </w:rPr>
            </w:pPr>
          </w:p>
        </w:tc>
      </w:tr>
      <w:tr w:rsidR="002C0DC3" w:rsidRPr="002C0DC3" w14:paraId="6C08850B" w14:textId="77777777" w:rsidTr="002C0DC3">
        <w:trPr>
          <w:trHeight w:val="230"/>
        </w:trPr>
        <w:tc>
          <w:tcPr>
            <w:tcW w:w="1985" w:type="dxa"/>
            <w:shd w:val="clear" w:color="auto" w:fill="auto"/>
            <w:noWrap/>
            <w:vAlign w:val="bottom"/>
            <w:hideMark/>
          </w:tcPr>
          <w:p w14:paraId="7AF0AF78" w14:textId="77777777" w:rsidR="002C0DC3" w:rsidRPr="002C0DC3" w:rsidRDefault="002C0DC3" w:rsidP="002C0DC3">
            <w:pPr>
              <w:suppressAutoHyphens w:val="0"/>
              <w:rPr>
                <w:b/>
                <w:bCs/>
                <w:lang w:val="es-CR" w:eastAsia="es-CR"/>
              </w:rPr>
            </w:pPr>
            <w:r w:rsidRPr="002C0DC3">
              <w:rPr>
                <w:b/>
                <w:bCs/>
                <w:lang w:val="es-CR" w:eastAsia="es-CR"/>
              </w:rPr>
              <w:t>Circ. Jud. Puntarenas</w:t>
            </w:r>
          </w:p>
        </w:tc>
        <w:tc>
          <w:tcPr>
            <w:tcW w:w="1134" w:type="dxa"/>
            <w:shd w:val="clear" w:color="auto" w:fill="auto"/>
            <w:noWrap/>
            <w:vAlign w:val="bottom"/>
            <w:hideMark/>
          </w:tcPr>
          <w:p w14:paraId="7E888919"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7</w:t>
            </w:r>
          </w:p>
        </w:tc>
        <w:tc>
          <w:tcPr>
            <w:tcW w:w="1276" w:type="dxa"/>
            <w:shd w:val="clear" w:color="auto" w:fill="auto"/>
            <w:noWrap/>
            <w:vAlign w:val="bottom"/>
            <w:hideMark/>
          </w:tcPr>
          <w:p w14:paraId="570083AF"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49C8B74D"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342CDFF0"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3897C14C"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851" w:type="dxa"/>
            <w:shd w:val="clear" w:color="auto" w:fill="auto"/>
            <w:noWrap/>
            <w:vAlign w:val="bottom"/>
            <w:hideMark/>
          </w:tcPr>
          <w:p w14:paraId="30DF428C"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60" w:type="dxa"/>
            <w:vAlign w:val="center"/>
            <w:hideMark/>
          </w:tcPr>
          <w:p w14:paraId="0008C8B5" w14:textId="77777777" w:rsidR="002C0DC3" w:rsidRPr="002C0DC3" w:rsidRDefault="002C0DC3" w:rsidP="002C0DC3">
            <w:pPr>
              <w:suppressAutoHyphens w:val="0"/>
              <w:rPr>
                <w:lang w:val="es-CR" w:eastAsia="es-CR"/>
              </w:rPr>
            </w:pPr>
          </w:p>
        </w:tc>
      </w:tr>
      <w:tr w:rsidR="002C0DC3" w:rsidRPr="002C0DC3" w14:paraId="232249F1" w14:textId="77777777" w:rsidTr="002C0DC3">
        <w:trPr>
          <w:trHeight w:val="230"/>
        </w:trPr>
        <w:tc>
          <w:tcPr>
            <w:tcW w:w="1985" w:type="dxa"/>
            <w:shd w:val="clear" w:color="auto" w:fill="auto"/>
            <w:noWrap/>
            <w:vAlign w:val="bottom"/>
            <w:hideMark/>
          </w:tcPr>
          <w:p w14:paraId="1DE4E72B" w14:textId="77777777" w:rsidR="002C0DC3" w:rsidRPr="002C0DC3" w:rsidRDefault="002C0DC3" w:rsidP="002C0DC3">
            <w:pPr>
              <w:suppressAutoHyphens w:val="0"/>
              <w:rPr>
                <w:lang w:val="es-CR" w:eastAsia="es-CR"/>
              </w:rPr>
            </w:pPr>
            <w:r w:rsidRPr="002C0DC3">
              <w:rPr>
                <w:lang w:val="es-CR" w:eastAsia="es-CR"/>
              </w:rPr>
              <w:t>Cobro de Puntarenas</w:t>
            </w:r>
          </w:p>
        </w:tc>
        <w:tc>
          <w:tcPr>
            <w:tcW w:w="1134" w:type="dxa"/>
            <w:shd w:val="clear" w:color="auto" w:fill="auto"/>
            <w:noWrap/>
            <w:vAlign w:val="bottom"/>
            <w:hideMark/>
          </w:tcPr>
          <w:p w14:paraId="71851A96" w14:textId="77777777" w:rsidR="002C0DC3" w:rsidRPr="002C0DC3" w:rsidRDefault="002C0DC3" w:rsidP="002C0DC3">
            <w:pPr>
              <w:suppressAutoHyphens w:val="0"/>
              <w:jc w:val="center"/>
              <w:rPr>
                <w:lang w:val="es-CR" w:eastAsia="es-CR"/>
              </w:rPr>
            </w:pPr>
            <w:r w:rsidRPr="002C0DC3">
              <w:rPr>
                <w:lang w:val="es-CR" w:eastAsia="es-CR"/>
              </w:rPr>
              <w:t>7</w:t>
            </w:r>
          </w:p>
        </w:tc>
        <w:tc>
          <w:tcPr>
            <w:tcW w:w="1276" w:type="dxa"/>
            <w:shd w:val="clear" w:color="auto" w:fill="auto"/>
            <w:noWrap/>
            <w:vAlign w:val="bottom"/>
            <w:hideMark/>
          </w:tcPr>
          <w:p w14:paraId="1A59CEA7"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02598E59"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40B6B038"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3B931D8D" w14:textId="77777777" w:rsidR="002C0DC3" w:rsidRPr="002C0DC3" w:rsidRDefault="002C0DC3" w:rsidP="002C0DC3">
            <w:pPr>
              <w:suppressAutoHyphens w:val="0"/>
              <w:jc w:val="center"/>
              <w:rPr>
                <w:lang w:val="es-CR" w:eastAsia="es-CR"/>
              </w:rPr>
            </w:pPr>
            <w:r w:rsidRPr="002C0DC3">
              <w:rPr>
                <w:lang w:val="es-CR" w:eastAsia="es-CR"/>
              </w:rPr>
              <w:t>1</w:t>
            </w:r>
          </w:p>
        </w:tc>
        <w:tc>
          <w:tcPr>
            <w:tcW w:w="851" w:type="dxa"/>
            <w:shd w:val="clear" w:color="auto" w:fill="auto"/>
            <w:noWrap/>
            <w:vAlign w:val="bottom"/>
            <w:hideMark/>
          </w:tcPr>
          <w:p w14:paraId="15E18676"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07F0275A" w14:textId="77777777" w:rsidR="002C0DC3" w:rsidRPr="002C0DC3" w:rsidRDefault="002C0DC3" w:rsidP="002C0DC3">
            <w:pPr>
              <w:suppressAutoHyphens w:val="0"/>
              <w:rPr>
                <w:lang w:val="es-CR" w:eastAsia="es-CR"/>
              </w:rPr>
            </w:pPr>
          </w:p>
        </w:tc>
      </w:tr>
      <w:tr w:rsidR="002C0DC3" w:rsidRPr="002C0DC3" w14:paraId="178603F9" w14:textId="77777777" w:rsidTr="002C0DC3">
        <w:trPr>
          <w:trHeight w:val="230"/>
        </w:trPr>
        <w:tc>
          <w:tcPr>
            <w:tcW w:w="1985" w:type="dxa"/>
            <w:shd w:val="clear" w:color="auto" w:fill="auto"/>
            <w:noWrap/>
            <w:vAlign w:val="bottom"/>
            <w:hideMark/>
          </w:tcPr>
          <w:p w14:paraId="757B5666" w14:textId="77777777" w:rsidR="002C0DC3" w:rsidRPr="002C0DC3" w:rsidRDefault="002C0DC3" w:rsidP="002C0DC3">
            <w:pPr>
              <w:suppressAutoHyphens w:val="0"/>
              <w:rPr>
                <w:b/>
                <w:bCs/>
                <w:lang w:val="es-CR" w:eastAsia="es-CR"/>
              </w:rPr>
            </w:pPr>
            <w:r w:rsidRPr="002C0DC3">
              <w:rPr>
                <w:b/>
                <w:bCs/>
                <w:lang w:val="es-CR" w:eastAsia="es-CR"/>
              </w:rPr>
              <w:t xml:space="preserve">II </w:t>
            </w:r>
            <w:proofErr w:type="spellStart"/>
            <w:r w:rsidRPr="002C0DC3">
              <w:rPr>
                <w:b/>
                <w:bCs/>
                <w:lang w:val="es-CR" w:eastAsia="es-CR"/>
              </w:rPr>
              <w:t>Circ.Jud</w:t>
            </w:r>
            <w:proofErr w:type="spellEnd"/>
            <w:r w:rsidRPr="002C0DC3">
              <w:rPr>
                <w:b/>
                <w:bCs/>
                <w:lang w:val="es-CR" w:eastAsia="es-CR"/>
              </w:rPr>
              <w:t>. Zona Sur</w:t>
            </w:r>
          </w:p>
        </w:tc>
        <w:tc>
          <w:tcPr>
            <w:tcW w:w="1134" w:type="dxa"/>
            <w:shd w:val="clear" w:color="auto" w:fill="auto"/>
            <w:noWrap/>
            <w:vAlign w:val="bottom"/>
            <w:hideMark/>
          </w:tcPr>
          <w:p w14:paraId="17AE7B9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276" w:type="dxa"/>
            <w:shd w:val="clear" w:color="auto" w:fill="auto"/>
            <w:noWrap/>
            <w:vAlign w:val="bottom"/>
            <w:hideMark/>
          </w:tcPr>
          <w:p w14:paraId="1BC754E7"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4910D29F"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256CFA26"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60C55C3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1</w:t>
            </w:r>
          </w:p>
        </w:tc>
        <w:tc>
          <w:tcPr>
            <w:tcW w:w="851" w:type="dxa"/>
            <w:shd w:val="clear" w:color="auto" w:fill="auto"/>
            <w:noWrap/>
            <w:vAlign w:val="bottom"/>
            <w:hideMark/>
          </w:tcPr>
          <w:p w14:paraId="0E6FB713"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60" w:type="dxa"/>
            <w:vAlign w:val="center"/>
            <w:hideMark/>
          </w:tcPr>
          <w:p w14:paraId="6ECF0880" w14:textId="77777777" w:rsidR="002C0DC3" w:rsidRPr="002C0DC3" w:rsidRDefault="002C0DC3" w:rsidP="002C0DC3">
            <w:pPr>
              <w:suppressAutoHyphens w:val="0"/>
              <w:rPr>
                <w:lang w:val="es-CR" w:eastAsia="es-CR"/>
              </w:rPr>
            </w:pPr>
          </w:p>
        </w:tc>
      </w:tr>
      <w:tr w:rsidR="002C0DC3" w:rsidRPr="002C0DC3" w14:paraId="70858182" w14:textId="77777777" w:rsidTr="002C0DC3">
        <w:trPr>
          <w:trHeight w:val="230"/>
        </w:trPr>
        <w:tc>
          <w:tcPr>
            <w:tcW w:w="1985" w:type="dxa"/>
            <w:shd w:val="clear" w:color="auto" w:fill="auto"/>
            <w:noWrap/>
            <w:vAlign w:val="bottom"/>
            <w:hideMark/>
          </w:tcPr>
          <w:p w14:paraId="0B532979" w14:textId="77777777" w:rsidR="002C0DC3" w:rsidRPr="002C0DC3" w:rsidRDefault="002C0DC3" w:rsidP="002C0DC3">
            <w:pPr>
              <w:suppressAutoHyphens w:val="0"/>
              <w:rPr>
                <w:lang w:val="es-CR" w:eastAsia="es-CR"/>
              </w:rPr>
            </w:pPr>
            <w:r w:rsidRPr="002C0DC3">
              <w:rPr>
                <w:lang w:val="es-CR" w:eastAsia="es-CR"/>
              </w:rPr>
              <w:t>Cobro de Golfito</w:t>
            </w:r>
          </w:p>
        </w:tc>
        <w:tc>
          <w:tcPr>
            <w:tcW w:w="1134" w:type="dxa"/>
            <w:shd w:val="clear" w:color="auto" w:fill="auto"/>
            <w:noWrap/>
            <w:vAlign w:val="bottom"/>
            <w:hideMark/>
          </w:tcPr>
          <w:p w14:paraId="106ABB69" w14:textId="77777777" w:rsidR="002C0DC3" w:rsidRPr="002C0DC3" w:rsidRDefault="002C0DC3" w:rsidP="002C0DC3">
            <w:pPr>
              <w:suppressAutoHyphens w:val="0"/>
              <w:jc w:val="center"/>
              <w:rPr>
                <w:lang w:val="es-CR" w:eastAsia="es-CR"/>
              </w:rPr>
            </w:pPr>
            <w:r w:rsidRPr="002C0DC3">
              <w:rPr>
                <w:lang w:val="es-CR" w:eastAsia="es-CR"/>
              </w:rPr>
              <w:t>0</w:t>
            </w:r>
          </w:p>
        </w:tc>
        <w:tc>
          <w:tcPr>
            <w:tcW w:w="1276" w:type="dxa"/>
            <w:shd w:val="clear" w:color="auto" w:fill="auto"/>
            <w:noWrap/>
            <w:vAlign w:val="bottom"/>
            <w:hideMark/>
          </w:tcPr>
          <w:p w14:paraId="69A46450"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62A9419A"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1246AA68"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3C041C1E" w14:textId="77777777" w:rsidR="002C0DC3" w:rsidRPr="002C0DC3" w:rsidRDefault="002C0DC3" w:rsidP="002C0DC3">
            <w:pPr>
              <w:suppressAutoHyphens w:val="0"/>
              <w:jc w:val="center"/>
              <w:rPr>
                <w:lang w:val="es-CR" w:eastAsia="es-CR"/>
              </w:rPr>
            </w:pPr>
            <w:r w:rsidRPr="002C0DC3">
              <w:rPr>
                <w:lang w:val="es-CR" w:eastAsia="es-CR"/>
              </w:rPr>
              <w:t>1</w:t>
            </w:r>
          </w:p>
        </w:tc>
        <w:tc>
          <w:tcPr>
            <w:tcW w:w="851" w:type="dxa"/>
            <w:shd w:val="clear" w:color="auto" w:fill="auto"/>
            <w:noWrap/>
            <w:vAlign w:val="bottom"/>
            <w:hideMark/>
          </w:tcPr>
          <w:p w14:paraId="04B7778E"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0D722F19" w14:textId="77777777" w:rsidR="002C0DC3" w:rsidRPr="002C0DC3" w:rsidRDefault="002C0DC3" w:rsidP="002C0DC3">
            <w:pPr>
              <w:suppressAutoHyphens w:val="0"/>
              <w:rPr>
                <w:lang w:val="es-CR" w:eastAsia="es-CR"/>
              </w:rPr>
            </w:pPr>
          </w:p>
        </w:tc>
      </w:tr>
      <w:tr w:rsidR="002C0DC3" w:rsidRPr="002C0DC3" w14:paraId="2D12AF03" w14:textId="77777777" w:rsidTr="002C0DC3">
        <w:trPr>
          <w:trHeight w:val="230"/>
        </w:trPr>
        <w:tc>
          <w:tcPr>
            <w:tcW w:w="1985" w:type="dxa"/>
            <w:shd w:val="clear" w:color="auto" w:fill="auto"/>
            <w:noWrap/>
            <w:vAlign w:val="bottom"/>
            <w:hideMark/>
          </w:tcPr>
          <w:p w14:paraId="4CC6579B" w14:textId="77777777" w:rsidR="002C0DC3" w:rsidRPr="002C0DC3" w:rsidRDefault="002C0DC3" w:rsidP="002C0DC3">
            <w:pPr>
              <w:suppressAutoHyphens w:val="0"/>
              <w:rPr>
                <w:b/>
                <w:bCs/>
                <w:lang w:val="es-CR" w:eastAsia="es-CR"/>
              </w:rPr>
            </w:pPr>
            <w:r w:rsidRPr="002C0DC3">
              <w:rPr>
                <w:b/>
                <w:bCs/>
                <w:lang w:val="es-CR" w:eastAsia="es-CR"/>
              </w:rPr>
              <w:t xml:space="preserve">I </w:t>
            </w:r>
            <w:proofErr w:type="spellStart"/>
            <w:r w:rsidRPr="002C0DC3">
              <w:rPr>
                <w:b/>
                <w:bCs/>
                <w:lang w:val="es-CR" w:eastAsia="es-CR"/>
              </w:rPr>
              <w:t>Circ..Zona</w:t>
            </w:r>
            <w:proofErr w:type="spellEnd"/>
            <w:r w:rsidRPr="002C0DC3">
              <w:rPr>
                <w:b/>
                <w:bCs/>
                <w:lang w:val="es-CR" w:eastAsia="es-CR"/>
              </w:rPr>
              <w:t xml:space="preserve"> Atlántica</w:t>
            </w:r>
          </w:p>
        </w:tc>
        <w:tc>
          <w:tcPr>
            <w:tcW w:w="1134" w:type="dxa"/>
            <w:shd w:val="clear" w:color="auto" w:fill="auto"/>
            <w:noWrap/>
            <w:vAlign w:val="bottom"/>
            <w:hideMark/>
          </w:tcPr>
          <w:p w14:paraId="701BA70E"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w:t>
            </w:r>
          </w:p>
        </w:tc>
        <w:tc>
          <w:tcPr>
            <w:tcW w:w="1276" w:type="dxa"/>
            <w:shd w:val="clear" w:color="auto" w:fill="auto"/>
            <w:noWrap/>
            <w:vAlign w:val="bottom"/>
            <w:hideMark/>
          </w:tcPr>
          <w:p w14:paraId="6FE4A471"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318573AB"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67B3414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62DB6E85"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w:t>
            </w:r>
          </w:p>
        </w:tc>
        <w:tc>
          <w:tcPr>
            <w:tcW w:w="851" w:type="dxa"/>
            <w:shd w:val="clear" w:color="auto" w:fill="auto"/>
            <w:noWrap/>
            <w:vAlign w:val="bottom"/>
            <w:hideMark/>
          </w:tcPr>
          <w:p w14:paraId="172BD396"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60" w:type="dxa"/>
            <w:vAlign w:val="center"/>
            <w:hideMark/>
          </w:tcPr>
          <w:p w14:paraId="0760F138" w14:textId="77777777" w:rsidR="002C0DC3" w:rsidRPr="002C0DC3" w:rsidRDefault="002C0DC3" w:rsidP="002C0DC3">
            <w:pPr>
              <w:suppressAutoHyphens w:val="0"/>
              <w:rPr>
                <w:lang w:val="es-CR" w:eastAsia="es-CR"/>
              </w:rPr>
            </w:pPr>
          </w:p>
        </w:tc>
      </w:tr>
      <w:tr w:rsidR="002C0DC3" w:rsidRPr="002C0DC3" w14:paraId="43601FDF" w14:textId="77777777" w:rsidTr="002C0DC3">
        <w:trPr>
          <w:trHeight w:val="230"/>
        </w:trPr>
        <w:tc>
          <w:tcPr>
            <w:tcW w:w="1985" w:type="dxa"/>
            <w:shd w:val="clear" w:color="auto" w:fill="auto"/>
            <w:noWrap/>
            <w:vAlign w:val="bottom"/>
            <w:hideMark/>
          </w:tcPr>
          <w:p w14:paraId="40D0CC5F" w14:textId="77777777" w:rsidR="002C0DC3" w:rsidRPr="002C0DC3" w:rsidRDefault="002C0DC3" w:rsidP="002C0DC3">
            <w:pPr>
              <w:suppressAutoHyphens w:val="0"/>
              <w:rPr>
                <w:lang w:val="es-CR" w:eastAsia="es-CR"/>
              </w:rPr>
            </w:pPr>
            <w:r w:rsidRPr="002C0DC3">
              <w:rPr>
                <w:lang w:val="es-CR" w:eastAsia="es-CR"/>
              </w:rPr>
              <w:t>I Circ. Zona Atlántica</w:t>
            </w:r>
          </w:p>
        </w:tc>
        <w:tc>
          <w:tcPr>
            <w:tcW w:w="1134" w:type="dxa"/>
            <w:shd w:val="clear" w:color="auto" w:fill="auto"/>
            <w:noWrap/>
            <w:vAlign w:val="bottom"/>
            <w:hideMark/>
          </w:tcPr>
          <w:p w14:paraId="253D40E4" w14:textId="77777777" w:rsidR="002C0DC3" w:rsidRPr="002C0DC3" w:rsidRDefault="002C0DC3" w:rsidP="002C0DC3">
            <w:pPr>
              <w:suppressAutoHyphens w:val="0"/>
              <w:jc w:val="center"/>
              <w:rPr>
                <w:lang w:val="es-CR" w:eastAsia="es-CR"/>
              </w:rPr>
            </w:pPr>
            <w:r w:rsidRPr="002C0DC3">
              <w:rPr>
                <w:lang w:val="es-CR" w:eastAsia="es-CR"/>
              </w:rPr>
              <w:t>2</w:t>
            </w:r>
          </w:p>
        </w:tc>
        <w:tc>
          <w:tcPr>
            <w:tcW w:w="1276" w:type="dxa"/>
            <w:shd w:val="clear" w:color="auto" w:fill="auto"/>
            <w:noWrap/>
            <w:vAlign w:val="bottom"/>
            <w:hideMark/>
          </w:tcPr>
          <w:p w14:paraId="39EF1F47"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258FC654"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17B84EB3"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14AFD5C3" w14:textId="77777777" w:rsidR="002C0DC3" w:rsidRPr="002C0DC3" w:rsidRDefault="002C0DC3" w:rsidP="002C0DC3">
            <w:pPr>
              <w:suppressAutoHyphens w:val="0"/>
              <w:jc w:val="center"/>
              <w:rPr>
                <w:lang w:val="es-CR" w:eastAsia="es-CR"/>
              </w:rPr>
            </w:pPr>
            <w:r w:rsidRPr="002C0DC3">
              <w:rPr>
                <w:lang w:val="es-CR" w:eastAsia="es-CR"/>
              </w:rPr>
              <w:t>2</w:t>
            </w:r>
          </w:p>
        </w:tc>
        <w:tc>
          <w:tcPr>
            <w:tcW w:w="851" w:type="dxa"/>
            <w:shd w:val="clear" w:color="auto" w:fill="auto"/>
            <w:noWrap/>
            <w:vAlign w:val="bottom"/>
            <w:hideMark/>
          </w:tcPr>
          <w:p w14:paraId="38A85E2D"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2E31B100" w14:textId="77777777" w:rsidR="002C0DC3" w:rsidRPr="002C0DC3" w:rsidRDefault="002C0DC3" w:rsidP="002C0DC3">
            <w:pPr>
              <w:suppressAutoHyphens w:val="0"/>
              <w:rPr>
                <w:lang w:val="es-CR" w:eastAsia="es-CR"/>
              </w:rPr>
            </w:pPr>
          </w:p>
        </w:tc>
      </w:tr>
      <w:tr w:rsidR="002C0DC3" w:rsidRPr="002C0DC3" w14:paraId="4FC4AB71" w14:textId="77777777" w:rsidTr="002C0DC3">
        <w:trPr>
          <w:trHeight w:val="230"/>
        </w:trPr>
        <w:tc>
          <w:tcPr>
            <w:tcW w:w="1985" w:type="dxa"/>
            <w:shd w:val="clear" w:color="auto" w:fill="auto"/>
            <w:noWrap/>
            <w:vAlign w:val="bottom"/>
            <w:hideMark/>
          </w:tcPr>
          <w:p w14:paraId="59B383CE" w14:textId="77777777" w:rsidR="002C0DC3" w:rsidRPr="002C0DC3" w:rsidRDefault="002C0DC3" w:rsidP="002C0DC3">
            <w:pPr>
              <w:suppressAutoHyphens w:val="0"/>
              <w:rPr>
                <w:b/>
                <w:bCs/>
                <w:lang w:val="es-CR" w:eastAsia="es-CR"/>
              </w:rPr>
            </w:pPr>
            <w:r w:rsidRPr="002C0DC3">
              <w:rPr>
                <w:b/>
                <w:bCs/>
                <w:lang w:val="es-CR" w:eastAsia="es-CR"/>
              </w:rPr>
              <w:t>II Cir. Zona Atlántica</w:t>
            </w:r>
          </w:p>
        </w:tc>
        <w:tc>
          <w:tcPr>
            <w:tcW w:w="1134" w:type="dxa"/>
            <w:shd w:val="clear" w:color="auto" w:fill="auto"/>
            <w:noWrap/>
            <w:vAlign w:val="bottom"/>
            <w:hideMark/>
          </w:tcPr>
          <w:p w14:paraId="56D44EDA"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2</w:t>
            </w:r>
          </w:p>
        </w:tc>
        <w:tc>
          <w:tcPr>
            <w:tcW w:w="1276" w:type="dxa"/>
            <w:shd w:val="clear" w:color="auto" w:fill="auto"/>
            <w:noWrap/>
            <w:vAlign w:val="bottom"/>
            <w:hideMark/>
          </w:tcPr>
          <w:p w14:paraId="29E1D2F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576647E8"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417" w:type="dxa"/>
            <w:shd w:val="clear" w:color="auto" w:fill="auto"/>
            <w:noWrap/>
            <w:vAlign w:val="bottom"/>
            <w:hideMark/>
          </w:tcPr>
          <w:p w14:paraId="09E17FC1"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134" w:type="dxa"/>
            <w:shd w:val="clear" w:color="auto" w:fill="auto"/>
            <w:noWrap/>
            <w:vAlign w:val="bottom"/>
            <w:hideMark/>
          </w:tcPr>
          <w:p w14:paraId="2AEEB4E1"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4</w:t>
            </w:r>
          </w:p>
        </w:tc>
        <w:tc>
          <w:tcPr>
            <w:tcW w:w="851" w:type="dxa"/>
            <w:shd w:val="clear" w:color="auto" w:fill="auto"/>
            <w:noWrap/>
            <w:vAlign w:val="bottom"/>
            <w:hideMark/>
          </w:tcPr>
          <w:p w14:paraId="229DE432" w14:textId="77777777" w:rsidR="002C0DC3" w:rsidRPr="002C0DC3" w:rsidRDefault="002C0DC3" w:rsidP="002C0DC3">
            <w:pPr>
              <w:suppressAutoHyphens w:val="0"/>
              <w:jc w:val="center"/>
              <w:rPr>
                <w:b/>
                <w:bCs/>
                <w:u w:val="single"/>
                <w:lang w:val="es-CR" w:eastAsia="es-CR"/>
              </w:rPr>
            </w:pPr>
            <w:r w:rsidRPr="002C0DC3">
              <w:rPr>
                <w:b/>
                <w:bCs/>
                <w:u w:val="single"/>
                <w:lang w:val="es-CR" w:eastAsia="es-CR"/>
              </w:rPr>
              <w:t>0</w:t>
            </w:r>
          </w:p>
        </w:tc>
        <w:tc>
          <w:tcPr>
            <w:tcW w:w="160" w:type="dxa"/>
            <w:vAlign w:val="center"/>
            <w:hideMark/>
          </w:tcPr>
          <w:p w14:paraId="1E481E72" w14:textId="77777777" w:rsidR="002C0DC3" w:rsidRPr="002C0DC3" w:rsidRDefault="002C0DC3" w:rsidP="002C0DC3">
            <w:pPr>
              <w:suppressAutoHyphens w:val="0"/>
              <w:rPr>
                <w:lang w:val="es-CR" w:eastAsia="es-CR"/>
              </w:rPr>
            </w:pPr>
          </w:p>
        </w:tc>
      </w:tr>
      <w:tr w:rsidR="002C0DC3" w:rsidRPr="002C0DC3" w14:paraId="6A4C5C22" w14:textId="77777777" w:rsidTr="002C0DC3">
        <w:trPr>
          <w:trHeight w:val="230"/>
        </w:trPr>
        <w:tc>
          <w:tcPr>
            <w:tcW w:w="1985" w:type="dxa"/>
            <w:shd w:val="clear" w:color="auto" w:fill="auto"/>
            <w:noWrap/>
            <w:vAlign w:val="bottom"/>
            <w:hideMark/>
          </w:tcPr>
          <w:p w14:paraId="46F1F873" w14:textId="77777777" w:rsidR="002C0DC3" w:rsidRPr="002C0DC3" w:rsidRDefault="002C0DC3" w:rsidP="002C0DC3">
            <w:pPr>
              <w:suppressAutoHyphens w:val="0"/>
              <w:rPr>
                <w:lang w:val="es-CR" w:eastAsia="es-CR"/>
              </w:rPr>
            </w:pPr>
            <w:r w:rsidRPr="002C0DC3">
              <w:rPr>
                <w:lang w:val="es-CR" w:eastAsia="es-CR"/>
              </w:rPr>
              <w:t>II Circ. Zona Atlántica</w:t>
            </w:r>
          </w:p>
        </w:tc>
        <w:tc>
          <w:tcPr>
            <w:tcW w:w="1134" w:type="dxa"/>
            <w:shd w:val="clear" w:color="auto" w:fill="auto"/>
            <w:noWrap/>
            <w:vAlign w:val="bottom"/>
            <w:hideMark/>
          </w:tcPr>
          <w:p w14:paraId="4BD52AEB" w14:textId="77777777" w:rsidR="002C0DC3" w:rsidRPr="002C0DC3" w:rsidRDefault="002C0DC3" w:rsidP="002C0DC3">
            <w:pPr>
              <w:suppressAutoHyphens w:val="0"/>
              <w:jc w:val="center"/>
              <w:rPr>
                <w:lang w:val="es-CR" w:eastAsia="es-CR"/>
              </w:rPr>
            </w:pPr>
            <w:r w:rsidRPr="002C0DC3">
              <w:rPr>
                <w:lang w:val="es-CR" w:eastAsia="es-CR"/>
              </w:rPr>
              <w:t>2</w:t>
            </w:r>
          </w:p>
        </w:tc>
        <w:tc>
          <w:tcPr>
            <w:tcW w:w="1276" w:type="dxa"/>
            <w:shd w:val="clear" w:color="auto" w:fill="auto"/>
            <w:noWrap/>
            <w:vAlign w:val="bottom"/>
            <w:hideMark/>
          </w:tcPr>
          <w:p w14:paraId="4BDC5CBA"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5FDE1FDD" w14:textId="77777777" w:rsidR="002C0DC3" w:rsidRPr="002C0DC3" w:rsidRDefault="002C0DC3" w:rsidP="002C0DC3">
            <w:pPr>
              <w:suppressAutoHyphens w:val="0"/>
              <w:jc w:val="center"/>
              <w:rPr>
                <w:lang w:val="es-CR" w:eastAsia="es-CR"/>
              </w:rPr>
            </w:pPr>
            <w:r w:rsidRPr="002C0DC3">
              <w:rPr>
                <w:lang w:val="es-CR" w:eastAsia="es-CR"/>
              </w:rPr>
              <w:t>0</w:t>
            </w:r>
          </w:p>
        </w:tc>
        <w:tc>
          <w:tcPr>
            <w:tcW w:w="1417" w:type="dxa"/>
            <w:shd w:val="clear" w:color="auto" w:fill="auto"/>
            <w:noWrap/>
            <w:vAlign w:val="bottom"/>
            <w:hideMark/>
          </w:tcPr>
          <w:p w14:paraId="67794862" w14:textId="77777777" w:rsidR="002C0DC3" w:rsidRPr="002C0DC3" w:rsidRDefault="002C0DC3" w:rsidP="002C0DC3">
            <w:pPr>
              <w:suppressAutoHyphens w:val="0"/>
              <w:jc w:val="center"/>
              <w:rPr>
                <w:lang w:val="es-CR" w:eastAsia="es-CR"/>
              </w:rPr>
            </w:pPr>
            <w:r w:rsidRPr="002C0DC3">
              <w:rPr>
                <w:lang w:val="es-CR" w:eastAsia="es-CR"/>
              </w:rPr>
              <w:t>0</w:t>
            </w:r>
          </w:p>
        </w:tc>
        <w:tc>
          <w:tcPr>
            <w:tcW w:w="1134" w:type="dxa"/>
            <w:shd w:val="clear" w:color="auto" w:fill="auto"/>
            <w:noWrap/>
            <w:vAlign w:val="bottom"/>
            <w:hideMark/>
          </w:tcPr>
          <w:p w14:paraId="32DAD568" w14:textId="77777777" w:rsidR="002C0DC3" w:rsidRPr="002C0DC3" w:rsidRDefault="002C0DC3" w:rsidP="002C0DC3">
            <w:pPr>
              <w:suppressAutoHyphens w:val="0"/>
              <w:jc w:val="center"/>
              <w:rPr>
                <w:lang w:val="es-CR" w:eastAsia="es-CR"/>
              </w:rPr>
            </w:pPr>
            <w:r w:rsidRPr="002C0DC3">
              <w:rPr>
                <w:lang w:val="es-CR" w:eastAsia="es-CR"/>
              </w:rPr>
              <w:t>4</w:t>
            </w:r>
          </w:p>
        </w:tc>
        <w:tc>
          <w:tcPr>
            <w:tcW w:w="851" w:type="dxa"/>
            <w:shd w:val="clear" w:color="auto" w:fill="auto"/>
            <w:noWrap/>
            <w:vAlign w:val="bottom"/>
            <w:hideMark/>
          </w:tcPr>
          <w:p w14:paraId="1039CFA6" w14:textId="77777777" w:rsidR="002C0DC3" w:rsidRPr="002C0DC3" w:rsidRDefault="002C0DC3" w:rsidP="002C0DC3">
            <w:pPr>
              <w:suppressAutoHyphens w:val="0"/>
              <w:jc w:val="center"/>
              <w:rPr>
                <w:lang w:val="es-CR" w:eastAsia="es-CR"/>
              </w:rPr>
            </w:pPr>
            <w:r w:rsidRPr="002C0DC3">
              <w:rPr>
                <w:lang w:val="es-CR" w:eastAsia="es-CR"/>
              </w:rPr>
              <w:t>0</w:t>
            </w:r>
          </w:p>
        </w:tc>
        <w:tc>
          <w:tcPr>
            <w:tcW w:w="160" w:type="dxa"/>
            <w:vAlign w:val="center"/>
            <w:hideMark/>
          </w:tcPr>
          <w:p w14:paraId="14DFD71E" w14:textId="77777777" w:rsidR="002C0DC3" w:rsidRPr="002C0DC3" w:rsidRDefault="002C0DC3" w:rsidP="002C0DC3">
            <w:pPr>
              <w:suppressAutoHyphens w:val="0"/>
              <w:rPr>
                <w:lang w:val="es-CR" w:eastAsia="es-CR"/>
              </w:rPr>
            </w:pPr>
          </w:p>
        </w:tc>
      </w:tr>
      <w:tr w:rsidR="002C0DC3" w:rsidRPr="002C0DC3" w14:paraId="75FC750C" w14:textId="77777777" w:rsidTr="002C0DC3">
        <w:trPr>
          <w:trHeight w:val="230"/>
        </w:trPr>
        <w:tc>
          <w:tcPr>
            <w:tcW w:w="5529" w:type="dxa"/>
            <w:gridSpan w:val="4"/>
            <w:shd w:val="clear" w:color="auto" w:fill="auto"/>
            <w:noWrap/>
            <w:vAlign w:val="bottom"/>
            <w:hideMark/>
          </w:tcPr>
          <w:p w14:paraId="0E777413" w14:textId="77777777" w:rsidR="002C0DC3" w:rsidRPr="002C0DC3" w:rsidRDefault="002C0DC3" w:rsidP="002C0DC3">
            <w:pPr>
              <w:suppressAutoHyphens w:val="0"/>
              <w:rPr>
                <w:lang w:val="es-CR" w:eastAsia="es-CR"/>
              </w:rPr>
            </w:pPr>
            <w:r w:rsidRPr="002C0DC3">
              <w:rPr>
                <w:lang w:val="es-CR" w:eastAsia="es-CR"/>
              </w:rPr>
              <w:t xml:space="preserve">Elaborado por: Subproceso de Estadística, Dirección de Planificación. </w:t>
            </w:r>
          </w:p>
        </w:tc>
        <w:tc>
          <w:tcPr>
            <w:tcW w:w="1417" w:type="dxa"/>
            <w:shd w:val="clear" w:color="auto" w:fill="auto"/>
            <w:noWrap/>
            <w:vAlign w:val="bottom"/>
            <w:hideMark/>
          </w:tcPr>
          <w:p w14:paraId="17ACA9B6" w14:textId="77777777" w:rsidR="002C0DC3" w:rsidRPr="002C0DC3" w:rsidRDefault="002C0DC3" w:rsidP="002C0DC3">
            <w:pPr>
              <w:suppressAutoHyphens w:val="0"/>
              <w:rPr>
                <w:lang w:val="es-CR" w:eastAsia="es-CR"/>
              </w:rPr>
            </w:pPr>
          </w:p>
        </w:tc>
        <w:tc>
          <w:tcPr>
            <w:tcW w:w="1134" w:type="dxa"/>
            <w:shd w:val="clear" w:color="auto" w:fill="auto"/>
            <w:noWrap/>
            <w:vAlign w:val="bottom"/>
            <w:hideMark/>
          </w:tcPr>
          <w:p w14:paraId="55F7766B" w14:textId="77777777" w:rsidR="002C0DC3" w:rsidRPr="002C0DC3" w:rsidRDefault="002C0DC3" w:rsidP="002C0DC3">
            <w:pPr>
              <w:suppressAutoHyphens w:val="0"/>
              <w:rPr>
                <w:lang w:val="es-CR" w:eastAsia="es-CR"/>
              </w:rPr>
            </w:pPr>
          </w:p>
        </w:tc>
        <w:tc>
          <w:tcPr>
            <w:tcW w:w="851" w:type="dxa"/>
            <w:shd w:val="clear" w:color="auto" w:fill="auto"/>
            <w:noWrap/>
            <w:vAlign w:val="bottom"/>
            <w:hideMark/>
          </w:tcPr>
          <w:p w14:paraId="1186D5C5" w14:textId="77777777" w:rsidR="002C0DC3" w:rsidRPr="002C0DC3" w:rsidRDefault="002C0DC3" w:rsidP="002C0DC3">
            <w:pPr>
              <w:suppressAutoHyphens w:val="0"/>
              <w:rPr>
                <w:lang w:val="es-CR" w:eastAsia="es-CR"/>
              </w:rPr>
            </w:pPr>
          </w:p>
        </w:tc>
        <w:tc>
          <w:tcPr>
            <w:tcW w:w="160" w:type="dxa"/>
            <w:vAlign w:val="center"/>
            <w:hideMark/>
          </w:tcPr>
          <w:p w14:paraId="7CC39372" w14:textId="77777777" w:rsidR="002C0DC3" w:rsidRPr="002C0DC3" w:rsidRDefault="002C0DC3" w:rsidP="002C0DC3">
            <w:pPr>
              <w:suppressAutoHyphens w:val="0"/>
              <w:rPr>
                <w:lang w:val="es-CR" w:eastAsia="es-CR"/>
              </w:rPr>
            </w:pPr>
          </w:p>
        </w:tc>
      </w:tr>
    </w:tbl>
    <w:p w14:paraId="71233848" w14:textId="77777777" w:rsidR="002C0DC3" w:rsidRPr="002C0DC3" w:rsidRDefault="002C0DC3" w:rsidP="002C0DC3">
      <w:pPr>
        <w:suppressAutoHyphens w:val="0"/>
        <w:jc w:val="both"/>
        <w:rPr>
          <w:rFonts w:eastAsia="Calibri"/>
          <w:lang w:val="es-CR" w:eastAsia="en-US"/>
        </w:rPr>
      </w:pPr>
    </w:p>
    <w:p w14:paraId="6F3303C9"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Durante el 2020 ingresaron un total de 167 nuevas tercerías, 28 más reentraron y una más fue reactivada, para un gran total por concepto de carga de trabajo equivalente a 196 procesos. Dicha cifra resulta en una diferencia incremental de 10 procesos respecto de lo atentado en 2019. </w:t>
      </w:r>
    </w:p>
    <w:p w14:paraId="132529F0" w14:textId="77777777" w:rsidR="002C0DC3" w:rsidRPr="002C0DC3" w:rsidRDefault="002C0DC3" w:rsidP="002C0DC3">
      <w:pPr>
        <w:suppressAutoHyphens w:val="0"/>
        <w:ind w:left="851" w:right="851" w:firstLine="709"/>
        <w:jc w:val="both"/>
        <w:rPr>
          <w:rFonts w:eastAsia="Calibri"/>
          <w:lang w:val="es-CR" w:eastAsia="en-US"/>
        </w:rPr>
      </w:pPr>
    </w:p>
    <w:p w14:paraId="13C68FAB"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Destacan de forma individual por su alto volumen de </w:t>
      </w:r>
      <w:r w:rsidRPr="002C0DC3">
        <w:rPr>
          <w:rFonts w:eastAsia="Calibri"/>
          <w:i/>
          <w:iCs/>
          <w:lang w:val="es-CR" w:eastAsia="en-US"/>
        </w:rPr>
        <w:t>Carga de Trabajo</w:t>
      </w:r>
      <w:r w:rsidRPr="002C0DC3">
        <w:rPr>
          <w:rFonts w:eastAsia="Calibri"/>
          <w:i/>
          <w:iCs/>
          <w:vertAlign w:val="superscript"/>
          <w:lang w:val="es-CR" w:eastAsia="en-US"/>
        </w:rPr>
        <w:footnoteReference w:id="2"/>
      </w:r>
      <w:r w:rsidRPr="002C0DC3">
        <w:rPr>
          <w:rFonts w:eastAsia="Calibri"/>
          <w:lang w:val="es-CR" w:eastAsia="en-US"/>
        </w:rPr>
        <w:t>, las tres secciones del II circuito Judicial de San José con un total de 83 tercerías y una participación sobre el total del 42.3% y Cobro del III Circuito Judicial de Alajuela con 37 procesos y un aporte relativo del 18.9%.</w:t>
      </w:r>
    </w:p>
    <w:p w14:paraId="43823E6E" w14:textId="77777777" w:rsidR="002C0DC3" w:rsidRPr="002C0DC3" w:rsidRDefault="002C0DC3" w:rsidP="002C0DC3">
      <w:pPr>
        <w:suppressAutoHyphens w:val="0"/>
        <w:ind w:left="851" w:right="851" w:firstLine="709"/>
        <w:jc w:val="both"/>
        <w:rPr>
          <w:rFonts w:eastAsia="Calibri"/>
          <w:lang w:val="es-CR" w:eastAsia="en-US"/>
        </w:rPr>
      </w:pPr>
    </w:p>
    <w:p w14:paraId="76A1DB59"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El </w:t>
      </w:r>
      <w:r w:rsidRPr="002C0DC3">
        <w:rPr>
          <w:rFonts w:eastAsia="Calibri"/>
          <w:i/>
          <w:iCs/>
          <w:lang w:val="es-CR" w:eastAsia="en-US"/>
        </w:rPr>
        <w:t>Dominio</w:t>
      </w:r>
      <w:r w:rsidRPr="002C0DC3">
        <w:rPr>
          <w:rFonts w:eastAsia="Calibri"/>
          <w:lang w:val="es-CR" w:eastAsia="en-US"/>
        </w:rPr>
        <w:t xml:space="preserve"> se consolida como el tipo de tercería que ingresa con mayor frecuencia a los Juzgados de Cobro, comprendiendo el 78.4% de la totalidad de tercerías ingresadas durante el 2020.</w:t>
      </w:r>
    </w:p>
    <w:p w14:paraId="3A68D9EC" w14:textId="77777777" w:rsidR="002C0DC3" w:rsidRPr="002C0DC3" w:rsidRDefault="002C0DC3" w:rsidP="002C0DC3">
      <w:pPr>
        <w:suppressAutoHyphens w:val="0"/>
        <w:ind w:left="851" w:right="851" w:firstLine="709"/>
        <w:jc w:val="both"/>
        <w:rPr>
          <w:rFonts w:eastAsia="Calibri"/>
          <w:lang w:val="es-CR" w:eastAsia="en-US"/>
        </w:rPr>
      </w:pPr>
    </w:p>
    <w:p w14:paraId="637CFE7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Con relación a los motivos de términos asociados a estas 196 tercerías que mantenía este colectivo para trámite, se logró dar finalización a 124, ósea al 63.3%, siendo la </w:t>
      </w:r>
      <w:r w:rsidRPr="002C0DC3">
        <w:rPr>
          <w:rFonts w:eastAsia="Calibri"/>
          <w:i/>
          <w:iCs/>
          <w:lang w:val="es-CR" w:eastAsia="en-US"/>
        </w:rPr>
        <w:t>Resolución de Fondo SEP</w:t>
      </w:r>
      <w:r w:rsidRPr="002C0DC3">
        <w:rPr>
          <w:rFonts w:eastAsia="Calibri"/>
          <w:lang w:val="es-CR" w:eastAsia="en-US"/>
        </w:rPr>
        <w:t xml:space="preserve"> el motivo más recurrente con una participación del 41.9%. Otros en importancia lo fueron </w:t>
      </w:r>
      <w:r w:rsidRPr="002C0DC3">
        <w:rPr>
          <w:rFonts w:eastAsia="Calibri"/>
          <w:i/>
          <w:iCs/>
          <w:lang w:val="es-CR" w:eastAsia="en-US"/>
        </w:rPr>
        <w:t xml:space="preserve">Sentencia en Principal SEP (16) </w:t>
      </w:r>
      <w:r w:rsidRPr="002C0DC3">
        <w:rPr>
          <w:rFonts w:eastAsia="Calibri"/>
          <w:lang w:val="es-CR" w:eastAsia="en-US"/>
        </w:rPr>
        <w:t xml:space="preserve">y </w:t>
      </w:r>
      <w:r w:rsidRPr="002C0DC3">
        <w:rPr>
          <w:rFonts w:eastAsia="Calibri"/>
          <w:i/>
          <w:iCs/>
          <w:lang w:val="es-CR" w:eastAsia="en-US"/>
        </w:rPr>
        <w:t>Satisfacción Extraprocesal SEP (15).</w:t>
      </w:r>
    </w:p>
    <w:p w14:paraId="4D3BCD63" w14:textId="77777777" w:rsidR="002C0DC3" w:rsidRPr="002C0DC3" w:rsidRDefault="002C0DC3" w:rsidP="002C0DC3">
      <w:pPr>
        <w:suppressAutoHyphens w:val="0"/>
        <w:ind w:left="851" w:right="851" w:firstLine="709"/>
        <w:jc w:val="both"/>
        <w:rPr>
          <w:rFonts w:eastAsia="Calibri"/>
          <w:lang w:val="es-CR" w:eastAsia="en-US"/>
        </w:rPr>
      </w:pPr>
    </w:p>
    <w:p w14:paraId="0A432FDA" w14:textId="77777777" w:rsidR="002C0DC3" w:rsidRPr="002C0DC3" w:rsidRDefault="002C0DC3" w:rsidP="002C0DC3">
      <w:pPr>
        <w:keepNext/>
        <w:keepLines/>
        <w:suppressAutoHyphens w:val="0"/>
        <w:ind w:left="851" w:right="851" w:firstLine="709"/>
        <w:jc w:val="both"/>
        <w:rPr>
          <w:b/>
          <w:lang w:val="es-CR" w:eastAsia="es-CR"/>
        </w:rPr>
      </w:pPr>
      <w:bookmarkStart w:id="15" w:name="_Toc80351025"/>
      <w:r w:rsidRPr="002C0DC3">
        <w:rPr>
          <w:b/>
          <w:lang w:val="es-CR" w:eastAsia="es-CR"/>
        </w:rPr>
        <w:t>Resoluciones Dictadas y Resultados de Resoluciones</w:t>
      </w:r>
      <w:bookmarkEnd w:id="15"/>
    </w:p>
    <w:p w14:paraId="4E8F6C5A" w14:textId="77777777" w:rsidR="002C0DC3" w:rsidRPr="002C0DC3" w:rsidRDefault="002C0DC3" w:rsidP="002C0DC3">
      <w:pPr>
        <w:suppressAutoHyphens w:val="0"/>
        <w:ind w:left="851" w:right="851" w:firstLine="709"/>
        <w:jc w:val="both"/>
        <w:rPr>
          <w:rFonts w:eastAsia="Calibri"/>
          <w:lang w:val="es-CR" w:eastAsia="en-US"/>
        </w:rPr>
      </w:pPr>
    </w:p>
    <w:p w14:paraId="6F3C8E56" w14:textId="77777777" w:rsidR="002C0DC3" w:rsidRPr="002C0DC3" w:rsidRDefault="002C0DC3" w:rsidP="002C0DC3">
      <w:pPr>
        <w:keepNext/>
        <w:keepLines/>
        <w:numPr>
          <w:ilvl w:val="1"/>
          <w:numId w:val="0"/>
        </w:numPr>
        <w:suppressAutoHyphens w:val="0"/>
        <w:ind w:left="851" w:right="851" w:firstLine="709"/>
        <w:jc w:val="both"/>
        <w:rPr>
          <w:b/>
          <w:lang w:val="es-CR" w:eastAsia="es-CR"/>
        </w:rPr>
      </w:pPr>
      <w:r w:rsidRPr="002C0DC3">
        <w:rPr>
          <w:b/>
          <w:lang w:val="es-CR" w:eastAsia="es-CR"/>
        </w:rPr>
        <w:t>Tipos de Resolución Señaladas</w:t>
      </w:r>
    </w:p>
    <w:p w14:paraId="012D6AB0" w14:textId="77777777" w:rsidR="002C0DC3" w:rsidRPr="002C0DC3" w:rsidRDefault="002C0DC3" w:rsidP="002C0DC3">
      <w:pPr>
        <w:suppressAutoHyphens w:val="0"/>
        <w:ind w:left="851" w:right="851" w:firstLine="709"/>
        <w:jc w:val="both"/>
        <w:rPr>
          <w:rFonts w:eastAsia="Calibri"/>
          <w:lang w:val="es-CR" w:eastAsia="en-US"/>
        </w:rPr>
      </w:pPr>
    </w:p>
    <w:p w14:paraId="466295B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este apartado se analizan los diferentes tipos de resolución señaladas por los Juzgados Especializados en Cobro a nivel nacional, así mismo se verifican las principales variantes acaecidas entre el 2019 y 2020.</w:t>
      </w:r>
    </w:p>
    <w:p w14:paraId="4F1654AA" w14:textId="77777777" w:rsidR="002C0DC3" w:rsidRPr="002C0DC3" w:rsidRDefault="002C0DC3" w:rsidP="002C0DC3">
      <w:pPr>
        <w:suppressAutoHyphens w:val="0"/>
        <w:ind w:left="851" w:right="851" w:firstLine="709"/>
        <w:jc w:val="both"/>
        <w:rPr>
          <w:rFonts w:eastAsia="Calibri"/>
          <w:lang w:val="es-CR" w:eastAsia="en-US"/>
        </w:rPr>
      </w:pPr>
    </w:p>
    <w:p w14:paraId="26BAD221"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Cuadro N°8.1</w:t>
      </w:r>
    </w:p>
    <w:p w14:paraId="681C03B1"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Resoluciones Dictadas por los Juzgados de Cobro, según</w:t>
      </w:r>
    </w:p>
    <w:p w14:paraId="15C696FD"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Tipo de Resolución, períodos 2019-2020</w:t>
      </w:r>
    </w:p>
    <w:p w14:paraId="7E9B1AC8" w14:textId="77777777" w:rsidR="002C0DC3" w:rsidRPr="002C0DC3" w:rsidRDefault="002C0DC3" w:rsidP="002C0DC3">
      <w:pPr>
        <w:suppressAutoHyphens w:val="0"/>
        <w:ind w:left="851" w:right="851" w:firstLine="709"/>
        <w:jc w:val="center"/>
        <w:rPr>
          <w:rFonts w:eastAsia="Calibri"/>
          <w:b/>
          <w:bCs/>
          <w:lang w:val="es-CR" w:eastAsia="en-US"/>
        </w:rPr>
      </w:pPr>
    </w:p>
    <w:tbl>
      <w:tblPr>
        <w:tblStyle w:val="Tablaconcuadrcula22"/>
        <w:tblW w:w="0" w:type="auto"/>
        <w:tblLook w:val="04A0" w:firstRow="1" w:lastRow="0" w:firstColumn="1" w:lastColumn="0" w:noHBand="0" w:noVBand="1"/>
      </w:tblPr>
      <w:tblGrid>
        <w:gridCol w:w="5098"/>
        <w:gridCol w:w="1843"/>
        <w:gridCol w:w="1887"/>
      </w:tblGrid>
      <w:tr w:rsidR="002C0DC3" w:rsidRPr="002C0DC3" w14:paraId="18D65AA8" w14:textId="77777777" w:rsidTr="002C0DC3">
        <w:trPr>
          <w:tblHeader/>
        </w:trPr>
        <w:tc>
          <w:tcPr>
            <w:tcW w:w="5098" w:type="dxa"/>
          </w:tcPr>
          <w:p w14:paraId="1F5F77AC"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Tipo de Resolución</w:t>
            </w:r>
          </w:p>
        </w:tc>
        <w:tc>
          <w:tcPr>
            <w:tcW w:w="3730" w:type="dxa"/>
            <w:gridSpan w:val="2"/>
          </w:tcPr>
          <w:p w14:paraId="2C7ED5A1"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Año</w:t>
            </w:r>
          </w:p>
        </w:tc>
      </w:tr>
      <w:tr w:rsidR="002C0DC3" w:rsidRPr="002C0DC3" w14:paraId="5EEC1807" w14:textId="77777777" w:rsidTr="002C0DC3">
        <w:trPr>
          <w:tblHeader/>
        </w:trPr>
        <w:tc>
          <w:tcPr>
            <w:tcW w:w="5098" w:type="dxa"/>
          </w:tcPr>
          <w:p w14:paraId="72609859" w14:textId="77777777" w:rsidR="002C0DC3" w:rsidRPr="002C0DC3" w:rsidRDefault="002C0DC3" w:rsidP="002C0DC3">
            <w:pPr>
              <w:suppressAutoHyphens w:val="0"/>
              <w:rPr>
                <w:rFonts w:ascii="Times New Roman" w:hAnsi="Times New Roman"/>
                <w:lang w:eastAsia="en-US"/>
              </w:rPr>
            </w:pPr>
          </w:p>
        </w:tc>
        <w:tc>
          <w:tcPr>
            <w:tcW w:w="1843" w:type="dxa"/>
          </w:tcPr>
          <w:p w14:paraId="7EC18CC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2019</w:t>
            </w:r>
          </w:p>
        </w:tc>
        <w:tc>
          <w:tcPr>
            <w:tcW w:w="1887" w:type="dxa"/>
          </w:tcPr>
          <w:p w14:paraId="6243D26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2020</w:t>
            </w:r>
          </w:p>
        </w:tc>
      </w:tr>
      <w:tr w:rsidR="002C0DC3" w:rsidRPr="002C0DC3" w14:paraId="0179D772" w14:textId="77777777" w:rsidTr="002C0DC3">
        <w:tc>
          <w:tcPr>
            <w:tcW w:w="5098" w:type="dxa"/>
          </w:tcPr>
          <w:p w14:paraId="2262B77C"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Total</w:t>
            </w:r>
          </w:p>
        </w:tc>
        <w:tc>
          <w:tcPr>
            <w:tcW w:w="1843" w:type="dxa"/>
          </w:tcPr>
          <w:p w14:paraId="4025DBF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313157</w:t>
            </w:r>
          </w:p>
        </w:tc>
        <w:tc>
          <w:tcPr>
            <w:tcW w:w="1887" w:type="dxa"/>
          </w:tcPr>
          <w:p w14:paraId="0773D33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277879</w:t>
            </w:r>
          </w:p>
        </w:tc>
      </w:tr>
      <w:tr w:rsidR="002C0DC3" w:rsidRPr="002C0DC3" w14:paraId="39227EE6" w14:textId="77777777" w:rsidTr="002C0DC3">
        <w:tc>
          <w:tcPr>
            <w:tcW w:w="5098" w:type="dxa"/>
          </w:tcPr>
          <w:p w14:paraId="3A4ADF52"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Providencias</w:t>
            </w:r>
          </w:p>
        </w:tc>
        <w:tc>
          <w:tcPr>
            <w:tcW w:w="1843" w:type="dxa"/>
          </w:tcPr>
          <w:p w14:paraId="65661B6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3120</w:t>
            </w:r>
          </w:p>
        </w:tc>
        <w:tc>
          <w:tcPr>
            <w:tcW w:w="1887" w:type="dxa"/>
          </w:tcPr>
          <w:p w14:paraId="19359F07"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2439</w:t>
            </w:r>
          </w:p>
        </w:tc>
      </w:tr>
      <w:tr w:rsidR="002C0DC3" w:rsidRPr="002C0DC3" w14:paraId="16CFC33B" w14:textId="77777777" w:rsidTr="002C0DC3">
        <w:tc>
          <w:tcPr>
            <w:tcW w:w="5098" w:type="dxa"/>
          </w:tcPr>
          <w:p w14:paraId="7B6B0F99"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Autos</w:t>
            </w:r>
          </w:p>
        </w:tc>
        <w:tc>
          <w:tcPr>
            <w:tcW w:w="1843" w:type="dxa"/>
          </w:tcPr>
          <w:p w14:paraId="55425CD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115728</w:t>
            </w:r>
          </w:p>
        </w:tc>
        <w:tc>
          <w:tcPr>
            <w:tcW w:w="1887" w:type="dxa"/>
          </w:tcPr>
          <w:p w14:paraId="6DEF77B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114175</w:t>
            </w:r>
          </w:p>
        </w:tc>
      </w:tr>
      <w:tr w:rsidR="002C0DC3" w:rsidRPr="002C0DC3" w14:paraId="7E7829FA" w14:textId="77777777" w:rsidTr="002C0DC3">
        <w:tc>
          <w:tcPr>
            <w:tcW w:w="5098" w:type="dxa"/>
          </w:tcPr>
          <w:p w14:paraId="3B8160B6"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Incompetencia</w:t>
            </w:r>
          </w:p>
        </w:tc>
        <w:tc>
          <w:tcPr>
            <w:tcW w:w="1843" w:type="dxa"/>
          </w:tcPr>
          <w:p w14:paraId="6D67FB6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30309</w:t>
            </w:r>
          </w:p>
        </w:tc>
        <w:tc>
          <w:tcPr>
            <w:tcW w:w="1887" w:type="dxa"/>
          </w:tcPr>
          <w:p w14:paraId="4923D39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7884</w:t>
            </w:r>
          </w:p>
        </w:tc>
      </w:tr>
      <w:tr w:rsidR="002C0DC3" w:rsidRPr="002C0DC3" w14:paraId="43EA251E" w14:textId="77777777" w:rsidTr="002C0DC3">
        <w:tc>
          <w:tcPr>
            <w:tcW w:w="5098" w:type="dxa"/>
          </w:tcPr>
          <w:p w14:paraId="62EF66E3"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Oposición Infundada</w:t>
            </w:r>
          </w:p>
        </w:tc>
        <w:tc>
          <w:tcPr>
            <w:tcW w:w="1843" w:type="dxa"/>
          </w:tcPr>
          <w:p w14:paraId="154AF11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374</w:t>
            </w:r>
          </w:p>
        </w:tc>
        <w:tc>
          <w:tcPr>
            <w:tcW w:w="1887" w:type="dxa"/>
          </w:tcPr>
          <w:p w14:paraId="771035B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467</w:t>
            </w:r>
          </w:p>
        </w:tc>
      </w:tr>
      <w:tr w:rsidR="002C0DC3" w:rsidRPr="002C0DC3" w14:paraId="5525D5F3" w14:textId="77777777" w:rsidTr="002C0DC3">
        <w:tc>
          <w:tcPr>
            <w:tcW w:w="5098" w:type="dxa"/>
          </w:tcPr>
          <w:p w14:paraId="089ED62E"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excepciones procesales (escrito)</w:t>
            </w:r>
          </w:p>
        </w:tc>
        <w:tc>
          <w:tcPr>
            <w:tcW w:w="1843" w:type="dxa"/>
          </w:tcPr>
          <w:p w14:paraId="508B53D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919</w:t>
            </w:r>
          </w:p>
        </w:tc>
        <w:tc>
          <w:tcPr>
            <w:tcW w:w="1887" w:type="dxa"/>
          </w:tcPr>
          <w:p w14:paraId="0C1D251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1148</w:t>
            </w:r>
          </w:p>
        </w:tc>
      </w:tr>
      <w:tr w:rsidR="002C0DC3" w:rsidRPr="002C0DC3" w14:paraId="5EE22E25" w14:textId="77777777" w:rsidTr="002C0DC3">
        <w:tc>
          <w:tcPr>
            <w:tcW w:w="5098" w:type="dxa"/>
          </w:tcPr>
          <w:p w14:paraId="278DB441"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excepciones procesales (oral)</w:t>
            </w:r>
          </w:p>
        </w:tc>
        <w:tc>
          <w:tcPr>
            <w:tcW w:w="1843" w:type="dxa"/>
          </w:tcPr>
          <w:p w14:paraId="0248E77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37</w:t>
            </w:r>
          </w:p>
        </w:tc>
        <w:tc>
          <w:tcPr>
            <w:tcW w:w="1887" w:type="dxa"/>
          </w:tcPr>
          <w:p w14:paraId="41E3E55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14</w:t>
            </w:r>
          </w:p>
        </w:tc>
      </w:tr>
      <w:tr w:rsidR="002C0DC3" w:rsidRPr="002C0DC3" w14:paraId="5A659BBB" w14:textId="77777777" w:rsidTr="002C0DC3">
        <w:tc>
          <w:tcPr>
            <w:tcW w:w="5098" w:type="dxa"/>
          </w:tcPr>
          <w:p w14:paraId="261135BB"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caducidad (escrito)</w:t>
            </w:r>
          </w:p>
        </w:tc>
        <w:tc>
          <w:tcPr>
            <w:tcW w:w="1843" w:type="dxa"/>
          </w:tcPr>
          <w:p w14:paraId="7D471D2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2423</w:t>
            </w:r>
          </w:p>
        </w:tc>
        <w:tc>
          <w:tcPr>
            <w:tcW w:w="1887" w:type="dxa"/>
          </w:tcPr>
          <w:p w14:paraId="2C3723D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2600</w:t>
            </w:r>
          </w:p>
        </w:tc>
      </w:tr>
      <w:tr w:rsidR="002C0DC3" w:rsidRPr="002C0DC3" w14:paraId="7AA1C2E7" w14:textId="77777777" w:rsidTr="002C0DC3">
        <w:tc>
          <w:tcPr>
            <w:tcW w:w="5098" w:type="dxa"/>
          </w:tcPr>
          <w:p w14:paraId="0714457B"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caducidad (oral)</w:t>
            </w:r>
          </w:p>
        </w:tc>
        <w:tc>
          <w:tcPr>
            <w:tcW w:w="1843" w:type="dxa"/>
          </w:tcPr>
          <w:p w14:paraId="2FBA2C6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40</w:t>
            </w:r>
          </w:p>
        </w:tc>
        <w:tc>
          <w:tcPr>
            <w:tcW w:w="1887" w:type="dxa"/>
          </w:tcPr>
          <w:p w14:paraId="1446C93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18</w:t>
            </w:r>
          </w:p>
        </w:tc>
      </w:tr>
      <w:tr w:rsidR="002C0DC3" w:rsidRPr="002C0DC3" w14:paraId="76219D47" w14:textId="77777777" w:rsidTr="002C0DC3">
        <w:tc>
          <w:tcPr>
            <w:tcW w:w="5098" w:type="dxa"/>
          </w:tcPr>
          <w:p w14:paraId="2ABF1127"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incidente (escrito)</w:t>
            </w:r>
          </w:p>
        </w:tc>
        <w:tc>
          <w:tcPr>
            <w:tcW w:w="1843" w:type="dxa"/>
          </w:tcPr>
          <w:p w14:paraId="7F01DB1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1358</w:t>
            </w:r>
          </w:p>
        </w:tc>
        <w:tc>
          <w:tcPr>
            <w:tcW w:w="1887" w:type="dxa"/>
          </w:tcPr>
          <w:p w14:paraId="053FA82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1460</w:t>
            </w:r>
          </w:p>
        </w:tc>
      </w:tr>
      <w:tr w:rsidR="002C0DC3" w:rsidRPr="002C0DC3" w14:paraId="75D500EE" w14:textId="77777777" w:rsidTr="002C0DC3">
        <w:tc>
          <w:tcPr>
            <w:tcW w:w="5098" w:type="dxa"/>
          </w:tcPr>
          <w:p w14:paraId="029B9BD7"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incidente (oral)</w:t>
            </w:r>
          </w:p>
        </w:tc>
        <w:tc>
          <w:tcPr>
            <w:tcW w:w="1843" w:type="dxa"/>
          </w:tcPr>
          <w:p w14:paraId="26B6421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19</w:t>
            </w:r>
          </w:p>
        </w:tc>
        <w:tc>
          <w:tcPr>
            <w:tcW w:w="1887" w:type="dxa"/>
          </w:tcPr>
          <w:p w14:paraId="3911AAD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15</w:t>
            </w:r>
          </w:p>
        </w:tc>
      </w:tr>
      <w:tr w:rsidR="002C0DC3" w:rsidRPr="002C0DC3" w14:paraId="23E49091" w14:textId="77777777" w:rsidTr="002C0DC3">
        <w:tc>
          <w:tcPr>
            <w:tcW w:w="5098" w:type="dxa"/>
          </w:tcPr>
          <w:p w14:paraId="07919516"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proceso no contencioso</w:t>
            </w:r>
          </w:p>
        </w:tc>
        <w:tc>
          <w:tcPr>
            <w:tcW w:w="1843" w:type="dxa"/>
          </w:tcPr>
          <w:p w14:paraId="771132B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w:t>
            </w:r>
          </w:p>
        </w:tc>
        <w:tc>
          <w:tcPr>
            <w:tcW w:w="1887" w:type="dxa"/>
          </w:tcPr>
          <w:p w14:paraId="69D4CDB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6</w:t>
            </w:r>
          </w:p>
        </w:tc>
      </w:tr>
      <w:tr w:rsidR="002C0DC3" w:rsidRPr="002C0DC3" w14:paraId="12418865" w14:textId="77777777" w:rsidTr="002C0DC3">
        <w:tc>
          <w:tcPr>
            <w:tcW w:w="5098" w:type="dxa"/>
          </w:tcPr>
          <w:p w14:paraId="128ACF2A"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solicitud ejecución provisional (escrito)</w:t>
            </w:r>
          </w:p>
        </w:tc>
        <w:tc>
          <w:tcPr>
            <w:tcW w:w="1843" w:type="dxa"/>
          </w:tcPr>
          <w:p w14:paraId="723A327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w:t>
            </w:r>
          </w:p>
        </w:tc>
        <w:tc>
          <w:tcPr>
            <w:tcW w:w="1887" w:type="dxa"/>
          </w:tcPr>
          <w:p w14:paraId="3DAF89A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w:t>
            </w:r>
          </w:p>
        </w:tc>
      </w:tr>
      <w:tr w:rsidR="002C0DC3" w:rsidRPr="002C0DC3" w14:paraId="11690506" w14:textId="77777777" w:rsidTr="002C0DC3">
        <w:tc>
          <w:tcPr>
            <w:tcW w:w="5098" w:type="dxa"/>
          </w:tcPr>
          <w:p w14:paraId="771A364C"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lastRenderedPageBreak/>
              <w:t>Resolución de fondo levantamiento embargo sin tercería</w:t>
            </w:r>
          </w:p>
        </w:tc>
        <w:tc>
          <w:tcPr>
            <w:tcW w:w="1843" w:type="dxa"/>
          </w:tcPr>
          <w:p w14:paraId="43A1F6D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404</w:t>
            </w:r>
          </w:p>
        </w:tc>
        <w:tc>
          <w:tcPr>
            <w:tcW w:w="1887" w:type="dxa"/>
          </w:tcPr>
          <w:p w14:paraId="3788AD3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408</w:t>
            </w:r>
          </w:p>
        </w:tc>
      </w:tr>
      <w:tr w:rsidR="002C0DC3" w:rsidRPr="002C0DC3" w14:paraId="2FBEE1EA" w14:textId="77777777" w:rsidTr="002C0DC3">
        <w:tc>
          <w:tcPr>
            <w:tcW w:w="5098" w:type="dxa"/>
          </w:tcPr>
          <w:p w14:paraId="04F270F4"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tercería (escrito)</w:t>
            </w:r>
          </w:p>
        </w:tc>
        <w:tc>
          <w:tcPr>
            <w:tcW w:w="1843" w:type="dxa"/>
          </w:tcPr>
          <w:p w14:paraId="63E3F5D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158</w:t>
            </w:r>
          </w:p>
        </w:tc>
        <w:tc>
          <w:tcPr>
            <w:tcW w:w="1887" w:type="dxa"/>
          </w:tcPr>
          <w:p w14:paraId="3B5B119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171</w:t>
            </w:r>
          </w:p>
        </w:tc>
      </w:tr>
      <w:tr w:rsidR="002C0DC3" w:rsidRPr="002C0DC3" w14:paraId="6DE182BA" w14:textId="77777777" w:rsidTr="002C0DC3">
        <w:tc>
          <w:tcPr>
            <w:tcW w:w="5098" w:type="dxa"/>
          </w:tcPr>
          <w:p w14:paraId="48EDA4D9"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tercería (oral)</w:t>
            </w:r>
          </w:p>
        </w:tc>
        <w:tc>
          <w:tcPr>
            <w:tcW w:w="1843" w:type="dxa"/>
          </w:tcPr>
          <w:p w14:paraId="5FDA06A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c>
          <w:tcPr>
            <w:tcW w:w="1887" w:type="dxa"/>
          </w:tcPr>
          <w:p w14:paraId="4A3EFFA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r>
      <w:tr w:rsidR="002C0DC3" w:rsidRPr="002C0DC3" w14:paraId="0D912E0C" w14:textId="77777777" w:rsidTr="002C0DC3">
        <w:tc>
          <w:tcPr>
            <w:tcW w:w="5098" w:type="dxa"/>
          </w:tcPr>
          <w:p w14:paraId="7F60FF18"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conciliación</w:t>
            </w:r>
          </w:p>
        </w:tc>
        <w:tc>
          <w:tcPr>
            <w:tcW w:w="1843" w:type="dxa"/>
          </w:tcPr>
          <w:p w14:paraId="472740B7"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181</w:t>
            </w:r>
          </w:p>
        </w:tc>
        <w:tc>
          <w:tcPr>
            <w:tcW w:w="1887" w:type="dxa"/>
          </w:tcPr>
          <w:p w14:paraId="47EA9634"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165</w:t>
            </w:r>
          </w:p>
        </w:tc>
      </w:tr>
      <w:tr w:rsidR="002C0DC3" w:rsidRPr="002C0DC3" w14:paraId="3E89EF16" w14:textId="77777777" w:rsidTr="002C0DC3">
        <w:tc>
          <w:tcPr>
            <w:tcW w:w="5098" w:type="dxa"/>
          </w:tcPr>
          <w:p w14:paraId="15A03E15"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medida cautelar (escrito)</w:t>
            </w:r>
          </w:p>
        </w:tc>
        <w:tc>
          <w:tcPr>
            <w:tcW w:w="1843" w:type="dxa"/>
          </w:tcPr>
          <w:p w14:paraId="3F7A563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97</w:t>
            </w:r>
          </w:p>
        </w:tc>
        <w:tc>
          <w:tcPr>
            <w:tcW w:w="1887" w:type="dxa"/>
          </w:tcPr>
          <w:p w14:paraId="53494FD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82</w:t>
            </w:r>
          </w:p>
        </w:tc>
      </w:tr>
      <w:tr w:rsidR="002C0DC3" w:rsidRPr="002C0DC3" w14:paraId="026DEF82" w14:textId="77777777" w:rsidTr="002C0DC3">
        <w:tc>
          <w:tcPr>
            <w:tcW w:w="5098" w:type="dxa"/>
          </w:tcPr>
          <w:p w14:paraId="4CA5E6FF"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medida cautelar (oral)</w:t>
            </w:r>
          </w:p>
        </w:tc>
        <w:tc>
          <w:tcPr>
            <w:tcW w:w="1843" w:type="dxa"/>
          </w:tcPr>
          <w:p w14:paraId="139BB3D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c>
          <w:tcPr>
            <w:tcW w:w="1887" w:type="dxa"/>
          </w:tcPr>
          <w:p w14:paraId="574EBB2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r>
      <w:tr w:rsidR="002C0DC3" w:rsidRPr="002C0DC3" w14:paraId="1DB7067B" w14:textId="77777777" w:rsidTr="002C0DC3">
        <w:tc>
          <w:tcPr>
            <w:tcW w:w="5098" w:type="dxa"/>
          </w:tcPr>
          <w:p w14:paraId="4E89EDC5"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de fondo transacción</w:t>
            </w:r>
          </w:p>
        </w:tc>
        <w:tc>
          <w:tcPr>
            <w:tcW w:w="1843" w:type="dxa"/>
          </w:tcPr>
          <w:p w14:paraId="1C738A7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124</w:t>
            </w:r>
          </w:p>
        </w:tc>
        <w:tc>
          <w:tcPr>
            <w:tcW w:w="1887" w:type="dxa"/>
          </w:tcPr>
          <w:p w14:paraId="1793D74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112</w:t>
            </w:r>
          </w:p>
        </w:tc>
      </w:tr>
      <w:tr w:rsidR="002C0DC3" w:rsidRPr="002C0DC3" w14:paraId="64216BE7" w14:textId="77777777" w:rsidTr="002C0DC3">
        <w:tc>
          <w:tcPr>
            <w:tcW w:w="5098" w:type="dxa"/>
          </w:tcPr>
          <w:p w14:paraId="118052EF"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intimatoria</w:t>
            </w:r>
          </w:p>
        </w:tc>
        <w:tc>
          <w:tcPr>
            <w:tcW w:w="1843" w:type="dxa"/>
          </w:tcPr>
          <w:p w14:paraId="02FA61C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122870</w:t>
            </w:r>
          </w:p>
        </w:tc>
        <w:tc>
          <w:tcPr>
            <w:tcW w:w="1887" w:type="dxa"/>
          </w:tcPr>
          <w:p w14:paraId="5A86100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113978</w:t>
            </w:r>
          </w:p>
        </w:tc>
      </w:tr>
      <w:tr w:rsidR="002C0DC3" w:rsidRPr="002C0DC3" w14:paraId="558153EA" w14:textId="77777777" w:rsidTr="002C0DC3">
        <w:tc>
          <w:tcPr>
            <w:tcW w:w="5098" w:type="dxa"/>
          </w:tcPr>
          <w:p w14:paraId="713576D3"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 xml:space="preserve">Resolución pronuncia fondo proceso </w:t>
            </w:r>
            <w:proofErr w:type="spellStart"/>
            <w:r w:rsidRPr="002C0DC3">
              <w:rPr>
                <w:rFonts w:ascii="Times New Roman" w:hAnsi="Times New Roman"/>
                <w:lang w:eastAsia="en-US"/>
              </w:rPr>
              <w:t>liquidatorio</w:t>
            </w:r>
            <w:proofErr w:type="spellEnd"/>
          </w:p>
        </w:tc>
        <w:tc>
          <w:tcPr>
            <w:tcW w:w="1843" w:type="dxa"/>
          </w:tcPr>
          <w:p w14:paraId="2B1C6AC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137</w:t>
            </w:r>
          </w:p>
        </w:tc>
        <w:tc>
          <w:tcPr>
            <w:tcW w:w="1887" w:type="dxa"/>
          </w:tcPr>
          <w:p w14:paraId="7C39EE8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60</w:t>
            </w:r>
          </w:p>
        </w:tc>
      </w:tr>
      <w:tr w:rsidR="002C0DC3" w:rsidRPr="002C0DC3" w14:paraId="21B06AA1" w14:textId="77777777" w:rsidTr="002C0DC3">
        <w:tc>
          <w:tcPr>
            <w:tcW w:w="5098" w:type="dxa"/>
          </w:tcPr>
          <w:p w14:paraId="5D7D16F1"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que se pronuncia sobre el remate</w:t>
            </w:r>
          </w:p>
        </w:tc>
        <w:tc>
          <w:tcPr>
            <w:tcW w:w="1843" w:type="dxa"/>
          </w:tcPr>
          <w:p w14:paraId="22E5FAB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760</w:t>
            </w:r>
          </w:p>
        </w:tc>
        <w:tc>
          <w:tcPr>
            <w:tcW w:w="1887" w:type="dxa"/>
          </w:tcPr>
          <w:p w14:paraId="6BCFE5D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721</w:t>
            </w:r>
          </w:p>
        </w:tc>
      </w:tr>
      <w:tr w:rsidR="002C0DC3" w:rsidRPr="002C0DC3" w14:paraId="3B5E89FA" w14:textId="77777777" w:rsidTr="002C0DC3">
        <w:tc>
          <w:tcPr>
            <w:tcW w:w="5098" w:type="dxa"/>
          </w:tcPr>
          <w:p w14:paraId="07F764F4"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satisfacción extraprocesal</w:t>
            </w:r>
          </w:p>
        </w:tc>
        <w:tc>
          <w:tcPr>
            <w:tcW w:w="1843" w:type="dxa"/>
          </w:tcPr>
          <w:p w14:paraId="38E89C8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30118</w:t>
            </w:r>
          </w:p>
        </w:tc>
        <w:tc>
          <w:tcPr>
            <w:tcW w:w="1887" w:type="dxa"/>
          </w:tcPr>
          <w:p w14:paraId="4ECA20F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28295</w:t>
            </w:r>
          </w:p>
        </w:tc>
      </w:tr>
      <w:tr w:rsidR="002C0DC3" w:rsidRPr="002C0DC3" w14:paraId="03808C4B" w14:textId="77777777" w:rsidTr="002C0DC3">
        <w:tc>
          <w:tcPr>
            <w:tcW w:w="5098" w:type="dxa"/>
          </w:tcPr>
          <w:p w14:paraId="34E02026"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admisibilidad de pruebas (escrito)</w:t>
            </w:r>
          </w:p>
        </w:tc>
        <w:tc>
          <w:tcPr>
            <w:tcW w:w="1843" w:type="dxa"/>
          </w:tcPr>
          <w:p w14:paraId="153E33F7"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310</w:t>
            </w:r>
          </w:p>
        </w:tc>
        <w:tc>
          <w:tcPr>
            <w:tcW w:w="1887" w:type="dxa"/>
          </w:tcPr>
          <w:p w14:paraId="0E5C3C4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219</w:t>
            </w:r>
          </w:p>
        </w:tc>
      </w:tr>
      <w:tr w:rsidR="002C0DC3" w:rsidRPr="002C0DC3" w14:paraId="49196C3F" w14:textId="77777777" w:rsidTr="002C0DC3">
        <w:tc>
          <w:tcPr>
            <w:tcW w:w="5098" w:type="dxa"/>
          </w:tcPr>
          <w:p w14:paraId="7592C454"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admisibilidad de pruebas (oral)</w:t>
            </w:r>
          </w:p>
        </w:tc>
        <w:tc>
          <w:tcPr>
            <w:tcW w:w="1843" w:type="dxa"/>
          </w:tcPr>
          <w:p w14:paraId="1A82B55E"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196</w:t>
            </w:r>
          </w:p>
        </w:tc>
        <w:tc>
          <w:tcPr>
            <w:tcW w:w="1887" w:type="dxa"/>
          </w:tcPr>
          <w:p w14:paraId="23748B8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42</w:t>
            </w:r>
          </w:p>
        </w:tc>
      </w:tr>
      <w:tr w:rsidR="002C0DC3" w:rsidRPr="002C0DC3" w14:paraId="0398EE16" w14:textId="77777777" w:rsidTr="002C0DC3">
        <w:tc>
          <w:tcPr>
            <w:tcW w:w="5098" w:type="dxa"/>
          </w:tcPr>
          <w:p w14:paraId="6F5A7B2F" w14:textId="77777777" w:rsidR="002C0DC3" w:rsidRPr="002C0DC3" w:rsidRDefault="002C0DC3" w:rsidP="002C0DC3">
            <w:pPr>
              <w:suppressAutoHyphens w:val="0"/>
              <w:jc w:val="both"/>
              <w:rPr>
                <w:rFonts w:ascii="Times New Roman" w:hAnsi="Times New Roman"/>
                <w:lang w:eastAsia="en-US"/>
              </w:rPr>
            </w:pPr>
            <w:proofErr w:type="spellStart"/>
            <w:r w:rsidRPr="002C0DC3">
              <w:rPr>
                <w:rFonts w:ascii="Times New Roman" w:hAnsi="Times New Roman"/>
                <w:lang w:eastAsia="en-US"/>
              </w:rPr>
              <w:t>Resol.indexación,liquidación</w:t>
            </w:r>
            <w:proofErr w:type="spellEnd"/>
            <w:r w:rsidRPr="002C0DC3">
              <w:rPr>
                <w:rFonts w:ascii="Times New Roman" w:hAnsi="Times New Roman"/>
                <w:lang w:eastAsia="en-US"/>
              </w:rPr>
              <w:t xml:space="preserve">  intereses y costas c/oposición</w:t>
            </w:r>
          </w:p>
        </w:tc>
        <w:tc>
          <w:tcPr>
            <w:tcW w:w="1843" w:type="dxa"/>
          </w:tcPr>
          <w:p w14:paraId="7D34B32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310</w:t>
            </w:r>
          </w:p>
        </w:tc>
        <w:tc>
          <w:tcPr>
            <w:tcW w:w="1887" w:type="dxa"/>
          </w:tcPr>
          <w:p w14:paraId="69C9F3C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477</w:t>
            </w:r>
          </w:p>
        </w:tc>
      </w:tr>
      <w:tr w:rsidR="002C0DC3" w:rsidRPr="002C0DC3" w14:paraId="722371DF" w14:textId="77777777" w:rsidTr="002C0DC3">
        <w:tc>
          <w:tcPr>
            <w:tcW w:w="5098" w:type="dxa"/>
          </w:tcPr>
          <w:p w14:paraId="1CF27399"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sobre distribución del haber hereditario</w:t>
            </w:r>
          </w:p>
        </w:tc>
        <w:tc>
          <w:tcPr>
            <w:tcW w:w="1843" w:type="dxa"/>
          </w:tcPr>
          <w:p w14:paraId="1C49718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c>
          <w:tcPr>
            <w:tcW w:w="1887" w:type="dxa"/>
          </w:tcPr>
          <w:p w14:paraId="489408D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r>
      <w:tr w:rsidR="002C0DC3" w:rsidRPr="002C0DC3" w14:paraId="0818C91B" w14:textId="77777777" w:rsidTr="002C0DC3">
        <w:tc>
          <w:tcPr>
            <w:tcW w:w="5098" w:type="dxa"/>
          </w:tcPr>
          <w:p w14:paraId="54D47571"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Sentencia en Ejecución (escrita)</w:t>
            </w:r>
          </w:p>
        </w:tc>
        <w:tc>
          <w:tcPr>
            <w:tcW w:w="1843" w:type="dxa"/>
          </w:tcPr>
          <w:p w14:paraId="75AA4C9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96</w:t>
            </w:r>
          </w:p>
        </w:tc>
        <w:tc>
          <w:tcPr>
            <w:tcW w:w="1887" w:type="dxa"/>
          </w:tcPr>
          <w:p w14:paraId="2148FCD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37</w:t>
            </w:r>
          </w:p>
        </w:tc>
      </w:tr>
      <w:tr w:rsidR="002C0DC3" w:rsidRPr="002C0DC3" w14:paraId="751E33CF" w14:textId="77777777" w:rsidTr="002C0DC3">
        <w:tc>
          <w:tcPr>
            <w:tcW w:w="5098" w:type="dxa"/>
          </w:tcPr>
          <w:p w14:paraId="39E7D418"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Sentencia en Ejecución (oral)</w:t>
            </w:r>
          </w:p>
        </w:tc>
        <w:tc>
          <w:tcPr>
            <w:tcW w:w="1843" w:type="dxa"/>
          </w:tcPr>
          <w:p w14:paraId="0DC07AE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w:t>
            </w:r>
          </w:p>
        </w:tc>
        <w:tc>
          <w:tcPr>
            <w:tcW w:w="1887" w:type="dxa"/>
          </w:tcPr>
          <w:p w14:paraId="2C37D61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r>
      <w:tr w:rsidR="002C0DC3" w:rsidRPr="002C0DC3" w14:paraId="2F7E28F4" w14:textId="77777777" w:rsidTr="002C0DC3">
        <w:tc>
          <w:tcPr>
            <w:tcW w:w="5098" w:type="dxa"/>
          </w:tcPr>
          <w:p w14:paraId="22B67028"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Sentencia en Principal (escrita)</w:t>
            </w:r>
          </w:p>
        </w:tc>
        <w:tc>
          <w:tcPr>
            <w:tcW w:w="1843" w:type="dxa"/>
          </w:tcPr>
          <w:p w14:paraId="4BF96DF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2717</w:t>
            </w:r>
          </w:p>
        </w:tc>
        <w:tc>
          <w:tcPr>
            <w:tcW w:w="1887" w:type="dxa"/>
          </w:tcPr>
          <w:p w14:paraId="3AFDA3B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2863</w:t>
            </w:r>
          </w:p>
        </w:tc>
      </w:tr>
      <w:tr w:rsidR="002C0DC3" w:rsidRPr="002C0DC3" w14:paraId="26D15328" w14:textId="77777777" w:rsidTr="002C0DC3">
        <w:tc>
          <w:tcPr>
            <w:tcW w:w="5098" w:type="dxa"/>
          </w:tcPr>
          <w:p w14:paraId="15F5D616"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Sentencia en Principal (oral)</w:t>
            </w:r>
          </w:p>
        </w:tc>
        <w:tc>
          <w:tcPr>
            <w:tcW w:w="1843" w:type="dxa"/>
          </w:tcPr>
          <w:p w14:paraId="1322BB5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22</w:t>
            </w:r>
          </w:p>
        </w:tc>
        <w:tc>
          <w:tcPr>
            <w:tcW w:w="1887" w:type="dxa"/>
          </w:tcPr>
          <w:p w14:paraId="367AF9E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14</w:t>
            </w:r>
          </w:p>
        </w:tc>
      </w:tr>
      <w:tr w:rsidR="002C0DC3" w:rsidRPr="002C0DC3" w14:paraId="5D3C04A3" w14:textId="77777777" w:rsidTr="002C0DC3">
        <w:tc>
          <w:tcPr>
            <w:tcW w:w="5098" w:type="dxa"/>
          </w:tcPr>
          <w:p w14:paraId="476FE944"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apelación interlocutoria</w:t>
            </w:r>
          </w:p>
        </w:tc>
        <w:tc>
          <w:tcPr>
            <w:tcW w:w="1843" w:type="dxa"/>
          </w:tcPr>
          <w:p w14:paraId="2B54B75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c>
          <w:tcPr>
            <w:tcW w:w="1887" w:type="dxa"/>
          </w:tcPr>
          <w:p w14:paraId="6C0A2BB7"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r w:rsidR="002C0DC3" w:rsidRPr="002C0DC3" w14:paraId="30AA7D17" w14:textId="77777777" w:rsidTr="002C0DC3">
        <w:tc>
          <w:tcPr>
            <w:tcW w:w="5098" w:type="dxa"/>
          </w:tcPr>
          <w:p w14:paraId="628AD67A"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Resuelve apelación por inadmisión</w:t>
            </w:r>
          </w:p>
        </w:tc>
        <w:tc>
          <w:tcPr>
            <w:tcW w:w="1843" w:type="dxa"/>
          </w:tcPr>
          <w:p w14:paraId="0352EA6E"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w:t>
            </w:r>
          </w:p>
        </w:tc>
        <w:tc>
          <w:tcPr>
            <w:tcW w:w="1887" w:type="dxa"/>
          </w:tcPr>
          <w:p w14:paraId="1EF824D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r w:rsidR="002C0DC3" w:rsidRPr="002C0DC3" w14:paraId="48F83FA9" w14:textId="77777777" w:rsidTr="002C0DC3">
        <w:tc>
          <w:tcPr>
            <w:tcW w:w="5098" w:type="dxa"/>
          </w:tcPr>
          <w:p w14:paraId="178DA730"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conflicto de competencia</w:t>
            </w:r>
          </w:p>
        </w:tc>
        <w:tc>
          <w:tcPr>
            <w:tcW w:w="1843" w:type="dxa"/>
          </w:tcPr>
          <w:p w14:paraId="3053890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307</w:t>
            </w:r>
          </w:p>
        </w:tc>
        <w:tc>
          <w:tcPr>
            <w:tcW w:w="1887" w:type="dxa"/>
          </w:tcPr>
          <w:p w14:paraId="0FBC619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r w:rsidR="002C0DC3" w:rsidRPr="002C0DC3" w14:paraId="4A0A07C2" w14:textId="77777777" w:rsidTr="002C0DC3">
        <w:tc>
          <w:tcPr>
            <w:tcW w:w="5098" w:type="dxa"/>
          </w:tcPr>
          <w:p w14:paraId="76AF0883"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Auto sentencia medida cautelar</w:t>
            </w:r>
          </w:p>
        </w:tc>
        <w:tc>
          <w:tcPr>
            <w:tcW w:w="1843" w:type="dxa"/>
          </w:tcPr>
          <w:p w14:paraId="33E68CC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c>
          <w:tcPr>
            <w:tcW w:w="1887" w:type="dxa"/>
          </w:tcPr>
          <w:p w14:paraId="2EB3FD5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bl>
    <w:p w14:paraId="26E193CE" w14:textId="310B5B04" w:rsidR="002C0DC3" w:rsidRDefault="002C0DC3" w:rsidP="002C0DC3">
      <w:pPr>
        <w:suppressAutoHyphens w:val="0"/>
        <w:ind w:right="851"/>
        <w:jc w:val="both"/>
        <w:rPr>
          <w:rFonts w:eastAsia="Calibri"/>
          <w:lang w:val="es-CR" w:eastAsia="en-US"/>
        </w:rPr>
      </w:pPr>
      <w:r w:rsidRPr="002C0DC3">
        <w:rPr>
          <w:lang w:val="es-CR" w:eastAsia="es-CR"/>
        </w:rPr>
        <w:t>Elaborado por: Subproceso de</w:t>
      </w:r>
      <w:r>
        <w:rPr>
          <w:lang w:val="es-CR" w:eastAsia="es-CR"/>
        </w:rPr>
        <w:t xml:space="preserve"> </w:t>
      </w:r>
      <w:r w:rsidRPr="002C0DC3">
        <w:rPr>
          <w:lang w:val="es-CR" w:eastAsia="es-CR"/>
        </w:rPr>
        <w:t>Estadística,</w:t>
      </w:r>
      <w:r>
        <w:rPr>
          <w:lang w:val="es-CR" w:eastAsia="es-CR"/>
        </w:rPr>
        <w:t xml:space="preserve"> </w:t>
      </w:r>
      <w:r w:rsidRPr="002C0DC3">
        <w:rPr>
          <w:lang w:val="es-CR" w:eastAsia="es-CR"/>
        </w:rPr>
        <w:t>Dirección de Planificación</w:t>
      </w:r>
    </w:p>
    <w:p w14:paraId="09523015" w14:textId="77777777" w:rsidR="002C0DC3" w:rsidRDefault="002C0DC3" w:rsidP="002C0DC3">
      <w:pPr>
        <w:suppressAutoHyphens w:val="0"/>
        <w:ind w:right="851"/>
        <w:jc w:val="both"/>
        <w:rPr>
          <w:rFonts w:eastAsia="Calibri"/>
          <w:lang w:val="es-CR" w:eastAsia="en-US"/>
        </w:rPr>
      </w:pPr>
    </w:p>
    <w:p w14:paraId="6B66B63A" w14:textId="436EB63E"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Puntualmente se estableces los aspectos d mayor interés.</w:t>
      </w:r>
    </w:p>
    <w:p w14:paraId="5E69C502" w14:textId="77777777" w:rsidR="002C0DC3" w:rsidRPr="002C0DC3" w:rsidRDefault="002C0DC3" w:rsidP="002C0DC3">
      <w:pPr>
        <w:suppressAutoHyphens w:val="0"/>
        <w:ind w:left="851" w:right="851" w:firstLine="709"/>
        <w:jc w:val="both"/>
        <w:rPr>
          <w:rFonts w:eastAsia="Calibri"/>
          <w:lang w:val="es-CR" w:eastAsia="en-US"/>
        </w:rPr>
      </w:pPr>
    </w:p>
    <w:p w14:paraId="1AB7B3F9" w14:textId="77777777" w:rsidR="002C0DC3" w:rsidRPr="002C0DC3" w:rsidRDefault="002C0DC3" w:rsidP="00CE3D95">
      <w:pPr>
        <w:numPr>
          <w:ilvl w:val="0"/>
          <w:numId w:val="32"/>
        </w:numPr>
        <w:suppressAutoHyphens w:val="0"/>
        <w:ind w:left="851" w:right="851" w:firstLine="709"/>
        <w:contextualSpacing/>
        <w:jc w:val="both"/>
        <w:rPr>
          <w:rFonts w:eastAsia="Calibri"/>
          <w:lang w:val="es-CR" w:eastAsia="en-US"/>
        </w:rPr>
      </w:pPr>
      <w:r w:rsidRPr="002C0DC3">
        <w:rPr>
          <w:rFonts w:eastAsia="Calibri"/>
          <w:lang w:val="es-CR" w:eastAsia="en-US"/>
        </w:rPr>
        <w:t xml:space="preserve">Durante el 2020 se produce una disminución importante (-11.3%) en el número de resolución emitidas por los juzgados de cobro. Dicho decrecimiento tuvo una afectación relevante en las </w:t>
      </w:r>
      <w:r w:rsidRPr="002C0DC3">
        <w:rPr>
          <w:rFonts w:eastAsia="Calibri"/>
          <w:i/>
          <w:iCs/>
          <w:lang w:val="es-CR" w:eastAsia="en-US"/>
        </w:rPr>
        <w:t>Resoluciones Intimatorias</w:t>
      </w:r>
      <w:r w:rsidRPr="002C0DC3">
        <w:rPr>
          <w:rFonts w:eastAsia="Calibri"/>
          <w:lang w:val="es-CR" w:eastAsia="en-US"/>
        </w:rPr>
        <w:t xml:space="preserve">, las cuales se redujeron 8.892 resoluciones. Otras afectaciones significativas fueron consignadas en resoluciones tales como </w:t>
      </w:r>
      <w:r w:rsidRPr="002C0DC3">
        <w:rPr>
          <w:rFonts w:eastAsia="Calibri"/>
          <w:i/>
          <w:iCs/>
          <w:lang w:val="es-CR" w:eastAsia="en-US"/>
        </w:rPr>
        <w:t>Resoluciones de Satisfacción Extraprocesal</w:t>
      </w:r>
      <w:r w:rsidRPr="002C0DC3">
        <w:rPr>
          <w:rFonts w:eastAsia="Calibri"/>
          <w:lang w:val="es-CR" w:eastAsia="en-US"/>
        </w:rPr>
        <w:t>, en cuyo caso los valores se redujeron en 1.823 fallos.</w:t>
      </w:r>
    </w:p>
    <w:p w14:paraId="14800D8F" w14:textId="77777777" w:rsidR="002C0DC3" w:rsidRPr="002C0DC3" w:rsidRDefault="002C0DC3" w:rsidP="002C0DC3">
      <w:pPr>
        <w:suppressAutoHyphens w:val="0"/>
        <w:ind w:left="851" w:right="851" w:firstLine="709"/>
        <w:contextualSpacing/>
        <w:jc w:val="both"/>
        <w:rPr>
          <w:rFonts w:eastAsia="Calibri"/>
          <w:lang w:val="es-CR" w:eastAsia="en-US"/>
        </w:rPr>
      </w:pPr>
    </w:p>
    <w:p w14:paraId="0F94DFF9" w14:textId="77777777" w:rsidR="002C0DC3" w:rsidRPr="002C0DC3" w:rsidRDefault="002C0DC3" w:rsidP="00CE3D95">
      <w:pPr>
        <w:numPr>
          <w:ilvl w:val="0"/>
          <w:numId w:val="32"/>
        </w:numPr>
        <w:suppressAutoHyphens w:val="0"/>
        <w:ind w:left="851" w:right="851" w:firstLine="709"/>
        <w:contextualSpacing/>
        <w:jc w:val="both"/>
        <w:rPr>
          <w:rFonts w:eastAsia="Calibri"/>
          <w:lang w:val="es-CR" w:eastAsia="en-US"/>
        </w:rPr>
      </w:pPr>
      <w:r w:rsidRPr="002C0DC3">
        <w:rPr>
          <w:rFonts w:eastAsia="Calibri"/>
          <w:lang w:val="es-CR" w:eastAsia="en-US"/>
        </w:rPr>
        <w:t xml:space="preserve">Por su parte, resoluciones tales como </w:t>
      </w:r>
      <w:r w:rsidRPr="002C0DC3">
        <w:rPr>
          <w:rFonts w:eastAsia="Calibri"/>
          <w:i/>
          <w:iCs/>
          <w:lang w:val="es-CR" w:eastAsia="en-US"/>
        </w:rPr>
        <w:t xml:space="preserve">Sentencia en Principal escrita (+646), Cálculo de Interés y otros (+167), Fondo de excepciones procesales </w:t>
      </w:r>
      <w:r w:rsidRPr="002C0DC3">
        <w:rPr>
          <w:rFonts w:eastAsia="Calibri"/>
          <w:i/>
          <w:iCs/>
          <w:lang w:val="es-CR" w:eastAsia="en-US"/>
        </w:rPr>
        <w:lastRenderedPageBreak/>
        <w:t>(</w:t>
      </w:r>
      <w:r w:rsidRPr="002C0DC3">
        <w:rPr>
          <w:rFonts w:eastAsia="Calibri"/>
          <w:lang w:val="es-CR" w:eastAsia="en-US"/>
        </w:rPr>
        <w:t xml:space="preserve">+229) y </w:t>
      </w:r>
      <w:r w:rsidRPr="002C0DC3">
        <w:rPr>
          <w:rFonts w:eastAsia="Calibri"/>
          <w:i/>
          <w:iCs/>
          <w:lang w:val="es-CR" w:eastAsia="en-US"/>
        </w:rPr>
        <w:t xml:space="preserve">Resolución de Fondo Caducidad (+177), </w:t>
      </w:r>
      <w:r w:rsidRPr="002C0DC3">
        <w:rPr>
          <w:rFonts w:eastAsia="Calibri"/>
          <w:lang w:val="es-CR" w:eastAsia="en-US"/>
        </w:rPr>
        <w:t>consolidaron aumentos para el 2020.</w:t>
      </w:r>
    </w:p>
    <w:p w14:paraId="5D610FB3" w14:textId="77777777" w:rsidR="002C0DC3" w:rsidRPr="002C0DC3" w:rsidRDefault="002C0DC3" w:rsidP="002C0DC3">
      <w:pPr>
        <w:suppressAutoHyphens w:val="0"/>
        <w:ind w:left="851" w:right="851" w:firstLine="709"/>
        <w:contextualSpacing/>
        <w:jc w:val="both"/>
        <w:rPr>
          <w:rFonts w:eastAsia="Calibri"/>
          <w:lang w:val="es-CR" w:eastAsia="en-US"/>
        </w:rPr>
      </w:pPr>
    </w:p>
    <w:p w14:paraId="6FA4215D" w14:textId="77777777" w:rsidR="002C0DC3" w:rsidRPr="002C0DC3" w:rsidRDefault="002C0DC3" w:rsidP="00CE3D95">
      <w:pPr>
        <w:numPr>
          <w:ilvl w:val="0"/>
          <w:numId w:val="32"/>
        </w:numPr>
        <w:suppressAutoHyphens w:val="0"/>
        <w:ind w:left="851" w:right="851" w:firstLine="709"/>
        <w:contextualSpacing/>
        <w:jc w:val="both"/>
        <w:rPr>
          <w:rFonts w:eastAsia="Calibri"/>
          <w:lang w:val="es-CR" w:eastAsia="en-US"/>
        </w:rPr>
      </w:pPr>
      <w:r w:rsidRPr="002C0DC3">
        <w:rPr>
          <w:rFonts w:eastAsia="Calibri"/>
          <w:lang w:val="es-CR" w:eastAsia="en-US"/>
        </w:rPr>
        <w:t xml:space="preserve">El número de resoluciones por </w:t>
      </w:r>
      <w:r w:rsidRPr="002C0DC3">
        <w:rPr>
          <w:rFonts w:eastAsia="Calibri"/>
          <w:i/>
          <w:iCs/>
          <w:lang w:val="es-CR" w:eastAsia="en-US"/>
        </w:rPr>
        <w:t>incompetencia</w:t>
      </w:r>
      <w:r w:rsidRPr="002C0DC3">
        <w:rPr>
          <w:rFonts w:eastAsia="Calibri"/>
          <w:lang w:val="es-CR" w:eastAsia="en-US"/>
        </w:rPr>
        <w:t xml:space="preserve"> se redujo notablemente para el período en cuestión, al pasar de 30.309 a tan solo 7.884.</w:t>
      </w:r>
    </w:p>
    <w:p w14:paraId="06A0D6BD" w14:textId="77777777" w:rsidR="002C0DC3" w:rsidRPr="002C0DC3" w:rsidRDefault="002C0DC3" w:rsidP="002C0DC3">
      <w:pPr>
        <w:suppressAutoHyphens w:val="0"/>
        <w:ind w:left="851" w:right="851" w:firstLine="709"/>
        <w:contextualSpacing/>
        <w:jc w:val="both"/>
        <w:rPr>
          <w:rFonts w:eastAsia="Calibri"/>
          <w:lang w:val="es-CR" w:eastAsia="en-US"/>
        </w:rPr>
      </w:pPr>
    </w:p>
    <w:p w14:paraId="635ABE24" w14:textId="77777777" w:rsidR="002C0DC3" w:rsidRPr="002C0DC3" w:rsidRDefault="002C0DC3" w:rsidP="002C0DC3">
      <w:pPr>
        <w:keepNext/>
        <w:keepLines/>
        <w:numPr>
          <w:ilvl w:val="1"/>
          <w:numId w:val="0"/>
        </w:numPr>
        <w:suppressAutoHyphens w:val="0"/>
        <w:ind w:left="851" w:right="851" w:firstLine="709"/>
        <w:jc w:val="both"/>
        <w:rPr>
          <w:b/>
          <w:lang w:val="es-CR" w:eastAsia="es-CR"/>
        </w:rPr>
      </w:pPr>
      <w:r w:rsidRPr="002C0DC3">
        <w:rPr>
          <w:b/>
          <w:lang w:val="es-CR" w:eastAsia="es-CR"/>
        </w:rPr>
        <w:t>Resultados de las Resoluciones Dictadas</w:t>
      </w:r>
    </w:p>
    <w:p w14:paraId="2B3D4EBC" w14:textId="77777777" w:rsidR="002C0DC3" w:rsidRPr="002C0DC3" w:rsidRDefault="002C0DC3" w:rsidP="002C0DC3">
      <w:pPr>
        <w:suppressAutoHyphens w:val="0"/>
        <w:ind w:left="851" w:right="851" w:firstLine="709"/>
        <w:jc w:val="both"/>
        <w:rPr>
          <w:rFonts w:eastAsia="Calibri"/>
          <w:lang w:val="es-CR" w:eastAsia="en-US"/>
        </w:rPr>
      </w:pPr>
    </w:p>
    <w:p w14:paraId="6A024C19"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Seguidamente se muestra el detalle de las resoluciones dictadas de acuerdo con </w:t>
      </w:r>
      <w:r w:rsidRPr="002C0DC3">
        <w:rPr>
          <w:rFonts w:eastAsia="Calibri"/>
          <w:b/>
          <w:bCs/>
          <w:lang w:val="es-CR" w:eastAsia="en-US"/>
        </w:rPr>
        <w:t>el resultado de la resolución</w:t>
      </w:r>
      <w:r w:rsidRPr="002C0DC3">
        <w:rPr>
          <w:rFonts w:eastAsia="Calibri"/>
          <w:lang w:val="es-CR" w:eastAsia="en-US"/>
        </w:rPr>
        <w:t>, para los períodos 2019 y 2020.</w:t>
      </w:r>
    </w:p>
    <w:p w14:paraId="752E580F" w14:textId="77777777" w:rsidR="002C0DC3" w:rsidRPr="002C0DC3" w:rsidRDefault="002C0DC3" w:rsidP="002C0DC3">
      <w:pPr>
        <w:suppressAutoHyphens w:val="0"/>
        <w:ind w:left="851" w:right="851" w:firstLine="709"/>
        <w:jc w:val="both"/>
        <w:rPr>
          <w:rFonts w:eastAsia="Calibri"/>
          <w:lang w:val="es-CR" w:eastAsia="en-US"/>
        </w:rPr>
      </w:pPr>
    </w:p>
    <w:p w14:paraId="0DF536C1"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Cuadro N°8.2</w:t>
      </w:r>
    </w:p>
    <w:p w14:paraId="134254F8"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Resultado de las Resoluciones Dictadas por los Juzgados de Cobro, Según Tipo de Resultado, períodos 2019-2020</w:t>
      </w:r>
    </w:p>
    <w:tbl>
      <w:tblPr>
        <w:tblStyle w:val="Tablaconcuadrcula22"/>
        <w:tblW w:w="5000" w:type="pct"/>
        <w:tblLook w:val="04A0" w:firstRow="1" w:lastRow="0" w:firstColumn="1" w:lastColumn="0" w:noHBand="0" w:noVBand="1"/>
      </w:tblPr>
      <w:tblGrid>
        <w:gridCol w:w="5424"/>
        <w:gridCol w:w="1962"/>
        <w:gridCol w:w="2009"/>
      </w:tblGrid>
      <w:tr w:rsidR="002C0DC3" w:rsidRPr="002C0DC3" w14:paraId="530D26E3" w14:textId="77777777" w:rsidTr="002C0DC3">
        <w:tc>
          <w:tcPr>
            <w:tcW w:w="2887" w:type="pct"/>
          </w:tcPr>
          <w:p w14:paraId="72C2732D"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Tipo de Resultado</w:t>
            </w:r>
          </w:p>
        </w:tc>
        <w:tc>
          <w:tcPr>
            <w:tcW w:w="2113" w:type="pct"/>
            <w:gridSpan w:val="2"/>
          </w:tcPr>
          <w:p w14:paraId="28C97152"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Año</w:t>
            </w:r>
          </w:p>
        </w:tc>
      </w:tr>
      <w:tr w:rsidR="002C0DC3" w:rsidRPr="002C0DC3" w14:paraId="5B9C6B2B" w14:textId="77777777" w:rsidTr="002C0DC3">
        <w:tc>
          <w:tcPr>
            <w:tcW w:w="2887" w:type="pct"/>
          </w:tcPr>
          <w:p w14:paraId="3A99B2F9" w14:textId="77777777" w:rsidR="002C0DC3" w:rsidRPr="002C0DC3" w:rsidRDefault="002C0DC3" w:rsidP="002C0DC3">
            <w:pPr>
              <w:suppressAutoHyphens w:val="0"/>
              <w:rPr>
                <w:rFonts w:ascii="Times New Roman" w:hAnsi="Times New Roman"/>
                <w:lang w:eastAsia="en-US"/>
              </w:rPr>
            </w:pPr>
          </w:p>
        </w:tc>
        <w:tc>
          <w:tcPr>
            <w:tcW w:w="1044" w:type="pct"/>
          </w:tcPr>
          <w:p w14:paraId="3573D28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2019</w:t>
            </w:r>
          </w:p>
        </w:tc>
        <w:tc>
          <w:tcPr>
            <w:tcW w:w="1069" w:type="pct"/>
          </w:tcPr>
          <w:p w14:paraId="375F3C6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2020</w:t>
            </w:r>
          </w:p>
        </w:tc>
      </w:tr>
      <w:tr w:rsidR="002C0DC3" w:rsidRPr="002C0DC3" w14:paraId="522A7FF6" w14:textId="77777777" w:rsidTr="002C0DC3">
        <w:tc>
          <w:tcPr>
            <w:tcW w:w="2887" w:type="pct"/>
          </w:tcPr>
          <w:p w14:paraId="1AC83C39"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Total</w:t>
            </w:r>
          </w:p>
        </w:tc>
        <w:tc>
          <w:tcPr>
            <w:tcW w:w="1044" w:type="pct"/>
          </w:tcPr>
          <w:p w14:paraId="0EBB03E4"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313157</w:t>
            </w:r>
          </w:p>
        </w:tc>
        <w:tc>
          <w:tcPr>
            <w:tcW w:w="1069" w:type="pct"/>
          </w:tcPr>
          <w:p w14:paraId="3791099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277879</w:t>
            </w:r>
          </w:p>
        </w:tc>
      </w:tr>
      <w:tr w:rsidR="002C0DC3" w:rsidRPr="002C0DC3" w14:paraId="6FF929DC" w14:textId="77777777" w:rsidTr="002C0DC3">
        <w:tc>
          <w:tcPr>
            <w:tcW w:w="2887" w:type="pct"/>
          </w:tcPr>
          <w:p w14:paraId="437BD57C"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Admite</w:t>
            </w:r>
          </w:p>
        </w:tc>
        <w:tc>
          <w:tcPr>
            <w:tcW w:w="1044" w:type="pct"/>
          </w:tcPr>
          <w:p w14:paraId="00B9DD14"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388</w:t>
            </w:r>
          </w:p>
        </w:tc>
        <w:tc>
          <w:tcPr>
            <w:tcW w:w="1069" w:type="pct"/>
          </w:tcPr>
          <w:p w14:paraId="7562F25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492</w:t>
            </w:r>
          </w:p>
        </w:tc>
      </w:tr>
      <w:tr w:rsidR="002C0DC3" w:rsidRPr="002C0DC3" w14:paraId="278ED9EB" w14:textId="77777777" w:rsidTr="002C0DC3">
        <w:tc>
          <w:tcPr>
            <w:tcW w:w="2887" w:type="pct"/>
          </w:tcPr>
          <w:p w14:paraId="44C7D256"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Aprueba el remate</w:t>
            </w:r>
          </w:p>
        </w:tc>
        <w:tc>
          <w:tcPr>
            <w:tcW w:w="1044" w:type="pct"/>
          </w:tcPr>
          <w:p w14:paraId="40DCF8F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2045</w:t>
            </w:r>
          </w:p>
        </w:tc>
        <w:tc>
          <w:tcPr>
            <w:tcW w:w="1069" w:type="pct"/>
          </w:tcPr>
          <w:p w14:paraId="78491A9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2134</w:t>
            </w:r>
          </w:p>
        </w:tc>
      </w:tr>
      <w:tr w:rsidR="002C0DC3" w:rsidRPr="002C0DC3" w14:paraId="2121FC77" w14:textId="77777777" w:rsidTr="002C0DC3">
        <w:tc>
          <w:tcPr>
            <w:tcW w:w="2887" w:type="pct"/>
          </w:tcPr>
          <w:p w14:paraId="2E4AE0F7"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Auto que finaliza el proceso</w:t>
            </w:r>
          </w:p>
        </w:tc>
        <w:tc>
          <w:tcPr>
            <w:tcW w:w="1044" w:type="pct"/>
          </w:tcPr>
          <w:p w14:paraId="09A5405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52258</w:t>
            </w:r>
          </w:p>
        </w:tc>
        <w:tc>
          <w:tcPr>
            <w:tcW w:w="1069" w:type="pct"/>
          </w:tcPr>
          <w:p w14:paraId="23A236EE"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54748</w:t>
            </w:r>
          </w:p>
        </w:tc>
      </w:tr>
      <w:tr w:rsidR="002C0DC3" w:rsidRPr="002C0DC3" w14:paraId="7DD67137" w14:textId="77777777" w:rsidTr="002C0DC3">
        <w:tc>
          <w:tcPr>
            <w:tcW w:w="2887" w:type="pct"/>
          </w:tcPr>
          <w:p w14:paraId="2FDF16F5"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Con Lugar</w:t>
            </w:r>
          </w:p>
        </w:tc>
        <w:tc>
          <w:tcPr>
            <w:tcW w:w="1044" w:type="pct"/>
          </w:tcPr>
          <w:p w14:paraId="1C80718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118051</w:t>
            </w:r>
          </w:p>
        </w:tc>
        <w:tc>
          <w:tcPr>
            <w:tcW w:w="1069" w:type="pct"/>
          </w:tcPr>
          <w:p w14:paraId="0690D8B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89508</w:t>
            </w:r>
          </w:p>
        </w:tc>
      </w:tr>
      <w:tr w:rsidR="002C0DC3" w:rsidRPr="002C0DC3" w14:paraId="303D68D7" w14:textId="77777777" w:rsidTr="002C0DC3">
        <w:tc>
          <w:tcPr>
            <w:tcW w:w="2887" w:type="pct"/>
          </w:tcPr>
          <w:p w14:paraId="26C2468A"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Declara incompetencia</w:t>
            </w:r>
          </w:p>
        </w:tc>
        <w:tc>
          <w:tcPr>
            <w:tcW w:w="1044" w:type="pct"/>
          </w:tcPr>
          <w:p w14:paraId="0618E3D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19686</w:t>
            </w:r>
          </w:p>
        </w:tc>
        <w:tc>
          <w:tcPr>
            <w:tcW w:w="1069" w:type="pct"/>
          </w:tcPr>
          <w:p w14:paraId="03E9826E"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6455</w:t>
            </w:r>
          </w:p>
        </w:tc>
      </w:tr>
      <w:tr w:rsidR="002C0DC3" w:rsidRPr="002C0DC3" w14:paraId="68DCB82E" w14:textId="77777777" w:rsidTr="002C0DC3">
        <w:tc>
          <w:tcPr>
            <w:tcW w:w="2887" w:type="pct"/>
          </w:tcPr>
          <w:p w14:paraId="3EEBC065"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Homologa</w:t>
            </w:r>
          </w:p>
        </w:tc>
        <w:tc>
          <w:tcPr>
            <w:tcW w:w="1044" w:type="pct"/>
          </w:tcPr>
          <w:p w14:paraId="7540B6A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225</w:t>
            </w:r>
          </w:p>
        </w:tc>
        <w:tc>
          <w:tcPr>
            <w:tcW w:w="1069" w:type="pct"/>
          </w:tcPr>
          <w:p w14:paraId="4EAD492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299</w:t>
            </w:r>
          </w:p>
        </w:tc>
      </w:tr>
      <w:tr w:rsidR="002C0DC3" w:rsidRPr="002C0DC3" w14:paraId="0AAC456E" w14:textId="77777777" w:rsidTr="002C0DC3">
        <w:tc>
          <w:tcPr>
            <w:tcW w:w="2887" w:type="pct"/>
          </w:tcPr>
          <w:p w14:paraId="7692BA70"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No aprueba el remate</w:t>
            </w:r>
          </w:p>
        </w:tc>
        <w:tc>
          <w:tcPr>
            <w:tcW w:w="1044" w:type="pct"/>
          </w:tcPr>
          <w:p w14:paraId="760752F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40</w:t>
            </w:r>
          </w:p>
        </w:tc>
        <w:tc>
          <w:tcPr>
            <w:tcW w:w="1069" w:type="pct"/>
          </w:tcPr>
          <w:p w14:paraId="1205FC4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67</w:t>
            </w:r>
          </w:p>
        </w:tc>
      </w:tr>
      <w:tr w:rsidR="002C0DC3" w:rsidRPr="002C0DC3" w14:paraId="6D47B269" w14:textId="77777777" w:rsidTr="002C0DC3">
        <w:tc>
          <w:tcPr>
            <w:tcW w:w="2887" w:type="pct"/>
          </w:tcPr>
          <w:p w14:paraId="0DF03653"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Oposición infundada</w:t>
            </w:r>
          </w:p>
        </w:tc>
        <w:tc>
          <w:tcPr>
            <w:tcW w:w="1044" w:type="pct"/>
          </w:tcPr>
          <w:p w14:paraId="5360CBD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391</w:t>
            </w:r>
          </w:p>
        </w:tc>
        <w:tc>
          <w:tcPr>
            <w:tcW w:w="1069" w:type="pct"/>
          </w:tcPr>
          <w:p w14:paraId="4377FD9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475</w:t>
            </w:r>
          </w:p>
        </w:tc>
      </w:tr>
      <w:tr w:rsidR="002C0DC3" w:rsidRPr="002C0DC3" w14:paraId="3546B5D9" w14:textId="77777777" w:rsidTr="002C0DC3">
        <w:tc>
          <w:tcPr>
            <w:tcW w:w="2887" w:type="pct"/>
          </w:tcPr>
          <w:p w14:paraId="72946751"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Parcialmente con lugar</w:t>
            </w:r>
          </w:p>
        </w:tc>
        <w:tc>
          <w:tcPr>
            <w:tcW w:w="1044" w:type="pct"/>
          </w:tcPr>
          <w:p w14:paraId="424C945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850</w:t>
            </w:r>
          </w:p>
        </w:tc>
        <w:tc>
          <w:tcPr>
            <w:tcW w:w="1069" w:type="pct"/>
          </w:tcPr>
          <w:p w14:paraId="0EE2FE6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1062</w:t>
            </w:r>
          </w:p>
        </w:tc>
      </w:tr>
      <w:tr w:rsidR="002C0DC3" w:rsidRPr="002C0DC3" w14:paraId="1164149E" w14:textId="77777777" w:rsidTr="002C0DC3">
        <w:tc>
          <w:tcPr>
            <w:tcW w:w="2887" w:type="pct"/>
          </w:tcPr>
          <w:p w14:paraId="74BB060B"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Rechazada</w:t>
            </w:r>
          </w:p>
        </w:tc>
        <w:tc>
          <w:tcPr>
            <w:tcW w:w="1044" w:type="pct"/>
          </w:tcPr>
          <w:p w14:paraId="45E3C76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789</w:t>
            </w:r>
          </w:p>
        </w:tc>
        <w:tc>
          <w:tcPr>
            <w:tcW w:w="1069" w:type="pct"/>
          </w:tcPr>
          <w:p w14:paraId="4E64F05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546</w:t>
            </w:r>
          </w:p>
        </w:tc>
      </w:tr>
      <w:tr w:rsidR="002C0DC3" w:rsidRPr="002C0DC3" w14:paraId="471ED6D0" w14:textId="77777777" w:rsidTr="002C0DC3">
        <w:tc>
          <w:tcPr>
            <w:tcW w:w="2887" w:type="pct"/>
          </w:tcPr>
          <w:p w14:paraId="4777A5EC"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Rechaza incompetencia</w:t>
            </w:r>
          </w:p>
        </w:tc>
        <w:tc>
          <w:tcPr>
            <w:tcW w:w="1044" w:type="pct"/>
          </w:tcPr>
          <w:p w14:paraId="5425353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1697</w:t>
            </w:r>
          </w:p>
        </w:tc>
        <w:tc>
          <w:tcPr>
            <w:tcW w:w="1069" w:type="pct"/>
          </w:tcPr>
          <w:p w14:paraId="32782B3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60</w:t>
            </w:r>
          </w:p>
        </w:tc>
      </w:tr>
      <w:tr w:rsidR="002C0DC3" w:rsidRPr="002C0DC3" w14:paraId="0D7D48B5" w14:textId="77777777" w:rsidTr="002C0DC3">
        <w:tc>
          <w:tcPr>
            <w:tcW w:w="2887" w:type="pct"/>
          </w:tcPr>
          <w:p w14:paraId="0523D0BE"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Resolución intimatoria</w:t>
            </w:r>
          </w:p>
        </w:tc>
        <w:tc>
          <w:tcPr>
            <w:tcW w:w="1044" w:type="pct"/>
          </w:tcPr>
          <w:p w14:paraId="4A0BC11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109389</w:t>
            </w:r>
          </w:p>
        </w:tc>
        <w:tc>
          <w:tcPr>
            <w:tcW w:w="1069" w:type="pct"/>
          </w:tcPr>
          <w:p w14:paraId="3FFAA44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118752</w:t>
            </w:r>
          </w:p>
        </w:tc>
      </w:tr>
      <w:tr w:rsidR="002C0DC3" w:rsidRPr="002C0DC3" w14:paraId="32923A2B" w14:textId="77777777" w:rsidTr="002C0DC3">
        <w:tc>
          <w:tcPr>
            <w:tcW w:w="2887" w:type="pct"/>
          </w:tcPr>
          <w:p w14:paraId="1A5B0679"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Sin Lugar</w:t>
            </w:r>
          </w:p>
        </w:tc>
        <w:tc>
          <w:tcPr>
            <w:tcW w:w="1044" w:type="pct"/>
          </w:tcPr>
          <w:p w14:paraId="311404B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3464</w:t>
            </w:r>
          </w:p>
        </w:tc>
        <w:tc>
          <w:tcPr>
            <w:tcW w:w="1069" w:type="pct"/>
          </w:tcPr>
          <w:p w14:paraId="680568C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3279</w:t>
            </w:r>
          </w:p>
        </w:tc>
      </w:tr>
      <w:tr w:rsidR="002C0DC3" w:rsidRPr="002C0DC3" w14:paraId="229D50B7" w14:textId="77777777" w:rsidTr="002C0DC3">
        <w:tc>
          <w:tcPr>
            <w:tcW w:w="2887" w:type="pct"/>
          </w:tcPr>
          <w:p w14:paraId="2ECE5837"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Otros</w:t>
            </w:r>
          </w:p>
        </w:tc>
        <w:tc>
          <w:tcPr>
            <w:tcW w:w="1044" w:type="pct"/>
          </w:tcPr>
          <w:p w14:paraId="3D1B129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3884</w:t>
            </w:r>
          </w:p>
        </w:tc>
        <w:tc>
          <w:tcPr>
            <w:tcW w:w="1069" w:type="pct"/>
          </w:tcPr>
          <w:p w14:paraId="52A5182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r>
    </w:tbl>
    <w:p w14:paraId="55FACDA2" w14:textId="77777777" w:rsidR="002C0DC3" w:rsidRPr="002C0DC3" w:rsidRDefault="002C0DC3" w:rsidP="002C0DC3">
      <w:pPr>
        <w:suppressAutoHyphens w:val="0"/>
        <w:rPr>
          <w:lang w:val="es-CR" w:eastAsia="es-CR"/>
        </w:rPr>
      </w:pPr>
      <w:r w:rsidRPr="002C0DC3">
        <w:rPr>
          <w:lang w:val="es-CR" w:eastAsia="es-CR"/>
        </w:rPr>
        <w:t>Datos tomados del sistema para efectos de la comparación de este cuadro.</w:t>
      </w:r>
    </w:p>
    <w:p w14:paraId="587AEC15" w14:textId="11AFAF7F" w:rsidR="002C0DC3" w:rsidRDefault="002C0DC3" w:rsidP="002C0DC3">
      <w:pPr>
        <w:suppressAutoHyphens w:val="0"/>
        <w:ind w:right="851"/>
        <w:jc w:val="both"/>
        <w:rPr>
          <w:rFonts w:eastAsia="Calibri"/>
          <w:lang w:val="es-CR" w:eastAsia="en-US"/>
        </w:rPr>
      </w:pPr>
      <w:r w:rsidRPr="002C0DC3">
        <w:rPr>
          <w:lang w:val="es-CR" w:eastAsia="es-CR"/>
        </w:rPr>
        <w:t>Elaborado por: Subproceso de Estadística, Dirección de Planificación</w:t>
      </w:r>
    </w:p>
    <w:p w14:paraId="592405AE" w14:textId="77777777" w:rsidR="002C0DC3" w:rsidRDefault="002C0DC3" w:rsidP="002C0DC3">
      <w:pPr>
        <w:suppressAutoHyphens w:val="0"/>
        <w:ind w:right="851"/>
        <w:jc w:val="both"/>
        <w:rPr>
          <w:rFonts w:eastAsia="Calibri"/>
          <w:lang w:val="es-CR" w:eastAsia="en-US"/>
        </w:rPr>
      </w:pPr>
    </w:p>
    <w:p w14:paraId="131E880F" w14:textId="6E9805D1"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De acuerdo con los resultados aportados por la tabla de referencia, se puntualizan los siguientes aspectos.</w:t>
      </w:r>
    </w:p>
    <w:p w14:paraId="15565BC1" w14:textId="77777777" w:rsidR="002C0DC3" w:rsidRPr="002C0DC3" w:rsidRDefault="002C0DC3" w:rsidP="002C0DC3">
      <w:pPr>
        <w:suppressAutoHyphens w:val="0"/>
        <w:ind w:left="851" w:right="851" w:firstLine="709"/>
        <w:jc w:val="both"/>
        <w:rPr>
          <w:rFonts w:eastAsia="Calibri"/>
          <w:lang w:val="es-CR" w:eastAsia="en-US"/>
        </w:rPr>
      </w:pPr>
    </w:p>
    <w:p w14:paraId="2D0AA659" w14:textId="77777777" w:rsidR="002C0DC3" w:rsidRPr="002C0DC3" w:rsidRDefault="002C0DC3" w:rsidP="00CE3D95">
      <w:pPr>
        <w:numPr>
          <w:ilvl w:val="0"/>
          <w:numId w:val="33"/>
        </w:numPr>
        <w:suppressAutoHyphens w:val="0"/>
        <w:ind w:left="851" w:right="851" w:firstLine="709"/>
        <w:contextualSpacing/>
        <w:jc w:val="both"/>
        <w:rPr>
          <w:rFonts w:eastAsia="Calibri"/>
          <w:lang w:val="es-CR" w:eastAsia="en-US"/>
        </w:rPr>
      </w:pPr>
      <w:r w:rsidRPr="002C0DC3">
        <w:rPr>
          <w:rFonts w:eastAsia="Calibri"/>
          <w:lang w:val="es-CR" w:eastAsia="en-US"/>
        </w:rPr>
        <w:t xml:space="preserve">Durante el 2020 se logró resolver a nivel colectivo un total de 277.879 resoluciones, cifra que resulta en una disminución de poco más de 35 </w:t>
      </w:r>
      <w:r w:rsidRPr="002C0DC3">
        <w:rPr>
          <w:rFonts w:eastAsia="Calibri"/>
          <w:lang w:val="es-CR" w:eastAsia="en-US"/>
        </w:rPr>
        <w:lastRenderedPageBreak/>
        <w:t>fallos respecto del rubro del año anterior, lo que en términos relativos significó una baja resolutiva del 11.3%.</w:t>
      </w:r>
    </w:p>
    <w:p w14:paraId="0C9C76C2" w14:textId="77777777" w:rsidR="002C0DC3" w:rsidRPr="002C0DC3" w:rsidRDefault="002C0DC3" w:rsidP="002C0DC3">
      <w:pPr>
        <w:suppressAutoHyphens w:val="0"/>
        <w:ind w:left="851" w:right="851" w:firstLine="709"/>
        <w:contextualSpacing/>
        <w:jc w:val="both"/>
        <w:rPr>
          <w:rFonts w:eastAsia="Calibri"/>
          <w:lang w:val="es-CR" w:eastAsia="en-US"/>
        </w:rPr>
      </w:pPr>
    </w:p>
    <w:p w14:paraId="69849C75" w14:textId="77777777" w:rsidR="002C0DC3" w:rsidRPr="002C0DC3" w:rsidRDefault="002C0DC3" w:rsidP="00CE3D95">
      <w:pPr>
        <w:numPr>
          <w:ilvl w:val="0"/>
          <w:numId w:val="33"/>
        </w:numPr>
        <w:suppressAutoHyphens w:val="0"/>
        <w:ind w:left="851" w:right="851" w:firstLine="709"/>
        <w:contextualSpacing/>
        <w:jc w:val="both"/>
        <w:rPr>
          <w:rFonts w:eastAsia="Calibri"/>
          <w:lang w:val="es-CR" w:eastAsia="en-US"/>
        </w:rPr>
      </w:pPr>
      <w:r w:rsidRPr="002C0DC3">
        <w:rPr>
          <w:rFonts w:eastAsia="Calibri"/>
          <w:lang w:val="es-CR" w:eastAsia="en-US"/>
        </w:rPr>
        <w:t xml:space="preserve"> Algunos tipos de fallo como las </w:t>
      </w:r>
      <w:r w:rsidRPr="002C0DC3">
        <w:rPr>
          <w:rFonts w:eastAsia="Calibri"/>
          <w:i/>
          <w:iCs/>
          <w:lang w:val="es-CR" w:eastAsia="en-US"/>
        </w:rPr>
        <w:t>Resoluciones Intimatorias</w:t>
      </w:r>
      <w:r w:rsidRPr="002C0DC3">
        <w:rPr>
          <w:rFonts w:eastAsia="Calibri"/>
          <w:lang w:val="es-CR" w:eastAsia="en-US"/>
        </w:rPr>
        <w:t xml:space="preserve"> experimentaron un empuje exponencial para el período en análisis de 9.363 resoluciones, convirtiéndose dicho incremento no solo en uno de los pocos registrados, sino también en el más importante generado históricamente respecto de resoluciones intimatorias.</w:t>
      </w:r>
    </w:p>
    <w:p w14:paraId="1F73263F" w14:textId="77777777" w:rsidR="002C0DC3" w:rsidRPr="002C0DC3" w:rsidRDefault="002C0DC3" w:rsidP="002C0DC3">
      <w:pPr>
        <w:suppressAutoHyphens w:val="0"/>
        <w:ind w:left="851" w:right="851" w:firstLine="709"/>
        <w:contextualSpacing/>
        <w:jc w:val="both"/>
        <w:rPr>
          <w:rFonts w:eastAsia="Calibri"/>
          <w:lang w:val="es-CR" w:eastAsia="en-US"/>
        </w:rPr>
      </w:pPr>
    </w:p>
    <w:p w14:paraId="1F8F0E63" w14:textId="77777777" w:rsidR="002C0DC3" w:rsidRPr="002C0DC3" w:rsidRDefault="002C0DC3" w:rsidP="00CE3D95">
      <w:pPr>
        <w:numPr>
          <w:ilvl w:val="0"/>
          <w:numId w:val="33"/>
        </w:numPr>
        <w:suppressAutoHyphens w:val="0"/>
        <w:ind w:left="851" w:right="851" w:firstLine="709"/>
        <w:contextualSpacing/>
        <w:jc w:val="both"/>
        <w:rPr>
          <w:rFonts w:eastAsia="Calibri"/>
          <w:lang w:val="es-CR" w:eastAsia="en-US"/>
        </w:rPr>
      </w:pPr>
      <w:r w:rsidRPr="002C0DC3">
        <w:rPr>
          <w:rFonts w:eastAsia="Calibri"/>
          <w:lang w:val="es-CR" w:eastAsia="en-US"/>
        </w:rPr>
        <w:t>Para este año se concretaron 89.508 fallos con lugar, volumen que se redujo en un 24.2%, mientras que en el caso de los fallos sin lugar la cifra ascendió a 3.279 y presenta un decrecimiento de 185 resoluciones con relación al año anterior.</w:t>
      </w:r>
    </w:p>
    <w:p w14:paraId="4E27BB17" w14:textId="77777777" w:rsidR="002C0DC3" w:rsidRPr="002C0DC3" w:rsidRDefault="002C0DC3" w:rsidP="002C0DC3">
      <w:pPr>
        <w:suppressAutoHyphens w:val="0"/>
        <w:ind w:left="851" w:right="851" w:firstLine="709"/>
        <w:contextualSpacing/>
        <w:jc w:val="both"/>
        <w:rPr>
          <w:rFonts w:eastAsia="Calibri"/>
          <w:lang w:val="es-CR" w:eastAsia="en-US"/>
        </w:rPr>
      </w:pPr>
    </w:p>
    <w:p w14:paraId="65413400" w14:textId="77777777" w:rsidR="002C0DC3" w:rsidRPr="002C0DC3" w:rsidRDefault="002C0DC3" w:rsidP="00CE3D95">
      <w:pPr>
        <w:numPr>
          <w:ilvl w:val="0"/>
          <w:numId w:val="33"/>
        </w:numPr>
        <w:suppressAutoHyphens w:val="0"/>
        <w:ind w:left="851" w:right="851" w:firstLine="709"/>
        <w:contextualSpacing/>
        <w:jc w:val="both"/>
        <w:rPr>
          <w:rFonts w:eastAsia="Calibri"/>
          <w:lang w:val="es-CR" w:eastAsia="en-US"/>
        </w:rPr>
      </w:pPr>
      <w:r w:rsidRPr="002C0DC3">
        <w:rPr>
          <w:rFonts w:eastAsia="Calibri"/>
          <w:lang w:val="es-CR" w:eastAsia="en-US"/>
        </w:rPr>
        <w:t xml:space="preserve">Con relación a las resoluciones que se vieron mayormente afectadas por la baja general registrada para este período, destacan </w:t>
      </w:r>
      <w:r w:rsidRPr="002C0DC3">
        <w:rPr>
          <w:rFonts w:eastAsia="Calibri"/>
          <w:i/>
          <w:iCs/>
          <w:lang w:val="es-CR" w:eastAsia="en-US"/>
        </w:rPr>
        <w:t>los fallos Con Lugar</w:t>
      </w:r>
      <w:r w:rsidRPr="002C0DC3">
        <w:rPr>
          <w:rFonts w:eastAsia="Calibri"/>
          <w:lang w:val="es-CR" w:eastAsia="en-US"/>
        </w:rPr>
        <w:t xml:space="preserve">, los cuales pasaron de 118.051 a 89.509, es decir una reducción de 28.542 resoluciones y </w:t>
      </w:r>
      <w:r w:rsidRPr="002C0DC3">
        <w:rPr>
          <w:rFonts w:eastAsia="Calibri"/>
          <w:i/>
          <w:iCs/>
          <w:lang w:val="es-CR" w:eastAsia="en-US"/>
        </w:rPr>
        <w:t>las Declaraciones de Incompetencia</w:t>
      </w:r>
      <w:r w:rsidRPr="002C0DC3">
        <w:rPr>
          <w:rFonts w:eastAsia="Calibri"/>
          <w:lang w:val="es-CR" w:eastAsia="en-US"/>
        </w:rPr>
        <w:t xml:space="preserve">, cuya baja asciende a 13.231.  </w:t>
      </w:r>
    </w:p>
    <w:p w14:paraId="1174CB41" w14:textId="77777777" w:rsidR="002C0DC3" w:rsidRPr="002C0DC3" w:rsidRDefault="002C0DC3" w:rsidP="002C0DC3">
      <w:pPr>
        <w:suppressAutoHyphens w:val="0"/>
        <w:ind w:left="851" w:right="851" w:firstLine="709"/>
        <w:jc w:val="both"/>
        <w:rPr>
          <w:rFonts w:eastAsia="Calibri"/>
          <w:lang w:val="es-CR" w:eastAsia="en-US"/>
        </w:rPr>
      </w:pPr>
    </w:p>
    <w:p w14:paraId="48A63BA1" w14:textId="77777777" w:rsidR="002C0DC3" w:rsidRPr="002C0DC3" w:rsidRDefault="002C0DC3" w:rsidP="002C0DC3">
      <w:pPr>
        <w:keepNext/>
        <w:keepLines/>
        <w:suppressAutoHyphens w:val="0"/>
        <w:ind w:left="851" w:right="851" w:firstLine="709"/>
        <w:jc w:val="both"/>
        <w:rPr>
          <w:b/>
          <w:lang w:val="es-CR" w:eastAsia="es-CR"/>
        </w:rPr>
      </w:pPr>
      <w:bookmarkStart w:id="16" w:name="_Toc80351026"/>
      <w:r w:rsidRPr="002C0DC3">
        <w:rPr>
          <w:b/>
          <w:lang w:val="es-CR" w:eastAsia="es-CR"/>
        </w:rPr>
        <w:t>Audiencias Señaladas</w:t>
      </w:r>
      <w:bookmarkEnd w:id="16"/>
    </w:p>
    <w:p w14:paraId="2C4A601D" w14:textId="77777777" w:rsidR="002C0DC3" w:rsidRPr="002C0DC3" w:rsidRDefault="002C0DC3" w:rsidP="002C0DC3">
      <w:pPr>
        <w:suppressAutoHyphens w:val="0"/>
        <w:ind w:left="851" w:right="851" w:firstLine="709"/>
        <w:jc w:val="both"/>
        <w:rPr>
          <w:rFonts w:eastAsia="Calibri"/>
          <w:lang w:val="es-CR" w:eastAsia="en-US"/>
        </w:rPr>
      </w:pPr>
    </w:p>
    <w:p w14:paraId="3C55FD1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siguiente apartado se analiza las audiencias realizadas por los Juzgados de Cobro durante el 2019-2020. A continuación, se detallan las audiencias tramitadas de acuerdo con el tipo de audiencia y despacho y circuito judicial al que pertenecen.</w:t>
      </w:r>
    </w:p>
    <w:p w14:paraId="49DB6346" w14:textId="77777777" w:rsidR="002C0DC3" w:rsidRPr="002C0DC3" w:rsidRDefault="002C0DC3" w:rsidP="002C0DC3">
      <w:pPr>
        <w:suppressAutoHyphens w:val="0"/>
        <w:ind w:left="851" w:right="851" w:firstLine="709"/>
        <w:jc w:val="both"/>
        <w:rPr>
          <w:rFonts w:eastAsia="Calibri"/>
          <w:lang w:val="es-CR" w:eastAsia="en-US"/>
        </w:rPr>
      </w:pPr>
    </w:p>
    <w:p w14:paraId="007C614E"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Cuadro N°9.1</w:t>
      </w:r>
    </w:p>
    <w:p w14:paraId="258F0248" w14:textId="01F5D97C"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Audiencias realizadas por los Juzgados de Cobro a nivel nacional, según tipo</w:t>
      </w:r>
      <w:r>
        <w:rPr>
          <w:rFonts w:eastAsia="Calibri"/>
          <w:b/>
          <w:bCs/>
          <w:lang w:val="es-CR" w:eastAsia="en-US"/>
        </w:rPr>
        <w:t xml:space="preserve"> </w:t>
      </w:r>
      <w:r w:rsidRPr="002C0DC3">
        <w:rPr>
          <w:rFonts w:eastAsia="Calibri"/>
          <w:b/>
          <w:bCs/>
          <w:lang w:val="es-CR" w:eastAsia="en-US"/>
        </w:rPr>
        <w:t>de audiencia y despacho y circuito judicial al que pertenece, período 2019-2020</w:t>
      </w:r>
    </w:p>
    <w:p w14:paraId="7A5749E9" w14:textId="77777777" w:rsidR="002C0DC3" w:rsidRPr="002C0DC3" w:rsidRDefault="002C0DC3" w:rsidP="002C0DC3">
      <w:pPr>
        <w:suppressAutoHyphens w:val="0"/>
        <w:jc w:val="both"/>
        <w:rPr>
          <w:rFonts w:eastAsia="Calibri"/>
          <w:lang w:val="es-CR" w:eastAsia="en-US"/>
        </w:rPr>
      </w:pPr>
    </w:p>
    <w:tbl>
      <w:tblPr>
        <w:tblStyle w:val="Tablaconcuadrcula22"/>
        <w:tblW w:w="9351" w:type="dxa"/>
        <w:jc w:val="center"/>
        <w:tblLayout w:type="fixed"/>
        <w:tblLook w:val="04A0" w:firstRow="1" w:lastRow="0" w:firstColumn="1" w:lastColumn="0" w:noHBand="0" w:noVBand="1"/>
      </w:tblPr>
      <w:tblGrid>
        <w:gridCol w:w="2263"/>
        <w:gridCol w:w="709"/>
        <w:gridCol w:w="992"/>
        <w:gridCol w:w="1080"/>
        <w:gridCol w:w="905"/>
        <w:gridCol w:w="850"/>
        <w:gridCol w:w="993"/>
        <w:gridCol w:w="850"/>
        <w:gridCol w:w="709"/>
      </w:tblGrid>
      <w:tr w:rsidR="002C0DC3" w:rsidRPr="002C0DC3" w14:paraId="74A012FB" w14:textId="77777777" w:rsidTr="002C0DC3">
        <w:trPr>
          <w:tblHeader/>
          <w:jc w:val="center"/>
        </w:trPr>
        <w:tc>
          <w:tcPr>
            <w:tcW w:w="2263" w:type="dxa"/>
          </w:tcPr>
          <w:p w14:paraId="01BB73F9"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Circuito Judicial</w:t>
            </w:r>
          </w:p>
        </w:tc>
        <w:tc>
          <w:tcPr>
            <w:tcW w:w="7088" w:type="dxa"/>
            <w:gridSpan w:val="8"/>
          </w:tcPr>
          <w:p w14:paraId="0F5CC28B"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Tipo de Audiencia y Año</w:t>
            </w:r>
          </w:p>
        </w:tc>
      </w:tr>
      <w:tr w:rsidR="002C0DC3" w:rsidRPr="002C0DC3" w14:paraId="208440FF" w14:textId="77777777" w:rsidTr="002C0DC3">
        <w:trPr>
          <w:tblHeader/>
          <w:jc w:val="center"/>
        </w:trPr>
        <w:tc>
          <w:tcPr>
            <w:tcW w:w="2263" w:type="dxa"/>
          </w:tcPr>
          <w:p w14:paraId="3C0518C7" w14:textId="77777777" w:rsidR="002C0DC3" w:rsidRPr="002C0DC3" w:rsidRDefault="002C0DC3" w:rsidP="002C0DC3">
            <w:pPr>
              <w:suppressAutoHyphens w:val="0"/>
              <w:jc w:val="both"/>
              <w:rPr>
                <w:rFonts w:ascii="Times New Roman" w:hAnsi="Times New Roman"/>
                <w:lang w:eastAsia="en-US"/>
              </w:rPr>
            </w:pPr>
          </w:p>
        </w:tc>
        <w:tc>
          <w:tcPr>
            <w:tcW w:w="3686" w:type="dxa"/>
            <w:gridSpan w:val="4"/>
          </w:tcPr>
          <w:p w14:paraId="2A944BDB"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2019</w:t>
            </w:r>
          </w:p>
        </w:tc>
        <w:tc>
          <w:tcPr>
            <w:tcW w:w="3402" w:type="dxa"/>
            <w:gridSpan w:val="4"/>
          </w:tcPr>
          <w:p w14:paraId="162EE7EE"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2020</w:t>
            </w:r>
          </w:p>
        </w:tc>
      </w:tr>
      <w:tr w:rsidR="002C0DC3" w:rsidRPr="002C0DC3" w14:paraId="5D87AAEE" w14:textId="77777777" w:rsidTr="002C0DC3">
        <w:trPr>
          <w:jc w:val="center"/>
        </w:trPr>
        <w:tc>
          <w:tcPr>
            <w:tcW w:w="2263" w:type="dxa"/>
          </w:tcPr>
          <w:p w14:paraId="0CBE3E92" w14:textId="77777777" w:rsidR="002C0DC3" w:rsidRPr="002C0DC3" w:rsidRDefault="002C0DC3" w:rsidP="002C0DC3">
            <w:pPr>
              <w:suppressAutoHyphens w:val="0"/>
              <w:jc w:val="both"/>
              <w:rPr>
                <w:rFonts w:ascii="Times New Roman" w:hAnsi="Times New Roman"/>
                <w:lang w:eastAsia="en-US"/>
              </w:rPr>
            </w:pPr>
          </w:p>
        </w:tc>
        <w:tc>
          <w:tcPr>
            <w:tcW w:w="709" w:type="dxa"/>
          </w:tcPr>
          <w:p w14:paraId="797328E6"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Únicas</w:t>
            </w:r>
          </w:p>
        </w:tc>
        <w:tc>
          <w:tcPr>
            <w:tcW w:w="992" w:type="dxa"/>
          </w:tcPr>
          <w:p w14:paraId="51F4F2CB"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Fuera Despacho</w:t>
            </w:r>
          </w:p>
        </w:tc>
        <w:tc>
          <w:tcPr>
            <w:tcW w:w="1080" w:type="dxa"/>
          </w:tcPr>
          <w:p w14:paraId="3D133DAC"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Remates</w:t>
            </w:r>
          </w:p>
        </w:tc>
        <w:tc>
          <w:tcPr>
            <w:tcW w:w="905" w:type="dxa"/>
          </w:tcPr>
          <w:p w14:paraId="2631C6DA"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Otras</w:t>
            </w:r>
          </w:p>
        </w:tc>
        <w:tc>
          <w:tcPr>
            <w:tcW w:w="850" w:type="dxa"/>
          </w:tcPr>
          <w:p w14:paraId="5EA66B17"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Únicas</w:t>
            </w:r>
          </w:p>
        </w:tc>
        <w:tc>
          <w:tcPr>
            <w:tcW w:w="993" w:type="dxa"/>
          </w:tcPr>
          <w:p w14:paraId="31673FA7"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Fuera Despacho</w:t>
            </w:r>
          </w:p>
        </w:tc>
        <w:tc>
          <w:tcPr>
            <w:tcW w:w="850" w:type="dxa"/>
          </w:tcPr>
          <w:p w14:paraId="6101AB87"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Remates</w:t>
            </w:r>
          </w:p>
        </w:tc>
        <w:tc>
          <w:tcPr>
            <w:tcW w:w="709" w:type="dxa"/>
          </w:tcPr>
          <w:p w14:paraId="181E4D49"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Otras</w:t>
            </w:r>
          </w:p>
        </w:tc>
      </w:tr>
      <w:tr w:rsidR="002C0DC3" w:rsidRPr="002C0DC3" w14:paraId="6EFF6791" w14:textId="77777777" w:rsidTr="002C0DC3">
        <w:trPr>
          <w:jc w:val="center"/>
        </w:trPr>
        <w:tc>
          <w:tcPr>
            <w:tcW w:w="2263" w:type="dxa"/>
          </w:tcPr>
          <w:p w14:paraId="38B55C41" w14:textId="77777777" w:rsidR="002C0DC3" w:rsidRPr="002C0DC3" w:rsidRDefault="002C0DC3" w:rsidP="002C0DC3">
            <w:pPr>
              <w:suppressAutoHyphens w:val="0"/>
              <w:rPr>
                <w:rFonts w:ascii="Times New Roman" w:hAnsi="Times New Roman"/>
                <w:lang w:eastAsia="en-US"/>
              </w:rPr>
            </w:pPr>
            <w:r w:rsidRPr="002C0DC3">
              <w:rPr>
                <w:rFonts w:ascii="Times New Roman" w:hAnsi="Times New Roman"/>
                <w:lang w:eastAsia="en-US"/>
              </w:rPr>
              <w:t>Total</w:t>
            </w:r>
          </w:p>
        </w:tc>
        <w:tc>
          <w:tcPr>
            <w:tcW w:w="709" w:type="dxa"/>
            <w:vAlign w:val="bottom"/>
          </w:tcPr>
          <w:p w14:paraId="20A103C1" w14:textId="77777777" w:rsidR="002C0DC3" w:rsidRPr="002C0DC3" w:rsidRDefault="002C0DC3" w:rsidP="002C0DC3">
            <w:pPr>
              <w:suppressAutoHyphens w:val="0"/>
              <w:jc w:val="right"/>
              <w:rPr>
                <w:rFonts w:ascii="Times New Roman" w:hAnsi="Times New Roman"/>
                <w:u w:val="single"/>
                <w:lang w:val="en-US" w:eastAsia="en-US"/>
              </w:rPr>
            </w:pPr>
            <w:r w:rsidRPr="002C0DC3">
              <w:rPr>
                <w:rFonts w:ascii="Times New Roman" w:hAnsi="Times New Roman"/>
                <w:u w:val="single"/>
                <w:lang w:val="en-US" w:eastAsia="en-US"/>
              </w:rPr>
              <w:t>579</w:t>
            </w:r>
          </w:p>
        </w:tc>
        <w:tc>
          <w:tcPr>
            <w:tcW w:w="992" w:type="dxa"/>
            <w:vAlign w:val="bottom"/>
          </w:tcPr>
          <w:p w14:paraId="5C19CA4B" w14:textId="77777777" w:rsidR="002C0DC3" w:rsidRPr="002C0DC3" w:rsidRDefault="002C0DC3" w:rsidP="002C0DC3">
            <w:pPr>
              <w:suppressAutoHyphens w:val="0"/>
              <w:jc w:val="right"/>
              <w:rPr>
                <w:rFonts w:ascii="Times New Roman" w:hAnsi="Times New Roman"/>
                <w:u w:val="single"/>
                <w:lang w:val="en-US" w:eastAsia="en-US"/>
              </w:rPr>
            </w:pPr>
            <w:r w:rsidRPr="002C0DC3">
              <w:rPr>
                <w:rFonts w:ascii="Times New Roman" w:hAnsi="Times New Roman"/>
                <w:u w:val="single"/>
                <w:lang w:val="en-US" w:eastAsia="en-US"/>
              </w:rPr>
              <w:t>150</w:t>
            </w:r>
          </w:p>
        </w:tc>
        <w:tc>
          <w:tcPr>
            <w:tcW w:w="1080" w:type="dxa"/>
            <w:vAlign w:val="bottom"/>
          </w:tcPr>
          <w:p w14:paraId="64728E83" w14:textId="77777777" w:rsidR="002C0DC3" w:rsidRPr="002C0DC3" w:rsidRDefault="002C0DC3" w:rsidP="002C0DC3">
            <w:pPr>
              <w:suppressAutoHyphens w:val="0"/>
              <w:jc w:val="right"/>
              <w:rPr>
                <w:rFonts w:ascii="Times New Roman" w:hAnsi="Times New Roman"/>
                <w:u w:val="single"/>
                <w:lang w:val="en-US" w:eastAsia="en-US"/>
              </w:rPr>
            </w:pPr>
            <w:r w:rsidRPr="002C0DC3">
              <w:rPr>
                <w:rFonts w:ascii="Times New Roman" w:hAnsi="Times New Roman"/>
                <w:u w:val="single"/>
                <w:lang w:val="en-US" w:eastAsia="en-US"/>
              </w:rPr>
              <w:t>31.963</w:t>
            </w:r>
          </w:p>
        </w:tc>
        <w:tc>
          <w:tcPr>
            <w:tcW w:w="905" w:type="dxa"/>
            <w:vAlign w:val="bottom"/>
          </w:tcPr>
          <w:p w14:paraId="19D22DAE" w14:textId="77777777" w:rsidR="002C0DC3" w:rsidRPr="002C0DC3" w:rsidRDefault="002C0DC3" w:rsidP="002C0DC3">
            <w:pPr>
              <w:suppressAutoHyphens w:val="0"/>
              <w:jc w:val="right"/>
              <w:rPr>
                <w:rFonts w:ascii="Times New Roman" w:hAnsi="Times New Roman"/>
                <w:u w:val="single"/>
                <w:lang w:val="en-US" w:eastAsia="en-US"/>
              </w:rPr>
            </w:pPr>
            <w:r w:rsidRPr="002C0DC3">
              <w:rPr>
                <w:rFonts w:ascii="Times New Roman" w:hAnsi="Times New Roman"/>
                <w:u w:val="single"/>
                <w:lang w:val="en-US" w:eastAsia="en-US"/>
              </w:rPr>
              <w:t>0</w:t>
            </w:r>
          </w:p>
        </w:tc>
        <w:tc>
          <w:tcPr>
            <w:tcW w:w="850" w:type="dxa"/>
            <w:vAlign w:val="bottom"/>
          </w:tcPr>
          <w:p w14:paraId="2F2F29E1" w14:textId="77777777" w:rsidR="002C0DC3" w:rsidRPr="002C0DC3" w:rsidRDefault="002C0DC3" w:rsidP="002C0DC3">
            <w:pPr>
              <w:suppressAutoHyphens w:val="0"/>
              <w:jc w:val="right"/>
              <w:rPr>
                <w:rFonts w:ascii="Times New Roman" w:hAnsi="Times New Roman"/>
                <w:u w:val="single"/>
                <w:lang w:val="en-US" w:eastAsia="en-US"/>
              </w:rPr>
            </w:pPr>
            <w:r w:rsidRPr="002C0DC3">
              <w:rPr>
                <w:rFonts w:ascii="Times New Roman" w:hAnsi="Times New Roman"/>
                <w:u w:val="single"/>
                <w:lang w:val="en-US" w:eastAsia="en-US"/>
              </w:rPr>
              <w:t>883</w:t>
            </w:r>
          </w:p>
        </w:tc>
        <w:tc>
          <w:tcPr>
            <w:tcW w:w="993" w:type="dxa"/>
            <w:vAlign w:val="bottom"/>
          </w:tcPr>
          <w:p w14:paraId="3F666305" w14:textId="77777777" w:rsidR="002C0DC3" w:rsidRPr="002C0DC3" w:rsidRDefault="002C0DC3" w:rsidP="002C0DC3">
            <w:pPr>
              <w:suppressAutoHyphens w:val="0"/>
              <w:jc w:val="right"/>
              <w:rPr>
                <w:rFonts w:ascii="Times New Roman" w:hAnsi="Times New Roman"/>
                <w:u w:val="single"/>
                <w:lang w:val="en-US" w:eastAsia="en-US"/>
              </w:rPr>
            </w:pPr>
            <w:r w:rsidRPr="002C0DC3">
              <w:rPr>
                <w:rFonts w:ascii="Times New Roman" w:hAnsi="Times New Roman"/>
                <w:u w:val="single"/>
                <w:lang w:val="en-US" w:eastAsia="en-US"/>
              </w:rPr>
              <w:t>172</w:t>
            </w:r>
          </w:p>
        </w:tc>
        <w:tc>
          <w:tcPr>
            <w:tcW w:w="850" w:type="dxa"/>
            <w:vAlign w:val="bottom"/>
          </w:tcPr>
          <w:p w14:paraId="55F19F31" w14:textId="77777777" w:rsidR="002C0DC3" w:rsidRPr="002C0DC3" w:rsidRDefault="002C0DC3" w:rsidP="002C0DC3">
            <w:pPr>
              <w:suppressAutoHyphens w:val="0"/>
              <w:jc w:val="right"/>
              <w:rPr>
                <w:rFonts w:ascii="Times New Roman" w:hAnsi="Times New Roman"/>
                <w:u w:val="single"/>
                <w:lang w:val="en-US" w:eastAsia="en-US"/>
              </w:rPr>
            </w:pPr>
            <w:r w:rsidRPr="002C0DC3">
              <w:rPr>
                <w:rFonts w:ascii="Times New Roman" w:hAnsi="Times New Roman"/>
                <w:u w:val="single"/>
                <w:lang w:val="en-US" w:eastAsia="en-US"/>
              </w:rPr>
              <w:t>46.850</w:t>
            </w:r>
          </w:p>
        </w:tc>
        <w:tc>
          <w:tcPr>
            <w:tcW w:w="709" w:type="dxa"/>
            <w:vAlign w:val="bottom"/>
          </w:tcPr>
          <w:p w14:paraId="3174F59D" w14:textId="77777777" w:rsidR="002C0DC3" w:rsidRPr="002C0DC3" w:rsidRDefault="002C0DC3" w:rsidP="002C0DC3">
            <w:pPr>
              <w:suppressAutoHyphens w:val="0"/>
              <w:jc w:val="right"/>
              <w:rPr>
                <w:rFonts w:ascii="Times New Roman" w:hAnsi="Times New Roman"/>
                <w:u w:val="single"/>
                <w:lang w:val="en-US" w:eastAsia="en-US"/>
              </w:rPr>
            </w:pPr>
            <w:r w:rsidRPr="002C0DC3">
              <w:rPr>
                <w:rFonts w:ascii="Times New Roman" w:hAnsi="Times New Roman"/>
                <w:u w:val="single"/>
                <w:lang w:val="en-US" w:eastAsia="en-US"/>
              </w:rPr>
              <w:t>12</w:t>
            </w:r>
          </w:p>
        </w:tc>
      </w:tr>
      <w:tr w:rsidR="002C0DC3" w:rsidRPr="002C0DC3" w14:paraId="24A76016" w14:textId="77777777" w:rsidTr="002C0DC3">
        <w:trPr>
          <w:jc w:val="center"/>
        </w:trPr>
        <w:tc>
          <w:tcPr>
            <w:tcW w:w="2263" w:type="dxa"/>
          </w:tcPr>
          <w:p w14:paraId="57351638" w14:textId="77777777" w:rsidR="002C0DC3" w:rsidRPr="002C0DC3" w:rsidRDefault="002C0DC3" w:rsidP="002C0DC3">
            <w:pPr>
              <w:suppressAutoHyphens w:val="0"/>
              <w:jc w:val="both"/>
              <w:rPr>
                <w:rFonts w:ascii="Times New Roman" w:hAnsi="Times New Roman"/>
                <w:lang w:val="en-US" w:eastAsia="en-US"/>
              </w:rPr>
            </w:pPr>
            <w:r w:rsidRPr="002C0DC3">
              <w:rPr>
                <w:rFonts w:ascii="Times New Roman" w:hAnsi="Times New Roman"/>
                <w:lang w:val="en-US" w:eastAsia="en-US"/>
              </w:rPr>
              <w:t>I Circ. Judi. San José</w:t>
            </w:r>
          </w:p>
          <w:p w14:paraId="2AA23597" w14:textId="77777777" w:rsidR="002C0DC3" w:rsidRPr="002C0DC3" w:rsidRDefault="002C0DC3" w:rsidP="002C0DC3">
            <w:pPr>
              <w:suppressAutoHyphens w:val="0"/>
              <w:jc w:val="both"/>
              <w:rPr>
                <w:rFonts w:ascii="Times New Roman" w:hAnsi="Times New Roman"/>
                <w:lang w:val="en-US" w:eastAsia="en-US"/>
              </w:rPr>
            </w:pPr>
          </w:p>
        </w:tc>
        <w:tc>
          <w:tcPr>
            <w:tcW w:w="709" w:type="dxa"/>
            <w:vAlign w:val="center"/>
          </w:tcPr>
          <w:p w14:paraId="2BEEB421" w14:textId="77777777" w:rsidR="002C0DC3" w:rsidRPr="002C0DC3" w:rsidRDefault="002C0DC3" w:rsidP="002C0DC3">
            <w:pPr>
              <w:suppressAutoHyphens w:val="0"/>
              <w:jc w:val="right"/>
              <w:rPr>
                <w:rFonts w:ascii="Times New Roman" w:hAnsi="Times New Roman"/>
                <w:lang w:val="en-US" w:eastAsia="en-US"/>
              </w:rPr>
            </w:pPr>
            <w:r w:rsidRPr="002C0DC3">
              <w:rPr>
                <w:rFonts w:ascii="Times New Roman" w:hAnsi="Times New Roman"/>
                <w:lang w:val="en-US" w:eastAsia="en-US"/>
              </w:rPr>
              <w:t>196</w:t>
            </w:r>
          </w:p>
        </w:tc>
        <w:tc>
          <w:tcPr>
            <w:tcW w:w="992" w:type="dxa"/>
            <w:vAlign w:val="center"/>
          </w:tcPr>
          <w:p w14:paraId="7F811A65" w14:textId="77777777" w:rsidR="002C0DC3" w:rsidRPr="002C0DC3" w:rsidRDefault="002C0DC3" w:rsidP="002C0DC3">
            <w:pPr>
              <w:suppressAutoHyphens w:val="0"/>
              <w:jc w:val="right"/>
              <w:rPr>
                <w:rFonts w:ascii="Times New Roman" w:hAnsi="Times New Roman"/>
                <w:lang w:val="en-US" w:eastAsia="en-US"/>
              </w:rPr>
            </w:pPr>
            <w:r w:rsidRPr="002C0DC3">
              <w:rPr>
                <w:rFonts w:ascii="Times New Roman" w:hAnsi="Times New Roman"/>
                <w:lang w:val="en-US" w:eastAsia="en-US"/>
              </w:rPr>
              <w:t>22</w:t>
            </w:r>
          </w:p>
        </w:tc>
        <w:tc>
          <w:tcPr>
            <w:tcW w:w="1080" w:type="dxa"/>
            <w:vAlign w:val="center"/>
          </w:tcPr>
          <w:p w14:paraId="16DE8EAD" w14:textId="77777777" w:rsidR="002C0DC3" w:rsidRPr="002C0DC3" w:rsidRDefault="002C0DC3" w:rsidP="002C0DC3">
            <w:pPr>
              <w:suppressAutoHyphens w:val="0"/>
              <w:jc w:val="right"/>
              <w:rPr>
                <w:rFonts w:ascii="Times New Roman" w:hAnsi="Times New Roman"/>
                <w:lang w:val="en-US" w:eastAsia="en-US"/>
              </w:rPr>
            </w:pPr>
            <w:r w:rsidRPr="002C0DC3">
              <w:rPr>
                <w:rFonts w:ascii="Times New Roman" w:hAnsi="Times New Roman"/>
                <w:lang w:val="en-US" w:eastAsia="en-US"/>
              </w:rPr>
              <w:t>10.130</w:t>
            </w:r>
          </w:p>
        </w:tc>
        <w:tc>
          <w:tcPr>
            <w:tcW w:w="905" w:type="dxa"/>
            <w:vAlign w:val="center"/>
          </w:tcPr>
          <w:p w14:paraId="73145198" w14:textId="77777777" w:rsidR="002C0DC3" w:rsidRPr="002C0DC3" w:rsidRDefault="002C0DC3" w:rsidP="002C0DC3">
            <w:pPr>
              <w:suppressAutoHyphens w:val="0"/>
              <w:jc w:val="right"/>
              <w:rPr>
                <w:rFonts w:ascii="Times New Roman" w:hAnsi="Times New Roman"/>
                <w:lang w:val="en-US" w:eastAsia="en-US"/>
              </w:rPr>
            </w:pPr>
            <w:r w:rsidRPr="002C0DC3">
              <w:rPr>
                <w:rFonts w:ascii="Times New Roman" w:hAnsi="Times New Roman"/>
                <w:lang w:val="en-US" w:eastAsia="en-US"/>
              </w:rPr>
              <w:t>0</w:t>
            </w:r>
          </w:p>
        </w:tc>
        <w:tc>
          <w:tcPr>
            <w:tcW w:w="850" w:type="dxa"/>
            <w:vAlign w:val="center"/>
          </w:tcPr>
          <w:p w14:paraId="6D8B30BF" w14:textId="77777777" w:rsidR="002C0DC3" w:rsidRPr="002C0DC3" w:rsidRDefault="002C0DC3" w:rsidP="002C0DC3">
            <w:pPr>
              <w:suppressAutoHyphens w:val="0"/>
              <w:jc w:val="right"/>
              <w:rPr>
                <w:rFonts w:ascii="Times New Roman" w:hAnsi="Times New Roman"/>
                <w:lang w:val="en-US" w:eastAsia="en-US"/>
              </w:rPr>
            </w:pPr>
            <w:r w:rsidRPr="002C0DC3">
              <w:rPr>
                <w:rFonts w:ascii="Times New Roman" w:hAnsi="Times New Roman"/>
                <w:lang w:val="en-US" w:eastAsia="en-US"/>
              </w:rPr>
              <w:t>290</w:t>
            </w:r>
          </w:p>
        </w:tc>
        <w:tc>
          <w:tcPr>
            <w:tcW w:w="993" w:type="dxa"/>
            <w:vAlign w:val="center"/>
          </w:tcPr>
          <w:p w14:paraId="0FDA0B65" w14:textId="77777777" w:rsidR="002C0DC3" w:rsidRPr="002C0DC3" w:rsidRDefault="002C0DC3" w:rsidP="002C0DC3">
            <w:pPr>
              <w:suppressAutoHyphens w:val="0"/>
              <w:jc w:val="right"/>
              <w:rPr>
                <w:rFonts w:ascii="Times New Roman" w:hAnsi="Times New Roman"/>
                <w:lang w:val="en-US" w:eastAsia="en-US"/>
              </w:rPr>
            </w:pPr>
            <w:r w:rsidRPr="002C0DC3">
              <w:rPr>
                <w:rFonts w:ascii="Times New Roman" w:hAnsi="Times New Roman"/>
                <w:lang w:val="en-US" w:eastAsia="en-US"/>
              </w:rPr>
              <w:t>24</w:t>
            </w:r>
          </w:p>
        </w:tc>
        <w:tc>
          <w:tcPr>
            <w:tcW w:w="850" w:type="dxa"/>
            <w:vAlign w:val="center"/>
          </w:tcPr>
          <w:p w14:paraId="3AF3ECD8" w14:textId="77777777" w:rsidR="002C0DC3" w:rsidRPr="002C0DC3" w:rsidRDefault="002C0DC3" w:rsidP="002C0DC3">
            <w:pPr>
              <w:suppressAutoHyphens w:val="0"/>
              <w:jc w:val="right"/>
              <w:rPr>
                <w:rFonts w:ascii="Times New Roman" w:hAnsi="Times New Roman"/>
                <w:lang w:val="en-US" w:eastAsia="en-US"/>
              </w:rPr>
            </w:pPr>
            <w:r w:rsidRPr="002C0DC3">
              <w:rPr>
                <w:rFonts w:ascii="Times New Roman" w:hAnsi="Times New Roman"/>
                <w:lang w:val="en-US" w:eastAsia="en-US"/>
              </w:rPr>
              <w:t>13.187</w:t>
            </w:r>
          </w:p>
        </w:tc>
        <w:tc>
          <w:tcPr>
            <w:tcW w:w="709" w:type="dxa"/>
            <w:vAlign w:val="center"/>
          </w:tcPr>
          <w:p w14:paraId="3AD1FB6D" w14:textId="77777777" w:rsidR="002C0DC3" w:rsidRPr="002C0DC3" w:rsidRDefault="002C0DC3" w:rsidP="002C0DC3">
            <w:pPr>
              <w:suppressAutoHyphens w:val="0"/>
              <w:jc w:val="right"/>
              <w:rPr>
                <w:rFonts w:ascii="Times New Roman" w:hAnsi="Times New Roman"/>
                <w:lang w:val="en-US" w:eastAsia="en-US"/>
              </w:rPr>
            </w:pPr>
            <w:r w:rsidRPr="002C0DC3">
              <w:rPr>
                <w:rFonts w:ascii="Times New Roman" w:hAnsi="Times New Roman"/>
                <w:lang w:val="en-US" w:eastAsia="en-US"/>
              </w:rPr>
              <w:t>2</w:t>
            </w:r>
          </w:p>
        </w:tc>
      </w:tr>
      <w:tr w:rsidR="002C0DC3" w:rsidRPr="002C0DC3" w14:paraId="06B14686" w14:textId="77777777" w:rsidTr="002C0DC3">
        <w:trPr>
          <w:jc w:val="center"/>
        </w:trPr>
        <w:tc>
          <w:tcPr>
            <w:tcW w:w="2263" w:type="dxa"/>
          </w:tcPr>
          <w:p w14:paraId="441DFD84"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lastRenderedPageBreak/>
              <w:t>II Circ. Jud. San José</w:t>
            </w:r>
          </w:p>
          <w:p w14:paraId="4D937C68"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2E18784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37</w:t>
            </w:r>
          </w:p>
        </w:tc>
        <w:tc>
          <w:tcPr>
            <w:tcW w:w="992" w:type="dxa"/>
            <w:vAlign w:val="center"/>
          </w:tcPr>
          <w:p w14:paraId="7BC9FA4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20</w:t>
            </w:r>
          </w:p>
        </w:tc>
        <w:tc>
          <w:tcPr>
            <w:tcW w:w="1080" w:type="dxa"/>
            <w:vAlign w:val="center"/>
          </w:tcPr>
          <w:p w14:paraId="0E9262A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2.459</w:t>
            </w:r>
          </w:p>
        </w:tc>
        <w:tc>
          <w:tcPr>
            <w:tcW w:w="905" w:type="dxa"/>
            <w:vAlign w:val="center"/>
          </w:tcPr>
          <w:p w14:paraId="20DEC49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1D2858E7"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36</w:t>
            </w:r>
          </w:p>
        </w:tc>
        <w:tc>
          <w:tcPr>
            <w:tcW w:w="993" w:type="dxa"/>
            <w:vAlign w:val="center"/>
          </w:tcPr>
          <w:p w14:paraId="2FE7686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6</w:t>
            </w:r>
          </w:p>
        </w:tc>
        <w:tc>
          <w:tcPr>
            <w:tcW w:w="850" w:type="dxa"/>
            <w:vAlign w:val="center"/>
          </w:tcPr>
          <w:p w14:paraId="5B9D83D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4.758</w:t>
            </w:r>
          </w:p>
        </w:tc>
        <w:tc>
          <w:tcPr>
            <w:tcW w:w="709" w:type="dxa"/>
            <w:vAlign w:val="center"/>
          </w:tcPr>
          <w:p w14:paraId="44D6FCE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r>
      <w:tr w:rsidR="002C0DC3" w:rsidRPr="002C0DC3" w14:paraId="2051EA63" w14:textId="77777777" w:rsidTr="002C0DC3">
        <w:trPr>
          <w:jc w:val="center"/>
        </w:trPr>
        <w:tc>
          <w:tcPr>
            <w:tcW w:w="2263" w:type="dxa"/>
          </w:tcPr>
          <w:p w14:paraId="59EB27EB"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 xml:space="preserve">I </w:t>
            </w:r>
            <w:proofErr w:type="spellStart"/>
            <w:r w:rsidRPr="002C0DC3">
              <w:rPr>
                <w:rFonts w:ascii="Times New Roman" w:hAnsi="Times New Roman"/>
                <w:lang w:eastAsia="en-US"/>
              </w:rPr>
              <w:t>Circ.Jud</w:t>
            </w:r>
            <w:proofErr w:type="spellEnd"/>
            <w:r w:rsidRPr="002C0DC3">
              <w:rPr>
                <w:rFonts w:ascii="Times New Roman" w:hAnsi="Times New Roman"/>
                <w:lang w:eastAsia="en-US"/>
              </w:rPr>
              <w:t>. de Alajuela</w:t>
            </w:r>
          </w:p>
          <w:p w14:paraId="2D6746C7"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6E13030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105</w:t>
            </w:r>
          </w:p>
        </w:tc>
        <w:tc>
          <w:tcPr>
            <w:tcW w:w="992" w:type="dxa"/>
            <w:vAlign w:val="center"/>
          </w:tcPr>
          <w:p w14:paraId="6A6903D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21</w:t>
            </w:r>
          </w:p>
        </w:tc>
        <w:tc>
          <w:tcPr>
            <w:tcW w:w="1080" w:type="dxa"/>
            <w:vAlign w:val="center"/>
          </w:tcPr>
          <w:p w14:paraId="59C5C56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2.069</w:t>
            </w:r>
          </w:p>
        </w:tc>
        <w:tc>
          <w:tcPr>
            <w:tcW w:w="905" w:type="dxa"/>
            <w:vAlign w:val="center"/>
          </w:tcPr>
          <w:p w14:paraId="13328F8E"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15BA0897"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181</w:t>
            </w:r>
          </w:p>
        </w:tc>
        <w:tc>
          <w:tcPr>
            <w:tcW w:w="993" w:type="dxa"/>
            <w:vAlign w:val="center"/>
          </w:tcPr>
          <w:p w14:paraId="1CE83FB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19</w:t>
            </w:r>
          </w:p>
        </w:tc>
        <w:tc>
          <w:tcPr>
            <w:tcW w:w="850" w:type="dxa"/>
            <w:vAlign w:val="center"/>
          </w:tcPr>
          <w:p w14:paraId="14E0B4B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4.033</w:t>
            </w:r>
          </w:p>
        </w:tc>
        <w:tc>
          <w:tcPr>
            <w:tcW w:w="709" w:type="dxa"/>
            <w:vAlign w:val="center"/>
          </w:tcPr>
          <w:p w14:paraId="0B8249B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r>
      <w:tr w:rsidR="002C0DC3" w:rsidRPr="002C0DC3" w14:paraId="580C1FEB" w14:textId="77777777" w:rsidTr="002C0DC3">
        <w:trPr>
          <w:jc w:val="center"/>
        </w:trPr>
        <w:tc>
          <w:tcPr>
            <w:tcW w:w="2263" w:type="dxa"/>
          </w:tcPr>
          <w:p w14:paraId="01999EB4"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 xml:space="preserve">II </w:t>
            </w:r>
            <w:proofErr w:type="spellStart"/>
            <w:r w:rsidRPr="002C0DC3">
              <w:rPr>
                <w:rFonts w:ascii="Times New Roman" w:hAnsi="Times New Roman"/>
                <w:lang w:eastAsia="en-US"/>
              </w:rPr>
              <w:t>Circ.Jud.de</w:t>
            </w:r>
            <w:proofErr w:type="spellEnd"/>
            <w:r w:rsidRPr="002C0DC3">
              <w:rPr>
                <w:rFonts w:ascii="Times New Roman" w:hAnsi="Times New Roman"/>
                <w:lang w:eastAsia="en-US"/>
              </w:rPr>
              <w:t xml:space="preserve"> Alajuela</w:t>
            </w:r>
          </w:p>
          <w:p w14:paraId="7D69FE7C"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6654C37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16</w:t>
            </w:r>
          </w:p>
        </w:tc>
        <w:tc>
          <w:tcPr>
            <w:tcW w:w="992" w:type="dxa"/>
            <w:vAlign w:val="center"/>
          </w:tcPr>
          <w:p w14:paraId="5CDCCC7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c>
          <w:tcPr>
            <w:tcW w:w="1080" w:type="dxa"/>
            <w:vAlign w:val="center"/>
          </w:tcPr>
          <w:p w14:paraId="1D9C7ED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904</w:t>
            </w:r>
          </w:p>
        </w:tc>
        <w:tc>
          <w:tcPr>
            <w:tcW w:w="905" w:type="dxa"/>
            <w:vAlign w:val="center"/>
          </w:tcPr>
          <w:p w14:paraId="17BBE6B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1E8F9D34"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25</w:t>
            </w:r>
          </w:p>
        </w:tc>
        <w:tc>
          <w:tcPr>
            <w:tcW w:w="993" w:type="dxa"/>
            <w:vAlign w:val="center"/>
          </w:tcPr>
          <w:p w14:paraId="068EA4BE"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c>
          <w:tcPr>
            <w:tcW w:w="850" w:type="dxa"/>
            <w:vAlign w:val="center"/>
          </w:tcPr>
          <w:p w14:paraId="2952C02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1.490</w:t>
            </w:r>
          </w:p>
        </w:tc>
        <w:tc>
          <w:tcPr>
            <w:tcW w:w="709" w:type="dxa"/>
            <w:vAlign w:val="center"/>
          </w:tcPr>
          <w:p w14:paraId="66A160D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r>
      <w:tr w:rsidR="002C0DC3" w:rsidRPr="002C0DC3" w14:paraId="3875852D" w14:textId="77777777" w:rsidTr="002C0DC3">
        <w:trPr>
          <w:jc w:val="center"/>
        </w:trPr>
        <w:tc>
          <w:tcPr>
            <w:tcW w:w="2263" w:type="dxa"/>
          </w:tcPr>
          <w:p w14:paraId="64316D16"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 xml:space="preserve">III </w:t>
            </w:r>
            <w:proofErr w:type="spellStart"/>
            <w:r w:rsidRPr="002C0DC3">
              <w:rPr>
                <w:rFonts w:ascii="Times New Roman" w:hAnsi="Times New Roman"/>
                <w:lang w:eastAsia="en-US"/>
              </w:rPr>
              <w:t>Circ.Jud</w:t>
            </w:r>
            <w:proofErr w:type="spellEnd"/>
            <w:r w:rsidRPr="002C0DC3">
              <w:rPr>
                <w:rFonts w:ascii="Times New Roman" w:hAnsi="Times New Roman"/>
                <w:lang w:eastAsia="en-US"/>
              </w:rPr>
              <w:t>. Alajuela</w:t>
            </w:r>
          </w:p>
          <w:p w14:paraId="5732C25A"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5156DCF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33</w:t>
            </w:r>
          </w:p>
        </w:tc>
        <w:tc>
          <w:tcPr>
            <w:tcW w:w="992" w:type="dxa"/>
            <w:vAlign w:val="center"/>
          </w:tcPr>
          <w:p w14:paraId="0C6813F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7</w:t>
            </w:r>
          </w:p>
        </w:tc>
        <w:tc>
          <w:tcPr>
            <w:tcW w:w="1080" w:type="dxa"/>
            <w:vAlign w:val="center"/>
          </w:tcPr>
          <w:p w14:paraId="0FD3174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2.620</w:t>
            </w:r>
          </w:p>
        </w:tc>
        <w:tc>
          <w:tcPr>
            <w:tcW w:w="905" w:type="dxa"/>
            <w:vAlign w:val="center"/>
          </w:tcPr>
          <w:p w14:paraId="303157F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700754C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39</w:t>
            </w:r>
          </w:p>
        </w:tc>
        <w:tc>
          <w:tcPr>
            <w:tcW w:w="993" w:type="dxa"/>
            <w:vAlign w:val="center"/>
          </w:tcPr>
          <w:p w14:paraId="644D024E"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18</w:t>
            </w:r>
          </w:p>
        </w:tc>
        <w:tc>
          <w:tcPr>
            <w:tcW w:w="850" w:type="dxa"/>
            <w:vAlign w:val="center"/>
          </w:tcPr>
          <w:p w14:paraId="795E4F4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3.279</w:t>
            </w:r>
          </w:p>
        </w:tc>
        <w:tc>
          <w:tcPr>
            <w:tcW w:w="709" w:type="dxa"/>
            <w:vAlign w:val="center"/>
          </w:tcPr>
          <w:p w14:paraId="3213B0E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r>
      <w:tr w:rsidR="002C0DC3" w:rsidRPr="002C0DC3" w14:paraId="036E890D" w14:textId="77777777" w:rsidTr="002C0DC3">
        <w:trPr>
          <w:jc w:val="center"/>
        </w:trPr>
        <w:tc>
          <w:tcPr>
            <w:tcW w:w="2263" w:type="dxa"/>
          </w:tcPr>
          <w:p w14:paraId="0F82D63C"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Circuito Jud. Cartago</w:t>
            </w:r>
          </w:p>
          <w:p w14:paraId="296168D5"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18FF6D3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80</w:t>
            </w:r>
          </w:p>
        </w:tc>
        <w:tc>
          <w:tcPr>
            <w:tcW w:w="992" w:type="dxa"/>
            <w:vAlign w:val="center"/>
          </w:tcPr>
          <w:p w14:paraId="1A0E063E"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20</w:t>
            </w:r>
          </w:p>
        </w:tc>
        <w:tc>
          <w:tcPr>
            <w:tcW w:w="1080" w:type="dxa"/>
            <w:vAlign w:val="center"/>
          </w:tcPr>
          <w:p w14:paraId="2712268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2.179</w:t>
            </w:r>
          </w:p>
        </w:tc>
        <w:tc>
          <w:tcPr>
            <w:tcW w:w="905" w:type="dxa"/>
            <w:vAlign w:val="center"/>
          </w:tcPr>
          <w:p w14:paraId="7E5CF71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4F80E6D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76</w:t>
            </w:r>
          </w:p>
        </w:tc>
        <w:tc>
          <w:tcPr>
            <w:tcW w:w="993" w:type="dxa"/>
            <w:vAlign w:val="center"/>
          </w:tcPr>
          <w:p w14:paraId="1F2538C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23</w:t>
            </w:r>
          </w:p>
        </w:tc>
        <w:tc>
          <w:tcPr>
            <w:tcW w:w="850" w:type="dxa"/>
            <w:vAlign w:val="center"/>
          </w:tcPr>
          <w:p w14:paraId="7200D0C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4.200</w:t>
            </w:r>
          </w:p>
        </w:tc>
        <w:tc>
          <w:tcPr>
            <w:tcW w:w="709" w:type="dxa"/>
            <w:vAlign w:val="center"/>
          </w:tcPr>
          <w:p w14:paraId="24559CD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r>
      <w:tr w:rsidR="002C0DC3" w:rsidRPr="002C0DC3" w14:paraId="2DEF5B56" w14:textId="77777777" w:rsidTr="002C0DC3">
        <w:trPr>
          <w:jc w:val="center"/>
        </w:trPr>
        <w:tc>
          <w:tcPr>
            <w:tcW w:w="2263" w:type="dxa"/>
          </w:tcPr>
          <w:p w14:paraId="428C59E4"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Circuito Jud. Heredia</w:t>
            </w:r>
          </w:p>
          <w:p w14:paraId="1D615313"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39BCD22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24</w:t>
            </w:r>
          </w:p>
        </w:tc>
        <w:tc>
          <w:tcPr>
            <w:tcW w:w="992" w:type="dxa"/>
            <w:vAlign w:val="center"/>
          </w:tcPr>
          <w:p w14:paraId="1BD7CCC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6</w:t>
            </w:r>
          </w:p>
        </w:tc>
        <w:tc>
          <w:tcPr>
            <w:tcW w:w="1080" w:type="dxa"/>
            <w:vAlign w:val="center"/>
          </w:tcPr>
          <w:p w14:paraId="40D7021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4.026</w:t>
            </w:r>
          </w:p>
        </w:tc>
        <w:tc>
          <w:tcPr>
            <w:tcW w:w="905" w:type="dxa"/>
            <w:vAlign w:val="center"/>
          </w:tcPr>
          <w:p w14:paraId="137847D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08688C8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33</w:t>
            </w:r>
          </w:p>
        </w:tc>
        <w:tc>
          <w:tcPr>
            <w:tcW w:w="993" w:type="dxa"/>
            <w:vAlign w:val="center"/>
          </w:tcPr>
          <w:p w14:paraId="2DE4AC5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w:t>
            </w:r>
          </w:p>
        </w:tc>
        <w:tc>
          <w:tcPr>
            <w:tcW w:w="850" w:type="dxa"/>
            <w:vAlign w:val="center"/>
          </w:tcPr>
          <w:p w14:paraId="38B4DC3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3.769</w:t>
            </w:r>
          </w:p>
        </w:tc>
        <w:tc>
          <w:tcPr>
            <w:tcW w:w="709" w:type="dxa"/>
            <w:vAlign w:val="center"/>
          </w:tcPr>
          <w:p w14:paraId="0D7072C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r w:rsidR="002C0DC3" w:rsidRPr="002C0DC3" w14:paraId="5479B4FA" w14:textId="77777777" w:rsidTr="002C0DC3">
        <w:trPr>
          <w:jc w:val="center"/>
        </w:trPr>
        <w:tc>
          <w:tcPr>
            <w:tcW w:w="2263" w:type="dxa"/>
          </w:tcPr>
          <w:p w14:paraId="528FCA6F"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I Cir. Jud. Guanacaste</w:t>
            </w:r>
          </w:p>
          <w:p w14:paraId="7155D625"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050530C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11</w:t>
            </w:r>
          </w:p>
        </w:tc>
        <w:tc>
          <w:tcPr>
            <w:tcW w:w="992" w:type="dxa"/>
            <w:vAlign w:val="center"/>
          </w:tcPr>
          <w:p w14:paraId="332CBBA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1080" w:type="dxa"/>
            <w:vAlign w:val="center"/>
          </w:tcPr>
          <w:p w14:paraId="5626BC9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2.045</w:t>
            </w:r>
          </w:p>
        </w:tc>
        <w:tc>
          <w:tcPr>
            <w:tcW w:w="905" w:type="dxa"/>
            <w:vAlign w:val="center"/>
          </w:tcPr>
          <w:p w14:paraId="271DFA6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441BD31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17</w:t>
            </w:r>
          </w:p>
        </w:tc>
        <w:tc>
          <w:tcPr>
            <w:tcW w:w="993" w:type="dxa"/>
            <w:vAlign w:val="center"/>
          </w:tcPr>
          <w:p w14:paraId="7A7E613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5D6358F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2.263</w:t>
            </w:r>
          </w:p>
        </w:tc>
        <w:tc>
          <w:tcPr>
            <w:tcW w:w="709" w:type="dxa"/>
            <w:vAlign w:val="center"/>
          </w:tcPr>
          <w:p w14:paraId="4759A0C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r w:rsidR="002C0DC3" w:rsidRPr="002C0DC3" w14:paraId="0B64EAD5" w14:textId="77777777" w:rsidTr="002C0DC3">
        <w:trPr>
          <w:jc w:val="center"/>
        </w:trPr>
        <w:tc>
          <w:tcPr>
            <w:tcW w:w="2263" w:type="dxa"/>
          </w:tcPr>
          <w:p w14:paraId="5C20CDFC"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 xml:space="preserve">II </w:t>
            </w:r>
            <w:proofErr w:type="spellStart"/>
            <w:r w:rsidRPr="002C0DC3">
              <w:rPr>
                <w:rFonts w:ascii="Times New Roman" w:hAnsi="Times New Roman"/>
                <w:lang w:eastAsia="en-US"/>
              </w:rPr>
              <w:t>Cir.Jud</w:t>
            </w:r>
            <w:proofErr w:type="spellEnd"/>
            <w:r w:rsidRPr="002C0DC3">
              <w:rPr>
                <w:rFonts w:ascii="Times New Roman" w:hAnsi="Times New Roman"/>
                <w:lang w:eastAsia="en-US"/>
              </w:rPr>
              <w:t>. Guanacaste</w:t>
            </w:r>
          </w:p>
          <w:p w14:paraId="718B1D5A"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00F1F99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w:t>
            </w:r>
          </w:p>
        </w:tc>
        <w:tc>
          <w:tcPr>
            <w:tcW w:w="992" w:type="dxa"/>
            <w:vAlign w:val="center"/>
          </w:tcPr>
          <w:p w14:paraId="5E01AF8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5</w:t>
            </w:r>
          </w:p>
        </w:tc>
        <w:tc>
          <w:tcPr>
            <w:tcW w:w="1080" w:type="dxa"/>
            <w:vAlign w:val="center"/>
          </w:tcPr>
          <w:p w14:paraId="01B70644"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501</w:t>
            </w:r>
          </w:p>
        </w:tc>
        <w:tc>
          <w:tcPr>
            <w:tcW w:w="905" w:type="dxa"/>
            <w:vAlign w:val="center"/>
          </w:tcPr>
          <w:p w14:paraId="65781D3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4C04CD6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14</w:t>
            </w:r>
          </w:p>
        </w:tc>
        <w:tc>
          <w:tcPr>
            <w:tcW w:w="993" w:type="dxa"/>
            <w:vAlign w:val="center"/>
          </w:tcPr>
          <w:p w14:paraId="6F47ADE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3</w:t>
            </w:r>
          </w:p>
        </w:tc>
        <w:tc>
          <w:tcPr>
            <w:tcW w:w="850" w:type="dxa"/>
            <w:vAlign w:val="center"/>
          </w:tcPr>
          <w:p w14:paraId="2BE80C9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916</w:t>
            </w:r>
          </w:p>
        </w:tc>
        <w:tc>
          <w:tcPr>
            <w:tcW w:w="709" w:type="dxa"/>
            <w:vAlign w:val="center"/>
          </w:tcPr>
          <w:p w14:paraId="0038501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r w:rsidR="002C0DC3" w:rsidRPr="002C0DC3" w14:paraId="521B3200" w14:textId="77777777" w:rsidTr="002C0DC3">
        <w:trPr>
          <w:jc w:val="center"/>
        </w:trPr>
        <w:tc>
          <w:tcPr>
            <w:tcW w:w="2263" w:type="dxa"/>
          </w:tcPr>
          <w:p w14:paraId="39919F82"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Circ. Jud. Puntarenas</w:t>
            </w:r>
          </w:p>
          <w:p w14:paraId="22A113F0"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1886A0F4"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29</w:t>
            </w:r>
          </w:p>
        </w:tc>
        <w:tc>
          <w:tcPr>
            <w:tcW w:w="992" w:type="dxa"/>
            <w:vAlign w:val="center"/>
          </w:tcPr>
          <w:p w14:paraId="7FD95E0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22</w:t>
            </w:r>
          </w:p>
        </w:tc>
        <w:tc>
          <w:tcPr>
            <w:tcW w:w="1080" w:type="dxa"/>
            <w:vAlign w:val="center"/>
          </w:tcPr>
          <w:p w14:paraId="50F9CF0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1.242</w:t>
            </w:r>
          </w:p>
        </w:tc>
        <w:tc>
          <w:tcPr>
            <w:tcW w:w="905" w:type="dxa"/>
            <w:vAlign w:val="center"/>
          </w:tcPr>
          <w:p w14:paraId="1A88CD5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0D3B1FA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22</w:t>
            </w:r>
          </w:p>
        </w:tc>
        <w:tc>
          <w:tcPr>
            <w:tcW w:w="993" w:type="dxa"/>
            <w:vAlign w:val="center"/>
          </w:tcPr>
          <w:p w14:paraId="3039623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17</w:t>
            </w:r>
          </w:p>
        </w:tc>
        <w:tc>
          <w:tcPr>
            <w:tcW w:w="850" w:type="dxa"/>
            <w:vAlign w:val="center"/>
          </w:tcPr>
          <w:p w14:paraId="2478D19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2.251</w:t>
            </w:r>
          </w:p>
        </w:tc>
        <w:tc>
          <w:tcPr>
            <w:tcW w:w="709" w:type="dxa"/>
            <w:vAlign w:val="center"/>
          </w:tcPr>
          <w:p w14:paraId="4A0C3A0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r w:rsidR="002C0DC3" w:rsidRPr="002C0DC3" w14:paraId="1805804C" w14:textId="77777777" w:rsidTr="002C0DC3">
        <w:trPr>
          <w:jc w:val="center"/>
        </w:trPr>
        <w:tc>
          <w:tcPr>
            <w:tcW w:w="2263" w:type="dxa"/>
          </w:tcPr>
          <w:p w14:paraId="785A15D2"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I Cir. Jud. Zona Sur</w:t>
            </w:r>
          </w:p>
          <w:p w14:paraId="330401BD"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3BC3919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23</w:t>
            </w:r>
          </w:p>
        </w:tc>
        <w:tc>
          <w:tcPr>
            <w:tcW w:w="992" w:type="dxa"/>
            <w:vAlign w:val="center"/>
          </w:tcPr>
          <w:p w14:paraId="58B53734"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19</w:t>
            </w:r>
          </w:p>
        </w:tc>
        <w:tc>
          <w:tcPr>
            <w:tcW w:w="1080" w:type="dxa"/>
            <w:vAlign w:val="center"/>
          </w:tcPr>
          <w:p w14:paraId="3B13AE9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1.966</w:t>
            </w:r>
          </w:p>
        </w:tc>
        <w:tc>
          <w:tcPr>
            <w:tcW w:w="905" w:type="dxa"/>
            <w:vAlign w:val="center"/>
          </w:tcPr>
          <w:p w14:paraId="7D1CC0F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5324EC0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133</w:t>
            </w:r>
          </w:p>
        </w:tc>
        <w:tc>
          <w:tcPr>
            <w:tcW w:w="993" w:type="dxa"/>
            <w:vAlign w:val="center"/>
          </w:tcPr>
          <w:p w14:paraId="4A807A7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47</w:t>
            </w:r>
          </w:p>
        </w:tc>
        <w:tc>
          <w:tcPr>
            <w:tcW w:w="850" w:type="dxa"/>
            <w:vAlign w:val="center"/>
          </w:tcPr>
          <w:p w14:paraId="3DE7664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2.742</w:t>
            </w:r>
          </w:p>
        </w:tc>
        <w:tc>
          <w:tcPr>
            <w:tcW w:w="709" w:type="dxa"/>
            <w:vAlign w:val="center"/>
          </w:tcPr>
          <w:p w14:paraId="714C527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r>
      <w:tr w:rsidR="002C0DC3" w:rsidRPr="002C0DC3" w14:paraId="079E5985" w14:textId="77777777" w:rsidTr="002C0DC3">
        <w:trPr>
          <w:jc w:val="center"/>
        </w:trPr>
        <w:tc>
          <w:tcPr>
            <w:tcW w:w="2263" w:type="dxa"/>
          </w:tcPr>
          <w:p w14:paraId="261792E4"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 xml:space="preserve">II </w:t>
            </w:r>
            <w:proofErr w:type="spellStart"/>
            <w:r w:rsidRPr="002C0DC3">
              <w:rPr>
                <w:rFonts w:ascii="Times New Roman" w:hAnsi="Times New Roman"/>
                <w:lang w:eastAsia="en-US"/>
              </w:rPr>
              <w:t>Cir.Jud</w:t>
            </w:r>
            <w:proofErr w:type="spellEnd"/>
            <w:r w:rsidRPr="002C0DC3">
              <w:rPr>
                <w:rFonts w:ascii="Times New Roman" w:hAnsi="Times New Roman"/>
                <w:lang w:eastAsia="en-US"/>
              </w:rPr>
              <w:t>. Zona Sur</w:t>
            </w:r>
          </w:p>
          <w:p w14:paraId="716AFFE7"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30E84145"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9</w:t>
            </w:r>
          </w:p>
        </w:tc>
        <w:tc>
          <w:tcPr>
            <w:tcW w:w="992" w:type="dxa"/>
            <w:vAlign w:val="center"/>
          </w:tcPr>
          <w:p w14:paraId="591CD3C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6</w:t>
            </w:r>
          </w:p>
        </w:tc>
        <w:tc>
          <w:tcPr>
            <w:tcW w:w="1080" w:type="dxa"/>
            <w:vAlign w:val="center"/>
          </w:tcPr>
          <w:p w14:paraId="41F444DE"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470</w:t>
            </w:r>
          </w:p>
        </w:tc>
        <w:tc>
          <w:tcPr>
            <w:tcW w:w="905" w:type="dxa"/>
            <w:vAlign w:val="center"/>
          </w:tcPr>
          <w:p w14:paraId="5302C38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2C12F0F3"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10</w:t>
            </w:r>
          </w:p>
        </w:tc>
        <w:tc>
          <w:tcPr>
            <w:tcW w:w="993" w:type="dxa"/>
            <w:vAlign w:val="center"/>
          </w:tcPr>
          <w:p w14:paraId="6DB25FE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w:t>
            </w:r>
          </w:p>
        </w:tc>
        <w:tc>
          <w:tcPr>
            <w:tcW w:w="850" w:type="dxa"/>
            <w:vAlign w:val="center"/>
          </w:tcPr>
          <w:p w14:paraId="6F15577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991</w:t>
            </w:r>
          </w:p>
        </w:tc>
        <w:tc>
          <w:tcPr>
            <w:tcW w:w="709" w:type="dxa"/>
            <w:vAlign w:val="center"/>
          </w:tcPr>
          <w:p w14:paraId="20CA2FF4"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r w:rsidR="002C0DC3" w:rsidRPr="002C0DC3" w14:paraId="16F0EED8" w14:textId="77777777" w:rsidTr="002C0DC3">
        <w:trPr>
          <w:jc w:val="center"/>
        </w:trPr>
        <w:tc>
          <w:tcPr>
            <w:tcW w:w="2263" w:type="dxa"/>
          </w:tcPr>
          <w:p w14:paraId="60DCE76E"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 xml:space="preserve">I </w:t>
            </w:r>
            <w:proofErr w:type="spellStart"/>
            <w:r w:rsidRPr="002C0DC3">
              <w:rPr>
                <w:rFonts w:ascii="Times New Roman" w:hAnsi="Times New Roman"/>
                <w:lang w:eastAsia="en-US"/>
              </w:rPr>
              <w:t>Cir.Jud.Zona</w:t>
            </w:r>
            <w:proofErr w:type="spellEnd"/>
            <w:r w:rsidRPr="002C0DC3">
              <w:rPr>
                <w:rFonts w:ascii="Times New Roman" w:hAnsi="Times New Roman"/>
                <w:lang w:eastAsia="en-US"/>
              </w:rPr>
              <w:t xml:space="preserve"> Atlántica</w:t>
            </w:r>
          </w:p>
          <w:p w14:paraId="15A755EF"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4F9865AD"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7</w:t>
            </w:r>
          </w:p>
        </w:tc>
        <w:tc>
          <w:tcPr>
            <w:tcW w:w="992" w:type="dxa"/>
            <w:vAlign w:val="center"/>
          </w:tcPr>
          <w:p w14:paraId="24816C00"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c>
          <w:tcPr>
            <w:tcW w:w="1080" w:type="dxa"/>
            <w:vAlign w:val="center"/>
          </w:tcPr>
          <w:p w14:paraId="141900C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497</w:t>
            </w:r>
          </w:p>
        </w:tc>
        <w:tc>
          <w:tcPr>
            <w:tcW w:w="905" w:type="dxa"/>
            <w:vAlign w:val="center"/>
          </w:tcPr>
          <w:p w14:paraId="1E3FEF1F"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15C53269"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5</w:t>
            </w:r>
          </w:p>
        </w:tc>
        <w:tc>
          <w:tcPr>
            <w:tcW w:w="993" w:type="dxa"/>
            <w:vAlign w:val="center"/>
          </w:tcPr>
          <w:p w14:paraId="492B97D2"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c>
          <w:tcPr>
            <w:tcW w:w="850" w:type="dxa"/>
            <w:vAlign w:val="center"/>
          </w:tcPr>
          <w:p w14:paraId="286C3D8A"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1.406</w:t>
            </w:r>
          </w:p>
        </w:tc>
        <w:tc>
          <w:tcPr>
            <w:tcW w:w="709" w:type="dxa"/>
            <w:vAlign w:val="center"/>
          </w:tcPr>
          <w:p w14:paraId="5B81A05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r>
      <w:tr w:rsidR="002C0DC3" w:rsidRPr="002C0DC3" w14:paraId="329B8E94" w14:textId="77777777" w:rsidTr="002C0DC3">
        <w:trPr>
          <w:jc w:val="center"/>
        </w:trPr>
        <w:tc>
          <w:tcPr>
            <w:tcW w:w="2263" w:type="dxa"/>
          </w:tcPr>
          <w:p w14:paraId="340781A7"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 xml:space="preserve">II </w:t>
            </w:r>
            <w:proofErr w:type="spellStart"/>
            <w:r w:rsidRPr="002C0DC3">
              <w:rPr>
                <w:rFonts w:ascii="Times New Roman" w:hAnsi="Times New Roman"/>
                <w:lang w:eastAsia="en-US"/>
              </w:rPr>
              <w:t>Cir.Jud.Zona</w:t>
            </w:r>
            <w:proofErr w:type="spellEnd"/>
            <w:r w:rsidRPr="002C0DC3">
              <w:rPr>
                <w:rFonts w:ascii="Times New Roman" w:hAnsi="Times New Roman"/>
                <w:lang w:eastAsia="en-US"/>
              </w:rPr>
              <w:t xml:space="preserve"> Atlántica</w:t>
            </w:r>
          </w:p>
          <w:p w14:paraId="1F05AB74" w14:textId="77777777" w:rsidR="002C0DC3" w:rsidRPr="002C0DC3" w:rsidRDefault="002C0DC3" w:rsidP="002C0DC3">
            <w:pPr>
              <w:suppressAutoHyphens w:val="0"/>
              <w:jc w:val="both"/>
              <w:rPr>
                <w:rFonts w:ascii="Times New Roman" w:hAnsi="Times New Roman"/>
                <w:lang w:eastAsia="en-US"/>
              </w:rPr>
            </w:pPr>
          </w:p>
        </w:tc>
        <w:tc>
          <w:tcPr>
            <w:tcW w:w="709" w:type="dxa"/>
            <w:vAlign w:val="center"/>
          </w:tcPr>
          <w:p w14:paraId="378F3511"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5</w:t>
            </w:r>
          </w:p>
        </w:tc>
        <w:tc>
          <w:tcPr>
            <w:tcW w:w="992" w:type="dxa"/>
            <w:vAlign w:val="center"/>
          </w:tcPr>
          <w:p w14:paraId="0BF3A24C"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1080" w:type="dxa"/>
            <w:vAlign w:val="center"/>
          </w:tcPr>
          <w:p w14:paraId="1CA5FE46"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855</w:t>
            </w:r>
          </w:p>
        </w:tc>
        <w:tc>
          <w:tcPr>
            <w:tcW w:w="905" w:type="dxa"/>
            <w:vAlign w:val="center"/>
          </w:tcPr>
          <w:p w14:paraId="271893E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0</w:t>
            </w:r>
          </w:p>
        </w:tc>
        <w:tc>
          <w:tcPr>
            <w:tcW w:w="850" w:type="dxa"/>
            <w:vAlign w:val="center"/>
          </w:tcPr>
          <w:p w14:paraId="74EEE1E7"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2</w:t>
            </w:r>
          </w:p>
        </w:tc>
        <w:tc>
          <w:tcPr>
            <w:tcW w:w="993" w:type="dxa"/>
            <w:vAlign w:val="center"/>
          </w:tcPr>
          <w:p w14:paraId="0B5D44B8"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4</w:t>
            </w:r>
          </w:p>
        </w:tc>
        <w:tc>
          <w:tcPr>
            <w:tcW w:w="850" w:type="dxa"/>
            <w:vAlign w:val="center"/>
          </w:tcPr>
          <w:p w14:paraId="14220C9B"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1.565</w:t>
            </w:r>
          </w:p>
        </w:tc>
        <w:tc>
          <w:tcPr>
            <w:tcW w:w="709" w:type="dxa"/>
            <w:vAlign w:val="center"/>
          </w:tcPr>
          <w:p w14:paraId="794A4DE7" w14:textId="77777777" w:rsidR="002C0DC3" w:rsidRPr="002C0DC3" w:rsidRDefault="002C0DC3" w:rsidP="002C0DC3">
            <w:pPr>
              <w:suppressAutoHyphens w:val="0"/>
              <w:jc w:val="right"/>
              <w:rPr>
                <w:rFonts w:ascii="Times New Roman" w:hAnsi="Times New Roman"/>
                <w:lang w:eastAsia="en-US"/>
              </w:rPr>
            </w:pPr>
            <w:r w:rsidRPr="002C0DC3">
              <w:rPr>
                <w:rFonts w:ascii="Times New Roman" w:hAnsi="Times New Roman"/>
                <w:lang w:eastAsia="en-US"/>
              </w:rPr>
              <w:t>1</w:t>
            </w:r>
          </w:p>
        </w:tc>
      </w:tr>
    </w:tbl>
    <w:p w14:paraId="4638E976" w14:textId="77777777" w:rsidR="002C0DC3" w:rsidRDefault="002C0DC3" w:rsidP="002C0DC3">
      <w:pPr>
        <w:suppressAutoHyphens w:val="0"/>
        <w:ind w:right="851"/>
        <w:jc w:val="both"/>
        <w:rPr>
          <w:rFonts w:eastAsia="Calibri"/>
          <w:lang w:val="es-CR" w:eastAsia="en-US"/>
        </w:rPr>
      </w:pPr>
    </w:p>
    <w:p w14:paraId="70FB027A" w14:textId="3B870789" w:rsidR="002C0DC3" w:rsidRDefault="002C0DC3" w:rsidP="002C0DC3">
      <w:pPr>
        <w:suppressAutoHyphens w:val="0"/>
        <w:ind w:right="851"/>
        <w:jc w:val="both"/>
        <w:rPr>
          <w:rFonts w:eastAsia="Calibri"/>
          <w:lang w:val="es-CR" w:eastAsia="en-US"/>
        </w:rPr>
      </w:pPr>
      <w:r w:rsidRPr="002C0DC3">
        <w:rPr>
          <w:lang w:val="es-CR" w:eastAsia="es-CR"/>
        </w:rPr>
        <w:t>Elaborado por: Subproceso de Estadística, Dirección de Planificación</w:t>
      </w:r>
    </w:p>
    <w:p w14:paraId="1A27A99C" w14:textId="77777777" w:rsidR="002C0DC3" w:rsidRDefault="002C0DC3" w:rsidP="002C0DC3">
      <w:pPr>
        <w:suppressAutoHyphens w:val="0"/>
        <w:ind w:left="851" w:right="851" w:firstLine="709"/>
        <w:jc w:val="both"/>
        <w:rPr>
          <w:rFonts w:eastAsia="Calibri"/>
          <w:lang w:val="es-CR" w:eastAsia="en-US"/>
        </w:rPr>
      </w:pPr>
    </w:p>
    <w:p w14:paraId="76349024" w14:textId="689AEA9E"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Durante el 2020 fueron tramitadas un total de 47.917 audiencias, volumen que resulta ser 15.495 audiencias más alto que lo contabilizado para el período 2019, lo que en términos relativos significó un aumento del 47.8%.</w:t>
      </w:r>
    </w:p>
    <w:p w14:paraId="598AACBD" w14:textId="77777777" w:rsidR="002C0DC3" w:rsidRPr="002C0DC3" w:rsidRDefault="002C0DC3" w:rsidP="002C0DC3">
      <w:pPr>
        <w:suppressAutoHyphens w:val="0"/>
        <w:ind w:left="851" w:right="851" w:firstLine="709"/>
        <w:jc w:val="both"/>
        <w:rPr>
          <w:rFonts w:eastAsia="Calibri"/>
          <w:lang w:val="es-CR" w:eastAsia="en-US"/>
        </w:rPr>
      </w:pPr>
    </w:p>
    <w:p w14:paraId="3811ABA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Analizando el aumento, se tiene que el mismo se reflejó con mayor fuerza sobre algunos despachos particularmente, como es el caso del Juzgado Especializado del I Circuito Judicial de San José, el cual paso de atender 10.348 audiencias en 2019 a tramitar 13.503 en 2020 (+3.155) así como el Juzgado de Cobro de Cartago, el cual aumentó su carga de trabajo en 2.021 audiencias.</w:t>
      </w:r>
    </w:p>
    <w:p w14:paraId="18F2C2BE" w14:textId="77777777" w:rsidR="002C0DC3" w:rsidRPr="002C0DC3" w:rsidRDefault="002C0DC3" w:rsidP="002C0DC3">
      <w:pPr>
        <w:suppressAutoHyphens w:val="0"/>
        <w:ind w:left="851" w:right="851" w:firstLine="709"/>
        <w:jc w:val="both"/>
        <w:rPr>
          <w:rFonts w:eastAsia="Calibri"/>
          <w:lang w:val="es-CR" w:eastAsia="en-US"/>
        </w:rPr>
      </w:pPr>
    </w:p>
    <w:p w14:paraId="3425B8C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Aunado a lo anterior, se establece que </w:t>
      </w:r>
      <w:r w:rsidRPr="002C0DC3">
        <w:rPr>
          <w:rFonts w:eastAsia="Calibri"/>
          <w:i/>
          <w:iCs/>
          <w:lang w:val="es-CR" w:eastAsia="en-US"/>
        </w:rPr>
        <w:t xml:space="preserve">los Remates </w:t>
      </w:r>
      <w:r w:rsidRPr="002C0DC3">
        <w:rPr>
          <w:rFonts w:eastAsia="Calibri"/>
          <w:lang w:val="es-CR" w:eastAsia="en-US"/>
        </w:rPr>
        <w:t>son sin duda alguna el tipo de audiencia que genera mayor volumen de trabajo a lo interno de estos despachos, comprendiendo para el período en estudio el 97.8% de todas las audiencias tramitadas y existiendo un incremento del 46.6% respecto de los remates tramitados un año atrás.</w:t>
      </w:r>
    </w:p>
    <w:p w14:paraId="262EAE9E" w14:textId="77777777" w:rsidR="002C0DC3" w:rsidRPr="002C0DC3" w:rsidRDefault="002C0DC3" w:rsidP="002C0DC3">
      <w:pPr>
        <w:suppressAutoHyphens w:val="0"/>
        <w:ind w:left="851" w:right="851" w:firstLine="709"/>
        <w:jc w:val="both"/>
        <w:rPr>
          <w:rFonts w:eastAsia="Calibri"/>
          <w:lang w:val="es-CR" w:eastAsia="en-US"/>
        </w:rPr>
      </w:pPr>
    </w:p>
    <w:p w14:paraId="67EDB4B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Ampliando con relación a las gestiones llevadas a cabo en los </w:t>
      </w:r>
      <w:r w:rsidRPr="002C0DC3">
        <w:rPr>
          <w:rFonts w:eastAsia="Calibri"/>
          <w:i/>
          <w:iCs/>
          <w:lang w:val="es-CR" w:eastAsia="en-US"/>
        </w:rPr>
        <w:t>Remates</w:t>
      </w:r>
      <w:r w:rsidRPr="002C0DC3">
        <w:rPr>
          <w:rFonts w:eastAsia="Calibri"/>
          <w:lang w:val="es-CR" w:eastAsia="en-US"/>
        </w:rPr>
        <w:t xml:space="preserve">, se determina que el 37% se </w:t>
      </w:r>
      <w:r w:rsidRPr="002C0DC3">
        <w:rPr>
          <w:rFonts w:eastAsia="Calibri"/>
          <w:i/>
          <w:iCs/>
          <w:lang w:val="es-CR" w:eastAsia="en-US"/>
        </w:rPr>
        <w:t>realizaron</w:t>
      </w:r>
      <w:r w:rsidRPr="002C0DC3">
        <w:rPr>
          <w:rFonts w:eastAsia="Calibri"/>
          <w:lang w:val="es-CR" w:eastAsia="en-US"/>
        </w:rPr>
        <w:t>, 25.4% no se llevaron a cabo, 1.511 audiencias más fueron suspendidas, 5.764 quedaron sin efecto, 144 más quedaron en continuación y 10.173 quedaron pendientes al cierre de 2020.</w:t>
      </w:r>
    </w:p>
    <w:p w14:paraId="2539ED94" w14:textId="77777777" w:rsidR="002C0DC3" w:rsidRPr="002C0DC3" w:rsidRDefault="002C0DC3" w:rsidP="002C0DC3">
      <w:pPr>
        <w:suppressAutoHyphens w:val="0"/>
        <w:ind w:left="851" w:right="851" w:firstLine="709"/>
        <w:jc w:val="both"/>
        <w:rPr>
          <w:rFonts w:eastAsia="Calibri"/>
          <w:lang w:val="es-CR" w:eastAsia="en-US"/>
        </w:rPr>
      </w:pPr>
    </w:p>
    <w:p w14:paraId="3A5C033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Los despachos con el mayor número de audiencias de </w:t>
      </w:r>
      <w:r w:rsidRPr="002C0DC3">
        <w:rPr>
          <w:rFonts w:eastAsia="Calibri"/>
          <w:i/>
          <w:iCs/>
          <w:lang w:val="es-CR" w:eastAsia="en-US"/>
        </w:rPr>
        <w:t xml:space="preserve">Remate Realizadas </w:t>
      </w:r>
      <w:r w:rsidRPr="002C0DC3">
        <w:rPr>
          <w:rFonts w:eastAsia="Calibri"/>
          <w:lang w:val="es-CR" w:eastAsia="en-US"/>
        </w:rPr>
        <w:t xml:space="preserve">son; los tres Juzgados Especializados del I Circuito Judicial de San José y Heredia (2.549), en cuyo caso destaca el </w:t>
      </w:r>
      <w:r w:rsidRPr="002C0DC3">
        <w:rPr>
          <w:rFonts w:eastAsia="Calibri"/>
          <w:i/>
          <w:iCs/>
          <w:lang w:val="es-CR" w:eastAsia="en-US"/>
        </w:rPr>
        <w:t>Primero de San José</w:t>
      </w:r>
      <w:r w:rsidRPr="002C0DC3">
        <w:rPr>
          <w:rFonts w:eastAsia="Calibri"/>
          <w:lang w:val="es-CR" w:eastAsia="en-US"/>
        </w:rPr>
        <w:t xml:space="preserve"> con un total de 3.528 audiencias y una participación del 43.2% respecto del I Circuito Judicial y del 20.4% con relación a todos los despachos a nivel nacional.  </w:t>
      </w:r>
    </w:p>
    <w:p w14:paraId="76F4DEAC" w14:textId="77777777" w:rsidR="002C0DC3" w:rsidRPr="002C0DC3" w:rsidRDefault="002C0DC3" w:rsidP="002C0DC3">
      <w:pPr>
        <w:suppressAutoHyphens w:val="0"/>
        <w:ind w:left="851" w:right="851" w:firstLine="709"/>
        <w:jc w:val="both"/>
        <w:rPr>
          <w:rFonts w:eastAsia="Calibri"/>
          <w:lang w:val="es-CR" w:eastAsia="en-US"/>
        </w:rPr>
      </w:pPr>
    </w:p>
    <w:p w14:paraId="2B0F706F"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Entre los despachos que contabilizaron el mayor número de audiencias de remate </w:t>
      </w:r>
      <w:r w:rsidRPr="002C0DC3">
        <w:rPr>
          <w:rFonts w:eastAsia="Calibri"/>
          <w:i/>
          <w:iCs/>
          <w:lang w:val="es-CR" w:eastAsia="en-US"/>
        </w:rPr>
        <w:t>No Realizadas</w:t>
      </w:r>
      <w:r w:rsidRPr="002C0DC3">
        <w:rPr>
          <w:rFonts w:eastAsia="Calibri"/>
          <w:lang w:val="es-CR" w:eastAsia="en-US"/>
        </w:rPr>
        <w:t xml:space="preserve"> destacan, el Juzgado Cobro del II Circuito Judicial de Alajuela (2.068) y Cobro de Cartago con 1.752, los cuales de forma conjunta comprenden el 32% de las audiencias no realizadas a nivel nacional.</w:t>
      </w:r>
    </w:p>
    <w:p w14:paraId="0A592739" w14:textId="77777777" w:rsidR="002C0DC3" w:rsidRPr="002C0DC3" w:rsidRDefault="002C0DC3" w:rsidP="002C0DC3">
      <w:pPr>
        <w:suppressAutoHyphens w:val="0"/>
        <w:ind w:left="851" w:right="851" w:firstLine="709"/>
        <w:jc w:val="both"/>
        <w:rPr>
          <w:rFonts w:eastAsia="Calibri"/>
          <w:lang w:val="es-CR" w:eastAsia="en-US"/>
        </w:rPr>
      </w:pPr>
    </w:p>
    <w:p w14:paraId="19426178" w14:textId="77777777" w:rsidR="002C0DC3" w:rsidRPr="002C0DC3" w:rsidRDefault="002C0DC3" w:rsidP="002C0DC3">
      <w:pPr>
        <w:suppressAutoHyphens w:val="0"/>
        <w:ind w:left="851" w:right="851" w:firstLine="709"/>
        <w:jc w:val="both"/>
        <w:rPr>
          <w:rFonts w:eastAsia="Calibri"/>
          <w:i/>
          <w:iCs/>
          <w:lang w:val="es-CR" w:eastAsia="en-US"/>
        </w:rPr>
      </w:pPr>
      <w:r w:rsidRPr="002C0DC3">
        <w:rPr>
          <w:rFonts w:eastAsia="Calibri"/>
          <w:lang w:val="es-CR" w:eastAsia="en-US"/>
        </w:rPr>
        <w:t xml:space="preserve">Entre los motivos de cancelación de </w:t>
      </w:r>
      <w:r w:rsidRPr="002C0DC3">
        <w:rPr>
          <w:rFonts w:eastAsia="Calibri"/>
          <w:b/>
          <w:bCs/>
          <w:i/>
          <w:iCs/>
          <w:lang w:val="es-CR" w:eastAsia="en-US"/>
        </w:rPr>
        <w:t>audiencias de remate</w:t>
      </w:r>
      <w:r w:rsidRPr="002C0DC3">
        <w:rPr>
          <w:rFonts w:eastAsia="Calibri"/>
          <w:lang w:val="es-CR" w:eastAsia="en-US"/>
        </w:rPr>
        <w:t xml:space="preserve"> más recurrentes se encuentran: </w:t>
      </w:r>
      <w:r w:rsidRPr="002C0DC3">
        <w:rPr>
          <w:rFonts w:eastAsia="Calibri"/>
          <w:i/>
          <w:iCs/>
          <w:lang w:val="es-CR" w:eastAsia="en-US"/>
        </w:rPr>
        <w:t xml:space="preserve">No publicación de edicto (29.8%) y los Procesos Terminados (17.2%) </w:t>
      </w:r>
    </w:p>
    <w:p w14:paraId="22A1EF12" w14:textId="77777777" w:rsidR="002C0DC3" w:rsidRPr="002C0DC3" w:rsidRDefault="002C0DC3" w:rsidP="002C0DC3">
      <w:pPr>
        <w:suppressAutoHyphens w:val="0"/>
        <w:ind w:left="851" w:right="851" w:firstLine="709"/>
        <w:jc w:val="both"/>
        <w:rPr>
          <w:rFonts w:eastAsia="Calibri"/>
          <w:lang w:val="es-CR" w:eastAsia="en-US"/>
        </w:rPr>
      </w:pPr>
    </w:p>
    <w:p w14:paraId="395D3B0A" w14:textId="77777777" w:rsidR="002C0DC3" w:rsidRPr="002C0DC3" w:rsidRDefault="002C0DC3" w:rsidP="002C0DC3">
      <w:pPr>
        <w:keepNext/>
        <w:keepLines/>
        <w:suppressAutoHyphens w:val="0"/>
        <w:ind w:left="851" w:right="851" w:firstLine="709"/>
        <w:jc w:val="both"/>
        <w:rPr>
          <w:b/>
          <w:lang w:val="es-CR" w:eastAsia="es-CR"/>
        </w:rPr>
      </w:pPr>
      <w:bookmarkStart w:id="17" w:name="_Toc80351027"/>
      <w:r w:rsidRPr="002C0DC3">
        <w:rPr>
          <w:b/>
          <w:lang w:val="es-CR" w:eastAsia="es-CR"/>
        </w:rPr>
        <w:t>Proyecciones</w:t>
      </w:r>
      <w:bookmarkEnd w:id="17"/>
    </w:p>
    <w:p w14:paraId="48AEBCA2" w14:textId="77777777" w:rsidR="002C0DC3" w:rsidRPr="002C0DC3" w:rsidRDefault="002C0DC3" w:rsidP="002C0DC3">
      <w:pPr>
        <w:suppressAutoHyphens w:val="0"/>
        <w:ind w:left="851" w:right="851" w:firstLine="709"/>
        <w:jc w:val="both"/>
        <w:rPr>
          <w:rFonts w:eastAsia="Calibri"/>
          <w:lang w:val="es-CR" w:eastAsia="en-US"/>
        </w:rPr>
      </w:pPr>
    </w:p>
    <w:p w14:paraId="7287700F" w14:textId="77777777" w:rsidR="002C0DC3" w:rsidRPr="002C0DC3" w:rsidRDefault="002C0DC3" w:rsidP="002C0DC3">
      <w:pPr>
        <w:suppressAutoHyphens w:val="0"/>
        <w:ind w:left="851" w:right="851" w:firstLine="709"/>
        <w:jc w:val="both"/>
        <w:rPr>
          <w:rFonts w:eastAsia="Calibri"/>
          <w:lang w:val="es-CR" w:eastAsia="en-US"/>
        </w:rPr>
      </w:pPr>
      <w:bookmarkStart w:id="18" w:name="_Hlk23857930"/>
      <w:r w:rsidRPr="002C0DC3">
        <w:rPr>
          <w:rFonts w:eastAsia="Calibri"/>
          <w:lang w:val="es-CR" w:eastAsia="en-US"/>
        </w:rPr>
        <w:t>Basado en un modelo estadístico utilizando la metodología de tiempos en “R”, se crearon escenarios que muestran la posible tendencia</w:t>
      </w:r>
      <w:bookmarkEnd w:id="18"/>
      <w:r w:rsidRPr="002C0DC3">
        <w:rPr>
          <w:rFonts w:eastAsia="Calibri"/>
          <w:lang w:val="es-CR" w:eastAsia="en-US"/>
        </w:rPr>
        <w:t xml:space="preserve"> que pueden tener en los próximos dos años, las variables estadísticas de casos entrados y casos terminados. Para tal efecto se utilizan los mejores resultados obtenidos, indicando además que los datos pueden ser sensibilizados con el fin de tener un panorama </w:t>
      </w:r>
      <w:r w:rsidRPr="002C0DC3">
        <w:rPr>
          <w:rFonts w:eastAsia="Calibri"/>
          <w:lang w:val="es-CR" w:eastAsia="en-US"/>
        </w:rPr>
        <w:lastRenderedPageBreak/>
        <w:t>acorde a la materia y las posibles implicaciones adversas que puedan afectar a la misma, como por ejemplo, reformas a las leyes, planes de descongestión, etc.</w:t>
      </w:r>
    </w:p>
    <w:p w14:paraId="50E2EE27" w14:textId="77777777" w:rsidR="002C0DC3" w:rsidRPr="002C0DC3" w:rsidRDefault="002C0DC3" w:rsidP="002C0DC3">
      <w:pPr>
        <w:suppressAutoHyphens w:val="0"/>
        <w:ind w:left="851" w:right="851" w:firstLine="709"/>
        <w:jc w:val="both"/>
        <w:rPr>
          <w:rFonts w:eastAsia="Calibri"/>
          <w:lang w:val="es-CR" w:eastAsia="en-US"/>
        </w:rPr>
      </w:pPr>
    </w:p>
    <w:p w14:paraId="2CD72E01" w14:textId="77777777" w:rsidR="002C0DC3" w:rsidRPr="002C0DC3" w:rsidRDefault="002C0DC3" w:rsidP="002C0DC3">
      <w:pPr>
        <w:keepNext/>
        <w:keepLines/>
        <w:numPr>
          <w:ilvl w:val="1"/>
          <w:numId w:val="0"/>
        </w:numPr>
        <w:suppressAutoHyphens w:val="0"/>
        <w:ind w:left="851" w:right="851" w:firstLine="709"/>
        <w:jc w:val="both"/>
        <w:rPr>
          <w:b/>
          <w:bCs/>
          <w:lang w:val="es-CR" w:eastAsia="es-CR"/>
        </w:rPr>
      </w:pPr>
      <w:r w:rsidRPr="002C0DC3">
        <w:rPr>
          <w:b/>
          <w:lang w:val="es-CR" w:eastAsia="es-CR"/>
        </w:rPr>
        <w:t>Proyección de Casos Entrados</w:t>
      </w:r>
    </w:p>
    <w:p w14:paraId="560C9C0D" w14:textId="77777777" w:rsidR="002C0DC3" w:rsidRPr="002C0DC3" w:rsidRDefault="002C0DC3" w:rsidP="002C0DC3">
      <w:pPr>
        <w:suppressAutoHyphens w:val="0"/>
        <w:ind w:left="851" w:right="851" w:firstLine="709"/>
        <w:jc w:val="both"/>
        <w:rPr>
          <w:rFonts w:eastAsia="Calibri"/>
          <w:lang w:val="es-CR" w:eastAsia="en-US"/>
        </w:rPr>
      </w:pPr>
    </w:p>
    <w:p w14:paraId="3CCB87B3" w14:textId="106133C7" w:rsid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Mediante la utilización del método de pronóstico denominado “Holt </w:t>
      </w:r>
      <w:proofErr w:type="spellStart"/>
      <w:r w:rsidRPr="002C0DC3">
        <w:rPr>
          <w:rFonts w:eastAsia="Calibri"/>
          <w:lang w:val="es-CR" w:eastAsia="en-US"/>
        </w:rPr>
        <w:t>Winters</w:t>
      </w:r>
      <w:proofErr w:type="spellEnd"/>
      <w:r w:rsidRPr="002C0DC3">
        <w:rPr>
          <w:rFonts w:eastAsia="Calibri"/>
          <w:lang w:val="es-CR" w:eastAsia="en-US"/>
        </w:rPr>
        <w:t xml:space="preserve"> Multiplicativo”, se obtiene un pronóstico de los </w:t>
      </w:r>
      <w:r w:rsidRPr="002C0DC3">
        <w:rPr>
          <w:rFonts w:eastAsia="Calibri"/>
          <w:i/>
          <w:iCs/>
          <w:lang w:val="es-CR" w:eastAsia="en-US"/>
        </w:rPr>
        <w:t>Casos Entrados</w:t>
      </w:r>
      <w:r w:rsidRPr="002C0DC3">
        <w:rPr>
          <w:rFonts w:eastAsia="Calibri"/>
          <w:lang w:val="es-CR" w:eastAsia="en-US"/>
        </w:rPr>
        <w:t xml:space="preserve"> para la primerea instancia de la materia Cobratoria, en cuyo caso se determina que para el 2021 ingresarán aproximadamente 199.612 asuntos y en 2022 alrededor de 214.179. A continuación, se presenta el cuadro N°14 con el de detalle.</w:t>
      </w:r>
    </w:p>
    <w:p w14:paraId="7C0C1FF2" w14:textId="77777777" w:rsidR="002C0DC3" w:rsidRPr="002C0DC3" w:rsidRDefault="002C0DC3" w:rsidP="002C0DC3">
      <w:pPr>
        <w:suppressAutoHyphens w:val="0"/>
        <w:ind w:left="851" w:right="851" w:firstLine="709"/>
        <w:jc w:val="both"/>
        <w:rPr>
          <w:rFonts w:eastAsia="Calibri"/>
          <w:lang w:val="es-CR" w:eastAsia="en-US"/>
        </w:rPr>
      </w:pPr>
    </w:p>
    <w:p w14:paraId="6721A3DC"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N°10.1.1</w:t>
      </w:r>
    </w:p>
    <w:p w14:paraId="353E5F5F" w14:textId="7862EE3B" w:rsid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Casos entrados al finalizar el año durante el período</w:t>
      </w:r>
      <w:r>
        <w:rPr>
          <w:rFonts w:eastAsia="Calibri"/>
          <w:b/>
          <w:lang w:val="es-CR" w:eastAsia="en-US"/>
        </w:rPr>
        <w:t xml:space="preserve"> </w:t>
      </w:r>
      <w:r w:rsidRPr="002C0DC3">
        <w:rPr>
          <w:rFonts w:eastAsia="Calibri"/>
          <w:b/>
          <w:lang w:val="es-CR" w:eastAsia="en-US"/>
        </w:rPr>
        <w:t>2013-2020 y proyecciones estadísticas para el bienio 2021-2022</w:t>
      </w:r>
    </w:p>
    <w:p w14:paraId="4EAA5A9C"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844"/>
        <w:gridCol w:w="844"/>
        <w:gridCol w:w="845"/>
        <w:gridCol w:w="845"/>
        <w:gridCol w:w="845"/>
        <w:gridCol w:w="845"/>
        <w:gridCol w:w="845"/>
        <w:gridCol w:w="845"/>
        <w:gridCol w:w="845"/>
        <w:gridCol w:w="845"/>
      </w:tblGrid>
      <w:tr w:rsidR="002C0DC3" w:rsidRPr="002C0DC3" w14:paraId="3333F3B0" w14:textId="77777777" w:rsidTr="002C0DC3">
        <w:trPr>
          <w:trHeight w:val="295"/>
          <w:tblHeader/>
          <w:jc w:val="center"/>
        </w:trPr>
        <w:tc>
          <w:tcPr>
            <w:tcW w:w="526" w:type="pct"/>
            <w:vMerge w:val="restart"/>
            <w:shd w:val="clear" w:color="000000" w:fill="D8D8D8"/>
            <w:noWrap/>
            <w:vAlign w:val="center"/>
          </w:tcPr>
          <w:p w14:paraId="34DD9CCC"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Variable</w:t>
            </w:r>
          </w:p>
        </w:tc>
        <w:tc>
          <w:tcPr>
            <w:tcW w:w="3581" w:type="pct"/>
            <w:gridSpan w:val="8"/>
            <w:shd w:val="clear" w:color="000000" w:fill="E2EFD9"/>
            <w:noWrap/>
            <w:vAlign w:val="center"/>
          </w:tcPr>
          <w:p w14:paraId="34D51D6B"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Movimientos ocurridos por año</w:t>
            </w:r>
          </w:p>
        </w:tc>
        <w:tc>
          <w:tcPr>
            <w:tcW w:w="893" w:type="pct"/>
            <w:gridSpan w:val="2"/>
            <w:shd w:val="clear" w:color="000000" w:fill="DEEBF6"/>
            <w:noWrap/>
            <w:vAlign w:val="center"/>
          </w:tcPr>
          <w:p w14:paraId="6ED66D82"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Proyecciones</w:t>
            </w:r>
          </w:p>
        </w:tc>
      </w:tr>
      <w:tr w:rsidR="002C0DC3" w:rsidRPr="002C0DC3" w14:paraId="0BF712E3" w14:textId="77777777" w:rsidTr="002C0DC3">
        <w:trPr>
          <w:trHeight w:val="295"/>
          <w:tblHeader/>
          <w:jc w:val="center"/>
        </w:trPr>
        <w:tc>
          <w:tcPr>
            <w:tcW w:w="526" w:type="pct"/>
            <w:vMerge/>
            <w:shd w:val="clear" w:color="000000" w:fill="D8D8D8"/>
            <w:noWrap/>
            <w:vAlign w:val="center"/>
          </w:tcPr>
          <w:p w14:paraId="6B186A4C"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p>
        </w:tc>
        <w:tc>
          <w:tcPr>
            <w:tcW w:w="447" w:type="pct"/>
            <w:shd w:val="clear" w:color="000000" w:fill="E2EFD9"/>
            <w:noWrap/>
            <w:vAlign w:val="center"/>
          </w:tcPr>
          <w:p w14:paraId="22B2CAC4"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2013</w:t>
            </w:r>
          </w:p>
        </w:tc>
        <w:tc>
          <w:tcPr>
            <w:tcW w:w="447" w:type="pct"/>
            <w:shd w:val="clear" w:color="000000" w:fill="E2EFD9"/>
            <w:noWrap/>
            <w:vAlign w:val="center"/>
          </w:tcPr>
          <w:p w14:paraId="40197D12"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2014</w:t>
            </w:r>
          </w:p>
        </w:tc>
        <w:tc>
          <w:tcPr>
            <w:tcW w:w="447" w:type="pct"/>
            <w:shd w:val="clear" w:color="000000" w:fill="E2EFD9"/>
            <w:noWrap/>
            <w:vAlign w:val="center"/>
          </w:tcPr>
          <w:p w14:paraId="2CDFFA66"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2015</w:t>
            </w:r>
          </w:p>
        </w:tc>
        <w:tc>
          <w:tcPr>
            <w:tcW w:w="447" w:type="pct"/>
            <w:shd w:val="clear" w:color="000000" w:fill="E2EFD9"/>
            <w:noWrap/>
            <w:vAlign w:val="center"/>
          </w:tcPr>
          <w:p w14:paraId="2795F33F"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2016</w:t>
            </w:r>
          </w:p>
        </w:tc>
        <w:tc>
          <w:tcPr>
            <w:tcW w:w="447" w:type="pct"/>
            <w:shd w:val="clear" w:color="000000" w:fill="E2EFD9"/>
            <w:noWrap/>
            <w:vAlign w:val="center"/>
          </w:tcPr>
          <w:p w14:paraId="3EA189B5"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2017</w:t>
            </w:r>
          </w:p>
        </w:tc>
        <w:tc>
          <w:tcPr>
            <w:tcW w:w="447" w:type="pct"/>
            <w:shd w:val="clear" w:color="000000" w:fill="E2EFD9"/>
            <w:noWrap/>
            <w:vAlign w:val="center"/>
          </w:tcPr>
          <w:p w14:paraId="562CCC14"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2018</w:t>
            </w:r>
          </w:p>
        </w:tc>
        <w:tc>
          <w:tcPr>
            <w:tcW w:w="447" w:type="pct"/>
            <w:shd w:val="clear" w:color="000000" w:fill="E2EFD9"/>
            <w:noWrap/>
            <w:vAlign w:val="center"/>
          </w:tcPr>
          <w:p w14:paraId="0F9E079D"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2019</w:t>
            </w:r>
          </w:p>
        </w:tc>
        <w:tc>
          <w:tcPr>
            <w:tcW w:w="451" w:type="pct"/>
            <w:shd w:val="clear" w:color="auto" w:fill="E2EFD9"/>
            <w:vAlign w:val="center"/>
          </w:tcPr>
          <w:p w14:paraId="3C96DE8A"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2020</w:t>
            </w:r>
          </w:p>
        </w:tc>
        <w:tc>
          <w:tcPr>
            <w:tcW w:w="447" w:type="pct"/>
            <w:shd w:val="clear" w:color="000000" w:fill="DEEBF6"/>
            <w:noWrap/>
            <w:vAlign w:val="center"/>
          </w:tcPr>
          <w:p w14:paraId="02E41912"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2021</w:t>
            </w:r>
          </w:p>
        </w:tc>
        <w:tc>
          <w:tcPr>
            <w:tcW w:w="445" w:type="pct"/>
            <w:shd w:val="clear" w:color="000000" w:fill="DEEBF6"/>
            <w:noWrap/>
            <w:vAlign w:val="center"/>
          </w:tcPr>
          <w:p w14:paraId="03A27F37"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2022</w:t>
            </w:r>
          </w:p>
        </w:tc>
      </w:tr>
      <w:tr w:rsidR="002C0DC3" w:rsidRPr="002C0DC3" w14:paraId="0CE50748" w14:textId="77777777" w:rsidTr="002C0DC3">
        <w:trPr>
          <w:trHeight w:val="295"/>
          <w:jc w:val="center"/>
        </w:trPr>
        <w:tc>
          <w:tcPr>
            <w:tcW w:w="526" w:type="pct"/>
            <w:shd w:val="clear" w:color="000000" w:fill="D8D8D8"/>
            <w:noWrap/>
            <w:vAlign w:val="center"/>
            <w:hideMark/>
          </w:tcPr>
          <w:p w14:paraId="209C57E3" w14:textId="77777777" w:rsidR="002C0DC3" w:rsidRPr="002C0DC3" w:rsidRDefault="002C0DC3" w:rsidP="002C0DC3">
            <w:pPr>
              <w:widowControl w:val="0"/>
              <w:suppressAutoHyphens w:val="0"/>
              <w:autoSpaceDE w:val="0"/>
              <w:autoSpaceDN w:val="0"/>
              <w:adjustRightInd w:val="0"/>
              <w:jc w:val="both"/>
              <w:rPr>
                <w:rFonts w:eastAsia="Calibri"/>
                <w:lang w:val="es-CR" w:eastAsia="es-CR"/>
              </w:rPr>
            </w:pPr>
            <w:r w:rsidRPr="002C0DC3">
              <w:rPr>
                <w:rFonts w:eastAsia="Calibri"/>
                <w:lang w:val="es-CR" w:eastAsia="es-CR"/>
              </w:rPr>
              <w:t>Entrados</w:t>
            </w:r>
          </w:p>
        </w:tc>
        <w:tc>
          <w:tcPr>
            <w:tcW w:w="447" w:type="pct"/>
            <w:shd w:val="clear" w:color="000000" w:fill="E2EFD9"/>
            <w:noWrap/>
            <w:vAlign w:val="bottom"/>
          </w:tcPr>
          <w:p w14:paraId="28E46A59"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148.356</w:t>
            </w:r>
          </w:p>
        </w:tc>
        <w:tc>
          <w:tcPr>
            <w:tcW w:w="447" w:type="pct"/>
            <w:shd w:val="clear" w:color="000000" w:fill="E2EFD9"/>
            <w:noWrap/>
            <w:vAlign w:val="bottom"/>
          </w:tcPr>
          <w:p w14:paraId="5DD0A4D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143.209</w:t>
            </w:r>
          </w:p>
        </w:tc>
        <w:tc>
          <w:tcPr>
            <w:tcW w:w="447" w:type="pct"/>
            <w:shd w:val="clear" w:color="000000" w:fill="E2EFD9"/>
            <w:noWrap/>
            <w:vAlign w:val="bottom"/>
          </w:tcPr>
          <w:p w14:paraId="28506AA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133.766</w:t>
            </w:r>
          </w:p>
        </w:tc>
        <w:tc>
          <w:tcPr>
            <w:tcW w:w="447" w:type="pct"/>
            <w:shd w:val="clear" w:color="000000" w:fill="E2EFD9"/>
            <w:noWrap/>
            <w:vAlign w:val="bottom"/>
          </w:tcPr>
          <w:p w14:paraId="30194CE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164.522</w:t>
            </w:r>
          </w:p>
        </w:tc>
        <w:tc>
          <w:tcPr>
            <w:tcW w:w="447" w:type="pct"/>
            <w:shd w:val="clear" w:color="000000" w:fill="E2EFD9"/>
            <w:noWrap/>
            <w:vAlign w:val="bottom"/>
          </w:tcPr>
          <w:p w14:paraId="55A7525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199.706</w:t>
            </w:r>
          </w:p>
        </w:tc>
        <w:tc>
          <w:tcPr>
            <w:tcW w:w="447" w:type="pct"/>
            <w:shd w:val="clear" w:color="000000" w:fill="E2EFD9"/>
            <w:noWrap/>
            <w:vAlign w:val="bottom"/>
          </w:tcPr>
          <w:p w14:paraId="0F0FB8F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244.251</w:t>
            </w:r>
          </w:p>
        </w:tc>
        <w:tc>
          <w:tcPr>
            <w:tcW w:w="447" w:type="pct"/>
            <w:shd w:val="clear" w:color="000000" w:fill="E2EFD9"/>
            <w:noWrap/>
            <w:vAlign w:val="bottom"/>
          </w:tcPr>
          <w:p w14:paraId="6936B26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s-CR"/>
              </w:rPr>
              <w:t>237.736</w:t>
            </w:r>
          </w:p>
        </w:tc>
        <w:tc>
          <w:tcPr>
            <w:tcW w:w="451" w:type="pct"/>
            <w:shd w:val="clear" w:color="auto" w:fill="E2EFD9"/>
            <w:vAlign w:val="bottom"/>
          </w:tcPr>
          <w:p w14:paraId="7266930C" w14:textId="77777777" w:rsidR="002C0DC3" w:rsidRPr="002C0DC3" w:rsidRDefault="002C0DC3" w:rsidP="002C0DC3">
            <w:pPr>
              <w:widowControl w:val="0"/>
              <w:suppressAutoHyphens w:val="0"/>
              <w:autoSpaceDE w:val="0"/>
              <w:autoSpaceDN w:val="0"/>
              <w:adjustRightInd w:val="0"/>
              <w:jc w:val="right"/>
              <w:rPr>
                <w:rFonts w:eastAsia="Calibri"/>
                <w:lang w:val="es-CR" w:eastAsia="es-CR"/>
              </w:rPr>
            </w:pPr>
            <w:r w:rsidRPr="002C0DC3">
              <w:rPr>
                <w:rFonts w:eastAsia="Calibri"/>
                <w:lang w:val="es-CR" w:eastAsia="es-CR"/>
              </w:rPr>
              <w:t>182.485</w:t>
            </w:r>
          </w:p>
        </w:tc>
        <w:tc>
          <w:tcPr>
            <w:tcW w:w="447" w:type="pct"/>
            <w:shd w:val="clear" w:color="000000" w:fill="DEEBF6"/>
            <w:noWrap/>
            <w:vAlign w:val="bottom"/>
          </w:tcPr>
          <w:p w14:paraId="642422B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s-CR"/>
              </w:rPr>
              <w:t>199.612</w:t>
            </w:r>
          </w:p>
        </w:tc>
        <w:tc>
          <w:tcPr>
            <w:tcW w:w="445" w:type="pct"/>
            <w:shd w:val="clear" w:color="000000" w:fill="DEEBF6"/>
            <w:noWrap/>
            <w:vAlign w:val="bottom"/>
          </w:tcPr>
          <w:p w14:paraId="59542A3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214.179</w:t>
            </w:r>
          </w:p>
        </w:tc>
      </w:tr>
      <w:tr w:rsidR="002C0DC3" w:rsidRPr="002C0DC3" w14:paraId="2FFE521B" w14:textId="77777777" w:rsidTr="002C0DC3">
        <w:trPr>
          <w:trHeight w:val="295"/>
          <w:jc w:val="center"/>
        </w:trPr>
        <w:tc>
          <w:tcPr>
            <w:tcW w:w="5000" w:type="pct"/>
            <w:gridSpan w:val="11"/>
            <w:shd w:val="clear" w:color="auto" w:fill="auto"/>
            <w:noWrap/>
            <w:vAlign w:val="center"/>
          </w:tcPr>
          <w:p w14:paraId="49551392"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t>Elaborado por: Subproceso de Estadística, Dirección de Planificación.</w:t>
            </w:r>
          </w:p>
          <w:p w14:paraId="5FDCADA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p>
        </w:tc>
      </w:tr>
    </w:tbl>
    <w:p w14:paraId="4AA0B45E" w14:textId="77777777" w:rsidR="002C0DC3" w:rsidRPr="002C0DC3" w:rsidRDefault="002C0DC3" w:rsidP="002C0DC3">
      <w:pPr>
        <w:suppressAutoHyphens w:val="0"/>
        <w:ind w:firstLine="708"/>
        <w:jc w:val="both"/>
        <w:rPr>
          <w:rFonts w:eastAsia="Calibri"/>
          <w:lang w:val="es-CR" w:eastAsia="en-US"/>
        </w:rPr>
      </w:pPr>
    </w:p>
    <w:p w14:paraId="12345CD5" w14:textId="77777777" w:rsidR="002C0DC3" w:rsidRPr="002C0DC3" w:rsidRDefault="002C0DC3" w:rsidP="002C0DC3">
      <w:pPr>
        <w:keepNext/>
        <w:keepLines/>
        <w:numPr>
          <w:ilvl w:val="1"/>
          <w:numId w:val="0"/>
        </w:numPr>
        <w:suppressAutoHyphens w:val="0"/>
        <w:ind w:left="851" w:right="851" w:firstLine="709"/>
        <w:jc w:val="both"/>
        <w:rPr>
          <w:b/>
          <w:lang w:val="es-CR" w:eastAsia="es-CR"/>
        </w:rPr>
      </w:pPr>
      <w:r w:rsidRPr="002C0DC3">
        <w:rPr>
          <w:b/>
          <w:lang w:val="es-CR" w:eastAsia="es-CR"/>
        </w:rPr>
        <w:t>Proyección de Casos Terminados</w:t>
      </w:r>
    </w:p>
    <w:p w14:paraId="7DDA1351" w14:textId="77777777" w:rsidR="002C0DC3" w:rsidRPr="002C0DC3" w:rsidRDefault="002C0DC3" w:rsidP="002C0DC3">
      <w:pPr>
        <w:suppressAutoHyphens w:val="0"/>
        <w:ind w:left="851" w:right="851" w:firstLine="709"/>
        <w:jc w:val="both"/>
        <w:rPr>
          <w:rFonts w:eastAsia="Calibri"/>
          <w:lang w:val="es-CR" w:eastAsia="en-US"/>
        </w:rPr>
      </w:pPr>
    </w:p>
    <w:p w14:paraId="3224169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Mediante la utilización del método de pronóstico denominado “Holt </w:t>
      </w:r>
      <w:proofErr w:type="spellStart"/>
      <w:r w:rsidRPr="002C0DC3">
        <w:rPr>
          <w:rFonts w:eastAsia="Calibri"/>
          <w:lang w:val="es-CR" w:eastAsia="en-US"/>
        </w:rPr>
        <w:t>Winters</w:t>
      </w:r>
      <w:proofErr w:type="spellEnd"/>
      <w:r w:rsidRPr="002C0DC3">
        <w:rPr>
          <w:rFonts w:eastAsia="Calibri"/>
          <w:lang w:val="es-CR" w:eastAsia="en-US"/>
        </w:rPr>
        <w:t xml:space="preserve"> Aditivo”, se obtiene un pronóstico de los </w:t>
      </w:r>
      <w:r w:rsidRPr="002C0DC3">
        <w:rPr>
          <w:rFonts w:eastAsia="Calibri"/>
          <w:i/>
          <w:iCs/>
          <w:lang w:val="es-CR" w:eastAsia="en-US"/>
        </w:rPr>
        <w:t>Casos Terminados</w:t>
      </w:r>
      <w:r w:rsidRPr="002C0DC3">
        <w:rPr>
          <w:rFonts w:eastAsia="Calibri"/>
          <w:lang w:val="es-CR" w:eastAsia="en-US"/>
        </w:rPr>
        <w:t xml:space="preserve"> para la primerea instancia de la materia Cobratoria, en cuyo caso se determina que para el 2021 ingresarán aproximadamente 100.413 asuntos y en 2022 alrededor de 151.679. A continuación, se presenta el cuadro N°15 con el de detalle.</w:t>
      </w:r>
    </w:p>
    <w:p w14:paraId="2D847F8B" w14:textId="77777777" w:rsidR="002C0DC3" w:rsidRPr="002C0DC3" w:rsidRDefault="002C0DC3" w:rsidP="002C0DC3">
      <w:pPr>
        <w:suppressAutoHyphens w:val="0"/>
        <w:ind w:left="851" w:right="851" w:firstLine="709"/>
        <w:jc w:val="both"/>
        <w:rPr>
          <w:rFonts w:eastAsia="Calibri"/>
          <w:lang w:val="es-CR" w:eastAsia="en-US"/>
        </w:rPr>
      </w:pPr>
    </w:p>
    <w:p w14:paraId="4F1DD0A9"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N°10.1.2</w:t>
      </w:r>
    </w:p>
    <w:p w14:paraId="747AAE61" w14:textId="377810E9" w:rsid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 xml:space="preserve">Juzgados de Cobro Judicial: Casos terminados al finalizar el año durante el </w:t>
      </w:r>
      <w:r>
        <w:rPr>
          <w:rFonts w:eastAsia="Calibri"/>
          <w:b/>
          <w:lang w:val="es-CR" w:eastAsia="en-US"/>
        </w:rPr>
        <w:t xml:space="preserve"> </w:t>
      </w:r>
      <w:r w:rsidRPr="002C0DC3">
        <w:rPr>
          <w:rFonts w:eastAsia="Calibri"/>
          <w:b/>
          <w:lang w:val="es-CR" w:eastAsia="en-US"/>
        </w:rPr>
        <w:t>período 2013-2020 y proyecciones estadísticas para el bienio 2021-2022</w:t>
      </w:r>
    </w:p>
    <w:p w14:paraId="142D90F8"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2"/>
        <w:gridCol w:w="780"/>
        <w:gridCol w:w="780"/>
        <w:gridCol w:w="779"/>
        <w:gridCol w:w="779"/>
        <w:gridCol w:w="779"/>
        <w:gridCol w:w="779"/>
        <w:gridCol w:w="896"/>
        <w:gridCol w:w="779"/>
        <w:gridCol w:w="896"/>
        <w:gridCol w:w="896"/>
      </w:tblGrid>
      <w:tr w:rsidR="002C0DC3" w:rsidRPr="002C0DC3" w14:paraId="040C0226" w14:textId="77777777" w:rsidTr="002C0DC3">
        <w:trPr>
          <w:trHeight w:val="275"/>
          <w:tblHeader/>
          <w:jc w:val="center"/>
        </w:trPr>
        <w:tc>
          <w:tcPr>
            <w:tcW w:w="667" w:type="pct"/>
            <w:vMerge w:val="restart"/>
            <w:shd w:val="clear" w:color="000000" w:fill="D8D8D8"/>
            <w:noWrap/>
            <w:vAlign w:val="center"/>
          </w:tcPr>
          <w:p w14:paraId="2180B075"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Variable</w:t>
            </w:r>
          </w:p>
        </w:tc>
        <w:tc>
          <w:tcPr>
            <w:tcW w:w="3385" w:type="pct"/>
            <w:gridSpan w:val="8"/>
            <w:shd w:val="clear" w:color="000000" w:fill="E2EFD9"/>
            <w:noWrap/>
            <w:vAlign w:val="center"/>
          </w:tcPr>
          <w:p w14:paraId="60FE3DA9"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Movimientos ocurridos por año</w:t>
            </w:r>
          </w:p>
        </w:tc>
        <w:tc>
          <w:tcPr>
            <w:tcW w:w="948" w:type="pct"/>
            <w:gridSpan w:val="2"/>
            <w:shd w:val="clear" w:color="000000" w:fill="DEEBF6"/>
            <w:noWrap/>
            <w:vAlign w:val="center"/>
          </w:tcPr>
          <w:p w14:paraId="14906F56"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Proyecciones</w:t>
            </w:r>
          </w:p>
        </w:tc>
      </w:tr>
      <w:tr w:rsidR="002C0DC3" w:rsidRPr="002C0DC3" w14:paraId="3FD1C213" w14:textId="77777777" w:rsidTr="002C0DC3">
        <w:trPr>
          <w:trHeight w:val="275"/>
          <w:tblHeader/>
          <w:jc w:val="center"/>
        </w:trPr>
        <w:tc>
          <w:tcPr>
            <w:tcW w:w="667" w:type="pct"/>
            <w:vMerge/>
            <w:shd w:val="clear" w:color="000000" w:fill="D8D8D8"/>
            <w:noWrap/>
            <w:vAlign w:val="center"/>
          </w:tcPr>
          <w:p w14:paraId="5BBB1F5B"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p>
        </w:tc>
        <w:tc>
          <w:tcPr>
            <w:tcW w:w="410" w:type="pct"/>
            <w:shd w:val="clear" w:color="000000" w:fill="E2EFD9"/>
            <w:noWrap/>
            <w:vAlign w:val="center"/>
          </w:tcPr>
          <w:p w14:paraId="34AEBEB3"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2013</w:t>
            </w:r>
          </w:p>
        </w:tc>
        <w:tc>
          <w:tcPr>
            <w:tcW w:w="410" w:type="pct"/>
            <w:shd w:val="clear" w:color="000000" w:fill="E2EFD9"/>
            <w:noWrap/>
            <w:vAlign w:val="center"/>
          </w:tcPr>
          <w:p w14:paraId="2ED6AE4C"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2014</w:t>
            </w:r>
          </w:p>
        </w:tc>
        <w:tc>
          <w:tcPr>
            <w:tcW w:w="410" w:type="pct"/>
            <w:shd w:val="clear" w:color="000000" w:fill="E2EFD9"/>
            <w:noWrap/>
            <w:vAlign w:val="center"/>
          </w:tcPr>
          <w:p w14:paraId="7CE96835"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2015</w:t>
            </w:r>
          </w:p>
        </w:tc>
        <w:tc>
          <w:tcPr>
            <w:tcW w:w="410" w:type="pct"/>
            <w:shd w:val="clear" w:color="000000" w:fill="E2EFD9"/>
            <w:noWrap/>
            <w:vAlign w:val="center"/>
          </w:tcPr>
          <w:p w14:paraId="214FA7DA"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2016</w:t>
            </w:r>
          </w:p>
        </w:tc>
        <w:tc>
          <w:tcPr>
            <w:tcW w:w="410" w:type="pct"/>
            <w:shd w:val="clear" w:color="000000" w:fill="E2EFD9"/>
            <w:noWrap/>
            <w:vAlign w:val="center"/>
          </w:tcPr>
          <w:p w14:paraId="07E70D92"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2017</w:t>
            </w:r>
          </w:p>
        </w:tc>
        <w:tc>
          <w:tcPr>
            <w:tcW w:w="411" w:type="pct"/>
            <w:shd w:val="clear" w:color="000000" w:fill="E2EFD9"/>
            <w:noWrap/>
            <w:vAlign w:val="center"/>
          </w:tcPr>
          <w:p w14:paraId="4600566E"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2018</w:t>
            </w:r>
          </w:p>
        </w:tc>
        <w:tc>
          <w:tcPr>
            <w:tcW w:w="447" w:type="pct"/>
            <w:shd w:val="clear" w:color="000000" w:fill="E2EFD9"/>
            <w:noWrap/>
          </w:tcPr>
          <w:p w14:paraId="1600A33D"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2019</w:t>
            </w:r>
          </w:p>
        </w:tc>
        <w:tc>
          <w:tcPr>
            <w:tcW w:w="477" w:type="pct"/>
            <w:shd w:val="clear" w:color="auto" w:fill="E2EFD9"/>
          </w:tcPr>
          <w:p w14:paraId="31831681"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2020</w:t>
            </w:r>
          </w:p>
        </w:tc>
        <w:tc>
          <w:tcPr>
            <w:tcW w:w="474" w:type="pct"/>
            <w:shd w:val="clear" w:color="000000" w:fill="DEEBF6"/>
            <w:noWrap/>
            <w:vAlign w:val="center"/>
          </w:tcPr>
          <w:p w14:paraId="0D032750"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2021</w:t>
            </w:r>
          </w:p>
        </w:tc>
        <w:tc>
          <w:tcPr>
            <w:tcW w:w="474" w:type="pct"/>
            <w:shd w:val="clear" w:color="000000" w:fill="DEEBF6"/>
            <w:noWrap/>
            <w:vAlign w:val="center"/>
          </w:tcPr>
          <w:p w14:paraId="4D07D060"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2021</w:t>
            </w:r>
          </w:p>
        </w:tc>
      </w:tr>
      <w:tr w:rsidR="002C0DC3" w:rsidRPr="002C0DC3" w14:paraId="30FE300F" w14:textId="77777777" w:rsidTr="002C0DC3">
        <w:trPr>
          <w:trHeight w:val="275"/>
          <w:jc w:val="center"/>
        </w:trPr>
        <w:tc>
          <w:tcPr>
            <w:tcW w:w="667" w:type="pct"/>
            <w:shd w:val="clear" w:color="000000" w:fill="D8D8D8"/>
            <w:noWrap/>
            <w:vAlign w:val="center"/>
            <w:hideMark/>
          </w:tcPr>
          <w:p w14:paraId="6D0F2C84" w14:textId="77777777" w:rsidR="002C0DC3" w:rsidRPr="002C0DC3" w:rsidRDefault="002C0DC3" w:rsidP="002C0DC3">
            <w:pPr>
              <w:widowControl w:val="0"/>
              <w:suppressAutoHyphens w:val="0"/>
              <w:autoSpaceDE w:val="0"/>
              <w:autoSpaceDN w:val="0"/>
              <w:adjustRightInd w:val="0"/>
              <w:jc w:val="both"/>
              <w:rPr>
                <w:rFonts w:eastAsia="Calibri"/>
                <w:lang w:val="es-CR" w:eastAsia="es-CR"/>
              </w:rPr>
            </w:pPr>
            <w:r w:rsidRPr="002C0DC3">
              <w:rPr>
                <w:rFonts w:eastAsia="Calibri"/>
                <w:lang w:val="es-CR" w:eastAsia="es-CR"/>
              </w:rPr>
              <w:t>Terminados</w:t>
            </w:r>
          </w:p>
        </w:tc>
        <w:tc>
          <w:tcPr>
            <w:tcW w:w="410" w:type="pct"/>
            <w:shd w:val="clear" w:color="000000" w:fill="E2EFD9"/>
            <w:noWrap/>
          </w:tcPr>
          <w:p w14:paraId="7A2BA71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54.966</w:t>
            </w:r>
          </w:p>
        </w:tc>
        <w:tc>
          <w:tcPr>
            <w:tcW w:w="410" w:type="pct"/>
            <w:shd w:val="clear" w:color="000000" w:fill="E2EFD9"/>
            <w:noWrap/>
          </w:tcPr>
          <w:p w14:paraId="77B5B67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77.672</w:t>
            </w:r>
          </w:p>
        </w:tc>
        <w:tc>
          <w:tcPr>
            <w:tcW w:w="410" w:type="pct"/>
            <w:shd w:val="clear" w:color="000000" w:fill="E2EFD9"/>
            <w:noWrap/>
          </w:tcPr>
          <w:p w14:paraId="11257AA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74.323</w:t>
            </w:r>
          </w:p>
        </w:tc>
        <w:tc>
          <w:tcPr>
            <w:tcW w:w="410" w:type="pct"/>
            <w:shd w:val="clear" w:color="000000" w:fill="E2EFD9"/>
            <w:noWrap/>
          </w:tcPr>
          <w:p w14:paraId="65DF0B8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73.979</w:t>
            </w:r>
          </w:p>
        </w:tc>
        <w:tc>
          <w:tcPr>
            <w:tcW w:w="410" w:type="pct"/>
            <w:shd w:val="clear" w:color="000000" w:fill="E2EFD9"/>
            <w:noWrap/>
          </w:tcPr>
          <w:p w14:paraId="38CABA2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71.290</w:t>
            </w:r>
          </w:p>
        </w:tc>
        <w:tc>
          <w:tcPr>
            <w:tcW w:w="411" w:type="pct"/>
            <w:shd w:val="clear" w:color="000000" w:fill="E2EFD9"/>
            <w:noWrap/>
          </w:tcPr>
          <w:p w14:paraId="545417C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80.961</w:t>
            </w:r>
          </w:p>
        </w:tc>
        <w:tc>
          <w:tcPr>
            <w:tcW w:w="447" w:type="pct"/>
            <w:shd w:val="clear" w:color="000000" w:fill="E2EFD9"/>
            <w:noWrap/>
          </w:tcPr>
          <w:p w14:paraId="3921DEB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131.063</w:t>
            </w:r>
          </w:p>
        </w:tc>
        <w:tc>
          <w:tcPr>
            <w:tcW w:w="477" w:type="pct"/>
            <w:shd w:val="clear" w:color="auto" w:fill="E2EFD9"/>
          </w:tcPr>
          <w:p w14:paraId="636960F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98.230</w:t>
            </w:r>
          </w:p>
        </w:tc>
        <w:tc>
          <w:tcPr>
            <w:tcW w:w="474" w:type="pct"/>
            <w:shd w:val="clear" w:color="000000" w:fill="DEEBF6"/>
            <w:noWrap/>
          </w:tcPr>
          <w:p w14:paraId="5CB9480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100.413</w:t>
            </w:r>
          </w:p>
        </w:tc>
        <w:tc>
          <w:tcPr>
            <w:tcW w:w="474" w:type="pct"/>
            <w:shd w:val="clear" w:color="000000" w:fill="DEEBF6"/>
            <w:noWrap/>
          </w:tcPr>
          <w:p w14:paraId="4B0C469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151.679</w:t>
            </w:r>
          </w:p>
        </w:tc>
      </w:tr>
      <w:tr w:rsidR="002C0DC3" w:rsidRPr="002C0DC3" w14:paraId="1AB5D6F1" w14:textId="77777777" w:rsidTr="002C0DC3">
        <w:trPr>
          <w:trHeight w:val="275"/>
          <w:jc w:val="center"/>
        </w:trPr>
        <w:tc>
          <w:tcPr>
            <w:tcW w:w="5000" w:type="pct"/>
            <w:gridSpan w:val="11"/>
            <w:shd w:val="clear" w:color="auto" w:fill="auto"/>
            <w:noWrap/>
            <w:vAlign w:val="center"/>
          </w:tcPr>
          <w:p w14:paraId="22867150" w14:textId="77777777" w:rsidR="002C0DC3" w:rsidRPr="002C0DC3" w:rsidRDefault="002C0DC3" w:rsidP="002C0DC3">
            <w:pPr>
              <w:suppressAutoHyphens w:val="0"/>
              <w:jc w:val="both"/>
              <w:rPr>
                <w:rFonts w:eastAsia="Calibri"/>
                <w:lang w:val="es-CR" w:eastAsia="en-US"/>
              </w:rPr>
            </w:pPr>
            <w:r w:rsidRPr="002C0DC3">
              <w:rPr>
                <w:rFonts w:eastAsia="Calibri"/>
                <w:lang w:val="es-CR" w:eastAsia="en-US"/>
              </w:rPr>
              <w:lastRenderedPageBreak/>
              <w:t>Elaborado por: Subproceso de Estadística, Dirección de Planificación.</w:t>
            </w:r>
          </w:p>
        </w:tc>
      </w:tr>
    </w:tbl>
    <w:p w14:paraId="4D039CF6" w14:textId="77777777" w:rsidR="002C0DC3" w:rsidRPr="002C0DC3" w:rsidRDefault="002C0DC3" w:rsidP="002C0DC3">
      <w:pPr>
        <w:suppressAutoHyphens w:val="0"/>
        <w:jc w:val="both"/>
        <w:rPr>
          <w:rFonts w:eastAsia="Calibri"/>
          <w:lang w:val="es-CR" w:eastAsia="en-US"/>
        </w:rPr>
      </w:pPr>
    </w:p>
    <w:p w14:paraId="1EA9792A" w14:textId="77777777" w:rsidR="002C0DC3" w:rsidRPr="002C0DC3" w:rsidRDefault="002C0DC3" w:rsidP="002C0DC3">
      <w:pPr>
        <w:keepNext/>
        <w:keepLines/>
        <w:numPr>
          <w:ilvl w:val="1"/>
          <w:numId w:val="0"/>
        </w:numPr>
        <w:suppressAutoHyphens w:val="0"/>
        <w:ind w:left="851" w:right="851" w:firstLine="709"/>
        <w:jc w:val="both"/>
        <w:rPr>
          <w:b/>
          <w:lang w:val="es-CR" w:eastAsia="es-CR"/>
        </w:rPr>
      </w:pPr>
      <w:r w:rsidRPr="002C0DC3">
        <w:rPr>
          <w:b/>
          <w:lang w:val="es-CR" w:eastAsia="es-CR"/>
        </w:rPr>
        <w:t>Proyección de Circulante Final</w:t>
      </w:r>
    </w:p>
    <w:p w14:paraId="6699F408" w14:textId="77777777" w:rsidR="002C0DC3" w:rsidRPr="002C0DC3" w:rsidRDefault="002C0DC3" w:rsidP="002C0DC3">
      <w:pPr>
        <w:suppressAutoHyphens w:val="0"/>
        <w:ind w:left="851" w:right="851" w:firstLine="709"/>
        <w:jc w:val="both"/>
        <w:rPr>
          <w:rFonts w:eastAsia="Calibri"/>
          <w:lang w:val="es-CR" w:eastAsia="en-US"/>
        </w:rPr>
      </w:pPr>
    </w:p>
    <w:p w14:paraId="3B33C47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Mediante la utilización del método de pronóstico denominado “Redes Neuronales de retroalimentación”, se obtiene un pronóstico del </w:t>
      </w:r>
      <w:r w:rsidRPr="002C0DC3">
        <w:rPr>
          <w:rFonts w:eastAsia="Calibri"/>
          <w:i/>
          <w:iCs/>
          <w:lang w:val="es-CR" w:eastAsia="en-US"/>
        </w:rPr>
        <w:t>Circulante Final</w:t>
      </w:r>
      <w:r w:rsidRPr="002C0DC3">
        <w:rPr>
          <w:rFonts w:eastAsia="Calibri"/>
          <w:lang w:val="es-CR" w:eastAsia="en-US"/>
        </w:rPr>
        <w:t xml:space="preserve"> para la primerea instancia de la materia Cobratoria, en cuyo caso se determina que para el 2021 ingresarán aproximadamente 878.221 asuntos y en 2022 alrededor de 888.990. A continuación, se presenta el cuadro N°16 con el de detalle.</w:t>
      </w:r>
    </w:p>
    <w:p w14:paraId="4C045F0C" w14:textId="77777777" w:rsidR="002C0DC3" w:rsidRPr="002C0DC3" w:rsidRDefault="002C0DC3" w:rsidP="002C0DC3">
      <w:pPr>
        <w:suppressAutoHyphens w:val="0"/>
        <w:ind w:left="851" w:right="851" w:firstLine="709"/>
        <w:jc w:val="both"/>
        <w:rPr>
          <w:rFonts w:eastAsia="Calibri"/>
          <w:lang w:val="es-CR" w:eastAsia="en-US"/>
        </w:rPr>
      </w:pPr>
    </w:p>
    <w:p w14:paraId="5EBF1F15"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Cuadro N°10.1.3</w:t>
      </w:r>
    </w:p>
    <w:p w14:paraId="7041B5AD" w14:textId="0E14C677" w:rsidR="002C0DC3" w:rsidRDefault="002C0DC3" w:rsidP="00B31AC4">
      <w:pPr>
        <w:widowControl w:val="0"/>
        <w:suppressAutoHyphens w:val="0"/>
        <w:autoSpaceDE w:val="0"/>
        <w:autoSpaceDN w:val="0"/>
        <w:adjustRightInd w:val="0"/>
        <w:ind w:left="851" w:right="851" w:firstLine="709"/>
        <w:jc w:val="center"/>
        <w:rPr>
          <w:rFonts w:eastAsia="Calibri"/>
          <w:b/>
          <w:lang w:val="es-CR" w:eastAsia="en-US"/>
        </w:rPr>
      </w:pPr>
      <w:r w:rsidRPr="002C0DC3">
        <w:rPr>
          <w:rFonts w:eastAsia="Calibri"/>
          <w:b/>
          <w:lang w:val="es-CR" w:eastAsia="en-US"/>
        </w:rPr>
        <w:t>Juzgados de Cobro Judicial: Circulante al finalizar el año durante el período</w:t>
      </w:r>
      <w:r w:rsidR="00B31AC4">
        <w:rPr>
          <w:rFonts w:eastAsia="Calibri"/>
          <w:b/>
          <w:lang w:val="es-CR" w:eastAsia="en-US"/>
        </w:rPr>
        <w:t xml:space="preserve"> </w:t>
      </w:r>
      <w:r w:rsidRPr="002C0DC3">
        <w:rPr>
          <w:rFonts w:eastAsia="Calibri"/>
          <w:b/>
          <w:lang w:val="es-CR" w:eastAsia="en-US"/>
        </w:rPr>
        <w:t>2013-2020 y proyecciones estadísticas para el bienio 2021-2022</w:t>
      </w:r>
    </w:p>
    <w:p w14:paraId="4E0E7EB9" w14:textId="77777777" w:rsidR="00B31AC4" w:rsidRPr="002C0DC3" w:rsidRDefault="00B31AC4" w:rsidP="00B31AC4">
      <w:pPr>
        <w:widowControl w:val="0"/>
        <w:suppressAutoHyphens w:val="0"/>
        <w:autoSpaceDE w:val="0"/>
        <w:autoSpaceDN w:val="0"/>
        <w:adjustRightInd w:val="0"/>
        <w:ind w:left="851" w:right="851" w:firstLine="709"/>
        <w:jc w:val="center"/>
        <w:rPr>
          <w:rFonts w:eastAsia="Calibri"/>
          <w:b/>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700"/>
        <w:gridCol w:w="803"/>
        <w:gridCol w:w="804"/>
        <w:gridCol w:w="804"/>
        <w:gridCol w:w="804"/>
        <w:gridCol w:w="804"/>
        <w:gridCol w:w="804"/>
        <w:gridCol w:w="804"/>
        <w:gridCol w:w="804"/>
        <w:gridCol w:w="804"/>
      </w:tblGrid>
      <w:tr w:rsidR="002C0DC3" w:rsidRPr="002C0DC3" w14:paraId="4FCB9344" w14:textId="77777777" w:rsidTr="002C0DC3">
        <w:trPr>
          <w:trHeight w:val="300"/>
          <w:tblHeader/>
          <w:jc w:val="center"/>
        </w:trPr>
        <w:tc>
          <w:tcPr>
            <w:tcW w:w="882" w:type="pct"/>
            <w:vMerge w:val="restart"/>
            <w:shd w:val="clear" w:color="000000" w:fill="D8D8D8"/>
            <w:noWrap/>
            <w:vAlign w:val="center"/>
          </w:tcPr>
          <w:p w14:paraId="23E3963A"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Variable</w:t>
            </w:r>
          </w:p>
        </w:tc>
        <w:tc>
          <w:tcPr>
            <w:tcW w:w="3294" w:type="pct"/>
            <w:gridSpan w:val="8"/>
            <w:shd w:val="clear" w:color="000000" w:fill="E2EFD9"/>
            <w:noWrap/>
            <w:vAlign w:val="center"/>
          </w:tcPr>
          <w:p w14:paraId="6D06E398"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Movimientos ocurridos por año</w:t>
            </w:r>
          </w:p>
        </w:tc>
        <w:tc>
          <w:tcPr>
            <w:tcW w:w="824" w:type="pct"/>
            <w:gridSpan w:val="2"/>
            <w:shd w:val="clear" w:color="000000" w:fill="DEEBF6"/>
            <w:noWrap/>
            <w:vAlign w:val="center"/>
          </w:tcPr>
          <w:p w14:paraId="3C5624B9"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Proyecciones</w:t>
            </w:r>
          </w:p>
        </w:tc>
      </w:tr>
      <w:tr w:rsidR="002C0DC3" w:rsidRPr="002C0DC3" w14:paraId="21E59D7A" w14:textId="77777777" w:rsidTr="002C0DC3">
        <w:trPr>
          <w:trHeight w:val="300"/>
          <w:tblHeader/>
          <w:jc w:val="center"/>
        </w:trPr>
        <w:tc>
          <w:tcPr>
            <w:tcW w:w="882" w:type="pct"/>
            <w:vMerge/>
            <w:shd w:val="clear" w:color="000000" w:fill="D8D8D8"/>
            <w:noWrap/>
            <w:vAlign w:val="center"/>
          </w:tcPr>
          <w:p w14:paraId="4FDD6B2C"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p>
        </w:tc>
        <w:tc>
          <w:tcPr>
            <w:tcW w:w="410" w:type="pct"/>
            <w:shd w:val="clear" w:color="000000" w:fill="E2EFD9"/>
            <w:noWrap/>
            <w:vAlign w:val="center"/>
          </w:tcPr>
          <w:p w14:paraId="7C655E28"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2013</w:t>
            </w:r>
          </w:p>
        </w:tc>
        <w:tc>
          <w:tcPr>
            <w:tcW w:w="410" w:type="pct"/>
            <w:shd w:val="clear" w:color="000000" w:fill="E2EFD9"/>
            <w:noWrap/>
            <w:vAlign w:val="center"/>
          </w:tcPr>
          <w:p w14:paraId="57DA294E"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2014</w:t>
            </w:r>
          </w:p>
        </w:tc>
        <w:tc>
          <w:tcPr>
            <w:tcW w:w="410" w:type="pct"/>
            <w:shd w:val="clear" w:color="000000" w:fill="E2EFD9"/>
            <w:noWrap/>
            <w:vAlign w:val="center"/>
          </w:tcPr>
          <w:p w14:paraId="676F6A14"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2015</w:t>
            </w:r>
          </w:p>
        </w:tc>
        <w:tc>
          <w:tcPr>
            <w:tcW w:w="412" w:type="pct"/>
            <w:shd w:val="clear" w:color="000000" w:fill="E2EFD9"/>
            <w:noWrap/>
            <w:vAlign w:val="center"/>
          </w:tcPr>
          <w:p w14:paraId="38456BD0"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2016</w:t>
            </w:r>
          </w:p>
        </w:tc>
        <w:tc>
          <w:tcPr>
            <w:tcW w:w="412" w:type="pct"/>
            <w:shd w:val="clear" w:color="000000" w:fill="E2EFD9"/>
            <w:noWrap/>
            <w:vAlign w:val="center"/>
          </w:tcPr>
          <w:p w14:paraId="5A45EFA4"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2017</w:t>
            </w:r>
          </w:p>
        </w:tc>
        <w:tc>
          <w:tcPr>
            <w:tcW w:w="412" w:type="pct"/>
            <w:shd w:val="clear" w:color="000000" w:fill="E2EFD9"/>
            <w:noWrap/>
            <w:vAlign w:val="center"/>
          </w:tcPr>
          <w:p w14:paraId="480741B1"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2018</w:t>
            </w:r>
          </w:p>
        </w:tc>
        <w:tc>
          <w:tcPr>
            <w:tcW w:w="412" w:type="pct"/>
            <w:shd w:val="clear" w:color="000000" w:fill="E2EFD9"/>
            <w:noWrap/>
          </w:tcPr>
          <w:p w14:paraId="596FF858"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2019</w:t>
            </w:r>
          </w:p>
        </w:tc>
        <w:tc>
          <w:tcPr>
            <w:tcW w:w="416" w:type="pct"/>
            <w:shd w:val="clear" w:color="auto" w:fill="E2EFD9"/>
          </w:tcPr>
          <w:p w14:paraId="37972807"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p>
        </w:tc>
        <w:tc>
          <w:tcPr>
            <w:tcW w:w="413" w:type="pct"/>
            <w:shd w:val="clear" w:color="000000" w:fill="DEEBF6"/>
            <w:noWrap/>
            <w:vAlign w:val="center"/>
          </w:tcPr>
          <w:p w14:paraId="3CE76923"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2021</w:t>
            </w:r>
          </w:p>
        </w:tc>
        <w:tc>
          <w:tcPr>
            <w:tcW w:w="410" w:type="pct"/>
            <w:shd w:val="clear" w:color="000000" w:fill="DEEBF6"/>
            <w:noWrap/>
            <w:vAlign w:val="center"/>
          </w:tcPr>
          <w:p w14:paraId="14B94054"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s-CR"/>
              </w:rPr>
              <w:t>2022</w:t>
            </w:r>
          </w:p>
        </w:tc>
      </w:tr>
      <w:tr w:rsidR="002C0DC3" w:rsidRPr="002C0DC3" w14:paraId="635FA804" w14:textId="77777777" w:rsidTr="002C0DC3">
        <w:trPr>
          <w:trHeight w:val="300"/>
          <w:jc w:val="center"/>
        </w:trPr>
        <w:tc>
          <w:tcPr>
            <w:tcW w:w="882" w:type="pct"/>
            <w:shd w:val="clear" w:color="000000" w:fill="D8D8D8"/>
            <w:noWrap/>
            <w:vAlign w:val="center"/>
            <w:hideMark/>
          </w:tcPr>
          <w:p w14:paraId="00D70553" w14:textId="77777777" w:rsidR="002C0DC3" w:rsidRPr="002C0DC3" w:rsidRDefault="002C0DC3" w:rsidP="002C0DC3">
            <w:pPr>
              <w:widowControl w:val="0"/>
              <w:suppressAutoHyphens w:val="0"/>
              <w:autoSpaceDE w:val="0"/>
              <w:autoSpaceDN w:val="0"/>
              <w:adjustRightInd w:val="0"/>
              <w:jc w:val="both"/>
              <w:rPr>
                <w:rFonts w:eastAsia="Calibri"/>
                <w:lang w:val="es-CR" w:eastAsia="es-CR"/>
              </w:rPr>
            </w:pPr>
            <w:r w:rsidRPr="002C0DC3">
              <w:rPr>
                <w:rFonts w:eastAsia="Calibri"/>
                <w:lang w:val="es-CR" w:eastAsia="es-CR"/>
              </w:rPr>
              <w:t xml:space="preserve">Circulante Final </w:t>
            </w:r>
          </w:p>
        </w:tc>
        <w:tc>
          <w:tcPr>
            <w:tcW w:w="410" w:type="pct"/>
            <w:shd w:val="clear" w:color="000000" w:fill="E2EFD9"/>
            <w:noWrap/>
            <w:vAlign w:val="bottom"/>
          </w:tcPr>
          <w:p w14:paraId="53F3F6E0"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97.795</w:t>
            </w:r>
          </w:p>
        </w:tc>
        <w:tc>
          <w:tcPr>
            <w:tcW w:w="410" w:type="pct"/>
            <w:shd w:val="clear" w:color="000000" w:fill="E2EFD9"/>
            <w:noWrap/>
            <w:vAlign w:val="bottom"/>
          </w:tcPr>
          <w:p w14:paraId="5152D24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117.851</w:t>
            </w:r>
          </w:p>
        </w:tc>
        <w:tc>
          <w:tcPr>
            <w:tcW w:w="410" w:type="pct"/>
            <w:shd w:val="clear" w:color="000000" w:fill="E2EFD9"/>
            <w:noWrap/>
            <w:vAlign w:val="bottom"/>
          </w:tcPr>
          <w:p w14:paraId="7159F07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424.203</w:t>
            </w:r>
          </w:p>
        </w:tc>
        <w:tc>
          <w:tcPr>
            <w:tcW w:w="412" w:type="pct"/>
            <w:shd w:val="clear" w:color="000000" w:fill="E2EFD9"/>
            <w:noWrap/>
            <w:vAlign w:val="bottom"/>
          </w:tcPr>
          <w:p w14:paraId="226AFD0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453.169</w:t>
            </w:r>
          </w:p>
        </w:tc>
        <w:tc>
          <w:tcPr>
            <w:tcW w:w="412" w:type="pct"/>
            <w:shd w:val="clear" w:color="000000" w:fill="E2EFD9"/>
            <w:noWrap/>
            <w:vAlign w:val="bottom"/>
          </w:tcPr>
          <w:p w14:paraId="7D7A538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536.846</w:t>
            </w:r>
          </w:p>
        </w:tc>
        <w:tc>
          <w:tcPr>
            <w:tcW w:w="412" w:type="pct"/>
            <w:shd w:val="clear" w:color="000000" w:fill="E2EFD9"/>
            <w:noWrap/>
            <w:vAlign w:val="bottom"/>
          </w:tcPr>
          <w:p w14:paraId="58E4502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667.887</w:t>
            </w:r>
          </w:p>
        </w:tc>
        <w:tc>
          <w:tcPr>
            <w:tcW w:w="412" w:type="pct"/>
            <w:shd w:val="clear" w:color="000000" w:fill="E2EFD9"/>
            <w:noWrap/>
          </w:tcPr>
          <w:p w14:paraId="49E3621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748.156</w:t>
            </w:r>
          </w:p>
        </w:tc>
        <w:tc>
          <w:tcPr>
            <w:tcW w:w="416" w:type="pct"/>
            <w:shd w:val="clear" w:color="auto" w:fill="E2EFD9"/>
          </w:tcPr>
          <w:p w14:paraId="33373DF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832.682</w:t>
            </w:r>
          </w:p>
        </w:tc>
        <w:tc>
          <w:tcPr>
            <w:tcW w:w="413" w:type="pct"/>
            <w:shd w:val="clear" w:color="000000" w:fill="DEEBF6"/>
            <w:noWrap/>
          </w:tcPr>
          <w:p w14:paraId="694FE66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878.221</w:t>
            </w:r>
          </w:p>
        </w:tc>
        <w:tc>
          <w:tcPr>
            <w:tcW w:w="410" w:type="pct"/>
            <w:shd w:val="clear" w:color="000000" w:fill="DEEBF6"/>
            <w:noWrap/>
          </w:tcPr>
          <w:p w14:paraId="3946921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888.990</w:t>
            </w:r>
          </w:p>
        </w:tc>
      </w:tr>
      <w:tr w:rsidR="002C0DC3" w:rsidRPr="002C0DC3" w14:paraId="6BFBD4BC" w14:textId="77777777" w:rsidTr="002C0DC3">
        <w:trPr>
          <w:trHeight w:val="300"/>
          <w:jc w:val="center"/>
        </w:trPr>
        <w:tc>
          <w:tcPr>
            <w:tcW w:w="5000" w:type="pct"/>
            <w:gridSpan w:val="11"/>
            <w:shd w:val="clear" w:color="auto" w:fill="auto"/>
            <w:noWrap/>
            <w:vAlign w:val="center"/>
          </w:tcPr>
          <w:p w14:paraId="67BD809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Elaborado por: Subproceso de Estadística, Dirección de Planificación.</w:t>
            </w:r>
          </w:p>
        </w:tc>
      </w:tr>
    </w:tbl>
    <w:p w14:paraId="371D1800" w14:textId="77777777" w:rsidR="002C0DC3" w:rsidRPr="002C0DC3" w:rsidRDefault="002C0DC3" w:rsidP="002C0DC3">
      <w:pPr>
        <w:widowControl w:val="0"/>
        <w:tabs>
          <w:tab w:val="left" w:pos="1352"/>
        </w:tabs>
        <w:suppressAutoHyphens w:val="0"/>
        <w:autoSpaceDE w:val="0"/>
        <w:autoSpaceDN w:val="0"/>
        <w:adjustRightInd w:val="0"/>
        <w:jc w:val="both"/>
        <w:rPr>
          <w:rFonts w:eastAsia="Calibri"/>
          <w:lang w:val="es-CR" w:eastAsia="en-US"/>
        </w:rPr>
      </w:pPr>
    </w:p>
    <w:p w14:paraId="722E7A75" w14:textId="77777777" w:rsidR="002C0DC3" w:rsidRPr="002C0DC3" w:rsidRDefault="002C0DC3" w:rsidP="002C0DC3">
      <w:pPr>
        <w:suppressAutoHyphens w:val="0"/>
        <w:ind w:left="851" w:right="851" w:firstLine="709"/>
        <w:jc w:val="both"/>
        <w:rPr>
          <w:rFonts w:eastAsia="Calibri"/>
          <w:lang w:val="es-CR" w:eastAsia="en-US"/>
        </w:rPr>
      </w:pPr>
    </w:p>
    <w:p w14:paraId="7C1CDF20" w14:textId="77777777" w:rsidR="002C0DC3" w:rsidRPr="002C0DC3" w:rsidRDefault="002C0DC3" w:rsidP="002C0DC3">
      <w:pPr>
        <w:keepNext/>
        <w:keepLines/>
        <w:suppressAutoHyphens w:val="0"/>
        <w:ind w:left="851" w:right="851" w:firstLine="709"/>
        <w:jc w:val="both"/>
        <w:rPr>
          <w:b/>
          <w:lang w:val="es-CR" w:eastAsia="es-CR"/>
        </w:rPr>
      </w:pPr>
      <w:bookmarkStart w:id="19" w:name="_Toc56516265"/>
      <w:bookmarkStart w:id="20" w:name="_Toc80351028"/>
      <w:r w:rsidRPr="002C0DC3">
        <w:rPr>
          <w:b/>
          <w:lang w:val="es-CR" w:eastAsia="es-CR"/>
        </w:rPr>
        <w:t>Variables con perspectiva de género</w:t>
      </w:r>
      <w:bookmarkEnd w:id="19"/>
      <w:bookmarkEnd w:id="20"/>
    </w:p>
    <w:p w14:paraId="7AA8BBF1" w14:textId="77777777" w:rsidR="002C0DC3" w:rsidRPr="002C0DC3" w:rsidRDefault="002C0DC3" w:rsidP="002C0DC3">
      <w:pPr>
        <w:suppressAutoHyphens w:val="0"/>
        <w:ind w:left="851" w:right="851" w:firstLine="709"/>
        <w:jc w:val="both"/>
        <w:rPr>
          <w:rFonts w:eastAsia="Calibri"/>
          <w:lang w:val="es-CR" w:eastAsia="en-US"/>
        </w:rPr>
      </w:pPr>
    </w:p>
    <w:p w14:paraId="363F0D5A"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bCs/>
          <w:lang w:val="es-CR" w:eastAsia="en-US"/>
        </w:rPr>
      </w:pPr>
      <w:r w:rsidRPr="002C0DC3">
        <w:rPr>
          <w:rFonts w:eastAsia="Calibri"/>
          <w:b/>
          <w:bCs/>
          <w:lang w:val="es-CR" w:eastAsia="en-US"/>
        </w:rPr>
        <w:t>Cuadro N°11.1</w:t>
      </w:r>
    </w:p>
    <w:p w14:paraId="34F53C68" w14:textId="4D93319E" w:rsidR="002C0DC3" w:rsidRDefault="002C0DC3" w:rsidP="00B31AC4">
      <w:pPr>
        <w:widowControl w:val="0"/>
        <w:suppressAutoHyphens w:val="0"/>
        <w:autoSpaceDE w:val="0"/>
        <w:autoSpaceDN w:val="0"/>
        <w:adjustRightInd w:val="0"/>
        <w:ind w:left="851" w:right="851" w:firstLine="709"/>
        <w:jc w:val="center"/>
        <w:rPr>
          <w:rFonts w:eastAsia="Calibri"/>
          <w:b/>
          <w:bCs/>
          <w:lang w:val="es-CR" w:eastAsia="en-US"/>
        </w:rPr>
      </w:pPr>
      <w:r w:rsidRPr="002C0DC3">
        <w:rPr>
          <w:rFonts w:eastAsia="Calibri"/>
          <w:b/>
          <w:bCs/>
          <w:lang w:val="es-CR" w:eastAsia="en-US"/>
        </w:rPr>
        <w:t>Juzgados de Cobro Judicial: Personas intervinientes en los procesos judiciales</w:t>
      </w:r>
      <w:r w:rsidR="00B31AC4">
        <w:rPr>
          <w:rFonts w:eastAsia="Calibri"/>
          <w:b/>
          <w:bCs/>
          <w:lang w:val="es-CR" w:eastAsia="en-US"/>
        </w:rPr>
        <w:t xml:space="preserve"> </w:t>
      </w:r>
      <w:r w:rsidRPr="002C0DC3">
        <w:rPr>
          <w:rFonts w:eastAsia="Calibri"/>
          <w:b/>
          <w:bCs/>
          <w:lang w:val="es-CR" w:eastAsia="en-US"/>
        </w:rPr>
        <w:t>según Circuito Judicial, tipo de parte y sexo durante el 2020</w:t>
      </w:r>
    </w:p>
    <w:p w14:paraId="22E366D2" w14:textId="77777777" w:rsidR="00B31AC4" w:rsidRPr="002C0DC3" w:rsidRDefault="00B31AC4" w:rsidP="00B31AC4">
      <w:pPr>
        <w:widowControl w:val="0"/>
        <w:suppressAutoHyphens w:val="0"/>
        <w:autoSpaceDE w:val="0"/>
        <w:autoSpaceDN w:val="0"/>
        <w:adjustRightInd w:val="0"/>
        <w:ind w:left="851" w:right="851" w:firstLine="709"/>
        <w:jc w:val="center"/>
        <w:rPr>
          <w:rFonts w:eastAsia="Calibri"/>
          <w:b/>
          <w:bCs/>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802"/>
        <w:gridCol w:w="863"/>
        <w:gridCol w:w="691"/>
        <w:gridCol w:w="691"/>
        <w:gridCol w:w="863"/>
        <w:gridCol w:w="691"/>
        <w:gridCol w:w="802"/>
        <w:gridCol w:w="863"/>
        <w:gridCol w:w="691"/>
      </w:tblGrid>
      <w:tr w:rsidR="002C0DC3" w:rsidRPr="002C0DC3" w14:paraId="59196E4D" w14:textId="77777777" w:rsidTr="002C0DC3">
        <w:trPr>
          <w:trHeight w:val="264"/>
          <w:tblHeader/>
          <w:jc w:val="center"/>
        </w:trPr>
        <w:tc>
          <w:tcPr>
            <w:tcW w:w="1212" w:type="pct"/>
            <w:shd w:val="clear" w:color="auto" w:fill="auto"/>
            <w:noWrap/>
            <w:vAlign w:val="center"/>
            <w:hideMark/>
          </w:tcPr>
          <w:p w14:paraId="3F1B2EE2" w14:textId="77777777" w:rsidR="002C0DC3" w:rsidRPr="002C0DC3" w:rsidRDefault="002C0DC3" w:rsidP="002C0DC3">
            <w:pPr>
              <w:widowControl w:val="0"/>
              <w:suppressAutoHyphens w:val="0"/>
              <w:autoSpaceDE w:val="0"/>
              <w:autoSpaceDN w:val="0"/>
              <w:adjustRightInd w:val="0"/>
              <w:jc w:val="both"/>
              <w:rPr>
                <w:rFonts w:eastAsia="Calibri"/>
                <w:lang w:val="es-CR" w:eastAsia="es-CR"/>
              </w:rPr>
            </w:pPr>
            <w:r w:rsidRPr="002C0DC3">
              <w:rPr>
                <w:rFonts w:eastAsia="Calibri"/>
                <w:lang w:val="es-CR" w:eastAsia="en-US"/>
              </w:rPr>
              <w:t> </w:t>
            </w:r>
          </w:p>
        </w:tc>
        <w:tc>
          <w:tcPr>
            <w:tcW w:w="3788" w:type="pct"/>
            <w:gridSpan w:val="9"/>
            <w:shd w:val="clear" w:color="auto" w:fill="auto"/>
            <w:noWrap/>
            <w:vAlign w:val="center"/>
            <w:hideMark/>
          </w:tcPr>
          <w:p w14:paraId="10E26A6C"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Parte del proceso y Sexo</w:t>
            </w:r>
          </w:p>
        </w:tc>
      </w:tr>
      <w:tr w:rsidR="002C0DC3" w:rsidRPr="002C0DC3" w14:paraId="5CA94D85" w14:textId="77777777" w:rsidTr="002C0DC3">
        <w:trPr>
          <w:trHeight w:val="264"/>
          <w:tblHeader/>
          <w:jc w:val="center"/>
        </w:trPr>
        <w:tc>
          <w:tcPr>
            <w:tcW w:w="1212" w:type="pct"/>
            <w:shd w:val="clear" w:color="auto" w:fill="auto"/>
            <w:noWrap/>
            <w:vAlign w:val="center"/>
            <w:hideMark/>
          </w:tcPr>
          <w:p w14:paraId="3FA95B3C"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Circuito Judicial</w:t>
            </w:r>
          </w:p>
        </w:tc>
        <w:tc>
          <w:tcPr>
            <w:tcW w:w="1297" w:type="pct"/>
            <w:gridSpan w:val="3"/>
            <w:shd w:val="clear" w:color="auto" w:fill="auto"/>
            <w:noWrap/>
            <w:vAlign w:val="center"/>
            <w:hideMark/>
          </w:tcPr>
          <w:p w14:paraId="5F1DEFC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Ambas partes</w:t>
            </w:r>
          </w:p>
        </w:tc>
        <w:tc>
          <w:tcPr>
            <w:tcW w:w="1236" w:type="pct"/>
            <w:gridSpan w:val="3"/>
            <w:shd w:val="clear" w:color="auto" w:fill="auto"/>
            <w:noWrap/>
            <w:vAlign w:val="center"/>
            <w:hideMark/>
          </w:tcPr>
          <w:p w14:paraId="1A847D1D"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Actor (a)</w:t>
            </w:r>
          </w:p>
        </w:tc>
        <w:tc>
          <w:tcPr>
            <w:tcW w:w="1255" w:type="pct"/>
            <w:gridSpan w:val="3"/>
            <w:shd w:val="clear" w:color="auto" w:fill="auto"/>
            <w:noWrap/>
            <w:vAlign w:val="center"/>
            <w:hideMark/>
          </w:tcPr>
          <w:p w14:paraId="67C07083"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Demandado (a)</w:t>
            </w:r>
          </w:p>
        </w:tc>
      </w:tr>
      <w:tr w:rsidR="002C0DC3" w:rsidRPr="002C0DC3" w14:paraId="683DD9DA" w14:textId="77777777" w:rsidTr="002C0DC3">
        <w:trPr>
          <w:trHeight w:val="264"/>
          <w:tblHeader/>
          <w:jc w:val="center"/>
        </w:trPr>
        <w:tc>
          <w:tcPr>
            <w:tcW w:w="1212" w:type="pct"/>
            <w:shd w:val="clear" w:color="auto" w:fill="auto"/>
            <w:noWrap/>
            <w:vAlign w:val="center"/>
            <w:hideMark/>
          </w:tcPr>
          <w:p w14:paraId="660FD1CA"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 </w:t>
            </w:r>
          </w:p>
        </w:tc>
        <w:tc>
          <w:tcPr>
            <w:tcW w:w="410" w:type="pct"/>
            <w:shd w:val="clear" w:color="auto" w:fill="auto"/>
            <w:noWrap/>
            <w:vAlign w:val="center"/>
            <w:hideMark/>
          </w:tcPr>
          <w:p w14:paraId="07F0107F"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Total</w:t>
            </w:r>
          </w:p>
        </w:tc>
        <w:tc>
          <w:tcPr>
            <w:tcW w:w="476" w:type="pct"/>
            <w:shd w:val="clear" w:color="auto" w:fill="auto"/>
            <w:noWrap/>
            <w:vAlign w:val="center"/>
            <w:hideMark/>
          </w:tcPr>
          <w:p w14:paraId="1FB59102"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Hombre</w:t>
            </w:r>
          </w:p>
        </w:tc>
        <w:tc>
          <w:tcPr>
            <w:tcW w:w="411" w:type="pct"/>
            <w:shd w:val="clear" w:color="auto" w:fill="auto"/>
            <w:noWrap/>
            <w:vAlign w:val="center"/>
            <w:hideMark/>
          </w:tcPr>
          <w:p w14:paraId="1388CE66"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Mujer</w:t>
            </w:r>
          </w:p>
        </w:tc>
        <w:tc>
          <w:tcPr>
            <w:tcW w:w="410" w:type="pct"/>
            <w:shd w:val="clear" w:color="auto" w:fill="auto"/>
            <w:noWrap/>
            <w:vAlign w:val="center"/>
            <w:hideMark/>
          </w:tcPr>
          <w:p w14:paraId="0262DC46"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Total</w:t>
            </w:r>
          </w:p>
        </w:tc>
        <w:tc>
          <w:tcPr>
            <w:tcW w:w="458" w:type="pct"/>
            <w:shd w:val="clear" w:color="auto" w:fill="auto"/>
            <w:noWrap/>
            <w:vAlign w:val="center"/>
            <w:hideMark/>
          </w:tcPr>
          <w:p w14:paraId="25A92C45"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Hombre</w:t>
            </w:r>
          </w:p>
        </w:tc>
        <w:tc>
          <w:tcPr>
            <w:tcW w:w="368" w:type="pct"/>
            <w:shd w:val="clear" w:color="auto" w:fill="auto"/>
            <w:noWrap/>
            <w:vAlign w:val="center"/>
            <w:hideMark/>
          </w:tcPr>
          <w:p w14:paraId="66140771"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Mujer</w:t>
            </w:r>
          </w:p>
        </w:tc>
        <w:tc>
          <w:tcPr>
            <w:tcW w:w="410" w:type="pct"/>
            <w:shd w:val="clear" w:color="auto" w:fill="auto"/>
            <w:noWrap/>
            <w:vAlign w:val="center"/>
            <w:hideMark/>
          </w:tcPr>
          <w:p w14:paraId="296E699F"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Total</w:t>
            </w:r>
          </w:p>
        </w:tc>
        <w:tc>
          <w:tcPr>
            <w:tcW w:w="477" w:type="pct"/>
            <w:shd w:val="clear" w:color="auto" w:fill="auto"/>
            <w:noWrap/>
            <w:vAlign w:val="center"/>
            <w:hideMark/>
          </w:tcPr>
          <w:p w14:paraId="0BD6BE00"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Hombre</w:t>
            </w:r>
          </w:p>
        </w:tc>
        <w:tc>
          <w:tcPr>
            <w:tcW w:w="368" w:type="pct"/>
            <w:shd w:val="clear" w:color="auto" w:fill="auto"/>
            <w:noWrap/>
            <w:vAlign w:val="center"/>
            <w:hideMark/>
          </w:tcPr>
          <w:p w14:paraId="4843B32E"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Mujer</w:t>
            </w:r>
          </w:p>
        </w:tc>
      </w:tr>
      <w:tr w:rsidR="002C0DC3" w:rsidRPr="002C0DC3" w14:paraId="224FDCB6" w14:textId="77777777" w:rsidTr="002C0DC3">
        <w:trPr>
          <w:trHeight w:val="264"/>
          <w:jc w:val="center"/>
        </w:trPr>
        <w:tc>
          <w:tcPr>
            <w:tcW w:w="1212" w:type="pct"/>
            <w:shd w:val="clear" w:color="auto" w:fill="auto"/>
            <w:noWrap/>
            <w:vAlign w:val="center"/>
            <w:hideMark/>
          </w:tcPr>
          <w:p w14:paraId="27DB80D9"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410" w:type="pct"/>
            <w:shd w:val="clear" w:color="auto" w:fill="auto"/>
            <w:noWrap/>
            <w:vAlign w:val="center"/>
            <w:hideMark/>
          </w:tcPr>
          <w:p w14:paraId="2AEAD9F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476" w:type="pct"/>
            <w:shd w:val="clear" w:color="auto" w:fill="auto"/>
            <w:noWrap/>
            <w:vAlign w:val="center"/>
            <w:hideMark/>
          </w:tcPr>
          <w:p w14:paraId="0EB8264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411" w:type="pct"/>
            <w:shd w:val="clear" w:color="auto" w:fill="auto"/>
            <w:noWrap/>
            <w:vAlign w:val="center"/>
            <w:hideMark/>
          </w:tcPr>
          <w:p w14:paraId="49A24EC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410" w:type="pct"/>
            <w:shd w:val="clear" w:color="auto" w:fill="auto"/>
            <w:noWrap/>
            <w:vAlign w:val="center"/>
            <w:hideMark/>
          </w:tcPr>
          <w:p w14:paraId="72B6382F"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458" w:type="pct"/>
            <w:shd w:val="clear" w:color="auto" w:fill="auto"/>
            <w:noWrap/>
            <w:vAlign w:val="center"/>
            <w:hideMark/>
          </w:tcPr>
          <w:p w14:paraId="53964CDF"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368" w:type="pct"/>
            <w:shd w:val="clear" w:color="auto" w:fill="auto"/>
            <w:noWrap/>
            <w:vAlign w:val="center"/>
            <w:hideMark/>
          </w:tcPr>
          <w:p w14:paraId="480FF322"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410" w:type="pct"/>
            <w:shd w:val="clear" w:color="auto" w:fill="auto"/>
            <w:noWrap/>
            <w:vAlign w:val="center"/>
            <w:hideMark/>
          </w:tcPr>
          <w:p w14:paraId="26EF3D50"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477" w:type="pct"/>
            <w:shd w:val="clear" w:color="auto" w:fill="auto"/>
            <w:noWrap/>
            <w:vAlign w:val="center"/>
            <w:hideMark/>
          </w:tcPr>
          <w:p w14:paraId="430FF75C"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368" w:type="pct"/>
            <w:shd w:val="clear" w:color="auto" w:fill="auto"/>
            <w:noWrap/>
            <w:vAlign w:val="center"/>
            <w:hideMark/>
          </w:tcPr>
          <w:p w14:paraId="5691615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r>
      <w:tr w:rsidR="002C0DC3" w:rsidRPr="002C0DC3" w14:paraId="55B845BD" w14:textId="77777777" w:rsidTr="002C0DC3">
        <w:trPr>
          <w:trHeight w:val="264"/>
          <w:jc w:val="center"/>
        </w:trPr>
        <w:tc>
          <w:tcPr>
            <w:tcW w:w="1212" w:type="pct"/>
            <w:shd w:val="clear" w:color="auto" w:fill="auto"/>
            <w:noWrap/>
            <w:vAlign w:val="center"/>
          </w:tcPr>
          <w:p w14:paraId="6CD2FBFE"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410" w:type="pct"/>
            <w:shd w:val="clear" w:color="auto" w:fill="auto"/>
            <w:noWrap/>
            <w:vAlign w:val="center"/>
          </w:tcPr>
          <w:p w14:paraId="751A4338"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226119</w:t>
            </w:r>
          </w:p>
        </w:tc>
        <w:tc>
          <w:tcPr>
            <w:tcW w:w="476" w:type="pct"/>
            <w:shd w:val="clear" w:color="auto" w:fill="auto"/>
            <w:noWrap/>
          </w:tcPr>
          <w:p w14:paraId="0B91B69B"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146041</w:t>
            </w:r>
          </w:p>
        </w:tc>
        <w:tc>
          <w:tcPr>
            <w:tcW w:w="411" w:type="pct"/>
            <w:shd w:val="clear" w:color="auto" w:fill="auto"/>
            <w:noWrap/>
          </w:tcPr>
          <w:p w14:paraId="70170424"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80078</w:t>
            </w:r>
          </w:p>
        </w:tc>
        <w:tc>
          <w:tcPr>
            <w:tcW w:w="410" w:type="pct"/>
            <w:shd w:val="clear" w:color="auto" w:fill="auto"/>
            <w:noWrap/>
            <w:vAlign w:val="center"/>
          </w:tcPr>
          <w:p w14:paraId="3E06BCE2"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44021</w:t>
            </w:r>
          </w:p>
        </w:tc>
        <w:tc>
          <w:tcPr>
            <w:tcW w:w="458" w:type="pct"/>
            <w:shd w:val="clear" w:color="auto" w:fill="auto"/>
            <w:noWrap/>
          </w:tcPr>
          <w:p w14:paraId="238901D8"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27491</w:t>
            </w:r>
          </w:p>
        </w:tc>
        <w:tc>
          <w:tcPr>
            <w:tcW w:w="368" w:type="pct"/>
            <w:shd w:val="clear" w:color="auto" w:fill="auto"/>
            <w:noWrap/>
          </w:tcPr>
          <w:p w14:paraId="5A1889D8"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16530</w:t>
            </w:r>
          </w:p>
        </w:tc>
        <w:tc>
          <w:tcPr>
            <w:tcW w:w="410" w:type="pct"/>
            <w:shd w:val="clear" w:color="auto" w:fill="auto"/>
            <w:noWrap/>
            <w:vAlign w:val="center"/>
          </w:tcPr>
          <w:p w14:paraId="7A6CFD28"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182098</w:t>
            </w:r>
          </w:p>
        </w:tc>
        <w:tc>
          <w:tcPr>
            <w:tcW w:w="477" w:type="pct"/>
            <w:shd w:val="clear" w:color="auto" w:fill="auto"/>
            <w:noWrap/>
          </w:tcPr>
          <w:p w14:paraId="4238D1A1"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118550</w:t>
            </w:r>
          </w:p>
        </w:tc>
        <w:tc>
          <w:tcPr>
            <w:tcW w:w="368" w:type="pct"/>
            <w:shd w:val="clear" w:color="auto" w:fill="auto"/>
            <w:noWrap/>
          </w:tcPr>
          <w:p w14:paraId="18CEEF1F"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63548</w:t>
            </w:r>
          </w:p>
        </w:tc>
      </w:tr>
      <w:tr w:rsidR="002C0DC3" w:rsidRPr="002C0DC3" w14:paraId="235A55C3" w14:textId="77777777" w:rsidTr="002C0DC3">
        <w:trPr>
          <w:trHeight w:val="264"/>
          <w:jc w:val="center"/>
        </w:trPr>
        <w:tc>
          <w:tcPr>
            <w:tcW w:w="1212" w:type="pct"/>
            <w:shd w:val="clear" w:color="auto" w:fill="auto"/>
            <w:noWrap/>
            <w:vAlign w:val="center"/>
          </w:tcPr>
          <w:p w14:paraId="19583675"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lang w:val="es-CR" w:eastAsia="en-US"/>
              </w:rPr>
              <w:t>I Circuito San José</w:t>
            </w:r>
          </w:p>
        </w:tc>
        <w:tc>
          <w:tcPr>
            <w:tcW w:w="410" w:type="pct"/>
            <w:shd w:val="clear" w:color="auto" w:fill="auto"/>
            <w:noWrap/>
          </w:tcPr>
          <w:p w14:paraId="682DF55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61023</w:t>
            </w:r>
          </w:p>
        </w:tc>
        <w:tc>
          <w:tcPr>
            <w:tcW w:w="476" w:type="pct"/>
            <w:shd w:val="clear" w:color="auto" w:fill="auto"/>
            <w:noWrap/>
          </w:tcPr>
          <w:p w14:paraId="462974A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38757</w:t>
            </w:r>
          </w:p>
        </w:tc>
        <w:tc>
          <w:tcPr>
            <w:tcW w:w="411" w:type="pct"/>
            <w:shd w:val="clear" w:color="auto" w:fill="auto"/>
            <w:noWrap/>
          </w:tcPr>
          <w:p w14:paraId="3F6CFC0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22266</w:t>
            </w:r>
          </w:p>
        </w:tc>
        <w:tc>
          <w:tcPr>
            <w:tcW w:w="410" w:type="pct"/>
            <w:shd w:val="clear" w:color="auto" w:fill="auto"/>
            <w:noWrap/>
          </w:tcPr>
          <w:p w14:paraId="530DEF8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9228</w:t>
            </w:r>
          </w:p>
        </w:tc>
        <w:tc>
          <w:tcPr>
            <w:tcW w:w="458" w:type="pct"/>
            <w:shd w:val="clear" w:color="auto" w:fill="auto"/>
            <w:noWrap/>
            <w:vAlign w:val="center"/>
          </w:tcPr>
          <w:p w14:paraId="58AA534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6077</w:t>
            </w:r>
          </w:p>
        </w:tc>
        <w:tc>
          <w:tcPr>
            <w:tcW w:w="368" w:type="pct"/>
            <w:shd w:val="clear" w:color="auto" w:fill="auto"/>
            <w:noWrap/>
            <w:vAlign w:val="center"/>
          </w:tcPr>
          <w:p w14:paraId="194A7B3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3151</w:t>
            </w:r>
          </w:p>
        </w:tc>
        <w:tc>
          <w:tcPr>
            <w:tcW w:w="410" w:type="pct"/>
            <w:shd w:val="clear" w:color="auto" w:fill="auto"/>
            <w:noWrap/>
          </w:tcPr>
          <w:p w14:paraId="59663A2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51789</w:t>
            </w:r>
          </w:p>
        </w:tc>
        <w:tc>
          <w:tcPr>
            <w:tcW w:w="477" w:type="pct"/>
            <w:shd w:val="clear" w:color="auto" w:fill="auto"/>
            <w:noWrap/>
            <w:vAlign w:val="center"/>
          </w:tcPr>
          <w:p w14:paraId="41D110E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32680</w:t>
            </w:r>
          </w:p>
        </w:tc>
        <w:tc>
          <w:tcPr>
            <w:tcW w:w="368" w:type="pct"/>
            <w:shd w:val="clear" w:color="auto" w:fill="auto"/>
            <w:noWrap/>
            <w:vAlign w:val="center"/>
          </w:tcPr>
          <w:p w14:paraId="0C83477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19109</w:t>
            </w:r>
          </w:p>
        </w:tc>
      </w:tr>
      <w:tr w:rsidR="002C0DC3" w:rsidRPr="002C0DC3" w14:paraId="3C466E13" w14:textId="77777777" w:rsidTr="002C0DC3">
        <w:trPr>
          <w:trHeight w:val="273"/>
          <w:jc w:val="center"/>
        </w:trPr>
        <w:tc>
          <w:tcPr>
            <w:tcW w:w="1212" w:type="pct"/>
            <w:shd w:val="clear" w:color="auto" w:fill="auto"/>
            <w:noWrap/>
            <w:vAlign w:val="center"/>
            <w:hideMark/>
          </w:tcPr>
          <w:p w14:paraId="5B98DB0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II Circuito San José</w:t>
            </w:r>
          </w:p>
        </w:tc>
        <w:tc>
          <w:tcPr>
            <w:tcW w:w="410" w:type="pct"/>
            <w:shd w:val="clear" w:color="auto" w:fill="auto"/>
            <w:noWrap/>
          </w:tcPr>
          <w:p w14:paraId="1217766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15636</w:t>
            </w:r>
          </w:p>
        </w:tc>
        <w:tc>
          <w:tcPr>
            <w:tcW w:w="476" w:type="pct"/>
            <w:shd w:val="clear" w:color="auto" w:fill="auto"/>
            <w:noWrap/>
          </w:tcPr>
          <w:p w14:paraId="2927407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9672</w:t>
            </w:r>
          </w:p>
        </w:tc>
        <w:tc>
          <w:tcPr>
            <w:tcW w:w="411" w:type="pct"/>
            <w:shd w:val="clear" w:color="auto" w:fill="auto"/>
            <w:noWrap/>
          </w:tcPr>
          <w:p w14:paraId="61E0DB4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5964</w:t>
            </w:r>
          </w:p>
        </w:tc>
        <w:tc>
          <w:tcPr>
            <w:tcW w:w="410" w:type="pct"/>
            <w:shd w:val="clear" w:color="auto" w:fill="auto"/>
            <w:noWrap/>
          </w:tcPr>
          <w:p w14:paraId="0A49795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2323</w:t>
            </w:r>
          </w:p>
        </w:tc>
        <w:tc>
          <w:tcPr>
            <w:tcW w:w="458" w:type="pct"/>
            <w:shd w:val="clear" w:color="auto" w:fill="auto"/>
            <w:noWrap/>
            <w:vAlign w:val="center"/>
          </w:tcPr>
          <w:p w14:paraId="3FC158D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1021</w:t>
            </w:r>
          </w:p>
        </w:tc>
        <w:tc>
          <w:tcPr>
            <w:tcW w:w="368" w:type="pct"/>
            <w:shd w:val="clear" w:color="auto" w:fill="auto"/>
            <w:noWrap/>
            <w:vAlign w:val="center"/>
          </w:tcPr>
          <w:p w14:paraId="777B416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1302</w:t>
            </w:r>
          </w:p>
        </w:tc>
        <w:tc>
          <w:tcPr>
            <w:tcW w:w="410" w:type="pct"/>
            <w:shd w:val="clear" w:color="auto" w:fill="auto"/>
            <w:noWrap/>
          </w:tcPr>
          <w:p w14:paraId="4E89A0F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13313</w:t>
            </w:r>
          </w:p>
        </w:tc>
        <w:tc>
          <w:tcPr>
            <w:tcW w:w="477" w:type="pct"/>
            <w:shd w:val="clear" w:color="auto" w:fill="auto"/>
            <w:noWrap/>
            <w:vAlign w:val="center"/>
          </w:tcPr>
          <w:p w14:paraId="10F1817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8651</w:t>
            </w:r>
          </w:p>
        </w:tc>
        <w:tc>
          <w:tcPr>
            <w:tcW w:w="368" w:type="pct"/>
            <w:shd w:val="clear" w:color="auto" w:fill="auto"/>
            <w:noWrap/>
            <w:vAlign w:val="center"/>
          </w:tcPr>
          <w:p w14:paraId="1BFFB81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4662</w:t>
            </w:r>
          </w:p>
        </w:tc>
      </w:tr>
      <w:tr w:rsidR="002C0DC3" w:rsidRPr="002C0DC3" w14:paraId="648D3D33" w14:textId="77777777" w:rsidTr="002C0DC3">
        <w:trPr>
          <w:trHeight w:val="264"/>
          <w:jc w:val="center"/>
        </w:trPr>
        <w:tc>
          <w:tcPr>
            <w:tcW w:w="1212" w:type="pct"/>
            <w:shd w:val="clear" w:color="auto" w:fill="auto"/>
            <w:noWrap/>
            <w:vAlign w:val="center"/>
            <w:hideMark/>
          </w:tcPr>
          <w:p w14:paraId="74F9A45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lastRenderedPageBreak/>
              <w:t>I Circuito Alajuela</w:t>
            </w:r>
          </w:p>
        </w:tc>
        <w:tc>
          <w:tcPr>
            <w:tcW w:w="410" w:type="pct"/>
            <w:shd w:val="clear" w:color="auto" w:fill="auto"/>
            <w:noWrap/>
          </w:tcPr>
          <w:p w14:paraId="2821BA5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19398</w:t>
            </w:r>
          </w:p>
        </w:tc>
        <w:tc>
          <w:tcPr>
            <w:tcW w:w="476" w:type="pct"/>
            <w:shd w:val="clear" w:color="auto" w:fill="auto"/>
            <w:noWrap/>
          </w:tcPr>
          <w:p w14:paraId="30F5E8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12636</w:t>
            </w:r>
          </w:p>
        </w:tc>
        <w:tc>
          <w:tcPr>
            <w:tcW w:w="411" w:type="pct"/>
            <w:shd w:val="clear" w:color="auto" w:fill="auto"/>
            <w:noWrap/>
          </w:tcPr>
          <w:p w14:paraId="64E85B3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6762</w:t>
            </w:r>
          </w:p>
        </w:tc>
        <w:tc>
          <w:tcPr>
            <w:tcW w:w="410" w:type="pct"/>
            <w:shd w:val="clear" w:color="auto" w:fill="auto"/>
            <w:noWrap/>
          </w:tcPr>
          <w:p w14:paraId="41004AE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4288</w:t>
            </w:r>
          </w:p>
        </w:tc>
        <w:tc>
          <w:tcPr>
            <w:tcW w:w="458" w:type="pct"/>
            <w:shd w:val="clear" w:color="auto" w:fill="auto"/>
            <w:noWrap/>
            <w:vAlign w:val="center"/>
          </w:tcPr>
          <w:p w14:paraId="434799A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2614</w:t>
            </w:r>
          </w:p>
        </w:tc>
        <w:tc>
          <w:tcPr>
            <w:tcW w:w="368" w:type="pct"/>
            <w:shd w:val="clear" w:color="auto" w:fill="auto"/>
            <w:noWrap/>
            <w:vAlign w:val="center"/>
          </w:tcPr>
          <w:p w14:paraId="2CDD710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1674</w:t>
            </w:r>
          </w:p>
        </w:tc>
        <w:tc>
          <w:tcPr>
            <w:tcW w:w="410" w:type="pct"/>
            <w:shd w:val="clear" w:color="auto" w:fill="auto"/>
            <w:noWrap/>
          </w:tcPr>
          <w:p w14:paraId="46470F6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15110</w:t>
            </w:r>
          </w:p>
        </w:tc>
        <w:tc>
          <w:tcPr>
            <w:tcW w:w="477" w:type="pct"/>
            <w:shd w:val="clear" w:color="auto" w:fill="auto"/>
            <w:noWrap/>
            <w:vAlign w:val="center"/>
          </w:tcPr>
          <w:p w14:paraId="2F27FE0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10022</w:t>
            </w:r>
          </w:p>
        </w:tc>
        <w:tc>
          <w:tcPr>
            <w:tcW w:w="368" w:type="pct"/>
            <w:shd w:val="clear" w:color="auto" w:fill="auto"/>
            <w:noWrap/>
            <w:vAlign w:val="center"/>
          </w:tcPr>
          <w:p w14:paraId="2C48165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5088</w:t>
            </w:r>
          </w:p>
        </w:tc>
      </w:tr>
      <w:tr w:rsidR="002C0DC3" w:rsidRPr="002C0DC3" w14:paraId="35BE371E" w14:textId="77777777" w:rsidTr="002C0DC3">
        <w:trPr>
          <w:trHeight w:val="264"/>
          <w:jc w:val="center"/>
        </w:trPr>
        <w:tc>
          <w:tcPr>
            <w:tcW w:w="1212" w:type="pct"/>
            <w:shd w:val="clear" w:color="auto" w:fill="auto"/>
            <w:noWrap/>
            <w:vAlign w:val="center"/>
            <w:hideMark/>
          </w:tcPr>
          <w:p w14:paraId="1971BF9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II Circuito Alajuela</w:t>
            </w:r>
          </w:p>
        </w:tc>
        <w:tc>
          <w:tcPr>
            <w:tcW w:w="410" w:type="pct"/>
            <w:shd w:val="clear" w:color="auto" w:fill="auto"/>
            <w:noWrap/>
          </w:tcPr>
          <w:p w14:paraId="3BCF090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10539</w:t>
            </w:r>
          </w:p>
        </w:tc>
        <w:tc>
          <w:tcPr>
            <w:tcW w:w="476" w:type="pct"/>
            <w:shd w:val="clear" w:color="auto" w:fill="auto"/>
            <w:noWrap/>
          </w:tcPr>
          <w:p w14:paraId="109AF65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7041</w:t>
            </w:r>
          </w:p>
        </w:tc>
        <w:tc>
          <w:tcPr>
            <w:tcW w:w="411" w:type="pct"/>
            <w:shd w:val="clear" w:color="auto" w:fill="auto"/>
            <w:noWrap/>
          </w:tcPr>
          <w:p w14:paraId="23EA21E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3498</w:t>
            </w:r>
          </w:p>
        </w:tc>
        <w:tc>
          <w:tcPr>
            <w:tcW w:w="410" w:type="pct"/>
            <w:shd w:val="clear" w:color="auto" w:fill="auto"/>
            <w:noWrap/>
          </w:tcPr>
          <w:p w14:paraId="682480A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1620</w:t>
            </w:r>
          </w:p>
        </w:tc>
        <w:tc>
          <w:tcPr>
            <w:tcW w:w="458" w:type="pct"/>
            <w:shd w:val="clear" w:color="auto" w:fill="auto"/>
            <w:noWrap/>
            <w:vAlign w:val="center"/>
          </w:tcPr>
          <w:p w14:paraId="5B6759C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870</w:t>
            </w:r>
          </w:p>
        </w:tc>
        <w:tc>
          <w:tcPr>
            <w:tcW w:w="368" w:type="pct"/>
            <w:shd w:val="clear" w:color="auto" w:fill="auto"/>
            <w:noWrap/>
            <w:vAlign w:val="center"/>
          </w:tcPr>
          <w:p w14:paraId="26ED325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750</w:t>
            </w:r>
          </w:p>
        </w:tc>
        <w:tc>
          <w:tcPr>
            <w:tcW w:w="410" w:type="pct"/>
            <w:shd w:val="clear" w:color="auto" w:fill="auto"/>
            <w:noWrap/>
          </w:tcPr>
          <w:p w14:paraId="74B0184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8919</w:t>
            </w:r>
          </w:p>
        </w:tc>
        <w:tc>
          <w:tcPr>
            <w:tcW w:w="477" w:type="pct"/>
            <w:shd w:val="clear" w:color="auto" w:fill="auto"/>
            <w:noWrap/>
            <w:vAlign w:val="center"/>
          </w:tcPr>
          <w:p w14:paraId="22A0473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6171</w:t>
            </w:r>
          </w:p>
        </w:tc>
        <w:tc>
          <w:tcPr>
            <w:tcW w:w="368" w:type="pct"/>
            <w:shd w:val="clear" w:color="auto" w:fill="auto"/>
            <w:noWrap/>
            <w:vAlign w:val="center"/>
          </w:tcPr>
          <w:p w14:paraId="79D9DB4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2748</w:t>
            </w:r>
          </w:p>
        </w:tc>
      </w:tr>
      <w:tr w:rsidR="002C0DC3" w:rsidRPr="002C0DC3" w14:paraId="4FE019D1" w14:textId="77777777" w:rsidTr="002C0DC3">
        <w:trPr>
          <w:trHeight w:val="273"/>
          <w:jc w:val="center"/>
        </w:trPr>
        <w:tc>
          <w:tcPr>
            <w:tcW w:w="1212" w:type="pct"/>
            <w:shd w:val="clear" w:color="auto" w:fill="auto"/>
            <w:noWrap/>
            <w:vAlign w:val="center"/>
            <w:hideMark/>
          </w:tcPr>
          <w:p w14:paraId="5D554B5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III Circuito Alajuela</w:t>
            </w:r>
          </w:p>
        </w:tc>
        <w:tc>
          <w:tcPr>
            <w:tcW w:w="410" w:type="pct"/>
            <w:shd w:val="clear" w:color="auto" w:fill="auto"/>
            <w:noWrap/>
          </w:tcPr>
          <w:p w14:paraId="2C3859D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10372</w:t>
            </w:r>
          </w:p>
        </w:tc>
        <w:tc>
          <w:tcPr>
            <w:tcW w:w="476" w:type="pct"/>
            <w:shd w:val="clear" w:color="auto" w:fill="auto"/>
            <w:noWrap/>
          </w:tcPr>
          <w:p w14:paraId="08DA818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6846</w:t>
            </w:r>
          </w:p>
        </w:tc>
        <w:tc>
          <w:tcPr>
            <w:tcW w:w="411" w:type="pct"/>
            <w:shd w:val="clear" w:color="auto" w:fill="auto"/>
            <w:noWrap/>
          </w:tcPr>
          <w:p w14:paraId="41A76F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3526</w:t>
            </w:r>
          </w:p>
        </w:tc>
        <w:tc>
          <w:tcPr>
            <w:tcW w:w="410" w:type="pct"/>
            <w:shd w:val="clear" w:color="auto" w:fill="auto"/>
            <w:noWrap/>
          </w:tcPr>
          <w:p w14:paraId="4F707DA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2676</w:t>
            </w:r>
          </w:p>
        </w:tc>
        <w:tc>
          <w:tcPr>
            <w:tcW w:w="458" w:type="pct"/>
            <w:shd w:val="clear" w:color="auto" w:fill="auto"/>
            <w:noWrap/>
            <w:vAlign w:val="center"/>
          </w:tcPr>
          <w:p w14:paraId="2992017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1773</w:t>
            </w:r>
          </w:p>
        </w:tc>
        <w:tc>
          <w:tcPr>
            <w:tcW w:w="368" w:type="pct"/>
            <w:shd w:val="clear" w:color="auto" w:fill="auto"/>
            <w:noWrap/>
            <w:vAlign w:val="center"/>
          </w:tcPr>
          <w:p w14:paraId="614EB46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903</w:t>
            </w:r>
          </w:p>
        </w:tc>
        <w:tc>
          <w:tcPr>
            <w:tcW w:w="410" w:type="pct"/>
            <w:shd w:val="clear" w:color="auto" w:fill="auto"/>
            <w:noWrap/>
          </w:tcPr>
          <w:p w14:paraId="236BB78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7696</w:t>
            </w:r>
          </w:p>
        </w:tc>
        <w:tc>
          <w:tcPr>
            <w:tcW w:w="477" w:type="pct"/>
            <w:shd w:val="clear" w:color="auto" w:fill="auto"/>
            <w:noWrap/>
            <w:vAlign w:val="center"/>
          </w:tcPr>
          <w:p w14:paraId="766C5CE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5073</w:t>
            </w:r>
          </w:p>
        </w:tc>
        <w:tc>
          <w:tcPr>
            <w:tcW w:w="368" w:type="pct"/>
            <w:shd w:val="clear" w:color="auto" w:fill="auto"/>
            <w:noWrap/>
            <w:vAlign w:val="center"/>
          </w:tcPr>
          <w:p w14:paraId="3635FAB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2623</w:t>
            </w:r>
          </w:p>
        </w:tc>
      </w:tr>
      <w:tr w:rsidR="002C0DC3" w:rsidRPr="002C0DC3" w14:paraId="017AA78D" w14:textId="77777777" w:rsidTr="002C0DC3">
        <w:trPr>
          <w:trHeight w:val="264"/>
          <w:jc w:val="center"/>
        </w:trPr>
        <w:tc>
          <w:tcPr>
            <w:tcW w:w="1212" w:type="pct"/>
            <w:shd w:val="clear" w:color="auto" w:fill="auto"/>
            <w:noWrap/>
            <w:vAlign w:val="center"/>
            <w:hideMark/>
          </w:tcPr>
          <w:p w14:paraId="634B50D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Cartago</w:t>
            </w:r>
          </w:p>
        </w:tc>
        <w:tc>
          <w:tcPr>
            <w:tcW w:w="410" w:type="pct"/>
            <w:shd w:val="clear" w:color="auto" w:fill="auto"/>
            <w:noWrap/>
          </w:tcPr>
          <w:p w14:paraId="5B6A751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22379</w:t>
            </w:r>
          </w:p>
        </w:tc>
        <w:tc>
          <w:tcPr>
            <w:tcW w:w="476" w:type="pct"/>
            <w:shd w:val="clear" w:color="auto" w:fill="auto"/>
            <w:noWrap/>
          </w:tcPr>
          <w:p w14:paraId="1E1A094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14739</w:t>
            </w:r>
          </w:p>
        </w:tc>
        <w:tc>
          <w:tcPr>
            <w:tcW w:w="411" w:type="pct"/>
            <w:shd w:val="clear" w:color="auto" w:fill="auto"/>
            <w:noWrap/>
          </w:tcPr>
          <w:p w14:paraId="67E1FB0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7640</w:t>
            </w:r>
          </w:p>
        </w:tc>
        <w:tc>
          <w:tcPr>
            <w:tcW w:w="410" w:type="pct"/>
            <w:shd w:val="clear" w:color="auto" w:fill="auto"/>
            <w:noWrap/>
          </w:tcPr>
          <w:p w14:paraId="6367EB0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4509</w:t>
            </w:r>
          </w:p>
        </w:tc>
        <w:tc>
          <w:tcPr>
            <w:tcW w:w="458" w:type="pct"/>
            <w:shd w:val="clear" w:color="auto" w:fill="auto"/>
            <w:noWrap/>
            <w:vAlign w:val="center"/>
          </w:tcPr>
          <w:p w14:paraId="24B10B5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2973</w:t>
            </w:r>
          </w:p>
        </w:tc>
        <w:tc>
          <w:tcPr>
            <w:tcW w:w="368" w:type="pct"/>
            <w:shd w:val="clear" w:color="auto" w:fill="auto"/>
            <w:noWrap/>
            <w:vAlign w:val="center"/>
          </w:tcPr>
          <w:p w14:paraId="370CFC9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1536</w:t>
            </w:r>
          </w:p>
        </w:tc>
        <w:tc>
          <w:tcPr>
            <w:tcW w:w="410" w:type="pct"/>
            <w:shd w:val="clear" w:color="auto" w:fill="auto"/>
            <w:noWrap/>
          </w:tcPr>
          <w:p w14:paraId="084333F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17870</w:t>
            </w:r>
          </w:p>
        </w:tc>
        <w:tc>
          <w:tcPr>
            <w:tcW w:w="477" w:type="pct"/>
            <w:shd w:val="clear" w:color="auto" w:fill="auto"/>
            <w:noWrap/>
            <w:vAlign w:val="center"/>
          </w:tcPr>
          <w:p w14:paraId="152CDE3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11766</w:t>
            </w:r>
          </w:p>
        </w:tc>
        <w:tc>
          <w:tcPr>
            <w:tcW w:w="368" w:type="pct"/>
            <w:shd w:val="clear" w:color="auto" w:fill="auto"/>
            <w:noWrap/>
            <w:vAlign w:val="center"/>
          </w:tcPr>
          <w:p w14:paraId="75560E9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6104</w:t>
            </w:r>
          </w:p>
        </w:tc>
      </w:tr>
      <w:tr w:rsidR="002C0DC3" w:rsidRPr="002C0DC3" w14:paraId="67CB0326" w14:textId="77777777" w:rsidTr="002C0DC3">
        <w:trPr>
          <w:trHeight w:val="264"/>
          <w:jc w:val="center"/>
        </w:trPr>
        <w:tc>
          <w:tcPr>
            <w:tcW w:w="1212" w:type="pct"/>
            <w:shd w:val="clear" w:color="auto" w:fill="auto"/>
            <w:noWrap/>
            <w:vAlign w:val="center"/>
          </w:tcPr>
          <w:p w14:paraId="597A86E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Heredia</w:t>
            </w:r>
          </w:p>
        </w:tc>
        <w:tc>
          <w:tcPr>
            <w:tcW w:w="410" w:type="pct"/>
            <w:shd w:val="clear" w:color="auto" w:fill="auto"/>
            <w:noWrap/>
          </w:tcPr>
          <w:p w14:paraId="4C95BB4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22757</w:t>
            </w:r>
          </w:p>
        </w:tc>
        <w:tc>
          <w:tcPr>
            <w:tcW w:w="476" w:type="pct"/>
            <w:shd w:val="clear" w:color="auto" w:fill="auto"/>
            <w:noWrap/>
          </w:tcPr>
          <w:p w14:paraId="273EB86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14623</w:t>
            </w:r>
          </w:p>
        </w:tc>
        <w:tc>
          <w:tcPr>
            <w:tcW w:w="411" w:type="pct"/>
            <w:shd w:val="clear" w:color="auto" w:fill="auto"/>
            <w:noWrap/>
          </w:tcPr>
          <w:p w14:paraId="2C3471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8134</w:t>
            </w:r>
          </w:p>
        </w:tc>
        <w:tc>
          <w:tcPr>
            <w:tcW w:w="410" w:type="pct"/>
            <w:shd w:val="clear" w:color="auto" w:fill="auto"/>
            <w:noWrap/>
          </w:tcPr>
          <w:p w14:paraId="72FDA18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5118</w:t>
            </w:r>
          </w:p>
        </w:tc>
        <w:tc>
          <w:tcPr>
            <w:tcW w:w="458" w:type="pct"/>
            <w:shd w:val="clear" w:color="auto" w:fill="auto"/>
            <w:noWrap/>
            <w:vAlign w:val="center"/>
          </w:tcPr>
          <w:p w14:paraId="072AA7C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3248</w:t>
            </w:r>
          </w:p>
        </w:tc>
        <w:tc>
          <w:tcPr>
            <w:tcW w:w="368" w:type="pct"/>
            <w:shd w:val="clear" w:color="auto" w:fill="auto"/>
            <w:noWrap/>
            <w:vAlign w:val="center"/>
          </w:tcPr>
          <w:p w14:paraId="0A72B7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1870</w:t>
            </w:r>
          </w:p>
        </w:tc>
        <w:tc>
          <w:tcPr>
            <w:tcW w:w="410" w:type="pct"/>
            <w:shd w:val="clear" w:color="auto" w:fill="auto"/>
            <w:noWrap/>
          </w:tcPr>
          <w:p w14:paraId="6DE6994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17639</w:t>
            </w:r>
          </w:p>
        </w:tc>
        <w:tc>
          <w:tcPr>
            <w:tcW w:w="477" w:type="pct"/>
            <w:shd w:val="clear" w:color="auto" w:fill="auto"/>
            <w:noWrap/>
            <w:vAlign w:val="center"/>
          </w:tcPr>
          <w:p w14:paraId="42928A1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11375</w:t>
            </w:r>
          </w:p>
        </w:tc>
        <w:tc>
          <w:tcPr>
            <w:tcW w:w="368" w:type="pct"/>
            <w:shd w:val="clear" w:color="auto" w:fill="auto"/>
            <w:noWrap/>
            <w:vAlign w:val="center"/>
          </w:tcPr>
          <w:p w14:paraId="0AC94E3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6264</w:t>
            </w:r>
          </w:p>
        </w:tc>
      </w:tr>
      <w:tr w:rsidR="002C0DC3" w:rsidRPr="002C0DC3" w14:paraId="10B4459E" w14:textId="77777777" w:rsidTr="002C0DC3">
        <w:trPr>
          <w:trHeight w:val="273"/>
          <w:jc w:val="center"/>
        </w:trPr>
        <w:tc>
          <w:tcPr>
            <w:tcW w:w="1212" w:type="pct"/>
            <w:shd w:val="clear" w:color="auto" w:fill="auto"/>
            <w:noWrap/>
            <w:vAlign w:val="center"/>
            <w:hideMark/>
          </w:tcPr>
          <w:p w14:paraId="7244C13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 Circuito Guanacaste</w:t>
            </w:r>
          </w:p>
        </w:tc>
        <w:tc>
          <w:tcPr>
            <w:tcW w:w="410" w:type="pct"/>
            <w:shd w:val="clear" w:color="auto" w:fill="auto"/>
            <w:noWrap/>
          </w:tcPr>
          <w:p w14:paraId="52B530D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8880</w:t>
            </w:r>
          </w:p>
        </w:tc>
        <w:tc>
          <w:tcPr>
            <w:tcW w:w="476" w:type="pct"/>
            <w:shd w:val="clear" w:color="auto" w:fill="auto"/>
            <w:noWrap/>
          </w:tcPr>
          <w:p w14:paraId="0C1FD4F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5562</w:t>
            </w:r>
          </w:p>
        </w:tc>
        <w:tc>
          <w:tcPr>
            <w:tcW w:w="411" w:type="pct"/>
            <w:shd w:val="clear" w:color="auto" w:fill="auto"/>
            <w:noWrap/>
          </w:tcPr>
          <w:p w14:paraId="3C39E34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3318</w:t>
            </w:r>
          </w:p>
        </w:tc>
        <w:tc>
          <w:tcPr>
            <w:tcW w:w="410" w:type="pct"/>
            <w:shd w:val="clear" w:color="auto" w:fill="auto"/>
            <w:noWrap/>
          </w:tcPr>
          <w:p w14:paraId="13D18CB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2312</w:t>
            </w:r>
          </w:p>
        </w:tc>
        <w:tc>
          <w:tcPr>
            <w:tcW w:w="458" w:type="pct"/>
            <w:shd w:val="clear" w:color="auto" w:fill="auto"/>
            <w:noWrap/>
            <w:vAlign w:val="center"/>
          </w:tcPr>
          <w:p w14:paraId="6910F5F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1372</w:t>
            </w:r>
          </w:p>
        </w:tc>
        <w:tc>
          <w:tcPr>
            <w:tcW w:w="368" w:type="pct"/>
            <w:shd w:val="clear" w:color="auto" w:fill="auto"/>
            <w:noWrap/>
            <w:vAlign w:val="center"/>
          </w:tcPr>
          <w:p w14:paraId="4AB9E81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940</w:t>
            </w:r>
          </w:p>
        </w:tc>
        <w:tc>
          <w:tcPr>
            <w:tcW w:w="410" w:type="pct"/>
            <w:shd w:val="clear" w:color="auto" w:fill="auto"/>
            <w:noWrap/>
          </w:tcPr>
          <w:p w14:paraId="590A8E6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6568</w:t>
            </w:r>
          </w:p>
        </w:tc>
        <w:tc>
          <w:tcPr>
            <w:tcW w:w="477" w:type="pct"/>
            <w:shd w:val="clear" w:color="auto" w:fill="auto"/>
            <w:noWrap/>
            <w:vAlign w:val="center"/>
          </w:tcPr>
          <w:p w14:paraId="0505040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4190</w:t>
            </w:r>
          </w:p>
        </w:tc>
        <w:tc>
          <w:tcPr>
            <w:tcW w:w="368" w:type="pct"/>
            <w:shd w:val="clear" w:color="auto" w:fill="auto"/>
            <w:noWrap/>
            <w:vAlign w:val="center"/>
          </w:tcPr>
          <w:p w14:paraId="2C77F30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2378</w:t>
            </w:r>
          </w:p>
        </w:tc>
      </w:tr>
      <w:tr w:rsidR="002C0DC3" w:rsidRPr="002C0DC3" w14:paraId="6A634CC4" w14:textId="77777777" w:rsidTr="002C0DC3">
        <w:trPr>
          <w:trHeight w:val="264"/>
          <w:jc w:val="center"/>
        </w:trPr>
        <w:tc>
          <w:tcPr>
            <w:tcW w:w="1212" w:type="pct"/>
            <w:shd w:val="clear" w:color="auto" w:fill="auto"/>
            <w:noWrap/>
            <w:vAlign w:val="center"/>
            <w:hideMark/>
          </w:tcPr>
          <w:p w14:paraId="6EDF769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II Circuito Guanacaste</w:t>
            </w:r>
          </w:p>
        </w:tc>
        <w:tc>
          <w:tcPr>
            <w:tcW w:w="410" w:type="pct"/>
            <w:shd w:val="clear" w:color="auto" w:fill="auto"/>
            <w:noWrap/>
          </w:tcPr>
          <w:p w14:paraId="0DD587E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8706</w:t>
            </w:r>
          </w:p>
        </w:tc>
        <w:tc>
          <w:tcPr>
            <w:tcW w:w="476" w:type="pct"/>
            <w:shd w:val="clear" w:color="auto" w:fill="auto"/>
            <w:noWrap/>
          </w:tcPr>
          <w:p w14:paraId="53CB64E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5387</w:t>
            </w:r>
          </w:p>
        </w:tc>
        <w:tc>
          <w:tcPr>
            <w:tcW w:w="411" w:type="pct"/>
            <w:shd w:val="clear" w:color="auto" w:fill="auto"/>
            <w:noWrap/>
          </w:tcPr>
          <w:p w14:paraId="3CEC119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3319</w:t>
            </w:r>
          </w:p>
        </w:tc>
        <w:tc>
          <w:tcPr>
            <w:tcW w:w="410" w:type="pct"/>
            <w:shd w:val="clear" w:color="auto" w:fill="auto"/>
            <w:noWrap/>
          </w:tcPr>
          <w:p w14:paraId="476CD0B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1929</w:t>
            </w:r>
          </w:p>
        </w:tc>
        <w:tc>
          <w:tcPr>
            <w:tcW w:w="458" w:type="pct"/>
            <w:shd w:val="clear" w:color="auto" w:fill="auto"/>
            <w:noWrap/>
            <w:vAlign w:val="center"/>
          </w:tcPr>
          <w:p w14:paraId="348FA8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1176</w:t>
            </w:r>
          </w:p>
        </w:tc>
        <w:tc>
          <w:tcPr>
            <w:tcW w:w="368" w:type="pct"/>
            <w:shd w:val="clear" w:color="auto" w:fill="auto"/>
            <w:noWrap/>
            <w:vAlign w:val="center"/>
          </w:tcPr>
          <w:p w14:paraId="0647483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753</w:t>
            </w:r>
          </w:p>
        </w:tc>
        <w:tc>
          <w:tcPr>
            <w:tcW w:w="410" w:type="pct"/>
            <w:shd w:val="clear" w:color="auto" w:fill="auto"/>
            <w:noWrap/>
          </w:tcPr>
          <w:p w14:paraId="77AA75D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6777</w:t>
            </w:r>
          </w:p>
        </w:tc>
        <w:tc>
          <w:tcPr>
            <w:tcW w:w="477" w:type="pct"/>
            <w:shd w:val="clear" w:color="auto" w:fill="auto"/>
            <w:noWrap/>
            <w:vAlign w:val="center"/>
          </w:tcPr>
          <w:p w14:paraId="6177AFB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4211</w:t>
            </w:r>
          </w:p>
        </w:tc>
        <w:tc>
          <w:tcPr>
            <w:tcW w:w="368" w:type="pct"/>
            <w:shd w:val="clear" w:color="auto" w:fill="auto"/>
            <w:noWrap/>
            <w:vAlign w:val="center"/>
          </w:tcPr>
          <w:p w14:paraId="479CEE0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2566</w:t>
            </w:r>
          </w:p>
        </w:tc>
      </w:tr>
      <w:tr w:rsidR="002C0DC3" w:rsidRPr="002C0DC3" w14:paraId="20329F11" w14:textId="77777777" w:rsidTr="002C0DC3">
        <w:trPr>
          <w:trHeight w:val="264"/>
          <w:jc w:val="center"/>
        </w:trPr>
        <w:tc>
          <w:tcPr>
            <w:tcW w:w="1212" w:type="pct"/>
            <w:shd w:val="clear" w:color="auto" w:fill="auto"/>
            <w:noWrap/>
            <w:vAlign w:val="center"/>
            <w:hideMark/>
          </w:tcPr>
          <w:p w14:paraId="7E84E214"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Puntarenas</w:t>
            </w:r>
          </w:p>
        </w:tc>
        <w:tc>
          <w:tcPr>
            <w:tcW w:w="410" w:type="pct"/>
            <w:shd w:val="clear" w:color="auto" w:fill="auto"/>
            <w:noWrap/>
          </w:tcPr>
          <w:p w14:paraId="4AE2022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12654</w:t>
            </w:r>
          </w:p>
        </w:tc>
        <w:tc>
          <w:tcPr>
            <w:tcW w:w="476" w:type="pct"/>
            <w:shd w:val="clear" w:color="auto" w:fill="auto"/>
            <w:noWrap/>
          </w:tcPr>
          <w:p w14:paraId="5B79EA7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8250</w:t>
            </w:r>
          </w:p>
        </w:tc>
        <w:tc>
          <w:tcPr>
            <w:tcW w:w="411" w:type="pct"/>
            <w:shd w:val="clear" w:color="auto" w:fill="auto"/>
            <w:noWrap/>
          </w:tcPr>
          <w:p w14:paraId="6F25801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4404</w:t>
            </w:r>
          </w:p>
        </w:tc>
        <w:tc>
          <w:tcPr>
            <w:tcW w:w="410" w:type="pct"/>
            <w:shd w:val="clear" w:color="auto" w:fill="auto"/>
            <w:noWrap/>
          </w:tcPr>
          <w:p w14:paraId="0CB00BE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2721</w:t>
            </w:r>
          </w:p>
        </w:tc>
        <w:tc>
          <w:tcPr>
            <w:tcW w:w="458" w:type="pct"/>
            <w:shd w:val="clear" w:color="auto" w:fill="auto"/>
            <w:noWrap/>
            <w:vAlign w:val="center"/>
          </w:tcPr>
          <w:p w14:paraId="58C4BDF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1703</w:t>
            </w:r>
          </w:p>
        </w:tc>
        <w:tc>
          <w:tcPr>
            <w:tcW w:w="368" w:type="pct"/>
            <w:shd w:val="clear" w:color="auto" w:fill="auto"/>
            <w:noWrap/>
            <w:vAlign w:val="center"/>
          </w:tcPr>
          <w:p w14:paraId="0EB9411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1018</w:t>
            </w:r>
          </w:p>
        </w:tc>
        <w:tc>
          <w:tcPr>
            <w:tcW w:w="410" w:type="pct"/>
            <w:shd w:val="clear" w:color="auto" w:fill="auto"/>
            <w:noWrap/>
          </w:tcPr>
          <w:p w14:paraId="7401FED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9933</w:t>
            </w:r>
          </w:p>
        </w:tc>
        <w:tc>
          <w:tcPr>
            <w:tcW w:w="477" w:type="pct"/>
            <w:shd w:val="clear" w:color="auto" w:fill="auto"/>
            <w:noWrap/>
            <w:vAlign w:val="center"/>
          </w:tcPr>
          <w:p w14:paraId="0B99895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6547</w:t>
            </w:r>
          </w:p>
        </w:tc>
        <w:tc>
          <w:tcPr>
            <w:tcW w:w="368" w:type="pct"/>
            <w:shd w:val="clear" w:color="auto" w:fill="auto"/>
            <w:noWrap/>
            <w:vAlign w:val="center"/>
          </w:tcPr>
          <w:p w14:paraId="1C37B54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3386</w:t>
            </w:r>
          </w:p>
        </w:tc>
      </w:tr>
      <w:tr w:rsidR="002C0DC3" w:rsidRPr="002C0DC3" w14:paraId="7F18C2C0" w14:textId="77777777" w:rsidTr="002C0DC3">
        <w:trPr>
          <w:trHeight w:val="273"/>
          <w:jc w:val="center"/>
        </w:trPr>
        <w:tc>
          <w:tcPr>
            <w:tcW w:w="1212" w:type="pct"/>
            <w:shd w:val="clear" w:color="auto" w:fill="auto"/>
            <w:noWrap/>
            <w:vAlign w:val="center"/>
            <w:hideMark/>
          </w:tcPr>
          <w:p w14:paraId="510D181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 Circuito Zona Sur</w:t>
            </w:r>
          </w:p>
        </w:tc>
        <w:tc>
          <w:tcPr>
            <w:tcW w:w="410" w:type="pct"/>
            <w:shd w:val="clear" w:color="auto" w:fill="auto"/>
            <w:noWrap/>
          </w:tcPr>
          <w:p w14:paraId="7E61AD5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7693</w:t>
            </w:r>
          </w:p>
        </w:tc>
        <w:tc>
          <w:tcPr>
            <w:tcW w:w="476" w:type="pct"/>
            <w:shd w:val="clear" w:color="auto" w:fill="auto"/>
            <w:noWrap/>
          </w:tcPr>
          <w:p w14:paraId="044439B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5036</w:t>
            </w:r>
          </w:p>
        </w:tc>
        <w:tc>
          <w:tcPr>
            <w:tcW w:w="411" w:type="pct"/>
            <w:shd w:val="clear" w:color="auto" w:fill="auto"/>
            <w:noWrap/>
          </w:tcPr>
          <w:p w14:paraId="48675AE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2657</w:t>
            </w:r>
          </w:p>
        </w:tc>
        <w:tc>
          <w:tcPr>
            <w:tcW w:w="410" w:type="pct"/>
            <w:shd w:val="clear" w:color="auto" w:fill="auto"/>
            <w:noWrap/>
          </w:tcPr>
          <w:p w14:paraId="4018257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1705</w:t>
            </w:r>
          </w:p>
        </w:tc>
        <w:tc>
          <w:tcPr>
            <w:tcW w:w="458" w:type="pct"/>
            <w:shd w:val="clear" w:color="auto" w:fill="auto"/>
            <w:noWrap/>
            <w:vAlign w:val="center"/>
          </w:tcPr>
          <w:p w14:paraId="796136B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953</w:t>
            </w:r>
          </w:p>
        </w:tc>
        <w:tc>
          <w:tcPr>
            <w:tcW w:w="368" w:type="pct"/>
            <w:shd w:val="clear" w:color="auto" w:fill="auto"/>
            <w:noWrap/>
            <w:vAlign w:val="center"/>
          </w:tcPr>
          <w:p w14:paraId="217DF6E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752</w:t>
            </w:r>
          </w:p>
        </w:tc>
        <w:tc>
          <w:tcPr>
            <w:tcW w:w="410" w:type="pct"/>
            <w:shd w:val="clear" w:color="auto" w:fill="auto"/>
            <w:noWrap/>
          </w:tcPr>
          <w:p w14:paraId="7876F57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5988</w:t>
            </w:r>
          </w:p>
        </w:tc>
        <w:tc>
          <w:tcPr>
            <w:tcW w:w="477" w:type="pct"/>
            <w:shd w:val="clear" w:color="auto" w:fill="auto"/>
            <w:noWrap/>
            <w:vAlign w:val="center"/>
          </w:tcPr>
          <w:p w14:paraId="06B4548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4083</w:t>
            </w:r>
          </w:p>
        </w:tc>
        <w:tc>
          <w:tcPr>
            <w:tcW w:w="368" w:type="pct"/>
            <w:shd w:val="clear" w:color="auto" w:fill="auto"/>
            <w:noWrap/>
            <w:vAlign w:val="center"/>
          </w:tcPr>
          <w:p w14:paraId="4F1BF87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1905</w:t>
            </w:r>
          </w:p>
        </w:tc>
      </w:tr>
      <w:tr w:rsidR="002C0DC3" w:rsidRPr="002C0DC3" w14:paraId="4241E6DA" w14:textId="77777777" w:rsidTr="002C0DC3">
        <w:trPr>
          <w:trHeight w:val="264"/>
          <w:jc w:val="center"/>
        </w:trPr>
        <w:tc>
          <w:tcPr>
            <w:tcW w:w="1212" w:type="pct"/>
            <w:shd w:val="clear" w:color="auto" w:fill="auto"/>
            <w:noWrap/>
            <w:vAlign w:val="center"/>
            <w:hideMark/>
          </w:tcPr>
          <w:p w14:paraId="73F43CCD"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II Circuito Zona Sur</w:t>
            </w:r>
          </w:p>
        </w:tc>
        <w:tc>
          <w:tcPr>
            <w:tcW w:w="410" w:type="pct"/>
            <w:shd w:val="clear" w:color="auto" w:fill="auto"/>
            <w:noWrap/>
          </w:tcPr>
          <w:p w14:paraId="7BCD8AD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5931</w:t>
            </w:r>
          </w:p>
        </w:tc>
        <w:tc>
          <w:tcPr>
            <w:tcW w:w="476" w:type="pct"/>
            <w:shd w:val="clear" w:color="auto" w:fill="auto"/>
            <w:noWrap/>
          </w:tcPr>
          <w:p w14:paraId="175367F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3794</w:t>
            </w:r>
          </w:p>
        </w:tc>
        <w:tc>
          <w:tcPr>
            <w:tcW w:w="411" w:type="pct"/>
            <w:shd w:val="clear" w:color="auto" w:fill="auto"/>
            <w:noWrap/>
          </w:tcPr>
          <w:p w14:paraId="75C93CA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2137</w:t>
            </w:r>
          </w:p>
        </w:tc>
        <w:tc>
          <w:tcPr>
            <w:tcW w:w="410" w:type="pct"/>
            <w:shd w:val="clear" w:color="auto" w:fill="auto"/>
            <w:noWrap/>
          </w:tcPr>
          <w:p w14:paraId="4429F55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1179</w:t>
            </w:r>
          </w:p>
        </w:tc>
        <w:tc>
          <w:tcPr>
            <w:tcW w:w="458" w:type="pct"/>
            <w:shd w:val="clear" w:color="auto" w:fill="auto"/>
            <w:noWrap/>
            <w:vAlign w:val="center"/>
          </w:tcPr>
          <w:p w14:paraId="18B6F14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691</w:t>
            </w:r>
          </w:p>
        </w:tc>
        <w:tc>
          <w:tcPr>
            <w:tcW w:w="368" w:type="pct"/>
            <w:shd w:val="clear" w:color="auto" w:fill="auto"/>
            <w:noWrap/>
            <w:vAlign w:val="center"/>
          </w:tcPr>
          <w:p w14:paraId="3D536B1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488</w:t>
            </w:r>
          </w:p>
        </w:tc>
        <w:tc>
          <w:tcPr>
            <w:tcW w:w="410" w:type="pct"/>
            <w:shd w:val="clear" w:color="auto" w:fill="auto"/>
            <w:noWrap/>
          </w:tcPr>
          <w:p w14:paraId="443F341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4752</w:t>
            </w:r>
          </w:p>
        </w:tc>
        <w:tc>
          <w:tcPr>
            <w:tcW w:w="477" w:type="pct"/>
            <w:shd w:val="clear" w:color="auto" w:fill="auto"/>
            <w:noWrap/>
            <w:vAlign w:val="center"/>
          </w:tcPr>
          <w:p w14:paraId="47BDD95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3103</w:t>
            </w:r>
          </w:p>
        </w:tc>
        <w:tc>
          <w:tcPr>
            <w:tcW w:w="368" w:type="pct"/>
            <w:shd w:val="clear" w:color="auto" w:fill="auto"/>
            <w:noWrap/>
            <w:vAlign w:val="center"/>
          </w:tcPr>
          <w:p w14:paraId="594835B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1649</w:t>
            </w:r>
          </w:p>
        </w:tc>
      </w:tr>
      <w:tr w:rsidR="002C0DC3" w:rsidRPr="002C0DC3" w14:paraId="1E1017B9" w14:textId="77777777" w:rsidTr="002C0DC3">
        <w:trPr>
          <w:trHeight w:val="264"/>
          <w:jc w:val="center"/>
        </w:trPr>
        <w:tc>
          <w:tcPr>
            <w:tcW w:w="1212" w:type="pct"/>
            <w:shd w:val="clear" w:color="auto" w:fill="auto"/>
            <w:noWrap/>
            <w:vAlign w:val="center"/>
          </w:tcPr>
          <w:p w14:paraId="7542219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 Circuito Zona Atlántica</w:t>
            </w:r>
          </w:p>
        </w:tc>
        <w:tc>
          <w:tcPr>
            <w:tcW w:w="410" w:type="pct"/>
            <w:shd w:val="clear" w:color="auto" w:fill="auto"/>
            <w:noWrap/>
          </w:tcPr>
          <w:p w14:paraId="050EB8D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9158</w:t>
            </w:r>
          </w:p>
        </w:tc>
        <w:tc>
          <w:tcPr>
            <w:tcW w:w="476" w:type="pct"/>
            <w:shd w:val="clear" w:color="auto" w:fill="auto"/>
            <w:noWrap/>
          </w:tcPr>
          <w:p w14:paraId="20D662B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6196</w:t>
            </w:r>
          </w:p>
        </w:tc>
        <w:tc>
          <w:tcPr>
            <w:tcW w:w="411" w:type="pct"/>
            <w:shd w:val="clear" w:color="auto" w:fill="auto"/>
            <w:noWrap/>
          </w:tcPr>
          <w:p w14:paraId="5B966A1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2962</w:t>
            </w:r>
          </w:p>
        </w:tc>
        <w:tc>
          <w:tcPr>
            <w:tcW w:w="410" w:type="pct"/>
            <w:shd w:val="clear" w:color="auto" w:fill="auto"/>
            <w:noWrap/>
          </w:tcPr>
          <w:p w14:paraId="3471ADA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2058</w:t>
            </w:r>
          </w:p>
        </w:tc>
        <w:tc>
          <w:tcPr>
            <w:tcW w:w="458" w:type="pct"/>
            <w:shd w:val="clear" w:color="auto" w:fill="auto"/>
            <w:noWrap/>
            <w:vAlign w:val="center"/>
          </w:tcPr>
          <w:p w14:paraId="081EE43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1430</w:t>
            </w:r>
          </w:p>
        </w:tc>
        <w:tc>
          <w:tcPr>
            <w:tcW w:w="368" w:type="pct"/>
            <w:shd w:val="clear" w:color="auto" w:fill="auto"/>
            <w:noWrap/>
            <w:vAlign w:val="center"/>
          </w:tcPr>
          <w:p w14:paraId="2424D2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628</w:t>
            </w:r>
          </w:p>
        </w:tc>
        <w:tc>
          <w:tcPr>
            <w:tcW w:w="410" w:type="pct"/>
            <w:shd w:val="clear" w:color="auto" w:fill="auto"/>
            <w:noWrap/>
          </w:tcPr>
          <w:p w14:paraId="339C8F3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7100</w:t>
            </w:r>
          </w:p>
        </w:tc>
        <w:tc>
          <w:tcPr>
            <w:tcW w:w="477" w:type="pct"/>
            <w:shd w:val="clear" w:color="auto" w:fill="auto"/>
            <w:noWrap/>
            <w:vAlign w:val="center"/>
          </w:tcPr>
          <w:p w14:paraId="182F79D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4766</w:t>
            </w:r>
          </w:p>
        </w:tc>
        <w:tc>
          <w:tcPr>
            <w:tcW w:w="368" w:type="pct"/>
            <w:shd w:val="clear" w:color="auto" w:fill="auto"/>
            <w:noWrap/>
            <w:vAlign w:val="center"/>
          </w:tcPr>
          <w:p w14:paraId="7062EC4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2334</w:t>
            </w:r>
          </w:p>
        </w:tc>
      </w:tr>
      <w:tr w:rsidR="002C0DC3" w:rsidRPr="002C0DC3" w14:paraId="0DCA95E5" w14:textId="77777777" w:rsidTr="002C0DC3">
        <w:trPr>
          <w:trHeight w:val="264"/>
          <w:jc w:val="center"/>
        </w:trPr>
        <w:tc>
          <w:tcPr>
            <w:tcW w:w="1212" w:type="pct"/>
            <w:shd w:val="clear" w:color="auto" w:fill="auto"/>
            <w:noWrap/>
            <w:vAlign w:val="center"/>
          </w:tcPr>
          <w:p w14:paraId="6A6ACE4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II Circuito Zona Atlántica</w:t>
            </w:r>
          </w:p>
        </w:tc>
        <w:tc>
          <w:tcPr>
            <w:tcW w:w="410" w:type="pct"/>
            <w:shd w:val="clear" w:color="auto" w:fill="auto"/>
            <w:noWrap/>
          </w:tcPr>
          <w:p w14:paraId="1E784AD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10993</w:t>
            </w:r>
          </w:p>
        </w:tc>
        <w:tc>
          <w:tcPr>
            <w:tcW w:w="476" w:type="pct"/>
            <w:shd w:val="clear" w:color="auto" w:fill="auto"/>
            <w:noWrap/>
          </w:tcPr>
          <w:p w14:paraId="07DCEEA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7502</w:t>
            </w:r>
          </w:p>
        </w:tc>
        <w:tc>
          <w:tcPr>
            <w:tcW w:w="411" w:type="pct"/>
            <w:shd w:val="clear" w:color="auto" w:fill="auto"/>
            <w:noWrap/>
          </w:tcPr>
          <w:p w14:paraId="41BC6BD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3491</w:t>
            </w:r>
          </w:p>
        </w:tc>
        <w:tc>
          <w:tcPr>
            <w:tcW w:w="410" w:type="pct"/>
            <w:shd w:val="clear" w:color="auto" w:fill="auto"/>
            <w:noWrap/>
          </w:tcPr>
          <w:p w14:paraId="7482C60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2349</w:t>
            </w:r>
          </w:p>
        </w:tc>
        <w:tc>
          <w:tcPr>
            <w:tcW w:w="458" w:type="pct"/>
            <w:shd w:val="clear" w:color="auto" w:fill="auto"/>
            <w:noWrap/>
            <w:vAlign w:val="center"/>
          </w:tcPr>
          <w:p w14:paraId="57F455C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1590</w:t>
            </w:r>
          </w:p>
        </w:tc>
        <w:tc>
          <w:tcPr>
            <w:tcW w:w="368" w:type="pct"/>
            <w:shd w:val="clear" w:color="auto" w:fill="auto"/>
            <w:noWrap/>
            <w:vAlign w:val="center"/>
          </w:tcPr>
          <w:p w14:paraId="538BC61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759</w:t>
            </w:r>
          </w:p>
        </w:tc>
        <w:tc>
          <w:tcPr>
            <w:tcW w:w="410" w:type="pct"/>
            <w:shd w:val="clear" w:color="auto" w:fill="auto"/>
            <w:noWrap/>
          </w:tcPr>
          <w:p w14:paraId="343AC0B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8644</w:t>
            </w:r>
          </w:p>
        </w:tc>
        <w:tc>
          <w:tcPr>
            <w:tcW w:w="477" w:type="pct"/>
            <w:shd w:val="clear" w:color="auto" w:fill="auto"/>
            <w:noWrap/>
            <w:vAlign w:val="center"/>
          </w:tcPr>
          <w:p w14:paraId="4D00D37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5912</w:t>
            </w:r>
          </w:p>
        </w:tc>
        <w:tc>
          <w:tcPr>
            <w:tcW w:w="368" w:type="pct"/>
            <w:shd w:val="clear" w:color="auto" w:fill="auto"/>
            <w:noWrap/>
            <w:vAlign w:val="center"/>
          </w:tcPr>
          <w:p w14:paraId="33BDA75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2732</w:t>
            </w:r>
          </w:p>
        </w:tc>
      </w:tr>
      <w:tr w:rsidR="002C0DC3" w:rsidRPr="002C0DC3" w14:paraId="0763E5F5" w14:textId="77777777" w:rsidTr="002C0DC3">
        <w:trPr>
          <w:trHeight w:val="244"/>
          <w:jc w:val="center"/>
        </w:trPr>
        <w:tc>
          <w:tcPr>
            <w:tcW w:w="5000" w:type="pct"/>
            <w:gridSpan w:val="10"/>
            <w:shd w:val="clear" w:color="auto" w:fill="auto"/>
            <w:noWrap/>
            <w:vAlign w:val="center"/>
          </w:tcPr>
          <w:p w14:paraId="2FE53661" w14:textId="77777777" w:rsidR="002C0DC3" w:rsidRPr="002C0DC3" w:rsidRDefault="002C0DC3" w:rsidP="002C0DC3">
            <w:pPr>
              <w:widowControl w:val="0"/>
              <w:suppressAutoHyphens w:val="0"/>
              <w:autoSpaceDE w:val="0"/>
              <w:autoSpaceDN w:val="0"/>
              <w:adjustRightInd w:val="0"/>
              <w:jc w:val="both"/>
              <w:rPr>
                <w:rFonts w:eastAsia="Calibri"/>
                <w:bCs/>
                <w:lang w:val="es-CR" w:eastAsia="en-US"/>
              </w:rPr>
            </w:pPr>
            <w:r w:rsidRPr="002C0DC3">
              <w:rPr>
                <w:rFonts w:eastAsia="Calibri"/>
                <w:bCs/>
                <w:lang w:val="es-CR" w:eastAsia="en-US"/>
              </w:rPr>
              <w:t>Elaborado por: Subproceso de Estadística, Dirección de Planificación.</w:t>
            </w:r>
          </w:p>
        </w:tc>
      </w:tr>
    </w:tbl>
    <w:p w14:paraId="1E799CC1" w14:textId="77777777" w:rsidR="002C0DC3" w:rsidRPr="002C0DC3" w:rsidRDefault="002C0DC3" w:rsidP="002C0DC3">
      <w:pPr>
        <w:suppressAutoHyphens w:val="0"/>
        <w:jc w:val="both"/>
        <w:rPr>
          <w:rFonts w:eastAsia="Calibri"/>
          <w:lang w:val="es-CR" w:eastAsia="en-US"/>
        </w:rPr>
      </w:pPr>
    </w:p>
    <w:p w14:paraId="3A7F6D2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Durante el 2020 se registra la participación de un total de 226.119 intervinientes en estos procesos, cifra que se ve reducida en 117.171 personas respecto de las partes del proceso contabilizadas en 2019. </w:t>
      </w:r>
    </w:p>
    <w:p w14:paraId="458B7797" w14:textId="77777777" w:rsidR="002C0DC3" w:rsidRPr="002C0DC3" w:rsidRDefault="002C0DC3" w:rsidP="002C0DC3">
      <w:pPr>
        <w:suppressAutoHyphens w:val="0"/>
        <w:ind w:left="851" w:right="851" w:firstLine="709"/>
        <w:jc w:val="both"/>
        <w:rPr>
          <w:rFonts w:eastAsia="Calibri"/>
          <w:lang w:val="es-CR" w:eastAsia="en-US"/>
        </w:rPr>
      </w:pPr>
    </w:p>
    <w:p w14:paraId="1277B07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De estas 226.119 personas, 44.021 corresponden a la parte actora (19,5%) y 182.550 a la parte demandada (80,7%). </w:t>
      </w:r>
    </w:p>
    <w:p w14:paraId="14B90864" w14:textId="77777777" w:rsidR="002C0DC3" w:rsidRPr="002C0DC3" w:rsidRDefault="002C0DC3" w:rsidP="002C0DC3">
      <w:pPr>
        <w:suppressAutoHyphens w:val="0"/>
        <w:ind w:left="851" w:right="851" w:firstLine="709"/>
        <w:jc w:val="both"/>
        <w:rPr>
          <w:rFonts w:eastAsia="Calibri"/>
          <w:lang w:val="es-CR" w:eastAsia="en-US"/>
        </w:rPr>
      </w:pPr>
    </w:p>
    <w:p w14:paraId="1983AB4A"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Al desarrollar este ejercicio para cada tipo de interviniente se tiene que, para el caso de la parte actora, 27.491 corresponden a hombres (62,4%) y 16.530 a mujeres (37,6%), mientras que, para el grupo de las 182.098 personas demandadas, 118.550 corresponden al sexo masculino (65,1%) y 63.548 al femenino (34,9%).    </w:t>
      </w:r>
    </w:p>
    <w:p w14:paraId="6B4EE9E1" w14:textId="77777777" w:rsidR="002C0DC3" w:rsidRPr="002C0DC3" w:rsidRDefault="002C0DC3" w:rsidP="002C0DC3">
      <w:pPr>
        <w:suppressAutoHyphens w:val="0"/>
        <w:ind w:left="851" w:right="851" w:firstLine="709"/>
        <w:jc w:val="both"/>
        <w:rPr>
          <w:rFonts w:eastAsia="Calibri"/>
          <w:lang w:val="es-CR" w:eastAsia="en-US"/>
        </w:rPr>
      </w:pPr>
    </w:p>
    <w:p w14:paraId="44A3976B" w14:textId="08EC59C3" w:rsidR="002C0DC3" w:rsidRPr="002C0DC3" w:rsidRDefault="002C0DC3" w:rsidP="00B31AC4">
      <w:pPr>
        <w:suppressAutoHyphens w:val="0"/>
        <w:ind w:left="851" w:right="851" w:firstLine="709"/>
        <w:jc w:val="both"/>
        <w:rPr>
          <w:rFonts w:eastAsia="Calibri"/>
          <w:lang w:val="es-CR" w:eastAsia="en-US"/>
        </w:rPr>
      </w:pPr>
      <w:r w:rsidRPr="002C0DC3">
        <w:rPr>
          <w:rFonts w:eastAsia="Calibri"/>
          <w:lang w:val="es-CR" w:eastAsia="en-US"/>
        </w:rPr>
        <w:t xml:space="preserve">La siguiente gráfica ilustra la distribución porcentual de las personas intervinientes en las demandas tramitadas en los juzgados agrarios, según sexo, durante el 2020.  </w:t>
      </w:r>
    </w:p>
    <w:p w14:paraId="52F4BBB0" w14:textId="77777777" w:rsidR="002C0DC3" w:rsidRPr="002C0DC3" w:rsidRDefault="002C0DC3" w:rsidP="002C0DC3">
      <w:pPr>
        <w:suppressAutoHyphens w:val="0"/>
        <w:ind w:left="851" w:right="851" w:firstLine="709"/>
        <w:jc w:val="both"/>
        <w:rPr>
          <w:rFonts w:eastAsia="Calibri"/>
          <w:lang w:val="es-CR" w:eastAsia="en-US"/>
        </w:rPr>
      </w:pPr>
    </w:p>
    <w:p w14:paraId="11D12449" w14:textId="77777777" w:rsidR="002C0DC3" w:rsidRPr="002C0DC3" w:rsidRDefault="002C0DC3" w:rsidP="002C0DC3">
      <w:pPr>
        <w:suppressAutoHyphens w:val="0"/>
        <w:ind w:left="851" w:right="851" w:firstLine="709"/>
        <w:jc w:val="center"/>
        <w:rPr>
          <w:rFonts w:eastAsia="Calibri"/>
          <w:b/>
          <w:bCs/>
          <w:lang w:val="es-CR" w:eastAsia="en-US"/>
        </w:rPr>
      </w:pPr>
      <w:r w:rsidRPr="002C0DC3">
        <w:rPr>
          <w:rFonts w:eastAsia="Calibri"/>
          <w:b/>
          <w:bCs/>
          <w:lang w:val="es-CR" w:eastAsia="en-US"/>
        </w:rPr>
        <w:t>Gráfico N°11.1</w:t>
      </w:r>
    </w:p>
    <w:p w14:paraId="1F69B3BA" w14:textId="77777777" w:rsidR="002C0DC3" w:rsidRPr="002C0DC3" w:rsidRDefault="002C0DC3" w:rsidP="002C0DC3">
      <w:pPr>
        <w:suppressAutoHyphens w:val="0"/>
        <w:jc w:val="center"/>
        <w:rPr>
          <w:rFonts w:eastAsia="Calibri"/>
          <w:lang w:val="es-CR" w:eastAsia="en-US"/>
        </w:rPr>
      </w:pPr>
      <w:r w:rsidRPr="002C0DC3">
        <w:rPr>
          <w:rFonts w:eastAsia="Calibri"/>
          <w:noProof/>
          <w:lang w:val="es-CR" w:eastAsia="es-CR"/>
        </w:rPr>
        <w:lastRenderedPageBreak/>
        <w:drawing>
          <wp:inline distT="0" distB="0" distL="0" distR="0" wp14:anchorId="3CF9176A" wp14:editId="3B040E6E">
            <wp:extent cx="4997450" cy="2838450"/>
            <wp:effectExtent l="0" t="0" r="12700" b="0"/>
            <wp:docPr id="12" name="Gráfico 12">
              <a:extLst xmlns:a="http://schemas.openxmlformats.org/drawingml/2006/main">
                <a:ext uri="{FF2B5EF4-FFF2-40B4-BE49-F238E27FC236}">
                  <a16:creationId xmlns:a16="http://schemas.microsoft.com/office/drawing/2014/main" id="{1EDAC912-B3CB-4C59-9F3E-43818F983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20AAAE" w14:textId="77777777" w:rsidR="002C0DC3" w:rsidRPr="002C0DC3" w:rsidRDefault="002C0DC3" w:rsidP="002C0DC3">
      <w:pPr>
        <w:suppressAutoHyphens w:val="0"/>
        <w:jc w:val="both"/>
        <w:rPr>
          <w:rFonts w:eastAsia="Calibri"/>
          <w:lang w:val="es-CR" w:eastAsia="en-US"/>
        </w:rPr>
      </w:pPr>
    </w:p>
    <w:p w14:paraId="4140B35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Continuando con el análisis, el Cuadro 11.2 muestra el desglose para ambos tipos de interviniente, de acuerdo con su rango de edad.</w:t>
      </w:r>
    </w:p>
    <w:p w14:paraId="6A2C3005" w14:textId="77777777" w:rsidR="002C0DC3" w:rsidRPr="002C0DC3" w:rsidRDefault="002C0DC3" w:rsidP="002C0DC3">
      <w:pPr>
        <w:suppressAutoHyphens w:val="0"/>
        <w:ind w:left="851" w:right="851" w:firstLine="709"/>
        <w:jc w:val="both"/>
        <w:rPr>
          <w:rFonts w:eastAsia="Calibri"/>
          <w:lang w:val="es-CR" w:eastAsia="en-US"/>
        </w:rPr>
      </w:pPr>
    </w:p>
    <w:p w14:paraId="3C3B2AD9"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bCs/>
          <w:lang w:val="es-CR" w:eastAsia="en-US"/>
        </w:rPr>
      </w:pPr>
      <w:r w:rsidRPr="002C0DC3">
        <w:rPr>
          <w:rFonts w:eastAsia="Calibri"/>
          <w:b/>
          <w:bCs/>
          <w:lang w:val="es-CR" w:eastAsia="en-US"/>
        </w:rPr>
        <w:t>Cuadro N°11.2</w:t>
      </w:r>
    </w:p>
    <w:p w14:paraId="06816759" w14:textId="557EE7E4" w:rsidR="002C0DC3" w:rsidRPr="002C0DC3" w:rsidRDefault="002C0DC3" w:rsidP="00B31AC4">
      <w:pPr>
        <w:widowControl w:val="0"/>
        <w:suppressAutoHyphens w:val="0"/>
        <w:autoSpaceDE w:val="0"/>
        <w:autoSpaceDN w:val="0"/>
        <w:adjustRightInd w:val="0"/>
        <w:ind w:left="851" w:right="851" w:firstLine="709"/>
        <w:jc w:val="center"/>
        <w:rPr>
          <w:rFonts w:eastAsia="Calibri"/>
          <w:b/>
          <w:bCs/>
          <w:lang w:val="es-CR" w:eastAsia="en-US"/>
        </w:rPr>
      </w:pPr>
      <w:r w:rsidRPr="002C0DC3">
        <w:rPr>
          <w:rFonts w:eastAsia="Calibri"/>
          <w:b/>
          <w:bCs/>
          <w:lang w:val="es-CR" w:eastAsia="en-US"/>
        </w:rPr>
        <w:t>Juzgados de Cobro Judicial: Personas intervinientes en los procesos judiciales según</w:t>
      </w:r>
      <w:r w:rsidR="00B31AC4">
        <w:rPr>
          <w:rFonts w:eastAsia="Calibri"/>
          <w:b/>
          <w:bCs/>
          <w:lang w:val="es-CR" w:eastAsia="en-US"/>
        </w:rPr>
        <w:t xml:space="preserve"> </w:t>
      </w:r>
      <w:r w:rsidRPr="002C0DC3">
        <w:rPr>
          <w:rFonts w:eastAsia="Calibri"/>
          <w:b/>
          <w:bCs/>
          <w:lang w:val="es-CR" w:eastAsia="en-US"/>
        </w:rPr>
        <w:t>edad, tipo de parte y sexo durante el 2020</w:t>
      </w:r>
    </w:p>
    <w:p w14:paraId="2D6675B5"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lang w:val="es-CR" w:eastAsia="en-US"/>
        </w:rPr>
      </w:pPr>
    </w:p>
    <w:tbl>
      <w:tblPr>
        <w:tblW w:w="7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1"/>
        <w:gridCol w:w="928"/>
        <w:gridCol w:w="994"/>
        <w:gridCol w:w="865"/>
        <w:gridCol w:w="941"/>
        <w:gridCol w:w="1114"/>
        <w:gridCol w:w="865"/>
      </w:tblGrid>
      <w:tr w:rsidR="002C0DC3" w:rsidRPr="002C0DC3" w14:paraId="669FFE13" w14:textId="77777777" w:rsidTr="002C0DC3">
        <w:trPr>
          <w:trHeight w:val="254"/>
          <w:tblHeader/>
          <w:jc w:val="center"/>
        </w:trPr>
        <w:tc>
          <w:tcPr>
            <w:tcW w:w="2091" w:type="dxa"/>
            <w:shd w:val="clear" w:color="auto" w:fill="auto"/>
            <w:noWrap/>
            <w:vAlign w:val="center"/>
            <w:hideMark/>
          </w:tcPr>
          <w:p w14:paraId="4EBE7952" w14:textId="77777777" w:rsidR="002C0DC3" w:rsidRPr="002C0DC3" w:rsidRDefault="002C0DC3" w:rsidP="002C0DC3">
            <w:pPr>
              <w:widowControl w:val="0"/>
              <w:suppressAutoHyphens w:val="0"/>
              <w:autoSpaceDE w:val="0"/>
              <w:autoSpaceDN w:val="0"/>
              <w:adjustRightInd w:val="0"/>
              <w:jc w:val="both"/>
              <w:rPr>
                <w:rFonts w:eastAsia="Calibri"/>
                <w:lang w:val="es-CR" w:eastAsia="es-CR"/>
              </w:rPr>
            </w:pPr>
            <w:r w:rsidRPr="002C0DC3">
              <w:rPr>
                <w:rFonts w:eastAsia="Calibri"/>
                <w:lang w:val="es-CR" w:eastAsia="en-US"/>
              </w:rPr>
              <w:t> </w:t>
            </w:r>
          </w:p>
        </w:tc>
        <w:tc>
          <w:tcPr>
            <w:tcW w:w="5699" w:type="dxa"/>
            <w:gridSpan w:val="6"/>
            <w:shd w:val="clear" w:color="auto" w:fill="auto"/>
            <w:noWrap/>
            <w:vAlign w:val="center"/>
            <w:hideMark/>
          </w:tcPr>
          <w:p w14:paraId="7C410D16"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Parte del proceso y Sexo</w:t>
            </w:r>
          </w:p>
        </w:tc>
      </w:tr>
      <w:tr w:rsidR="002C0DC3" w:rsidRPr="002C0DC3" w14:paraId="449FBE8A" w14:textId="77777777" w:rsidTr="002C0DC3">
        <w:trPr>
          <w:trHeight w:val="239"/>
          <w:tblHeader/>
          <w:jc w:val="center"/>
        </w:trPr>
        <w:tc>
          <w:tcPr>
            <w:tcW w:w="2091" w:type="dxa"/>
            <w:shd w:val="clear" w:color="auto" w:fill="auto"/>
            <w:noWrap/>
            <w:vAlign w:val="center"/>
            <w:hideMark/>
          </w:tcPr>
          <w:p w14:paraId="22E30D20"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Edad</w:t>
            </w:r>
          </w:p>
        </w:tc>
        <w:tc>
          <w:tcPr>
            <w:tcW w:w="2779" w:type="dxa"/>
            <w:gridSpan w:val="3"/>
            <w:shd w:val="clear" w:color="auto" w:fill="auto"/>
            <w:noWrap/>
            <w:vAlign w:val="center"/>
            <w:hideMark/>
          </w:tcPr>
          <w:p w14:paraId="7B7B3F84"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Actor (a)</w:t>
            </w:r>
          </w:p>
        </w:tc>
        <w:tc>
          <w:tcPr>
            <w:tcW w:w="2920" w:type="dxa"/>
            <w:gridSpan w:val="3"/>
            <w:shd w:val="clear" w:color="auto" w:fill="auto"/>
            <w:noWrap/>
            <w:vAlign w:val="center"/>
            <w:hideMark/>
          </w:tcPr>
          <w:p w14:paraId="4240A250"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Demandado (a)</w:t>
            </w:r>
          </w:p>
        </w:tc>
      </w:tr>
      <w:tr w:rsidR="002C0DC3" w:rsidRPr="002C0DC3" w14:paraId="139A7B29" w14:textId="77777777" w:rsidTr="002C0DC3">
        <w:trPr>
          <w:trHeight w:val="254"/>
          <w:tblHeader/>
          <w:jc w:val="center"/>
        </w:trPr>
        <w:tc>
          <w:tcPr>
            <w:tcW w:w="2091" w:type="dxa"/>
            <w:shd w:val="clear" w:color="auto" w:fill="auto"/>
            <w:noWrap/>
            <w:vAlign w:val="center"/>
            <w:hideMark/>
          </w:tcPr>
          <w:p w14:paraId="3F5D880E"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 </w:t>
            </w:r>
          </w:p>
        </w:tc>
        <w:tc>
          <w:tcPr>
            <w:tcW w:w="928" w:type="dxa"/>
            <w:shd w:val="clear" w:color="000000" w:fill="F2F2F2"/>
            <w:noWrap/>
            <w:vAlign w:val="center"/>
            <w:hideMark/>
          </w:tcPr>
          <w:p w14:paraId="0239455A"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986" w:type="dxa"/>
            <w:shd w:val="clear" w:color="auto" w:fill="auto"/>
            <w:noWrap/>
            <w:vAlign w:val="center"/>
            <w:hideMark/>
          </w:tcPr>
          <w:p w14:paraId="6A262D03"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Hombre</w:t>
            </w:r>
          </w:p>
        </w:tc>
        <w:tc>
          <w:tcPr>
            <w:tcW w:w="865" w:type="dxa"/>
            <w:shd w:val="clear" w:color="auto" w:fill="auto"/>
            <w:noWrap/>
            <w:vAlign w:val="center"/>
            <w:hideMark/>
          </w:tcPr>
          <w:p w14:paraId="5599C972"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Mujer</w:t>
            </w:r>
          </w:p>
        </w:tc>
        <w:tc>
          <w:tcPr>
            <w:tcW w:w="941" w:type="dxa"/>
            <w:shd w:val="clear" w:color="auto" w:fill="auto"/>
            <w:noWrap/>
            <w:vAlign w:val="center"/>
            <w:hideMark/>
          </w:tcPr>
          <w:p w14:paraId="07D206D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1114" w:type="dxa"/>
            <w:shd w:val="clear" w:color="auto" w:fill="auto"/>
            <w:noWrap/>
            <w:vAlign w:val="center"/>
            <w:hideMark/>
          </w:tcPr>
          <w:p w14:paraId="1F5D133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Hombre</w:t>
            </w:r>
          </w:p>
        </w:tc>
        <w:tc>
          <w:tcPr>
            <w:tcW w:w="865" w:type="dxa"/>
            <w:shd w:val="clear" w:color="auto" w:fill="auto"/>
            <w:noWrap/>
            <w:vAlign w:val="center"/>
            <w:hideMark/>
          </w:tcPr>
          <w:p w14:paraId="50B6E5CB"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Mujer</w:t>
            </w:r>
          </w:p>
        </w:tc>
      </w:tr>
      <w:tr w:rsidR="002C0DC3" w:rsidRPr="002C0DC3" w14:paraId="5273D213" w14:textId="77777777" w:rsidTr="002C0DC3">
        <w:trPr>
          <w:trHeight w:val="239"/>
          <w:jc w:val="center"/>
        </w:trPr>
        <w:tc>
          <w:tcPr>
            <w:tcW w:w="2091" w:type="dxa"/>
            <w:shd w:val="clear" w:color="auto" w:fill="auto"/>
            <w:noWrap/>
            <w:vAlign w:val="center"/>
            <w:hideMark/>
          </w:tcPr>
          <w:p w14:paraId="2873824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928" w:type="dxa"/>
            <w:shd w:val="clear" w:color="auto" w:fill="auto"/>
            <w:noWrap/>
            <w:vAlign w:val="center"/>
            <w:hideMark/>
          </w:tcPr>
          <w:p w14:paraId="7259A1FA"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986" w:type="dxa"/>
            <w:shd w:val="clear" w:color="auto" w:fill="auto"/>
            <w:noWrap/>
            <w:vAlign w:val="center"/>
            <w:hideMark/>
          </w:tcPr>
          <w:p w14:paraId="73A7D8E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865" w:type="dxa"/>
            <w:shd w:val="clear" w:color="auto" w:fill="auto"/>
            <w:noWrap/>
            <w:vAlign w:val="center"/>
            <w:hideMark/>
          </w:tcPr>
          <w:p w14:paraId="0938CABF"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941" w:type="dxa"/>
            <w:shd w:val="clear" w:color="auto" w:fill="auto"/>
            <w:noWrap/>
            <w:vAlign w:val="center"/>
            <w:hideMark/>
          </w:tcPr>
          <w:p w14:paraId="62C6B71C"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1114" w:type="dxa"/>
            <w:shd w:val="clear" w:color="auto" w:fill="auto"/>
            <w:noWrap/>
            <w:vAlign w:val="center"/>
            <w:hideMark/>
          </w:tcPr>
          <w:p w14:paraId="7C6B9013"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865" w:type="dxa"/>
            <w:shd w:val="clear" w:color="auto" w:fill="auto"/>
            <w:noWrap/>
            <w:vAlign w:val="center"/>
            <w:hideMark/>
          </w:tcPr>
          <w:p w14:paraId="4583201D"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r>
      <w:tr w:rsidR="002C0DC3" w:rsidRPr="002C0DC3" w14:paraId="40DF2F43" w14:textId="77777777" w:rsidTr="002C0DC3">
        <w:trPr>
          <w:trHeight w:val="254"/>
          <w:jc w:val="center"/>
        </w:trPr>
        <w:tc>
          <w:tcPr>
            <w:tcW w:w="2091" w:type="dxa"/>
            <w:shd w:val="clear" w:color="auto" w:fill="auto"/>
            <w:noWrap/>
            <w:vAlign w:val="center"/>
            <w:hideMark/>
          </w:tcPr>
          <w:p w14:paraId="404EFF10"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928" w:type="dxa"/>
            <w:shd w:val="clear" w:color="auto" w:fill="auto"/>
            <w:noWrap/>
            <w:vAlign w:val="center"/>
          </w:tcPr>
          <w:p w14:paraId="319BF2B0"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44.021</w:t>
            </w:r>
          </w:p>
        </w:tc>
        <w:tc>
          <w:tcPr>
            <w:tcW w:w="986" w:type="dxa"/>
            <w:shd w:val="clear" w:color="auto" w:fill="auto"/>
            <w:noWrap/>
            <w:vAlign w:val="center"/>
          </w:tcPr>
          <w:p w14:paraId="46BA16AA"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27.491</w:t>
            </w:r>
          </w:p>
        </w:tc>
        <w:tc>
          <w:tcPr>
            <w:tcW w:w="865" w:type="dxa"/>
            <w:shd w:val="clear" w:color="auto" w:fill="auto"/>
            <w:noWrap/>
            <w:vAlign w:val="center"/>
          </w:tcPr>
          <w:p w14:paraId="6C04519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16.530</w:t>
            </w:r>
          </w:p>
        </w:tc>
        <w:tc>
          <w:tcPr>
            <w:tcW w:w="941" w:type="dxa"/>
            <w:shd w:val="clear" w:color="auto" w:fill="auto"/>
            <w:noWrap/>
            <w:vAlign w:val="center"/>
          </w:tcPr>
          <w:p w14:paraId="7CBB2C40"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182.098</w:t>
            </w:r>
          </w:p>
        </w:tc>
        <w:tc>
          <w:tcPr>
            <w:tcW w:w="1114" w:type="dxa"/>
            <w:shd w:val="clear" w:color="auto" w:fill="auto"/>
            <w:noWrap/>
            <w:vAlign w:val="center"/>
          </w:tcPr>
          <w:p w14:paraId="339D9327"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118.550</w:t>
            </w:r>
          </w:p>
        </w:tc>
        <w:tc>
          <w:tcPr>
            <w:tcW w:w="865" w:type="dxa"/>
            <w:shd w:val="clear" w:color="auto" w:fill="auto"/>
            <w:noWrap/>
            <w:vAlign w:val="center"/>
          </w:tcPr>
          <w:p w14:paraId="3F231B6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63.548</w:t>
            </w:r>
          </w:p>
        </w:tc>
      </w:tr>
      <w:tr w:rsidR="002C0DC3" w:rsidRPr="002C0DC3" w14:paraId="21C2EA46" w14:textId="77777777" w:rsidTr="002C0DC3">
        <w:trPr>
          <w:trHeight w:val="254"/>
          <w:jc w:val="center"/>
        </w:trPr>
        <w:tc>
          <w:tcPr>
            <w:tcW w:w="2091" w:type="dxa"/>
            <w:shd w:val="clear" w:color="auto" w:fill="auto"/>
            <w:noWrap/>
            <w:vAlign w:val="center"/>
            <w:hideMark/>
          </w:tcPr>
          <w:p w14:paraId="4D24E5F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0 a 8 años</w:t>
            </w:r>
          </w:p>
        </w:tc>
        <w:tc>
          <w:tcPr>
            <w:tcW w:w="928" w:type="dxa"/>
            <w:shd w:val="clear" w:color="auto" w:fill="auto"/>
            <w:noWrap/>
          </w:tcPr>
          <w:p w14:paraId="1B964F2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30</w:t>
            </w:r>
          </w:p>
        </w:tc>
        <w:tc>
          <w:tcPr>
            <w:tcW w:w="986" w:type="dxa"/>
            <w:shd w:val="clear" w:color="auto" w:fill="auto"/>
            <w:noWrap/>
          </w:tcPr>
          <w:p w14:paraId="7066732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w:t>
            </w:r>
          </w:p>
        </w:tc>
        <w:tc>
          <w:tcPr>
            <w:tcW w:w="865" w:type="dxa"/>
            <w:shd w:val="clear" w:color="auto" w:fill="auto"/>
            <w:noWrap/>
          </w:tcPr>
          <w:p w14:paraId="255BF0D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w:t>
            </w:r>
          </w:p>
        </w:tc>
        <w:tc>
          <w:tcPr>
            <w:tcW w:w="941" w:type="dxa"/>
            <w:shd w:val="clear" w:color="auto" w:fill="auto"/>
            <w:noWrap/>
          </w:tcPr>
          <w:p w14:paraId="53341E8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w:t>
            </w:r>
          </w:p>
        </w:tc>
        <w:tc>
          <w:tcPr>
            <w:tcW w:w="1114" w:type="dxa"/>
            <w:shd w:val="clear" w:color="auto" w:fill="auto"/>
            <w:noWrap/>
          </w:tcPr>
          <w:p w14:paraId="118435D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w:t>
            </w:r>
          </w:p>
        </w:tc>
        <w:tc>
          <w:tcPr>
            <w:tcW w:w="865" w:type="dxa"/>
            <w:shd w:val="clear" w:color="auto" w:fill="auto"/>
            <w:noWrap/>
          </w:tcPr>
          <w:p w14:paraId="1812BBF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w:t>
            </w:r>
          </w:p>
        </w:tc>
      </w:tr>
      <w:tr w:rsidR="002C0DC3" w:rsidRPr="002C0DC3" w14:paraId="483AC141" w14:textId="77777777" w:rsidTr="002C0DC3">
        <w:trPr>
          <w:trHeight w:val="254"/>
          <w:jc w:val="center"/>
        </w:trPr>
        <w:tc>
          <w:tcPr>
            <w:tcW w:w="2091" w:type="dxa"/>
            <w:shd w:val="clear" w:color="auto" w:fill="auto"/>
            <w:noWrap/>
            <w:vAlign w:val="center"/>
            <w:hideMark/>
          </w:tcPr>
          <w:p w14:paraId="4DA2419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9 a 17 años</w:t>
            </w:r>
          </w:p>
        </w:tc>
        <w:tc>
          <w:tcPr>
            <w:tcW w:w="928" w:type="dxa"/>
            <w:shd w:val="clear" w:color="auto" w:fill="auto"/>
            <w:noWrap/>
          </w:tcPr>
          <w:p w14:paraId="64BB269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w:t>
            </w:r>
          </w:p>
        </w:tc>
        <w:tc>
          <w:tcPr>
            <w:tcW w:w="986" w:type="dxa"/>
            <w:shd w:val="clear" w:color="auto" w:fill="auto"/>
            <w:noWrap/>
          </w:tcPr>
          <w:p w14:paraId="7AC4DF9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w:t>
            </w:r>
          </w:p>
        </w:tc>
        <w:tc>
          <w:tcPr>
            <w:tcW w:w="865" w:type="dxa"/>
            <w:shd w:val="clear" w:color="auto" w:fill="auto"/>
            <w:noWrap/>
          </w:tcPr>
          <w:p w14:paraId="6DC2E1D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w:t>
            </w:r>
          </w:p>
        </w:tc>
        <w:tc>
          <w:tcPr>
            <w:tcW w:w="941" w:type="dxa"/>
            <w:shd w:val="clear" w:color="auto" w:fill="auto"/>
            <w:noWrap/>
          </w:tcPr>
          <w:p w14:paraId="68601A6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w:t>
            </w:r>
          </w:p>
        </w:tc>
        <w:tc>
          <w:tcPr>
            <w:tcW w:w="1114" w:type="dxa"/>
            <w:shd w:val="clear" w:color="auto" w:fill="auto"/>
            <w:noWrap/>
          </w:tcPr>
          <w:p w14:paraId="49E2AF8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w:t>
            </w:r>
          </w:p>
        </w:tc>
        <w:tc>
          <w:tcPr>
            <w:tcW w:w="865" w:type="dxa"/>
            <w:shd w:val="clear" w:color="auto" w:fill="auto"/>
            <w:noWrap/>
          </w:tcPr>
          <w:p w14:paraId="18747F0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w:t>
            </w:r>
          </w:p>
        </w:tc>
      </w:tr>
      <w:tr w:rsidR="002C0DC3" w:rsidRPr="002C0DC3" w14:paraId="7E0A2EED" w14:textId="77777777" w:rsidTr="002C0DC3">
        <w:trPr>
          <w:trHeight w:val="254"/>
          <w:jc w:val="center"/>
        </w:trPr>
        <w:tc>
          <w:tcPr>
            <w:tcW w:w="2091" w:type="dxa"/>
            <w:shd w:val="clear" w:color="auto" w:fill="auto"/>
            <w:noWrap/>
            <w:vAlign w:val="center"/>
            <w:hideMark/>
          </w:tcPr>
          <w:p w14:paraId="1114C8E9"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18 a 26 años</w:t>
            </w:r>
          </w:p>
        </w:tc>
        <w:tc>
          <w:tcPr>
            <w:tcW w:w="928" w:type="dxa"/>
            <w:shd w:val="clear" w:color="auto" w:fill="auto"/>
            <w:noWrap/>
          </w:tcPr>
          <w:p w14:paraId="656C548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229</w:t>
            </w:r>
          </w:p>
        </w:tc>
        <w:tc>
          <w:tcPr>
            <w:tcW w:w="986" w:type="dxa"/>
            <w:shd w:val="clear" w:color="auto" w:fill="auto"/>
            <w:noWrap/>
          </w:tcPr>
          <w:p w14:paraId="07F2CC1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115</w:t>
            </w:r>
          </w:p>
        </w:tc>
        <w:tc>
          <w:tcPr>
            <w:tcW w:w="865" w:type="dxa"/>
            <w:shd w:val="clear" w:color="auto" w:fill="auto"/>
            <w:noWrap/>
          </w:tcPr>
          <w:p w14:paraId="088CE93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114</w:t>
            </w:r>
          </w:p>
        </w:tc>
        <w:tc>
          <w:tcPr>
            <w:tcW w:w="941" w:type="dxa"/>
            <w:shd w:val="clear" w:color="auto" w:fill="auto"/>
            <w:noWrap/>
          </w:tcPr>
          <w:p w14:paraId="20DBF92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19 306</w:t>
            </w:r>
          </w:p>
        </w:tc>
        <w:tc>
          <w:tcPr>
            <w:tcW w:w="1114" w:type="dxa"/>
            <w:shd w:val="clear" w:color="auto" w:fill="auto"/>
            <w:noWrap/>
          </w:tcPr>
          <w:p w14:paraId="31F18DD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13 141</w:t>
            </w:r>
          </w:p>
        </w:tc>
        <w:tc>
          <w:tcPr>
            <w:tcW w:w="865" w:type="dxa"/>
            <w:shd w:val="clear" w:color="auto" w:fill="auto"/>
            <w:noWrap/>
          </w:tcPr>
          <w:p w14:paraId="1ADBD1B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6 165</w:t>
            </w:r>
          </w:p>
        </w:tc>
      </w:tr>
      <w:tr w:rsidR="002C0DC3" w:rsidRPr="002C0DC3" w14:paraId="37000AA0" w14:textId="77777777" w:rsidTr="002C0DC3">
        <w:trPr>
          <w:trHeight w:val="239"/>
          <w:jc w:val="center"/>
        </w:trPr>
        <w:tc>
          <w:tcPr>
            <w:tcW w:w="2091" w:type="dxa"/>
            <w:shd w:val="clear" w:color="auto" w:fill="auto"/>
            <w:noWrap/>
            <w:vAlign w:val="center"/>
            <w:hideMark/>
          </w:tcPr>
          <w:p w14:paraId="67B7302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27 a 35 años</w:t>
            </w:r>
          </w:p>
        </w:tc>
        <w:tc>
          <w:tcPr>
            <w:tcW w:w="928" w:type="dxa"/>
            <w:shd w:val="clear" w:color="auto" w:fill="auto"/>
            <w:noWrap/>
          </w:tcPr>
          <w:p w14:paraId="79C05F1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3 534</w:t>
            </w:r>
          </w:p>
        </w:tc>
        <w:tc>
          <w:tcPr>
            <w:tcW w:w="986" w:type="dxa"/>
            <w:shd w:val="clear" w:color="auto" w:fill="auto"/>
            <w:noWrap/>
          </w:tcPr>
          <w:p w14:paraId="640D551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1 195</w:t>
            </w:r>
          </w:p>
        </w:tc>
        <w:tc>
          <w:tcPr>
            <w:tcW w:w="865" w:type="dxa"/>
            <w:shd w:val="clear" w:color="auto" w:fill="auto"/>
            <w:noWrap/>
          </w:tcPr>
          <w:p w14:paraId="6E863BE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2 339</w:t>
            </w:r>
          </w:p>
        </w:tc>
        <w:tc>
          <w:tcPr>
            <w:tcW w:w="941" w:type="dxa"/>
            <w:shd w:val="clear" w:color="auto" w:fill="auto"/>
            <w:noWrap/>
          </w:tcPr>
          <w:p w14:paraId="2EB40F7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50 817</w:t>
            </w:r>
          </w:p>
        </w:tc>
        <w:tc>
          <w:tcPr>
            <w:tcW w:w="1114" w:type="dxa"/>
            <w:shd w:val="clear" w:color="auto" w:fill="auto"/>
            <w:noWrap/>
          </w:tcPr>
          <w:p w14:paraId="4CC305D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32 563</w:t>
            </w:r>
          </w:p>
        </w:tc>
        <w:tc>
          <w:tcPr>
            <w:tcW w:w="865" w:type="dxa"/>
            <w:shd w:val="clear" w:color="auto" w:fill="auto"/>
            <w:noWrap/>
          </w:tcPr>
          <w:p w14:paraId="70C4550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18 254</w:t>
            </w:r>
          </w:p>
        </w:tc>
      </w:tr>
      <w:tr w:rsidR="002C0DC3" w:rsidRPr="002C0DC3" w14:paraId="041AF9D1" w14:textId="77777777" w:rsidTr="002C0DC3">
        <w:trPr>
          <w:trHeight w:val="254"/>
          <w:jc w:val="center"/>
        </w:trPr>
        <w:tc>
          <w:tcPr>
            <w:tcW w:w="2091" w:type="dxa"/>
            <w:shd w:val="clear" w:color="auto" w:fill="auto"/>
            <w:noWrap/>
            <w:vAlign w:val="center"/>
            <w:hideMark/>
          </w:tcPr>
          <w:p w14:paraId="17A45E7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36 a 44 años</w:t>
            </w:r>
          </w:p>
        </w:tc>
        <w:tc>
          <w:tcPr>
            <w:tcW w:w="928" w:type="dxa"/>
            <w:shd w:val="clear" w:color="auto" w:fill="auto"/>
            <w:noWrap/>
          </w:tcPr>
          <w:p w14:paraId="17C7BF0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7 967</w:t>
            </w:r>
          </w:p>
        </w:tc>
        <w:tc>
          <w:tcPr>
            <w:tcW w:w="986" w:type="dxa"/>
            <w:shd w:val="clear" w:color="auto" w:fill="auto"/>
            <w:noWrap/>
          </w:tcPr>
          <w:p w14:paraId="64F7A52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1 868</w:t>
            </w:r>
          </w:p>
        </w:tc>
        <w:tc>
          <w:tcPr>
            <w:tcW w:w="865" w:type="dxa"/>
            <w:shd w:val="clear" w:color="auto" w:fill="auto"/>
            <w:noWrap/>
          </w:tcPr>
          <w:p w14:paraId="0B8721C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6 099</w:t>
            </w:r>
          </w:p>
        </w:tc>
        <w:tc>
          <w:tcPr>
            <w:tcW w:w="941" w:type="dxa"/>
            <w:shd w:val="clear" w:color="auto" w:fill="auto"/>
            <w:noWrap/>
          </w:tcPr>
          <w:p w14:paraId="5A26D47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46 002</w:t>
            </w:r>
          </w:p>
        </w:tc>
        <w:tc>
          <w:tcPr>
            <w:tcW w:w="1114" w:type="dxa"/>
            <w:shd w:val="clear" w:color="auto" w:fill="auto"/>
            <w:noWrap/>
          </w:tcPr>
          <w:p w14:paraId="1EB27E0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29 008</w:t>
            </w:r>
          </w:p>
        </w:tc>
        <w:tc>
          <w:tcPr>
            <w:tcW w:w="865" w:type="dxa"/>
            <w:shd w:val="clear" w:color="auto" w:fill="auto"/>
            <w:noWrap/>
          </w:tcPr>
          <w:p w14:paraId="409A8CD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16 994</w:t>
            </w:r>
          </w:p>
        </w:tc>
      </w:tr>
      <w:tr w:rsidR="002C0DC3" w:rsidRPr="002C0DC3" w14:paraId="2A306819" w14:textId="77777777" w:rsidTr="002C0DC3">
        <w:trPr>
          <w:trHeight w:val="254"/>
          <w:jc w:val="center"/>
        </w:trPr>
        <w:tc>
          <w:tcPr>
            <w:tcW w:w="2091" w:type="dxa"/>
            <w:shd w:val="clear" w:color="auto" w:fill="auto"/>
            <w:noWrap/>
            <w:vAlign w:val="center"/>
            <w:hideMark/>
          </w:tcPr>
          <w:p w14:paraId="19EE804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45 a 53 años</w:t>
            </w:r>
          </w:p>
        </w:tc>
        <w:tc>
          <w:tcPr>
            <w:tcW w:w="928" w:type="dxa"/>
            <w:shd w:val="clear" w:color="auto" w:fill="auto"/>
            <w:noWrap/>
          </w:tcPr>
          <w:p w14:paraId="6DBAC90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19 875</w:t>
            </w:r>
          </w:p>
        </w:tc>
        <w:tc>
          <w:tcPr>
            <w:tcW w:w="986" w:type="dxa"/>
            <w:shd w:val="clear" w:color="auto" w:fill="auto"/>
            <w:noWrap/>
          </w:tcPr>
          <w:p w14:paraId="31BDF63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15 208</w:t>
            </w:r>
          </w:p>
        </w:tc>
        <w:tc>
          <w:tcPr>
            <w:tcW w:w="865" w:type="dxa"/>
            <w:shd w:val="clear" w:color="auto" w:fill="auto"/>
            <w:noWrap/>
          </w:tcPr>
          <w:p w14:paraId="5F9B878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4 667</w:t>
            </w:r>
          </w:p>
        </w:tc>
        <w:tc>
          <w:tcPr>
            <w:tcW w:w="941" w:type="dxa"/>
            <w:shd w:val="clear" w:color="auto" w:fill="auto"/>
            <w:noWrap/>
          </w:tcPr>
          <w:p w14:paraId="6CAA2C7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32 032</w:t>
            </w:r>
          </w:p>
        </w:tc>
        <w:tc>
          <w:tcPr>
            <w:tcW w:w="1114" w:type="dxa"/>
            <w:shd w:val="clear" w:color="auto" w:fill="auto"/>
            <w:noWrap/>
          </w:tcPr>
          <w:p w14:paraId="5777B6F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21 044</w:t>
            </w:r>
          </w:p>
        </w:tc>
        <w:tc>
          <w:tcPr>
            <w:tcW w:w="865" w:type="dxa"/>
            <w:shd w:val="clear" w:color="auto" w:fill="auto"/>
            <w:noWrap/>
          </w:tcPr>
          <w:p w14:paraId="26B288A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10 988</w:t>
            </w:r>
          </w:p>
        </w:tc>
      </w:tr>
      <w:tr w:rsidR="002C0DC3" w:rsidRPr="002C0DC3" w14:paraId="789499AF" w14:textId="77777777" w:rsidTr="002C0DC3">
        <w:trPr>
          <w:trHeight w:val="254"/>
          <w:jc w:val="center"/>
        </w:trPr>
        <w:tc>
          <w:tcPr>
            <w:tcW w:w="2091" w:type="dxa"/>
            <w:shd w:val="clear" w:color="auto" w:fill="auto"/>
            <w:noWrap/>
            <w:vAlign w:val="center"/>
            <w:hideMark/>
          </w:tcPr>
          <w:p w14:paraId="1E16583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54 a 62 años</w:t>
            </w:r>
          </w:p>
        </w:tc>
        <w:tc>
          <w:tcPr>
            <w:tcW w:w="928" w:type="dxa"/>
            <w:shd w:val="clear" w:color="auto" w:fill="auto"/>
            <w:noWrap/>
          </w:tcPr>
          <w:p w14:paraId="5A439E6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9 561</w:t>
            </w:r>
          </w:p>
        </w:tc>
        <w:tc>
          <w:tcPr>
            <w:tcW w:w="986" w:type="dxa"/>
            <w:shd w:val="clear" w:color="auto" w:fill="auto"/>
            <w:noWrap/>
          </w:tcPr>
          <w:p w14:paraId="6F20E6D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6 751</w:t>
            </w:r>
          </w:p>
        </w:tc>
        <w:tc>
          <w:tcPr>
            <w:tcW w:w="865" w:type="dxa"/>
            <w:shd w:val="clear" w:color="auto" w:fill="auto"/>
            <w:noWrap/>
          </w:tcPr>
          <w:p w14:paraId="5C4528B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2 810</w:t>
            </w:r>
          </w:p>
        </w:tc>
        <w:tc>
          <w:tcPr>
            <w:tcW w:w="941" w:type="dxa"/>
            <w:shd w:val="clear" w:color="auto" w:fill="auto"/>
            <w:noWrap/>
          </w:tcPr>
          <w:p w14:paraId="6436CC9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21 264</w:t>
            </w:r>
          </w:p>
        </w:tc>
        <w:tc>
          <w:tcPr>
            <w:tcW w:w="1114" w:type="dxa"/>
            <w:shd w:val="clear" w:color="auto" w:fill="auto"/>
            <w:noWrap/>
          </w:tcPr>
          <w:p w14:paraId="2552AE5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14 205</w:t>
            </w:r>
          </w:p>
        </w:tc>
        <w:tc>
          <w:tcPr>
            <w:tcW w:w="865" w:type="dxa"/>
            <w:shd w:val="clear" w:color="auto" w:fill="auto"/>
            <w:noWrap/>
          </w:tcPr>
          <w:p w14:paraId="6FF72D5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7 059</w:t>
            </w:r>
          </w:p>
        </w:tc>
      </w:tr>
      <w:tr w:rsidR="002C0DC3" w:rsidRPr="002C0DC3" w14:paraId="2CBD8B44" w14:textId="77777777" w:rsidTr="002C0DC3">
        <w:trPr>
          <w:trHeight w:val="239"/>
          <w:jc w:val="center"/>
        </w:trPr>
        <w:tc>
          <w:tcPr>
            <w:tcW w:w="2091" w:type="dxa"/>
            <w:shd w:val="clear" w:color="auto" w:fill="auto"/>
            <w:noWrap/>
            <w:vAlign w:val="center"/>
            <w:hideMark/>
          </w:tcPr>
          <w:p w14:paraId="77D8B84C"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63 a 71 años</w:t>
            </w:r>
          </w:p>
        </w:tc>
        <w:tc>
          <w:tcPr>
            <w:tcW w:w="928" w:type="dxa"/>
            <w:shd w:val="clear" w:color="auto" w:fill="auto"/>
            <w:noWrap/>
          </w:tcPr>
          <w:p w14:paraId="502320D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1 405</w:t>
            </w:r>
          </w:p>
        </w:tc>
        <w:tc>
          <w:tcPr>
            <w:tcW w:w="986" w:type="dxa"/>
            <w:shd w:val="clear" w:color="auto" w:fill="auto"/>
            <w:noWrap/>
          </w:tcPr>
          <w:p w14:paraId="6EAF9AD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1 146</w:t>
            </w:r>
          </w:p>
        </w:tc>
        <w:tc>
          <w:tcPr>
            <w:tcW w:w="865" w:type="dxa"/>
            <w:shd w:val="clear" w:color="auto" w:fill="auto"/>
            <w:noWrap/>
          </w:tcPr>
          <w:p w14:paraId="61D50A6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259</w:t>
            </w:r>
          </w:p>
        </w:tc>
        <w:tc>
          <w:tcPr>
            <w:tcW w:w="941" w:type="dxa"/>
            <w:shd w:val="clear" w:color="auto" w:fill="auto"/>
            <w:noWrap/>
          </w:tcPr>
          <w:p w14:paraId="44FD87B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8 337</w:t>
            </w:r>
          </w:p>
        </w:tc>
        <w:tc>
          <w:tcPr>
            <w:tcW w:w="1114" w:type="dxa"/>
            <w:shd w:val="clear" w:color="auto" w:fill="auto"/>
            <w:noWrap/>
          </w:tcPr>
          <w:p w14:paraId="4D4C069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5 588</w:t>
            </w:r>
          </w:p>
        </w:tc>
        <w:tc>
          <w:tcPr>
            <w:tcW w:w="865" w:type="dxa"/>
            <w:shd w:val="clear" w:color="auto" w:fill="auto"/>
            <w:noWrap/>
          </w:tcPr>
          <w:p w14:paraId="78A6A96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2 749</w:t>
            </w:r>
          </w:p>
        </w:tc>
      </w:tr>
      <w:tr w:rsidR="002C0DC3" w:rsidRPr="002C0DC3" w14:paraId="3CEAC80D" w14:textId="77777777" w:rsidTr="002C0DC3">
        <w:trPr>
          <w:trHeight w:val="254"/>
          <w:jc w:val="center"/>
        </w:trPr>
        <w:tc>
          <w:tcPr>
            <w:tcW w:w="2091" w:type="dxa"/>
            <w:shd w:val="clear" w:color="auto" w:fill="auto"/>
            <w:noWrap/>
            <w:vAlign w:val="center"/>
            <w:hideMark/>
          </w:tcPr>
          <w:p w14:paraId="7E94880A"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72 a 80 años</w:t>
            </w:r>
          </w:p>
        </w:tc>
        <w:tc>
          <w:tcPr>
            <w:tcW w:w="928" w:type="dxa"/>
            <w:shd w:val="clear" w:color="auto" w:fill="auto"/>
            <w:noWrap/>
          </w:tcPr>
          <w:p w14:paraId="2333EDC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957</w:t>
            </w:r>
          </w:p>
        </w:tc>
        <w:tc>
          <w:tcPr>
            <w:tcW w:w="986" w:type="dxa"/>
            <w:shd w:val="clear" w:color="auto" w:fill="auto"/>
            <w:noWrap/>
          </w:tcPr>
          <w:p w14:paraId="1A34E45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844</w:t>
            </w:r>
          </w:p>
        </w:tc>
        <w:tc>
          <w:tcPr>
            <w:tcW w:w="865" w:type="dxa"/>
            <w:shd w:val="clear" w:color="auto" w:fill="auto"/>
            <w:noWrap/>
          </w:tcPr>
          <w:p w14:paraId="7A28FEF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113</w:t>
            </w:r>
          </w:p>
        </w:tc>
        <w:tc>
          <w:tcPr>
            <w:tcW w:w="941" w:type="dxa"/>
            <w:shd w:val="clear" w:color="auto" w:fill="auto"/>
            <w:noWrap/>
          </w:tcPr>
          <w:p w14:paraId="11CB86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1 929</w:t>
            </w:r>
          </w:p>
        </w:tc>
        <w:tc>
          <w:tcPr>
            <w:tcW w:w="1114" w:type="dxa"/>
            <w:shd w:val="clear" w:color="auto" w:fill="auto"/>
            <w:noWrap/>
          </w:tcPr>
          <w:p w14:paraId="47F6C50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1 219</w:t>
            </w:r>
          </w:p>
        </w:tc>
        <w:tc>
          <w:tcPr>
            <w:tcW w:w="865" w:type="dxa"/>
            <w:shd w:val="clear" w:color="auto" w:fill="auto"/>
            <w:noWrap/>
          </w:tcPr>
          <w:p w14:paraId="60F1F25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710</w:t>
            </w:r>
          </w:p>
        </w:tc>
      </w:tr>
      <w:tr w:rsidR="002C0DC3" w:rsidRPr="002C0DC3" w14:paraId="3013B5ED" w14:textId="77777777" w:rsidTr="002C0DC3">
        <w:trPr>
          <w:trHeight w:val="254"/>
          <w:jc w:val="center"/>
        </w:trPr>
        <w:tc>
          <w:tcPr>
            <w:tcW w:w="2091" w:type="dxa"/>
            <w:shd w:val="clear" w:color="auto" w:fill="auto"/>
            <w:noWrap/>
            <w:vAlign w:val="center"/>
            <w:hideMark/>
          </w:tcPr>
          <w:p w14:paraId="1609696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81 a 89 años</w:t>
            </w:r>
          </w:p>
        </w:tc>
        <w:tc>
          <w:tcPr>
            <w:tcW w:w="928" w:type="dxa"/>
            <w:shd w:val="clear" w:color="auto" w:fill="auto"/>
            <w:noWrap/>
          </w:tcPr>
          <w:p w14:paraId="021D3D4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114</w:t>
            </w:r>
          </w:p>
        </w:tc>
        <w:tc>
          <w:tcPr>
            <w:tcW w:w="986" w:type="dxa"/>
            <w:shd w:val="clear" w:color="auto" w:fill="auto"/>
            <w:noWrap/>
          </w:tcPr>
          <w:p w14:paraId="36C3C03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105</w:t>
            </w:r>
          </w:p>
        </w:tc>
        <w:tc>
          <w:tcPr>
            <w:tcW w:w="865" w:type="dxa"/>
            <w:shd w:val="clear" w:color="auto" w:fill="auto"/>
            <w:noWrap/>
          </w:tcPr>
          <w:p w14:paraId="0EB2543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w:t>
            </w:r>
          </w:p>
        </w:tc>
        <w:tc>
          <w:tcPr>
            <w:tcW w:w="941" w:type="dxa"/>
            <w:shd w:val="clear" w:color="auto" w:fill="auto"/>
            <w:noWrap/>
          </w:tcPr>
          <w:p w14:paraId="6A55254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397</w:t>
            </w:r>
          </w:p>
        </w:tc>
        <w:tc>
          <w:tcPr>
            <w:tcW w:w="1114" w:type="dxa"/>
            <w:shd w:val="clear" w:color="auto" w:fill="auto"/>
            <w:noWrap/>
          </w:tcPr>
          <w:p w14:paraId="5F84258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225</w:t>
            </w:r>
          </w:p>
        </w:tc>
        <w:tc>
          <w:tcPr>
            <w:tcW w:w="865" w:type="dxa"/>
            <w:shd w:val="clear" w:color="auto" w:fill="auto"/>
            <w:noWrap/>
          </w:tcPr>
          <w:p w14:paraId="6BA18FB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172</w:t>
            </w:r>
          </w:p>
        </w:tc>
      </w:tr>
      <w:tr w:rsidR="002C0DC3" w:rsidRPr="002C0DC3" w14:paraId="2F0961AF" w14:textId="77777777" w:rsidTr="002C0DC3">
        <w:trPr>
          <w:trHeight w:val="254"/>
          <w:jc w:val="center"/>
        </w:trPr>
        <w:tc>
          <w:tcPr>
            <w:tcW w:w="2091" w:type="dxa"/>
            <w:shd w:val="clear" w:color="auto" w:fill="auto"/>
            <w:noWrap/>
            <w:vAlign w:val="center"/>
            <w:hideMark/>
          </w:tcPr>
          <w:p w14:paraId="7F37198A"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De 90 a más años</w:t>
            </w:r>
          </w:p>
        </w:tc>
        <w:tc>
          <w:tcPr>
            <w:tcW w:w="928" w:type="dxa"/>
            <w:shd w:val="clear" w:color="auto" w:fill="auto"/>
            <w:noWrap/>
          </w:tcPr>
          <w:p w14:paraId="7FDBB82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w:t>
            </w:r>
          </w:p>
        </w:tc>
        <w:tc>
          <w:tcPr>
            <w:tcW w:w="986" w:type="dxa"/>
            <w:shd w:val="clear" w:color="auto" w:fill="auto"/>
            <w:noWrap/>
          </w:tcPr>
          <w:p w14:paraId="2B353F5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w:t>
            </w:r>
          </w:p>
        </w:tc>
        <w:tc>
          <w:tcPr>
            <w:tcW w:w="865" w:type="dxa"/>
            <w:shd w:val="clear" w:color="auto" w:fill="auto"/>
            <w:noWrap/>
          </w:tcPr>
          <w:p w14:paraId="34CB878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w:t>
            </w:r>
          </w:p>
        </w:tc>
        <w:tc>
          <w:tcPr>
            <w:tcW w:w="941" w:type="dxa"/>
            <w:shd w:val="clear" w:color="auto" w:fill="auto"/>
            <w:noWrap/>
          </w:tcPr>
          <w:p w14:paraId="7F1A41B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77</w:t>
            </w:r>
          </w:p>
        </w:tc>
        <w:tc>
          <w:tcPr>
            <w:tcW w:w="1114" w:type="dxa"/>
            <w:shd w:val="clear" w:color="auto" w:fill="auto"/>
            <w:noWrap/>
          </w:tcPr>
          <w:p w14:paraId="2D58123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46</w:t>
            </w:r>
          </w:p>
        </w:tc>
        <w:tc>
          <w:tcPr>
            <w:tcW w:w="865" w:type="dxa"/>
            <w:shd w:val="clear" w:color="auto" w:fill="auto"/>
            <w:noWrap/>
          </w:tcPr>
          <w:p w14:paraId="26C0019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31</w:t>
            </w:r>
          </w:p>
        </w:tc>
      </w:tr>
      <w:tr w:rsidR="002C0DC3" w:rsidRPr="002C0DC3" w14:paraId="7F32A728" w14:textId="77777777" w:rsidTr="002C0DC3">
        <w:trPr>
          <w:trHeight w:val="254"/>
          <w:jc w:val="center"/>
        </w:trPr>
        <w:tc>
          <w:tcPr>
            <w:tcW w:w="2091" w:type="dxa"/>
            <w:shd w:val="clear" w:color="auto" w:fill="auto"/>
            <w:noWrap/>
            <w:vAlign w:val="center"/>
            <w:hideMark/>
          </w:tcPr>
          <w:p w14:paraId="15F5450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lastRenderedPageBreak/>
              <w:t>Dato desconocido</w:t>
            </w:r>
          </w:p>
        </w:tc>
        <w:tc>
          <w:tcPr>
            <w:tcW w:w="928" w:type="dxa"/>
            <w:shd w:val="clear" w:color="auto" w:fill="auto"/>
            <w:noWrap/>
          </w:tcPr>
          <w:p w14:paraId="7D65D7D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294</w:t>
            </w:r>
          </w:p>
        </w:tc>
        <w:tc>
          <w:tcPr>
            <w:tcW w:w="986" w:type="dxa"/>
            <w:shd w:val="clear" w:color="auto" w:fill="auto"/>
            <w:noWrap/>
          </w:tcPr>
          <w:p w14:paraId="471612B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208</w:t>
            </w:r>
          </w:p>
        </w:tc>
        <w:tc>
          <w:tcPr>
            <w:tcW w:w="865" w:type="dxa"/>
            <w:shd w:val="clear" w:color="auto" w:fill="auto"/>
            <w:noWrap/>
          </w:tcPr>
          <w:p w14:paraId="34D8FEE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86</w:t>
            </w:r>
          </w:p>
        </w:tc>
        <w:tc>
          <w:tcPr>
            <w:tcW w:w="941" w:type="dxa"/>
            <w:shd w:val="clear" w:color="auto" w:fill="auto"/>
            <w:noWrap/>
          </w:tcPr>
          <w:p w14:paraId="03B89B0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1 920</w:t>
            </w:r>
          </w:p>
        </w:tc>
        <w:tc>
          <w:tcPr>
            <w:tcW w:w="1114" w:type="dxa"/>
            <w:shd w:val="clear" w:color="auto" w:fill="auto"/>
            <w:noWrap/>
          </w:tcPr>
          <w:p w14:paraId="5C1FEF3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1 502</w:t>
            </w:r>
          </w:p>
        </w:tc>
        <w:tc>
          <w:tcPr>
            <w:tcW w:w="865" w:type="dxa"/>
            <w:shd w:val="clear" w:color="auto" w:fill="auto"/>
            <w:noWrap/>
          </w:tcPr>
          <w:p w14:paraId="502A3B5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418</w:t>
            </w:r>
          </w:p>
        </w:tc>
      </w:tr>
      <w:tr w:rsidR="002C0DC3" w:rsidRPr="002C0DC3" w14:paraId="1D46E054" w14:textId="77777777" w:rsidTr="002C0DC3">
        <w:trPr>
          <w:trHeight w:val="147"/>
          <w:jc w:val="center"/>
        </w:trPr>
        <w:tc>
          <w:tcPr>
            <w:tcW w:w="7790" w:type="dxa"/>
            <w:gridSpan w:val="7"/>
            <w:shd w:val="clear" w:color="auto" w:fill="auto"/>
            <w:noWrap/>
            <w:vAlign w:val="center"/>
          </w:tcPr>
          <w:p w14:paraId="554398B9" w14:textId="77777777" w:rsidR="002C0DC3" w:rsidRPr="002C0DC3" w:rsidRDefault="002C0DC3" w:rsidP="002C0DC3">
            <w:pPr>
              <w:widowControl w:val="0"/>
              <w:suppressAutoHyphens w:val="0"/>
              <w:autoSpaceDE w:val="0"/>
              <w:autoSpaceDN w:val="0"/>
              <w:adjustRightInd w:val="0"/>
              <w:jc w:val="both"/>
              <w:rPr>
                <w:rFonts w:eastAsia="Calibri"/>
                <w:bCs/>
                <w:lang w:val="es-CR" w:eastAsia="en-US"/>
              </w:rPr>
            </w:pPr>
            <w:r w:rsidRPr="002C0DC3">
              <w:rPr>
                <w:rFonts w:eastAsia="Calibri"/>
                <w:bCs/>
                <w:lang w:val="es-CR" w:eastAsia="en-US"/>
              </w:rPr>
              <w:t>Elaborado por: Subproceso de Estadística, Dirección de Planificación.</w:t>
            </w:r>
          </w:p>
        </w:tc>
      </w:tr>
    </w:tbl>
    <w:p w14:paraId="4318B84E" w14:textId="77777777" w:rsidR="002C0DC3" w:rsidRPr="002C0DC3" w:rsidRDefault="002C0DC3" w:rsidP="002C0DC3">
      <w:pPr>
        <w:suppressAutoHyphens w:val="0"/>
        <w:jc w:val="both"/>
        <w:rPr>
          <w:rFonts w:eastAsia="Calibri"/>
          <w:lang w:val="es-CR" w:eastAsia="en-US"/>
        </w:rPr>
      </w:pPr>
    </w:p>
    <w:p w14:paraId="26634E3F"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Las mayores concentraciones de personas se ubican entre los 27 y los 53 años, comprendiendo 191.052 de los 226.119, destacando que de este grupo el más denso es el de los demandados (78.6%) y dentro de este grupo los varones con una representación del 64.5%. </w:t>
      </w:r>
    </w:p>
    <w:p w14:paraId="4ABD8C6B" w14:textId="77777777" w:rsidR="002C0DC3" w:rsidRPr="002C0DC3" w:rsidRDefault="002C0DC3" w:rsidP="002C0DC3">
      <w:pPr>
        <w:suppressAutoHyphens w:val="0"/>
        <w:ind w:left="851" w:right="851" w:firstLine="709"/>
        <w:jc w:val="both"/>
        <w:rPr>
          <w:rFonts w:eastAsia="Calibri"/>
          <w:lang w:val="es-CR" w:eastAsia="en-US"/>
        </w:rPr>
      </w:pPr>
    </w:p>
    <w:p w14:paraId="64C0D44A"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De igual manera, el cuadro N°11.3 permite ver el detalle del estado civil de las personas intervinientes en los procesos judiciales, en cuyo caso se tiene que las personas solteras y casadas acaparan las mayores proporciones en lo que a su participación se refiere, con un total de 182.472 personas, de las cuales 121.396 corresponden a Hombres (66,5%) y 61.076 a mujeres (33,5%). </w:t>
      </w:r>
    </w:p>
    <w:p w14:paraId="549CF88B" w14:textId="77777777" w:rsidR="002C0DC3" w:rsidRPr="002C0DC3" w:rsidRDefault="002C0DC3" w:rsidP="002C0DC3">
      <w:pPr>
        <w:suppressAutoHyphens w:val="0"/>
        <w:ind w:left="851" w:right="851" w:firstLine="709"/>
        <w:jc w:val="both"/>
        <w:rPr>
          <w:rFonts w:eastAsia="Calibri"/>
          <w:lang w:val="es-CR" w:eastAsia="en-US"/>
        </w:rPr>
      </w:pPr>
    </w:p>
    <w:p w14:paraId="24F7C849"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bCs/>
          <w:lang w:val="es-CR" w:eastAsia="en-US"/>
        </w:rPr>
      </w:pPr>
      <w:r w:rsidRPr="002C0DC3">
        <w:rPr>
          <w:rFonts w:eastAsia="Calibri"/>
          <w:b/>
          <w:bCs/>
          <w:lang w:val="es-CR" w:eastAsia="en-US"/>
        </w:rPr>
        <w:t>Cuadro N°11.3</w:t>
      </w:r>
    </w:p>
    <w:p w14:paraId="251D858E" w14:textId="2F4F8F04" w:rsidR="002C0DC3" w:rsidRDefault="002C0DC3" w:rsidP="00B31AC4">
      <w:pPr>
        <w:widowControl w:val="0"/>
        <w:suppressAutoHyphens w:val="0"/>
        <w:autoSpaceDE w:val="0"/>
        <w:autoSpaceDN w:val="0"/>
        <w:adjustRightInd w:val="0"/>
        <w:ind w:left="851" w:right="851" w:firstLine="709"/>
        <w:jc w:val="center"/>
        <w:rPr>
          <w:rFonts w:eastAsia="Calibri"/>
          <w:b/>
          <w:bCs/>
          <w:lang w:val="es-CR" w:eastAsia="en-US"/>
        </w:rPr>
      </w:pPr>
      <w:r w:rsidRPr="002C0DC3">
        <w:rPr>
          <w:rFonts w:eastAsia="Calibri"/>
          <w:b/>
          <w:bCs/>
          <w:lang w:val="es-CR" w:eastAsia="en-US"/>
        </w:rPr>
        <w:t>Juzgados de Cobro Judicial: Personas intervinientes en los procesos judiciales según</w:t>
      </w:r>
      <w:r w:rsidR="00B31AC4">
        <w:rPr>
          <w:rFonts w:eastAsia="Calibri"/>
          <w:b/>
          <w:bCs/>
          <w:lang w:val="es-CR" w:eastAsia="en-US"/>
        </w:rPr>
        <w:t xml:space="preserve"> </w:t>
      </w:r>
      <w:r w:rsidRPr="002C0DC3">
        <w:rPr>
          <w:rFonts w:eastAsia="Calibri"/>
          <w:b/>
          <w:bCs/>
          <w:lang w:val="es-CR" w:eastAsia="en-US"/>
        </w:rPr>
        <w:t>estado civil, tipo de parte y sexo durante el 2020</w:t>
      </w:r>
    </w:p>
    <w:p w14:paraId="1A2E4BFF" w14:textId="77777777" w:rsidR="00B31AC4" w:rsidRPr="00B31AC4" w:rsidRDefault="00B31AC4" w:rsidP="00B31AC4">
      <w:pPr>
        <w:widowControl w:val="0"/>
        <w:suppressAutoHyphens w:val="0"/>
        <w:autoSpaceDE w:val="0"/>
        <w:autoSpaceDN w:val="0"/>
        <w:adjustRightInd w:val="0"/>
        <w:ind w:left="851" w:right="851" w:firstLine="709"/>
        <w:jc w:val="center"/>
        <w:rPr>
          <w:rFonts w:eastAsia="Calibri"/>
          <w:b/>
          <w:bCs/>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4"/>
        <w:gridCol w:w="1028"/>
        <w:gridCol w:w="1257"/>
        <w:gridCol w:w="1071"/>
        <w:gridCol w:w="1165"/>
        <w:gridCol w:w="1377"/>
        <w:gridCol w:w="1073"/>
      </w:tblGrid>
      <w:tr w:rsidR="002C0DC3" w:rsidRPr="002C0DC3" w14:paraId="0B3C8645" w14:textId="77777777" w:rsidTr="002C0DC3">
        <w:trPr>
          <w:trHeight w:val="230"/>
          <w:tblHeader/>
          <w:jc w:val="center"/>
        </w:trPr>
        <w:tc>
          <w:tcPr>
            <w:tcW w:w="1290" w:type="pct"/>
            <w:shd w:val="clear" w:color="auto" w:fill="auto"/>
            <w:noWrap/>
            <w:vAlign w:val="center"/>
            <w:hideMark/>
          </w:tcPr>
          <w:p w14:paraId="7899708C" w14:textId="77777777" w:rsidR="002C0DC3" w:rsidRPr="002C0DC3" w:rsidRDefault="002C0DC3" w:rsidP="002C0DC3">
            <w:pPr>
              <w:widowControl w:val="0"/>
              <w:suppressAutoHyphens w:val="0"/>
              <w:autoSpaceDE w:val="0"/>
              <w:autoSpaceDN w:val="0"/>
              <w:adjustRightInd w:val="0"/>
              <w:jc w:val="both"/>
              <w:rPr>
                <w:rFonts w:eastAsia="Calibri"/>
                <w:lang w:val="es-CR" w:eastAsia="es-CR"/>
              </w:rPr>
            </w:pPr>
            <w:r w:rsidRPr="002C0DC3">
              <w:rPr>
                <w:rFonts w:eastAsia="Calibri"/>
                <w:lang w:val="es-CR" w:eastAsia="en-US"/>
              </w:rPr>
              <w:t> </w:t>
            </w:r>
          </w:p>
        </w:tc>
        <w:tc>
          <w:tcPr>
            <w:tcW w:w="3710" w:type="pct"/>
            <w:gridSpan w:val="6"/>
            <w:shd w:val="clear" w:color="auto" w:fill="auto"/>
            <w:noWrap/>
            <w:vAlign w:val="center"/>
            <w:hideMark/>
          </w:tcPr>
          <w:p w14:paraId="317FB481"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Parte del proceso y sexo</w:t>
            </w:r>
          </w:p>
        </w:tc>
      </w:tr>
      <w:tr w:rsidR="002C0DC3" w:rsidRPr="002C0DC3" w14:paraId="7002D865" w14:textId="77777777" w:rsidTr="002C0DC3">
        <w:trPr>
          <w:trHeight w:val="230"/>
          <w:tblHeader/>
          <w:jc w:val="center"/>
        </w:trPr>
        <w:tc>
          <w:tcPr>
            <w:tcW w:w="1290" w:type="pct"/>
            <w:shd w:val="clear" w:color="auto" w:fill="auto"/>
            <w:noWrap/>
            <w:vAlign w:val="center"/>
            <w:hideMark/>
          </w:tcPr>
          <w:p w14:paraId="2BF7AA88"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Estado Civil</w:t>
            </w:r>
          </w:p>
        </w:tc>
        <w:tc>
          <w:tcPr>
            <w:tcW w:w="1786" w:type="pct"/>
            <w:gridSpan w:val="3"/>
            <w:shd w:val="clear" w:color="auto" w:fill="auto"/>
            <w:noWrap/>
            <w:vAlign w:val="center"/>
            <w:hideMark/>
          </w:tcPr>
          <w:p w14:paraId="5755F65A"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Actor (a)</w:t>
            </w:r>
          </w:p>
        </w:tc>
        <w:tc>
          <w:tcPr>
            <w:tcW w:w="1924" w:type="pct"/>
            <w:gridSpan w:val="3"/>
            <w:shd w:val="clear" w:color="auto" w:fill="auto"/>
            <w:noWrap/>
            <w:vAlign w:val="center"/>
            <w:hideMark/>
          </w:tcPr>
          <w:p w14:paraId="17D8B776"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Demandado (a)</w:t>
            </w:r>
          </w:p>
        </w:tc>
      </w:tr>
      <w:tr w:rsidR="002C0DC3" w:rsidRPr="002C0DC3" w14:paraId="218B4A51" w14:textId="77777777" w:rsidTr="002C0DC3">
        <w:trPr>
          <w:trHeight w:val="222"/>
          <w:tblHeader/>
          <w:jc w:val="center"/>
        </w:trPr>
        <w:tc>
          <w:tcPr>
            <w:tcW w:w="1290" w:type="pct"/>
            <w:shd w:val="clear" w:color="auto" w:fill="auto"/>
            <w:noWrap/>
            <w:vAlign w:val="center"/>
            <w:hideMark/>
          </w:tcPr>
          <w:p w14:paraId="3834932D"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 </w:t>
            </w:r>
          </w:p>
        </w:tc>
        <w:tc>
          <w:tcPr>
            <w:tcW w:w="547" w:type="pct"/>
            <w:shd w:val="clear" w:color="auto" w:fill="auto"/>
            <w:noWrap/>
            <w:vAlign w:val="center"/>
            <w:hideMark/>
          </w:tcPr>
          <w:p w14:paraId="53FF022F"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669" w:type="pct"/>
            <w:shd w:val="clear" w:color="auto" w:fill="auto"/>
            <w:noWrap/>
            <w:vAlign w:val="center"/>
            <w:hideMark/>
          </w:tcPr>
          <w:p w14:paraId="7903A0EF"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Hombre</w:t>
            </w:r>
          </w:p>
        </w:tc>
        <w:tc>
          <w:tcPr>
            <w:tcW w:w="570" w:type="pct"/>
            <w:shd w:val="clear" w:color="auto" w:fill="auto"/>
            <w:noWrap/>
            <w:vAlign w:val="center"/>
            <w:hideMark/>
          </w:tcPr>
          <w:p w14:paraId="1B41E531"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Mujer</w:t>
            </w:r>
          </w:p>
        </w:tc>
        <w:tc>
          <w:tcPr>
            <w:tcW w:w="620" w:type="pct"/>
            <w:shd w:val="clear" w:color="auto" w:fill="auto"/>
            <w:noWrap/>
            <w:vAlign w:val="center"/>
            <w:hideMark/>
          </w:tcPr>
          <w:p w14:paraId="4A023FB9"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733" w:type="pct"/>
            <w:shd w:val="clear" w:color="auto" w:fill="auto"/>
            <w:noWrap/>
            <w:vAlign w:val="center"/>
            <w:hideMark/>
          </w:tcPr>
          <w:p w14:paraId="53537B84"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Hombre</w:t>
            </w:r>
          </w:p>
        </w:tc>
        <w:tc>
          <w:tcPr>
            <w:tcW w:w="571" w:type="pct"/>
            <w:shd w:val="clear" w:color="auto" w:fill="auto"/>
            <w:noWrap/>
            <w:vAlign w:val="center"/>
            <w:hideMark/>
          </w:tcPr>
          <w:p w14:paraId="44B6529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Mujer</w:t>
            </w:r>
          </w:p>
        </w:tc>
      </w:tr>
      <w:tr w:rsidR="002C0DC3" w:rsidRPr="002C0DC3" w14:paraId="1BB07B36" w14:textId="77777777" w:rsidTr="002C0DC3">
        <w:trPr>
          <w:trHeight w:val="123"/>
          <w:jc w:val="center"/>
        </w:trPr>
        <w:tc>
          <w:tcPr>
            <w:tcW w:w="1290" w:type="pct"/>
            <w:shd w:val="clear" w:color="auto" w:fill="auto"/>
            <w:noWrap/>
            <w:vAlign w:val="center"/>
            <w:hideMark/>
          </w:tcPr>
          <w:p w14:paraId="77AEC8A2"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547" w:type="pct"/>
            <w:shd w:val="clear" w:color="auto" w:fill="auto"/>
            <w:noWrap/>
            <w:vAlign w:val="center"/>
            <w:hideMark/>
          </w:tcPr>
          <w:p w14:paraId="0753EC6F"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669" w:type="pct"/>
            <w:shd w:val="clear" w:color="auto" w:fill="auto"/>
            <w:noWrap/>
            <w:vAlign w:val="center"/>
            <w:hideMark/>
          </w:tcPr>
          <w:p w14:paraId="39A22249"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570" w:type="pct"/>
            <w:shd w:val="clear" w:color="auto" w:fill="auto"/>
            <w:noWrap/>
            <w:vAlign w:val="center"/>
            <w:hideMark/>
          </w:tcPr>
          <w:p w14:paraId="1C0A1AB2"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620" w:type="pct"/>
            <w:shd w:val="clear" w:color="auto" w:fill="auto"/>
            <w:noWrap/>
            <w:vAlign w:val="center"/>
            <w:hideMark/>
          </w:tcPr>
          <w:p w14:paraId="4AAEDFC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733" w:type="pct"/>
            <w:shd w:val="clear" w:color="auto" w:fill="auto"/>
            <w:noWrap/>
            <w:vAlign w:val="center"/>
            <w:hideMark/>
          </w:tcPr>
          <w:p w14:paraId="31CBA93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571" w:type="pct"/>
            <w:shd w:val="clear" w:color="auto" w:fill="auto"/>
            <w:noWrap/>
            <w:vAlign w:val="center"/>
            <w:hideMark/>
          </w:tcPr>
          <w:p w14:paraId="6D27673D"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r>
      <w:tr w:rsidR="002C0DC3" w:rsidRPr="002C0DC3" w14:paraId="67E24824" w14:textId="77777777" w:rsidTr="002C0DC3">
        <w:trPr>
          <w:trHeight w:val="392"/>
          <w:jc w:val="center"/>
        </w:trPr>
        <w:tc>
          <w:tcPr>
            <w:tcW w:w="1290" w:type="pct"/>
            <w:shd w:val="clear" w:color="auto" w:fill="auto"/>
            <w:noWrap/>
            <w:vAlign w:val="center"/>
            <w:hideMark/>
          </w:tcPr>
          <w:p w14:paraId="5C73776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547" w:type="pct"/>
            <w:shd w:val="clear" w:color="auto" w:fill="auto"/>
            <w:noWrap/>
            <w:vAlign w:val="center"/>
          </w:tcPr>
          <w:p w14:paraId="54B8410C"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44.021</w:t>
            </w:r>
          </w:p>
        </w:tc>
        <w:tc>
          <w:tcPr>
            <w:tcW w:w="669" w:type="pct"/>
            <w:shd w:val="clear" w:color="auto" w:fill="auto"/>
            <w:noWrap/>
            <w:vAlign w:val="center"/>
          </w:tcPr>
          <w:p w14:paraId="3BA43DA7"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27491</w:t>
            </w:r>
          </w:p>
        </w:tc>
        <w:tc>
          <w:tcPr>
            <w:tcW w:w="570" w:type="pct"/>
            <w:shd w:val="clear" w:color="auto" w:fill="auto"/>
            <w:noWrap/>
            <w:vAlign w:val="center"/>
          </w:tcPr>
          <w:p w14:paraId="26DE16C5"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16530</w:t>
            </w:r>
          </w:p>
        </w:tc>
        <w:tc>
          <w:tcPr>
            <w:tcW w:w="620" w:type="pct"/>
            <w:shd w:val="clear" w:color="auto" w:fill="auto"/>
            <w:noWrap/>
            <w:vAlign w:val="center"/>
          </w:tcPr>
          <w:p w14:paraId="311C5B02"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182.098</w:t>
            </w:r>
          </w:p>
        </w:tc>
        <w:tc>
          <w:tcPr>
            <w:tcW w:w="733" w:type="pct"/>
            <w:shd w:val="clear" w:color="auto" w:fill="auto"/>
            <w:noWrap/>
            <w:vAlign w:val="center"/>
          </w:tcPr>
          <w:p w14:paraId="27DC3498"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118.550</w:t>
            </w:r>
          </w:p>
        </w:tc>
        <w:tc>
          <w:tcPr>
            <w:tcW w:w="571" w:type="pct"/>
            <w:shd w:val="clear" w:color="auto" w:fill="auto"/>
            <w:noWrap/>
            <w:vAlign w:val="center"/>
          </w:tcPr>
          <w:p w14:paraId="45DA6F07" w14:textId="77777777" w:rsidR="002C0DC3" w:rsidRPr="002C0DC3" w:rsidRDefault="002C0DC3" w:rsidP="002C0DC3">
            <w:pPr>
              <w:widowControl w:val="0"/>
              <w:suppressAutoHyphens w:val="0"/>
              <w:autoSpaceDE w:val="0"/>
              <w:autoSpaceDN w:val="0"/>
              <w:adjustRightInd w:val="0"/>
              <w:jc w:val="right"/>
              <w:rPr>
                <w:rFonts w:eastAsia="Calibri"/>
                <w:b/>
                <w:bCs/>
                <w:lang w:val="es-CR" w:eastAsia="en-US"/>
              </w:rPr>
            </w:pPr>
            <w:r w:rsidRPr="002C0DC3">
              <w:rPr>
                <w:rFonts w:eastAsia="Calibri"/>
                <w:b/>
                <w:bCs/>
                <w:lang w:val="es-CR" w:eastAsia="en-US"/>
              </w:rPr>
              <w:t>63.548</w:t>
            </w:r>
          </w:p>
        </w:tc>
      </w:tr>
      <w:tr w:rsidR="002C0DC3" w:rsidRPr="002C0DC3" w14:paraId="7F58FE33" w14:textId="77777777" w:rsidTr="002C0DC3">
        <w:trPr>
          <w:trHeight w:val="239"/>
          <w:jc w:val="center"/>
        </w:trPr>
        <w:tc>
          <w:tcPr>
            <w:tcW w:w="1290" w:type="pct"/>
            <w:shd w:val="clear" w:color="auto" w:fill="auto"/>
            <w:noWrap/>
            <w:hideMark/>
          </w:tcPr>
          <w:p w14:paraId="6EF67CC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Casado(a)</w:t>
            </w:r>
          </w:p>
        </w:tc>
        <w:tc>
          <w:tcPr>
            <w:tcW w:w="547" w:type="pct"/>
            <w:shd w:val="clear" w:color="auto" w:fill="auto"/>
            <w:noWrap/>
          </w:tcPr>
          <w:p w14:paraId="011E714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25 172</w:t>
            </w:r>
          </w:p>
        </w:tc>
        <w:tc>
          <w:tcPr>
            <w:tcW w:w="669" w:type="pct"/>
            <w:shd w:val="clear" w:color="auto" w:fill="auto"/>
            <w:noWrap/>
          </w:tcPr>
          <w:p w14:paraId="07ECA29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15 476</w:t>
            </w:r>
          </w:p>
        </w:tc>
        <w:tc>
          <w:tcPr>
            <w:tcW w:w="570" w:type="pct"/>
            <w:shd w:val="clear" w:color="auto" w:fill="auto"/>
            <w:noWrap/>
          </w:tcPr>
          <w:p w14:paraId="1C27112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9 696</w:t>
            </w:r>
          </w:p>
        </w:tc>
        <w:tc>
          <w:tcPr>
            <w:tcW w:w="620" w:type="pct"/>
            <w:shd w:val="clear" w:color="auto" w:fill="auto"/>
            <w:noWrap/>
            <w:vAlign w:val="bottom"/>
          </w:tcPr>
          <w:p w14:paraId="21C9689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67 435</w:t>
            </w:r>
          </w:p>
        </w:tc>
        <w:tc>
          <w:tcPr>
            <w:tcW w:w="733" w:type="pct"/>
            <w:shd w:val="clear" w:color="auto" w:fill="auto"/>
            <w:noWrap/>
          </w:tcPr>
          <w:p w14:paraId="46BDFDC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46 218</w:t>
            </w:r>
          </w:p>
        </w:tc>
        <w:tc>
          <w:tcPr>
            <w:tcW w:w="571" w:type="pct"/>
            <w:shd w:val="clear" w:color="auto" w:fill="auto"/>
            <w:noWrap/>
          </w:tcPr>
          <w:p w14:paraId="01BE5F4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21 217</w:t>
            </w:r>
          </w:p>
        </w:tc>
      </w:tr>
      <w:tr w:rsidR="002C0DC3" w:rsidRPr="002C0DC3" w14:paraId="2AD12CE3" w14:textId="77777777" w:rsidTr="002C0DC3">
        <w:trPr>
          <w:trHeight w:val="230"/>
          <w:jc w:val="center"/>
        </w:trPr>
        <w:tc>
          <w:tcPr>
            <w:tcW w:w="1290" w:type="pct"/>
            <w:shd w:val="clear" w:color="auto" w:fill="auto"/>
            <w:noWrap/>
            <w:hideMark/>
          </w:tcPr>
          <w:p w14:paraId="141CF693"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Soltero(a)</w:t>
            </w:r>
          </w:p>
        </w:tc>
        <w:tc>
          <w:tcPr>
            <w:tcW w:w="547" w:type="pct"/>
            <w:shd w:val="clear" w:color="auto" w:fill="auto"/>
            <w:noWrap/>
          </w:tcPr>
          <w:p w14:paraId="362C1C2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10 775</w:t>
            </w:r>
          </w:p>
        </w:tc>
        <w:tc>
          <w:tcPr>
            <w:tcW w:w="669" w:type="pct"/>
            <w:shd w:val="clear" w:color="auto" w:fill="auto"/>
            <w:noWrap/>
          </w:tcPr>
          <w:p w14:paraId="5541BBB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8 455</w:t>
            </w:r>
          </w:p>
        </w:tc>
        <w:tc>
          <w:tcPr>
            <w:tcW w:w="570" w:type="pct"/>
            <w:shd w:val="clear" w:color="auto" w:fill="auto"/>
            <w:noWrap/>
          </w:tcPr>
          <w:p w14:paraId="55CB65B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2 320</w:t>
            </w:r>
          </w:p>
        </w:tc>
        <w:tc>
          <w:tcPr>
            <w:tcW w:w="620" w:type="pct"/>
            <w:shd w:val="clear" w:color="auto" w:fill="auto"/>
            <w:noWrap/>
            <w:vAlign w:val="bottom"/>
          </w:tcPr>
          <w:p w14:paraId="770A48E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79 090</w:t>
            </w:r>
          </w:p>
        </w:tc>
        <w:tc>
          <w:tcPr>
            <w:tcW w:w="733" w:type="pct"/>
            <w:shd w:val="clear" w:color="auto" w:fill="auto"/>
            <w:noWrap/>
          </w:tcPr>
          <w:p w14:paraId="609C29A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51 247</w:t>
            </w:r>
          </w:p>
        </w:tc>
        <w:tc>
          <w:tcPr>
            <w:tcW w:w="571" w:type="pct"/>
            <w:shd w:val="clear" w:color="auto" w:fill="auto"/>
            <w:noWrap/>
          </w:tcPr>
          <w:p w14:paraId="61F5B94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27 843</w:t>
            </w:r>
          </w:p>
        </w:tc>
      </w:tr>
      <w:tr w:rsidR="002C0DC3" w:rsidRPr="002C0DC3" w14:paraId="23387F43" w14:textId="77777777" w:rsidTr="002C0DC3">
        <w:trPr>
          <w:trHeight w:val="230"/>
          <w:jc w:val="center"/>
        </w:trPr>
        <w:tc>
          <w:tcPr>
            <w:tcW w:w="1290" w:type="pct"/>
            <w:shd w:val="clear" w:color="auto" w:fill="auto"/>
            <w:noWrap/>
            <w:hideMark/>
          </w:tcPr>
          <w:p w14:paraId="35B3C95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Divorciado(a)</w:t>
            </w:r>
          </w:p>
        </w:tc>
        <w:tc>
          <w:tcPr>
            <w:tcW w:w="547" w:type="pct"/>
            <w:shd w:val="clear" w:color="auto" w:fill="auto"/>
            <w:noWrap/>
          </w:tcPr>
          <w:p w14:paraId="4D41113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5 099</w:t>
            </w:r>
          </w:p>
        </w:tc>
        <w:tc>
          <w:tcPr>
            <w:tcW w:w="669" w:type="pct"/>
            <w:shd w:val="clear" w:color="auto" w:fill="auto"/>
            <w:noWrap/>
          </w:tcPr>
          <w:p w14:paraId="543F0ED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993</w:t>
            </w:r>
          </w:p>
        </w:tc>
        <w:tc>
          <w:tcPr>
            <w:tcW w:w="570" w:type="pct"/>
            <w:shd w:val="clear" w:color="auto" w:fill="auto"/>
            <w:noWrap/>
          </w:tcPr>
          <w:p w14:paraId="1228A14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4 106</w:t>
            </w:r>
          </w:p>
        </w:tc>
        <w:tc>
          <w:tcPr>
            <w:tcW w:w="620" w:type="pct"/>
            <w:shd w:val="clear" w:color="auto" w:fill="auto"/>
            <w:noWrap/>
            <w:vAlign w:val="bottom"/>
          </w:tcPr>
          <w:p w14:paraId="3BC0C8F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22 585</w:t>
            </w:r>
          </w:p>
        </w:tc>
        <w:tc>
          <w:tcPr>
            <w:tcW w:w="733" w:type="pct"/>
            <w:shd w:val="clear" w:color="auto" w:fill="auto"/>
            <w:noWrap/>
          </w:tcPr>
          <w:p w14:paraId="6DEB465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13 212</w:t>
            </w:r>
          </w:p>
        </w:tc>
        <w:tc>
          <w:tcPr>
            <w:tcW w:w="571" w:type="pct"/>
            <w:shd w:val="clear" w:color="auto" w:fill="auto"/>
            <w:noWrap/>
          </w:tcPr>
          <w:p w14:paraId="75F716F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9 373</w:t>
            </w:r>
          </w:p>
        </w:tc>
      </w:tr>
      <w:tr w:rsidR="002C0DC3" w:rsidRPr="002C0DC3" w14:paraId="2470A89D" w14:textId="77777777" w:rsidTr="002C0DC3">
        <w:trPr>
          <w:trHeight w:val="239"/>
          <w:jc w:val="center"/>
        </w:trPr>
        <w:tc>
          <w:tcPr>
            <w:tcW w:w="1290" w:type="pct"/>
            <w:shd w:val="clear" w:color="auto" w:fill="auto"/>
            <w:noWrap/>
            <w:hideMark/>
          </w:tcPr>
          <w:p w14:paraId="4976E11D"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Viudo(a)</w:t>
            </w:r>
          </w:p>
        </w:tc>
        <w:tc>
          <w:tcPr>
            <w:tcW w:w="547" w:type="pct"/>
            <w:shd w:val="clear" w:color="auto" w:fill="auto"/>
            <w:noWrap/>
          </w:tcPr>
          <w:p w14:paraId="70A7031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2 290</w:t>
            </w:r>
          </w:p>
        </w:tc>
        <w:tc>
          <w:tcPr>
            <w:tcW w:w="669" w:type="pct"/>
            <w:shd w:val="clear" w:color="auto" w:fill="auto"/>
            <w:noWrap/>
          </w:tcPr>
          <w:p w14:paraId="522E058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2 196</w:t>
            </w:r>
          </w:p>
        </w:tc>
        <w:tc>
          <w:tcPr>
            <w:tcW w:w="570" w:type="pct"/>
            <w:shd w:val="clear" w:color="auto" w:fill="auto"/>
            <w:noWrap/>
          </w:tcPr>
          <w:p w14:paraId="4A97289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94</w:t>
            </w:r>
          </w:p>
        </w:tc>
        <w:tc>
          <w:tcPr>
            <w:tcW w:w="620" w:type="pct"/>
            <w:shd w:val="clear" w:color="auto" w:fill="auto"/>
            <w:noWrap/>
            <w:vAlign w:val="bottom"/>
          </w:tcPr>
          <w:p w14:paraId="23FC2DA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2 084</w:t>
            </w:r>
          </w:p>
        </w:tc>
        <w:tc>
          <w:tcPr>
            <w:tcW w:w="733" w:type="pct"/>
            <w:shd w:val="clear" w:color="auto" w:fill="auto"/>
            <w:noWrap/>
          </w:tcPr>
          <w:p w14:paraId="1C71080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668</w:t>
            </w:r>
          </w:p>
        </w:tc>
        <w:tc>
          <w:tcPr>
            <w:tcW w:w="571" w:type="pct"/>
            <w:shd w:val="clear" w:color="auto" w:fill="auto"/>
            <w:noWrap/>
          </w:tcPr>
          <w:p w14:paraId="374D1D7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1 416</w:t>
            </w:r>
          </w:p>
        </w:tc>
      </w:tr>
      <w:tr w:rsidR="002C0DC3" w:rsidRPr="002C0DC3" w14:paraId="32800AB1" w14:textId="77777777" w:rsidTr="002C0DC3">
        <w:trPr>
          <w:trHeight w:val="230"/>
          <w:jc w:val="center"/>
        </w:trPr>
        <w:tc>
          <w:tcPr>
            <w:tcW w:w="1290" w:type="pct"/>
            <w:shd w:val="clear" w:color="auto" w:fill="auto"/>
            <w:noWrap/>
            <w:hideMark/>
          </w:tcPr>
          <w:p w14:paraId="110159F7"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Unión de hecho</w:t>
            </w:r>
          </w:p>
        </w:tc>
        <w:tc>
          <w:tcPr>
            <w:tcW w:w="547" w:type="pct"/>
            <w:shd w:val="clear" w:color="auto" w:fill="auto"/>
            <w:noWrap/>
          </w:tcPr>
          <w:p w14:paraId="7BE524C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w:t>
            </w:r>
          </w:p>
        </w:tc>
        <w:tc>
          <w:tcPr>
            <w:tcW w:w="669" w:type="pct"/>
            <w:shd w:val="clear" w:color="auto" w:fill="auto"/>
            <w:noWrap/>
          </w:tcPr>
          <w:p w14:paraId="20C0F48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w:t>
            </w:r>
          </w:p>
        </w:tc>
        <w:tc>
          <w:tcPr>
            <w:tcW w:w="570" w:type="pct"/>
            <w:shd w:val="clear" w:color="auto" w:fill="auto"/>
            <w:noWrap/>
          </w:tcPr>
          <w:p w14:paraId="2570EF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620" w:type="pct"/>
            <w:shd w:val="clear" w:color="auto" w:fill="auto"/>
            <w:noWrap/>
            <w:vAlign w:val="bottom"/>
          </w:tcPr>
          <w:p w14:paraId="78AB62E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234</w:t>
            </w:r>
          </w:p>
        </w:tc>
        <w:tc>
          <w:tcPr>
            <w:tcW w:w="733" w:type="pct"/>
            <w:shd w:val="clear" w:color="auto" w:fill="auto"/>
            <w:noWrap/>
          </w:tcPr>
          <w:p w14:paraId="61FD5D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175</w:t>
            </w:r>
          </w:p>
        </w:tc>
        <w:tc>
          <w:tcPr>
            <w:tcW w:w="571" w:type="pct"/>
            <w:shd w:val="clear" w:color="auto" w:fill="auto"/>
            <w:noWrap/>
          </w:tcPr>
          <w:p w14:paraId="500387D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59</w:t>
            </w:r>
          </w:p>
        </w:tc>
      </w:tr>
      <w:tr w:rsidR="002C0DC3" w:rsidRPr="002C0DC3" w14:paraId="39F09618" w14:textId="77777777" w:rsidTr="002C0DC3">
        <w:trPr>
          <w:trHeight w:val="230"/>
          <w:jc w:val="center"/>
        </w:trPr>
        <w:tc>
          <w:tcPr>
            <w:tcW w:w="1290" w:type="pct"/>
            <w:shd w:val="clear" w:color="auto" w:fill="auto"/>
            <w:noWrap/>
            <w:hideMark/>
          </w:tcPr>
          <w:p w14:paraId="7527073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Separado(a)</w:t>
            </w:r>
          </w:p>
        </w:tc>
        <w:tc>
          <w:tcPr>
            <w:tcW w:w="547" w:type="pct"/>
            <w:shd w:val="clear" w:color="auto" w:fill="auto"/>
            <w:noWrap/>
          </w:tcPr>
          <w:p w14:paraId="754D67F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13</w:t>
            </w:r>
          </w:p>
        </w:tc>
        <w:tc>
          <w:tcPr>
            <w:tcW w:w="669" w:type="pct"/>
            <w:shd w:val="clear" w:color="auto" w:fill="auto"/>
            <w:noWrap/>
          </w:tcPr>
          <w:p w14:paraId="3599EFD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w:t>
            </w:r>
          </w:p>
        </w:tc>
        <w:tc>
          <w:tcPr>
            <w:tcW w:w="570" w:type="pct"/>
            <w:shd w:val="clear" w:color="auto" w:fill="auto"/>
            <w:noWrap/>
          </w:tcPr>
          <w:p w14:paraId="6D9373E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w:t>
            </w:r>
          </w:p>
        </w:tc>
        <w:tc>
          <w:tcPr>
            <w:tcW w:w="620" w:type="pct"/>
            <w:shd w:val="clear" w:color="auto" w:fill="auto"/>
            <w:noWrap/>
            <w:vAlign w:val="bottom"/>
          </w:tcPr>
          <w:p w14:paraId="4CD272D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45</w:t>
            </w:r>
          </w:p>
        </w:tc>
        <w:tc>
          <w:tcPr>
            <w:tcW w:w="733" w:type="pct"/>
            <w:shd w:val="clear" w:color="auto" w:fill="auto"/>
            <w:noWrap/>
          </w:tcPr>
          <w:p w14:paraId="408C306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w:t>
            </w:r>
          </w:p>
        </w:tc>
        <w:tc>
          <w:tcPr>
            <w:tcW w:w="571" w:type="pct"/>
            <w:shd w:val="clear" w:color="auto" w:fill="auto"/>
            <w:noWrap/>
          </w:tcPr>
          <w:p w14:paraId="5D2A46F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w:t>
            </w:r>
          </w:p>
        </w:tc>
      </w:tr>
      <w:tr w:rsidR="002C0DC3" w:rsidRPr="002C0DC3" w14:paraId="6B6A60E7" w14:textId="77777777" w:rsidTr="002C0DC3">
        <w:trPr>
          <w:trHeight w:val="230"/>
          <w:jc w:val="center"/>
        </w:trPr>
        <w:tc>
          <w:tcPr>
            <w:tcW w:w="1290" w:type="pct"/>
            <w:shd w:val="clear" w:color="auto" w:fill="auto"/>
            <w:noWrap/>
          </w:tcPr>
          <w:p w14:paraId="5DBAEAF0"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Dato desconocido</w:t>
            </w:r>
          </w:p>
        </w:tc>
        <w:tc>
          <w:tcPr>
            <w:tcW w:w="547" w:type="pct"/>
            <w:shd w:val="clear" w:color="auto" w:fill="auto"/>
            <w:noWrap/>
          </w:tcPr>
          <w:p w14:paraId="66D3D95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665</w:t>
            </w:r>
          </w:p>
        </w:tc>
        <w:tc>
          <w:tcPr>
            <w:tcW w:w="669" w:type="pct"/>
            <w:shd w:val="clear" w:color="auto" w:fill="auto"/>
            <w:noWrap/>
          </w:tcPr>
          <w:p w14:paraId="6844FA5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356</w:t>
            </w:r>
          </w:p>
        </w:tc>
        <w:tc>
          <w:tcPr>
            <w:tcW w:w="570" w:type="pct"/>
            <w:shd w:val="clear" w:color="auto" w:fill="auto"/>
            <w:noWrap/>
          </w:tcPr>
          <w:p w14:paraId="3945273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309</w:t>
            </w:r>
          </w:p>
        </w:tc>
        <w:tc>
          <w:tcPr>
            <w:tcW w:w="620" w:type="pct"/>
            <w:shd w:val="clear" w:color="auto" w:fill="auto"/>
            <w:noWrap/>
            <w:vAlign w:val="bottom"/>
          </w:tcPr>
          <w:p w14:paraId="2CFD23C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10 625</w:t>
            </w:r>
          </w:p>
        </w:tc>
        <w:tc>
          <w:tcPr>
            <w:tcW w:w="733" w:type="pct"/>
            <w:shd w:val="clear" w:color="auto" w:fill="auto"/>
            <w:noWrap/>
          </w:tcPr>
          <w:p w14:paraId="0652136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6 997</w:t>
            </w:r>
          </w:p>
        </w:tc>
        <w:tc>
          <w:tcPr>
            <w:tcW w:w="571" w:type="pct"/>
            <w:shd w:val="clear" w:color="auto" w:fill="auto"/>
            <w:noWrap/>
          </w:tcPr>
          <w:p w14:paraId="15BF6AA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3 628</w:t>
            </w:r>
          </w:p>
        </w:tc>
      </w:tr>
      <w:tr w:rsidR="002C0DC3" w:rsidRPr="002C0DC3" w14:paraId="083ACAD9" w14:textId="77777777" w:rsidTr="002C0DC3">
        <w:trPr>
          <w:trHeight w:val="427"/>
          <w:jc w:val="center"/>
        </w:trPr>
        <w:tc>
          <w:tcPr>
            <w:tcW w:w="5000" w:type="pct"/>
            <w:gridSpan w:val="7"/>
            <w:shd w:val="clear" w:color="auto" w:fill="auto"/>
            <w:noWrap/>
            <w:vAlign w:val="center"/>
          </w:tcPr>
          <w:p w14:paraId="6B146385" w14:textId="77777777" w:rsidR="002C0DC3" w:rsidRPr="002C0DC3" w:rsidRDefault="002C0DC3" w:rsidP="002C0DC3">
            <w:pPr>
              <w:widowControl w:val="0"/>
              <w:suppressAutoHyphens w:val="0"/>
              <w:autoSpaceDE w:val="0"/>
              <w:autoSpaceDN w:val="0"/>
              <w:adjustRightInd w:val="0"/>
              <w:jc w:val="both"/>
              <w:rPr>
                <w:rFonts w:eastAsia="Calibri"/>
                <w:bCs/>
                <w:lang w:val="es-CR" w:eastAsia="en-US"/>
              </w:rPr>
            </w:pPr>
            <w:r w:rsidRPr="002C0DC3">
              <w:rPr>
                <w:rFonts w:eastAsia="Calibri"/>
                <w:bCs/>
                <w:lang w:val="es-CR" w:eastAsia="en-US"/>
              </w:rPr>
              <w:t>Elaborado por: Subproceso de Estadística, Dirección de Planificación.</w:t>
            </w:r>
          </w:p>
        </w:tc>
      </w:tr>
    </w:tbl>
    <w:p w14:paraId="52849F1A" w14:textId="77777777" w:rsidR="002C0DC3" w:rsidRPr="002C0DC3" w:rsidRDefault="002C0DC3" w:rsidP="002C0DC3">
      <w:pPr>
        <w:suppressAutoHyphens w:val="0"/>
        <w:jc w:val="both"/>
        <w:rPr>
          <w:rFonts w:eastAsia="Calibri"/>
          <w:lang w:val="es-CR" w:eastAsia="en-US"/>
        </w:rPr>
      </w:pPr>
    </w:p>
    <w:p w14:paraId="44D8921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De acuerdo con los resultados obtenidos para este período en cuestión, el país de origen de los participantes en estos procesos resulta ser substancialmente más elevado en ciudadanos costarricenses, comprendiendo 222.996 de las 226.119 participaciones. De ese grupo de ticos destaca que el (80.3%) </w:t>
      </w:r>
      <w:r w:rsidRPr="002C0DC3">
        <w:rPr>
          <w:rFonts w:eastAsia="Calibri"/>
          <w:lang w:val="es-CR" w:eastAsia="en-US"/>
        </w:rPr>
        <w:lastRenderedPageBreak/>
        <w:t>corresponden a la parte demandada y dentro de ese grupo aproximadamente dos terceras partes competen a personas de sexo masculino, según se aprecia en el siguiente detalle.</w:t>
      </w:r>
    </w:p>
    <w:p w14:paraId="436980E7" w14:textId="77777777" w:rsidR="002C0DC3" w:rsidRPr="002C0DC3" w:rsidRDefault="002C0DC3" w:rsidP="002C0DC3">
      <w:pPr>
        <w:suppressAutoHyphens w:val="0"/>
        <w:ind w:left="851" w:right="851" w:firstLine="709"/>
        <w:jc w:val="both"/>
        <w:rPr>
          <w:rFonts w:eastAsia="Calibri"/>
          <w:lang w:val="es-CR" w:eastAsia="en-US"/>
        </w:rPr>
      </w:pPr>
    </w:p>
    <w:p w14:paraId="4183041F"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b/>
          <w:bCs/>
          <w:lang w:val="es-CR" w:eastAsia="en-US"/>
        </w:rPr>
      </w:pPr>
      <w:r w:rsidRPr="002C0DC3">
        <w:rPr>
          <w:rFonts w:eastAsia="Calibri"/>
          <w:b/>
          <w:bCs/>
          <w:lang w:val="es-CR" w:eastAsia="en-US"/>
        </w:rPr>
        <w:t>Cuadro N°11.4</w:t>
      </w:r>
    </w:p>
    <w:p w14:paraId="2DB38E28" w14:textId="20D3ABF8" w:rsidR="002C0DC3" w:rsidRPr="002C0DC3" w:rsidRDefault="002C0DC3" w:rsidP="00B31AC4">
      <w:pPr>
        <w:widowControl w:val="0"/>
        <w:suppressAutoHyphens w:val="0"/>
        <w:autoSpaceDE w:val="0"/>
        <w:autoSpaceDN w:val="0"/>
        <w:adjustRightInd w:val="0"/>
        <w:ind w:left="851" w:right="851" w:firstLine="709"/>
        <w:jc w:val="center"/>
        <w:rPr>
          <w:rFonts w:eastAsia="Calibri"/>
          <w:b/>
          <w:bCs/>
          <w:lang w:val="es-CR" w:eastAsia="en-US"/>
        </w:rPr>
      </w:pPr>
      <w:r w:rsidRPr="002C0DC3">
        <w:rPr>
          <w:rFonts w:eastAsia="Calibri"/>
          <w:b/>
          <w:bCs/>
          <w:lang w:val="es-CR" w:eastAsia="en-US"/>
        </w:rPr>
        <w:t>Juzgados de Cobro Judicial: Personas intervinientes en los procesos judiciales según</w:t>
      </w:r>
      <w:r w:rsidR="00B31AC4">
        <w:rPr>
          <w:rFonts w:eastAsia="Calibri"/>
          <w:b/>
          <w:bCs/>
          <w:lang w:val="es-CR" w:eastAsia="en-US"/>
        </w:rPr>
        <w:t xml:space="preserve"> </w:t>
      </w:r>
      <w:r w:rsidRPr="002C0DC3">
        <w:rPr>
          <w:rFonts w:eastAsia="Calibri"/>
          <w:b/>
          <w:bCs/>
          <w:lang w:val="es-CR" w:eastAsia="en-US"/>
        </w:rPr>
        <w:t>país de origen, tipo de parte y sexo durante el 2020</w:t>
      </w:r>
    </w:p>
    <w:p w14:paraId="5C6153D8"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6"/>
        <w:gridCol w:w="871"/>
        <w:gridCol w:w="1097"/>
        <w:gridCol w:w="950"/>
        <w:gridCol w:w="1039"/>
        <w:gridCol w:w="1240"/>
        <w:gridCol w:w="952"/>
      </w:tblGrid>
      <w:tr w:rsidR="002C0DC3" w:rsidRPr="002C0DC3" w14:paraId="1F14B3AE" w14:textId="77777777" w:rsidTr="002C0DC3">
        <w:trPr>
          <w:trHeight w:val="263"/>
          <w:tblHeader/>
          <w:jc w:val="center"/>
        </w:trPr>
        <w:tc>
          <w:tcPr>
            <w:tcW w:w="1552" w:type="pct"/>
            <w:shd w:val="clear" w:color="auto" w:fill="auto"/>
            <w:noWrap/>
            <w:vAlign w:val="center"/>
            <w:hideMark/>
          </w:tcPr>
          <w:p w14:paraId="1CDA71F8" w14:textId="77777777" w:rsidR="002C0DC3" w:rsidRPr="002C0DC3" w:rsidRDefault="002C0DC3" w:rsidP="002C0DC3">
            <w:pPr>
              <w:widowControl w:val="0"/>
              <w:suppressAutoHyphens w:val="0"/>
              <w:autoSpaceDE w:val="0"/>
              <w:autoSpaceDN w:val="0"/>
              <w:adjustRightInd w:val="0"/>
              <w:jc w:val="both"/>
              <w:rPr>
                <w:rFonts w:eastAsia="Calibri"/>
                <w:lang w:val="es-CR" w:eastAsia="es-CR"/>
              </w:rPr>
            </w:pPr>
            <w:r w:rsidRPr="002C0DC3">
              <w:rPr>
                <w:rFonts w:eastAsia="Calibri"/>
                <w:lang w:val="es-CR" w:eastAsia="en-US"/>
              </w:rPr>
              <w:t> </w:t>
            </w:r>
          </w:p>
        </w:tc>
        <w:tc>
          <w:tcPr>
            <w:tcW w:w="3448" w:type="pct"/>
            <w:gridSpan w:val="6"/>
            <w:shd w:val="clear" w:color="auto" w:fill="auto"/>
            <w:noWrap/>
            <w:vAlign w:val="center"/>
            <w:hideMark/>
          </w:tcPr>
          <w:p w14:paraId="0352EB2C"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Parte del proceso y sexo</w:t>
            </w:r>
          </w:p>
        </w:tc>
      </w:tr>
      <w:tr w:rsidR="002C0DC3" w:rsidRPr="002C0DC3" w14:paraId="584449CC" w14:textId="77777777" w:rsidTr="002C0DC3">
        <w:trPr>
          <w:trHeight w:val="263"/>
          <w:tblHeader/>
          <w:jc w:val="center"/>
        </w:trPr>
        <w:tc>
          <w:tcPr>
            <w:tcW w:w="1552" w:type="pct"/>
            <w:shd w:val="clear" w:color="auto" w:fill="auto"/>
            <w:noWrap/>
            <w:vAlign w:val="center"/>
            <w:hideMark/>
          </w:tcPr>
          <w:p w14:paraId="783DD2A2"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País de Origen</w:t>
            </w:r>
          </w:p>
        </w:tc>
        <w:tc>
          <w:tcPr>
            <w:tcW w:w="1641" w:type="pct"/>
            <w:gridSpan w:val="3"/>
            <w:shd w:val="clear" w:color="auto" w:fill="auto"/>
            <w:noWrap/>
            <w:vAlign w:val="center"/>
            <w:hideMark/>
          </w:tcPr>
          <w:p w14:paraId="76C67913"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Actor (a)</w:t>
            </w:r>
          </w:p>
        </w:tc>
        <w:tc>
          <w:tcPr>
            <w:tcW w:w="1807" w:type="pct"/>
            <w:gridSpan w:val="3"/>
            <w:shd w:val="clear" w:color="auto" w:fill="auto"/>
            <w:noWrap/>
            <w:vAlign w:val="center"/>
            <w:hideMark/>
          </w:tcPr>
          <w:p w14:paraId="371FC138"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Demandado (a)</w:t>
            </w:r>
          </w:p>
        </w:tc>
      </w:tr>
      <w:tr w:rsidR="002C0DC3" w:rsidRPr="002C0DC3" w14:paraId="6E1E83E2" w14:textId="77777777" w:rsidTr="002C0DC3">
        <w:trPr>
          <w:trHeight w:val="253"/>
          <w:tblHeader/>
          <w:jc w:val="center"/>
        </w:trPr>
        <w:tc>
          <w:tcPr>
            <w:tcW w:w="1552" w:type="pct"/>
            <w:shd w:val="clear" w:color="auto" w:fill="auto"/>
            <w:noWrap/>
            <w:vAlign w:val="center"/>
            <w:hideMark/>
          </w:tcPr>
          <w:p w14:paraId="4ED009C0"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 </w:t>
            </w:r>
          </w:p>
        </w:tc>
        <w:tc>
          <w:tcPr>
            <w:tcW w:w="493" w:type="pct"/>
            <w:shd w:val="clear" w:color="auto" w:fill="auto"/>
            <w:noWrap/>
            <w:vAlign w:val="center"/>
            <w:hideMark/>
          </w:tcPr>
          <w:p w14:paraId="1E12E12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613" w:type="pct"/>
            <w:shd w:val="clear" w:color="auto" w:fill="auto"/>
            <w:noWrap/>
            <w:vAlign w:val="center"/>
            <w:hideMark/>
          </w:tcPr>
          <w:p w14:paraId="55540C7A"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Hombre</w:t>
            </w:r>
          </w:p>
        </w:tc>
        <w:tc>
          <w:tcPr>
            <w:tcW w:w="535" w:type="pct"/>
            <w:shd w:val="clear" w:color="auto" w:fill="auto"/>
            <w:noWrap/>
            <w:vAlign w:val="center"/>
            <w:hideMark/>
          </w:tcPr>
          <w:p w14:paraId="146F7B7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Mujer</w:t>
            </w:r>
          </w:p>
        </w:tc>
        <w:tc>
          <w:tcPr>
            <w:tcW w:w="582" w:type="pct"/>
            <w:shd w:val="clear" w:color="auto" w:fill="auto"/>
            <w:noWrap/>
            <w:vAlign w:val="center"/>
            <w:hideMark/>
          </w:tcPr>
          <w:p w14:paraId="13E0413A"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689" w:type="pct"/>
            <w:shd w:val="clear" w:color="auto" w:fill="auto"/>
            <w:noWrap/>
            <w:vAlign w:val="center"/>
            <w:hideMark/>
          </w:tcPr>
          <w:p w14:paraId="1D32FC01"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Hombre</w:t>
            </w:r>
          </w:p>
        </w:tc>
        <w:tc>
          <w:tcPr>
            <w:tcW w:w="536" w:type="pct"/>
            <w:shd w:val="clear" w:color="auto" w:fill="auto"/>
            <w:noWrap/>
            <w:vAlign w:val="center"/>
            <w:hideMark/>
          </w:tcPr>
          <w:p w14:paraId="47FA731A"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Mujer</w:t>
            </w:r>
          </w:p>
        </w:tc>
      </w:tr>
      <w:tr w:rsidR="002C0DC3" w:rsidRPr="002C0DC3" w14:paraId="6178AE1D" w14:textId="77777777" w:rsidTr="002C0DC3">
        <w:trPr>
          <w:trHeight w:val="263"/>
          <w:jc w:val="center"/>
        </w:trPr>
        <w:tc>
          <w:tcPr>
            <w:tcW w:w="1552" w:type="pct"/>
            <w:shd w:val="clear" w:color="auto" w:fill="auto"/>
            <w:noWrap/>
            <w:vAlign w:val="center"/>
            <w:hideMark/>
          </w:tcPr>
          <w:p w14:paraId="23B6745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p>
        </w:tc>
        <w:tc>
          <w:tcPr>
            <w:tcW w:w="493" w:type="pct"/>
            <w:shd w:val="clear" w:color="auto" w:fill="auto"/>
            <w:noWrap/>
            <w:vAlign w:val="center"/>
            <w:hideMark/>
          </w:tcPr>
          <w:p w14:paraId="2999A4D7"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613" w:type="pct"/>
            <w:shd w:val="clear" w:color="auto" w:fill="auto"/>
            <w:noWrap/>
            <w:vAlign w:val="center"/>
            <w:hideMark/>
          </w:tcPr>
          <w:p w14:paraId="06559C48"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535" w:type="pct"/>
            <w:shd w:val="clear" w:color="auto" w:fill="auto"/>
            <w:noWrap/>
            <w:vAlign w:val="center"/>
            <w:hideMark/>
          </w:tcPr>
          <w:p w14:paraId="1D59374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582" w:type="pct"/>
            <w:shd w:val="clear" w:color="auto" w:fill="auto"/>
            <w:noWrap/>
            <w:vAlign w:val="center"/>
            <w:hideMark/>
          </w:tcPr>
          <w:p w14:paraId="02AA25FD"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689" w:type="pct"/>
            <w:shd w:val="clear" w:color="auto" w:fill="auto"/>
            <w:noWrap/>
            <w:vAlign w:val="center"/>
            <w:hideMark/>
          </w:tcPr>
          <w:p w14:paraId="54801F2B"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c>
          <w:tcPr>
            <w:tcW w:w="536" w:type="pct"/>
            <w:shd w:val="clear" w:color="auto" w:fill="auto"/>
            <w:noWrap/>
            <w:vAlign w:val="center"/>
            <w:hideMark/>
          </w:tcPr>
          <w:p w14:paraId="5238A0AB"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 </w:t>
            </w:r>
          </w:p>
        </w:tc>
      </w:tr>
      <w:tr w:rsidR="002C0DC3" w:rsidRPr="002C0DC3" w14:paraId="5AE8D0DD" w14:textId="77777777" w:rsidTr="002C0DC3">
        <w:trPr>
          <w:trHeight w:val="253"/>
          <w:jc w:val="center"/>
        </w:trPr>
        <w:tc>
          <w:tcPr>
            <w:tcW w:w="1552" w:type="pct"/>
            <w:shd w:val="clear" w:color="auto" w:fill="auto"/>
            <w:noWrap/>
            <w:vAlign w:val="center"/>
            <w:hideMark/>
          </w:tcPr>
          <w:p w14:paraId="6DBC813F"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Total</w:t>
            </w:r>
          </w:p>
        </w:tc>
        <w:tc>
          <w:tcPr>
            <w:tcW w:w="493" w:type="pct"/>
            <w:shd w:val="clear" w:color="auto" w:fill="auto"/>
            <w:noWrap/>
            <w:vAlign w:val="center"/>
          </w:tcPr>
          <w:p w14:paraId="73B7519C"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44.021</w:t>
            </w:r>
          </w:p>
        </w:tc>
        <w:tc>
          <w:tcPr>
            <w:tcW w:w="613" w:type="pct"/>
            <w:shd w:val="clear" w:color="auto" w:fill="auto"/>
            <w:noWrap/>
            <w:vAlign w:val="center"/>
          </w:tcPr>
          <w:p w14:paraId="5AC2B419"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27.491</w:t>
            </w:r>
          </w:p>
        </w:tc>
        <w:tc>
          <w:tcPr>
            <w:tcW w:w="535" w:type="pct"/>
            <w:shd w:val="clear" w:color="auto" w:fill="auto"/>
            <w:noWrap/>
            <w:vAlign w:val="center"/>
          </w:tcPr>
          <w:p w14:paraId="7A84089B"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16.530</w:t>
            </w:r>
          </w:p>
        </w:tc>
        <w:tc>
          <w:tcPr>
            <w:tcW w:w="582" w:type="pct"/>
            <w:shd w:val="clear" w:color="auto" w:fill="auto"/>
            <w:noWrap/>
            <w:vAlign w:val="center"/>
          </w:tcPr>
          <w:p w14:paraId="364B273B"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182.098</w:t>
            </w:r>
          </w:p>
        </w:tc>
        <w:tc>
          <w:tcPr>
            <w:tcW w:w="689" w:type="pct"/>
            <w:shd w:val="clear" w:color="auto" w:fill="auto"/>
            <w:noWrap/>
            <w:vAlign w:val="center"/>
          </w:tcPr>
          <w:p w14:paraId="7C2CE543"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118.550</w:t>
            </w:r>
          </w:p>
        </w:tc>
        <w:tc>
          <w:tcPr>
            <w:tcW w:w="536" w:type="pct"/>
            <w:shd w:val="clear" w:color="auto" w:fill="auto"/>
            <w:noWrap/>
            <w:vAlign w:val="center"/>
          </w:tcPr>
          <w:p w14:paraId="61642B95"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63.548</w:t>
            </w:r>
          </w:p>
        </w:tc>
      </w:tr>
      <w:tr w:rsidR="002C0DC3" w:rsidRPr="002C0DC3" w14:paraId="447E79C0" w14:textId="77777777" w:rsidTr="002C0DC3">
        <w:trPr>
          <w:trHeight w:val="273"/>
          <w:jc w:val="center"/>
        </w:trPr>
        <w:tc>
          <w:tcPr>
            <w:tcW w:w="1552" w:type="pct"/>
            <w:shd w:val="clear" w:color="auto" w:fill="auto"/>
            <w:noWrap/>
            <w:hideMark/>
          </w:tcPr>
          <w:p w14:paraId="30A1910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Costa Rica</w:t>
            </w:r>
          </w:p>
        </w:tc>
        <w:tc>
          <w:tcPr>
            <w:tcW w:w="493" w:type="pct"/>
            <w:shd w:val="clear" w:color="auto" w:fill="auto"/>
            <w:noWrap/>
          </w:tcPr>
          <w:p w14:paraId="414615E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43 882</w:t>
            </w:r>
          </w:p>
        </w:tc>
        <w:tc>
          <w:tcPr>
            <w:tcW w:w="613" w:type="pct"/>
            <w:shd w:val="clear" w:color="auto" w:fill="auto"/>
            <w:noWrap/>
          </w:tcPr>
          <w:p w14:paraId="38C346F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27 379</w:t>
            </w:r>
          </w:p>
        </w:tc>
        <w:tc>
          <w:tcPr>
            <w:tcW w:w="535" w:type="pct"/>
            <w:shd w:val="clear" w:color="auto" w:fill="auto"/>
            <w:noWrap/>
          </w:tcPr>
          <w:p w14:paraId="36872C5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16 503</w:t>
            </w:r>
          </w:p>
        </w:tc>
        <w:tc>
          <w:tcPr>
            <w:tcW w:w="582" w:type="pct"/>
            <w:shd w:val="clear" w:color="auto" w:fill="auto"/>
            <w:noWrap/>
          </w:tcPr>
          <w:p w14:paraId="7ABD6DB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179 114</w:t>
            </w:r>
          </w:p>
        </w:tc>
        <w:tc>
          <w:tcPr>
            <w:tcW w:w="689" w:type="pct"/>
            <w:shd w:val="clear" w:color="auto" w:fill="auto"/>
            <w:noWrap/>
          </w:tcPr>
          <w:p w14:paraId="5027947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116 580</w:t>
            </w:r>
          </w:p>
        </w:tc>
        <w:tc>
          <w:tcPr>
            <w:tcW w:w="536" w:type="pct"/>
            <w:shd w:val="clear" w:color="auto" w:fill="auto"/>
            <w:noWrap/>
          </w:tcPr>
          <w:p w14:paraId="1978A5D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62 534</w:t>
            </w:r>
          </w:p>
        </w:tc>
      </w:tr>
      <w:tr w:rsidR="002C0DC3" w:rsidRPr="002C0DC3" w14:paraId="401A36CC" w14:textId="77777777" w:rsidTr="002C0DC3">
        <w:trPr>
          <w:trHeight w:val="273"/>
          <w:jc w:val="center"/>
        </w:trPr>
        <w:tc>
          <w:tcPr>
            <w:tcW w:w="1552" w:type="pct"/>
            <w:shd w:val="clear" w:color="auto" w:fill="auto"/>
            <w:noWrap/>
          </w:tcPr>
          <w:p w14:paraId="43119C62"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Nicaragua</w:t>
            </w:r>
          </w:p>
        </w:tc>
        <w:tc>
          <w:tcPr>
            <w:tcW w:w="493" w:type="pct"/>
            <w:shd w:val="clear" w:color="auto" w:fill="auto"/>
            <w:noWrap/>
          </w:tcPr>
          <w:p w14:paraId="15A9291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w:t>
            </w:r>
          </w:p>
        </w:tc>
        <w:tc>
          <w:tcPr>
            <w:tcW w:w="613" w:type="pct"/>
            <w:shd w:val="clear" w:color="auto" w:fill="auto"/>
            <w:noWrap/>
          </w:tcPr>
          <w:p w14:paraId="1599B71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w:t>
            </w:r>
          </w:p>
        </w:tc>
        <w:tc>
          <w:tcPr>
            <w:tcW w:w="535" w:type="pct"/>
            <w:shd w:val="clear" w:color="auto" w:fill="auto"/>
            <w:noWrap/>
          </w:tcPr>
          <w:p w14:paraId="4510AFA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w:t>
            </w:r>
          </w:p>
        </w:tc>
        <w:tc>
          <w:tcPr>
            <w:tcW w:w="582" w:type="pct"/>
            <w:shd w:val="clear" w:color="auto" w:fill="auto"/>
            <w:noWrap/>
          </w:tcPr>
          <w:p w14:paraId="2C2EDD5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1 936</w:t>
            </w:r>
          </w:p>
        </w:tc>
        <w:tc>
          <w:tcPr>
            <w:tcW w:w="689" w:type="pct"/>
            <w:shd w:val="clear" w:color="auto" w:fill="auto"/>
            <w:noWrap/>
          </w:tcPr>
          <w:p w14:paraId="1CEE971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1 219</w:t>
            </w:r>
          </w:p>
        </w:tc>
        <w:tc>
          <w:tcPr>
            <w:tcW w:w="536" w:type="pct"/>
            <w:shd w:val="clear" w:color="auto" w:fill="auto"/>
            <w:noWrap/>
          </w:tcPr>
          <w:p w14:paraId="08264B0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717</w:t>
            </w:r>
          </w:p>
        </w:tc>
      </w:tr>
      <w:tr w:rsidR="002C0DC3" w:rsidRPr="002C0DC3" w14:paraId="16A53B14" w14:textId="77777777" w:rsidTr="002C0DC3">
        <w:trPr>
          <w:trHeight w:val="273"/>
          <w:jc w:val="center"/>
        </w:trPr>
        <w:tc>
          <w:tcPr>
            <w:tcW w:w="1552" w:type="pct"/>
            <w:shd w:val="clear" w:color="auto" w:fill="auto"/>
            <w:noWrap/>
          </w:tcPr>
          <w:p w14:paraId="48B4FA5D"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Colombia</w:t>
            </w:r>
          </w:p>
        </w:tc>
        <w:tc>
          <w:tcPr>
            <w:tcW w:w="493" w:type="pct"/>
            <w:shd w:val="clear" w:color="auto" w:fill="auto"/>
            <w:noWrap/>
          </w:tcPr>
          <w:p w14:paraId="61F59BD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w:t>
            </w:r>
          </w:p>
        </w:tc>
        <w:tc>
          <w:tcPr>
            <w:tcW w:w="613" w:type="pct"/>
            <w:shd w:val="clear" w:color="auto" w:fill="auto"/>
            <w:noWrap/>
          </w:tcPr>
          <w:p w14:paraId="2668BA6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12</w:t>
            </w:r>
          </w:p>
        </w:tc>
        <w:tc>
          <w:tcPr>
            <w:tcW w:w="535" w:type="pct"/>
            <w:shd w:val="clear" w:color="auto" w:fill="auto"/>
            <w:noWrap/>
          </w:tcPr>
          <w:p w14:paraId="1AC41B2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w:t>
            </w:r>
          </w:p>
        </w:tc>
        <w:tc>
          <w:tcPr>
            <w:tcW w:w="582" w:type="pct"/>
            <w:shd w:val="clear" w:color="auto" w:fill="auto"/>
            <w:noWrap/>
          </w:tcPr>
          <w:p w14:paraId="7053365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103</w:t>
            </w:r>
          </w:p>
        </w:tc>
        <w:tc>
          <w:tcPr>
            <w:tcW w:w="689" w:type="pct"/>
            <w:shd w:val="clear" w:color="auto" w:fill="auto"/>
            <w:noWrap/>
          </w:tcPr>
          <w:p w14:paraId="4358426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71</w:t>
            </w:r>
          </w:p>
        </w:tc>
        <w:tc>
          <w:tcPr>
            <w:tcW w:w="536" w:type="pct"/>
            <w:shd w:val="clear" w:color="auto" w:fill="auto"/>
            <w:noWrap/>
          </w:tcPr>
          <w:p w14:paraId="2BF9510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32</w:t>
            </w:r>
          </w:p>
        </w:tc>
      </w:tr>
      <w:tr w:rsidR="002C0DC3" w:rsidRPr="002C0DC3" w14:paraId="46CE3545" w14:textId="77777777" w:rsidTr="002C0DC3">
        <w:trPr>
          <w:trHeight w:val="273"/>
          <w:jc w:val="center"/>
        </w:trPr>
        <w:tc>
          <w:tcPr>
            <w:tcW w:w="1552" w:type="pct"/>
            <w:shd w:val="clear" w:color="auto" w:fill="auto"/>
            <w:noWrap/>
          </w:tcPr>
          <w:p w14:paraId="5BD82C1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Venezuela</w:t>
            </w:r>
          </w:p>
        </w:tc>
        <w:tc>
          <w:tcPr>
            <w:tcW w:w="493" w:type="pct"/>
            <w:shd w:val="clear" w:color="auto" w:fill="auto"/>
            <w:noWrap/>
          </w:tcPr>
          <w:p w14:paraId="0F1FF5D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w:t>
            </w:r>
          </w:p>
        </w:tc>
        <w:tc>
          <w:tcPr>
            <w:tcW w:w="613" w:type="pct"/>
            <w:shd w:val="clear" w:color="auto" w:fill="auto"/>
            <w:noWrap/>
          </w:tcPr>
          <w:p w14:paraId="582765F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w:t>
            </w:r>
          </w:p>
        </w:tc>
        <w:tc>
          <w:tcPr>
            <w:tcW w:w="535" w:type="pct"/>
            <w:shd w:val="clear" w:color="auto" w:fill="auto"/>
            <w:noWrap/>
          </w:tcPr>
          <w:p w14:paraId="7A7F904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w:t>
            </w:r>
          </w:p>
        </w:tc>
        <w:tc>
          <w:tcPr>
            <w:tcW w:w="582" w:type="pct"/>
            <w:shd w:val="clear" w:color="auto" w:fill="auto"/>
            <w:noWrap/>
          </w:tcPr>
          <w:p w14:paraId="0ACF65B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98</w:t>
            </w:r>
          </w:p>
        </w:tc>
        <w:tc>
          <w:tcPr>
            <w:tcW w:w="689" w:type="pct"/>
            <w:shd w:val="clear" w:color="auto" w:fill="auto"/>
            <w:noWrap/>
          </w:tcPr>
          <w:p w14:paraId="517ECB1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70</w:t>
            </w:r>
          </w:p>
        </w:tc>
        <w:tc>
          <w:tcPr>
            <w:tcW w:w="536" w:type="pct"/>
            <w:shd w:val="clear" w:color="auto" w:fill="auto"/>
            <w:noWrap/>
          </w:tcPr>
          <w:p w14:paraId="084128F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28</w:t>
            </w:r>
          </w:p>
        </w:tc>
      </w:tr>
      <w:tr w:rsidR="002C0DC3" w:rsidRPr="002C0DC3" w14:paraId="5A6DD807" w14:textId="77777777" w:rsidTr="002C0DC3">
        <w:trPr>
          <w:trHeight w:val="273"/>
          <w:jc w:val="center"/>
        </w:trPr>
        <w:tc>
          <w:tcPr>
            <w:tcW w:w="1552" w:type="pct"/>
            <w:shd w:val="clear" w:color="auto" w:fill="auto"/>
            <w:noWrap/>
          </w:tcPr>
          <w:p w14:paraId="6FDE7D38"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Estados Unidos</w:t>
            </w:r>
          </w:p>
        </w:tc>
        <w:tc>
          <w:tcPr>
            <w:tcW w:w="493" w:type="pct"/>
            <w:shd w:val="clear" w:color="auto" w:fill="auto"/>
            <w:noWrap/>
          </w:tcPr>
          <w:p w14:paraId="4576AF6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22</w:t>
            </w:r>
          </w:p>
        </w:tc>
        <w:tc>
          <w:tcPr>
            <w:tcW w:w="613" w:type="pct"/>
            <w:shd w:val="clear" w:color="auto" w:fill="auto"/>
            <w:noWrap/>
          </w:tcPr>
          <w:p w14:paraId="7534B99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21</w:t>
            </w:r>
          </w:p>
        </w:tc>
        <w:tc>
          <w:tcPr>
            <w:tcW w:w="535" w:type="pct"/>
            <w:shd w:val="clear" w:color="auto" w:fill="auto"/>
            <w:noWrap/>
          </w:tcPr>
          <w:p w14:paraId="02C0E3A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82" w:type="pct"/>
            <w:shd w:val="clear" w:color="auto" w:fill="auto"/>
            <w:noWrap/>
          </w:tcPr>
          <w:p w14:paraId="3CE917B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47</w:t>
            </w:r>
          </w:p>
        </w:tc>
        <w:tc>
          <w:tcPr>
            <w:tcW w:w="689" w:type="pct"/>
            <w:shd w:val="clear" w:color="auto" w:fill="auto"/>
            <w:noWrap/>
          </w:tcPr>
          <w:p w14:paraId="553F8FD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39</w:t>
            </w:r>
          </w:p>
        </w:tc>
        <w:tc>
          <w:tcPr>
            <w:tcW w:w="536" w:type="pct"/>
            <w:shd w:val="clear" w:color="auto" w:fill="auto"/>
            <w:noWrap/>
          </w:tcPr>
          <w:p w14:paraId="027EED9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w:t>
            </w:r>
          </w:p>
        </w:tc>
      </w:tr>
      <w:tr w:rsidR="002C0DC3" w:rsidRPr="002C0DC3" w14:paraId="0D4A0568" w14:textId="77777777" w:rsidTr="002C0DC3">
        <w:trPr>
          <w:trHeight w:val="263"/>
          <w:jc w:val="center"/>
        </w:trPr>
        <w:tc>
          <w:tcPr>
            <w:tcW w:w="1552" w:type="pct"/>
            <w:shd w:val="clear" w:color="auto" w:fill="auto"/>
            <w:noWrap/>
            <w:hideMark/>
          </w:tcPr>
          <w:p w14:paraId="43056F65"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México</w:t>
            </w:r>
          </w:p>
        </w:tc>
        <w:tc>
          <w:tcPr>
            <w:tcW w:w="493" w:type="pct"/>
            <w:shd w:val="clear" w:color="auto" w:fill="auto"/>
            <w:noWrap/>
          </w:tcPr>
          <w:p w14:paraId="428F40E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613" w:type="pct"/>
            <w:shd w:val="clear" w:color="auto" w:fill="auto"/>
            <w:noWrap/>
          </w:tcPr>
          <w:p w14:paraId="0CBA5F4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35" w:type="pct"/>
            <w:shd w:val="clear" w:color="auto" w:fill="auto"/>
            <w:noWrap/>
          </w:tcPr>
          <w:p w14:paraId="64E6BDF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82" w:type="pct"/>
            <w:shd w:val="clear" w:color="auto" w:fill="auto"/>
            <w:noWrap/>
          </w:tcPr>
          <w:p w14:paraId="0312F1B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49</w:t>
            </w:r>
          </w:p>
        </w:tc>
        <w:tc>
          <w:tcPr>
            <w:tcW w:w="689" w:type="pct"/>
            <w:shd w:val="clear" w:color="auto" w:fill="auto"/>
            <w:noWrap/>
          </w:tcPr>
          <w:p w14:paraId="08CFE7C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41</w:t>
            </w:r>
          </w:p>
        </w:tc>
        <w:tc>
          <w:tcPr>
            <w:tcW w:w="536" w:type="pct"/>
            <w:shd w:val="clear" w:color="auto" w:fill="auto"/>
            <w:noWrap/>
          </w:tcPr>
          <w:p w14:paraId="2AFB7F2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8</w:t>
            </w:r>
          </w:p>
        </w:tc>
      </w:tr>
      <w:tr w:rsidR="002C0DC3" w:rsidRPr="002C0DC3" w14:paraId="5FC7EDFE" w14:textId="77777777" w:rsidTr="002C0DC3">
        <w:trPr>
          <w:trHeight w:val="263"/>
          <w:jc w:val="center"/>
        </w:trPr>
        <w:tc>
          <w:tcPr>
            <w:tcW w:w="1552" w:type="pct"/>
            <w:shd w:val="clear" w:color="auto" w:fill="auto"/>
            <w:noWrap/>
            <w:hideMark/>
          </w:tcPr>
          <w:p w14:paraId="6BBE0FE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China</w:t>
            </w:r>
          </w:p>
        </w:tc>
        <w:tc>
          <w:tcPr>
            <w:tcW w:w="493" w:type="pct"/>
            <w:shd w:val="clear" w:color="auto" w:fill="auto"/>
            <w:noWrap/>
          </w:tcPr>
          <w:p w14:paraId="7574098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w:t>
            </w:r>
          </w:p>
        </w:tc>
        <w:tc>
          <w:tcPr>
            <w:tcW w:w="613" w:type="pct"/>
            <w:shd w:val="clear" w:color="auto" w:fill="auto"/>
            <w:noWrap/>
          </w:tcPr>
          <w:p w14:paraId="7F9F9AD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w:t>
            </w:r>
          </w:p>
        </w:tc>
        <w:tc>
          <w:tcPr>
            <w:tcW w:w="535" w:type="pct"/>
            <w:shd w:val="clear" w:color="auto" w:fill="auto"/>
            <w:noWrap/>
          </w:tcPr>
          <w:p w14:paraId="29055AD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82" w:type="pct"/>
            <w:shd w:val="clear" w:color="auto" w:fill="auto"/>
            <w:noWrap/>
          </w:tcPr>
          <w:p w14:paraId="4D79DCD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w:t>
            </w:r>
          </w:p>
        </w:tc>
        <w:tc>
          <w:tcPr>
            <w:tcW w:w="689" w:type="pct"/>
            <w:shd w:val="clear" w:color="auto" w:fill="auto"/>
            <w:noWrap/>
          </w:tcPr>
          <w:p w14:paraId="571AFB6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w:t>
            </w:r>
          </w:p>
        </w:tc>
        <w:tc>
          <w:tcPr>
            <w:tcW w:w="536" w:type="pct"/>
            <w:shd w:val="clear" w:color="auto" w:fill="auto"/>
            <w:noWrap/>
          </w:tcPr>
          <w:p w14:paraId="412C691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w:t>
            </w:r>
          </w:p>
        </w:tc>
      </w:tr>
      <w:tr w:rsidR="002C0DC3" w:rsidRPr="002C0DC3" w14:paraId="0F965CE0" w14:textId="77777777" w:rsidTr="002C0DC3">
        <w:trPr>
          <w:trHeight w:val="273"/>
          <w:jc w:val="center"/>
        </w:trPr>
        <w:tc>
          <w:tcPr>
            <w:tcW w:w="1552" w:type="pct"/>
            <w:shd w:val="clear" w:color="auto" w:fill="auto"/>
            <w:noWrap/>
          </w:tcPr>
          <w:p w14:paraId="14021F4A"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El Salvador</w:t>
            </w:r>
          </w:p>
        </w:tc>
        <w:tc>
          <w:tcPr>
            <w:tcW w:w="493" w:type="pct"/>
            <w:shd w:val="clear" w:color="auto" w:fill="auto"/>
            <w:noWrap/>
          </w:tcPr>
          <w:p w14:paraId="307710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613" w:type="pct"/>
            <w:shd w:val="clear" w:color="auto" w:fill="auto"/>
            <w:noWrap/>
          </w:tcPr>
          <w:p w14:paraId="62C3EE8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35" w:type="pct"/>
            <w:shd w:val="clear" w:color="auto" w:fill="auto"/>
            <w:noWrap/>
          </w:tcPr>
          <w:p w14:paraId="11A2BF6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82" w:type="pct"/>
            <w:shd w:val="clear" w:color="auto" w:fill="auto"/>
            <w:noWrap/>
          </w:tcPr>
          <w:p w14:paraId="2B95D71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30</w:t>
            </w:r>
          </w:p>
        </w:tc>
        <w:tc>
          <w:tcPr>
            <w:tcW w:w="689" w:type="pct"/>
            <w:shd w:val="clear" w:color="auto" w:fill="auto"/>
            <w:noWrap/>
          </w:tcPr>
          <w:p w14:paraId="2E6A67A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23</w:t>
            </w:r>
          </w:p>
        </w:tc>
        <w:tc>
          <w:tcPr>
            <w:tcW w:w="536" w:type="pct"/>
            <w:shd w:val="clear" w:color="auto" w:fill="auto"/>
            <w:noWrap/>
          </w:tcPr>
          <w:p w14:paraId="4318202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7</w:t>
            </w:r>
          </w:p>
        </w:tc>
      </w:tr>
      <w:tr w:rsidR="002C0DC3" w:rsidRPr="002C0DC3" w14:paraId="1E1BF01C" w14:textId="77777777" w:rsidTr="002C0DC3">
        <w:trPr>
          <w:trHeight w:val="263"/>
          <w:jc w:val="center"/>
        </w:trPr>
        <w:tc>
          <w:tcPr>
            <w:tcW w:w="1552" w:type="pct"/>
            <w:shd w:val="clear" w:color="auto" w:fill="auto"/>
            <w:noWrap/>
          </w:tcPr>
          <w:p w14:paraId="1675B5A6"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Honduras</w:t>
            </w:r>
          </w:p>
        </w:tc>
        <w:tc>
          <w:tcPr>
            <w:tcW w:w="493" w:type="pct"/>
            <w:shd w:val="clear" w:color="auto" w:fill="auto"/>
            <w:noWrap/>
          </w:tcPr>
          <w:p w14:paraId="3CC6649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613" w:type="pct"/>
            <w:shd w:val="clear" w:color="auto" w:fill="auto"/>
            <w:noWrap/>
          </w:tcPr>
          <w:p w14:paraId="220DD30B"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w:t>
            </w:r>
          </w:p>
        </w:tc>
        <w:tc>
          <w:tcPr>
            <w:tcW w:w="535" w:type="pct"/>
            <w:shd w:val="clear" w:color="auto" w:fill="auto"/>
            <w:noWrap/>
          </w:tcPr>
          <w:p w14:paraId="07660CD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82" w:type="pct"/>
            <w:shd w:val="clear" w:color="auto" w:fill="auto"/>
            <w:noWrap/>
          </w:tcPr>
          <w:p w14:paraId="71073E4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26</w:t>
            </w:r>
          </w:p>
        </w:tc>
        <w:tc>
          <w:tcPr>
            <w:tcW w:w="689" w:type="pct"/>
            <w:shd w:val="clear" w:color="auto" w:fill="auto"/>
            <w:noWrap/>
          </w:tcPr>
          <w:p w14:paraId="3DED80D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w:t>
            </w:r>
          </w:p>
        </w:tc>
        <w:tc>
          <w:tcPr>
            <w:tcW w:w="536" w:type="pct"/>
            <w:shd w:val="clear" w:color="auto" w:fill="auto"/>
            <w:noWrap/>
          </w:tcPr>
          <w:p w14:paraId="5B74779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10</w:t>
            </w:r>
          </w:p>
        </w:tc>
      </w:tr>
      <w:tr w:rsidR="002C0DC3" w:rsidRPr="002C0DC3" w14:paraId="61F6C0E6" w14:textId="77777777" w:rsidTr="002C0DC3">
        <w:trPr>
          <w:trHeight w:val="263"/>
          <w:jc w:val="center"/>
        </w:trPr>
        <w:tc>
          <w:tcPr>
            <w:tcW w:w="1552" w:type="pct"/>
            <w:shd w:val="clear" w:color="auto" w:fill="auto"/>
            <w:noWrap/>
          </w:tcPr>
          <w:p w14:paraId="30D7345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Italia</w:t>
            </w:r>
          </w:p>
        </w:tc>
        <w:tc>
          <w:tcPr>
            <w:tcW w:w="493" w:type="pct"/>
            <w:shd w:val="clear" w:color="auto" w:fill="auto"/>
            <w:noWrap/>
          </w:tcPr>
          <w:p w14:paraId="4B00DDF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w:t>
            </w:r>
          </w:p>
        </w:tc>
        <w:tc>
          <w:tcPr>
            <w:tcW w:w="613" w:type="pct"/>
            <w:shd w:val="clear" w:color="auto" w:fill="auto"/>
            <w:noWrap/>
          </w:tcPr>
          <w:p w14:paraId="7B4FB16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w:t>
            </w:r>
          </w:p>
        </w:tc>
        <w:tc>
          <w:tcPr>
            <w:tcW w:w="535" w:type="pct"/>
            <w:shd w:val="clear" w:color="auto" w:fill="auto"/>
            <w:noWrap/>
          </w:tcPr>
          <w:p w14:paraId="3B54CAF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0</w:t>
            </w:r>
          </w:p>
        </w:tc>
        <w:tc>
          <w:tcPr>
            <w:tcW w:w="582" w:type="pct"/>
            <w:shd w:val="clear" w:color="auto" w:fill="auto"/>
            <w:noWrap/>
          </w:tcPr>
          <w:p w14:paraId="3EFBB2A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w:t>
            </w:r>
          </w:p>
        </w:tc>
        <w:tc>
          <w:tcPr>
            <w:tcW w:w="689" w:type="pct"/>
            <w:shd w:val="clear" w:color="auto" w:fill="auto"/>
            <w:noWrap/>
          </w:tcPr>
          <w:p w14:paraId="5901CF1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w:t>
            </w:r>
          </w:p>
        </w:tc>
        <w:tc>
          <w:tcPr>
            <w:tcW w:w="536" w:type="pct"/>
            <w:shd w:val="clear" w:color="auto" w:fill="auto"/>
            <w:noWrap/>
          </w:tcPr>
          <w:p w14:paraId="35719891"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w:t>
            </w:r>
          </w:p>
        </w:tc>
      </w:tr>
      <w:tr w:rsidR="002C0DC3" w:rsidRPr="002C0DC3" w14:paraId="1C7B6085" w14:textId="77777777" w:rsidTr="002C0DC3">
        <w:trPr>
          <w:trHeight w:val="263"/>
          <w:jc w:val="center"/>
        </w:trPr>
        <w:tc>
          <w:tcPr>
            <w:tcW w:w="1552" w:type="pct"/>
            <w:shd w:val="clear" w:color="auto" w:fill="auto"/>
            <w:noWrap/>
            <w:hideMark/>
          </w:tcPr>
          <w:p w14:paraId="525329AB"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Otras nacionalidades registradas</w:t>
            </w:r>
          </w:p>
        </w:tc>
        <w:tc>
          <w:tcPr>
            <w:tcW w:w="493" w:type="pct"/>
            <w:shd w:val="clear" w:color="auto" w:fill="auto"/>
            <w:noWrap/>
          </w:tcPr>
          <w:p w14:paraId="5B72777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39</w:t>
            </w:r>
          </w:p>
        </w:tc>
        <w:tc>
          <w:tcPr>
            <w:tcW w:w="613" w:type="pct"/>
            <w:shd w:val="clear" w:color="auto" w:fill="auto"/>
            <w:noWrap/>
          </w:tcPr>
          <w:p w14:paraId="515DCAC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33</w:t>
            </w:r>
          </w:p>
        </w:tc>
        <w:tc>
          <w:tcPr>
            <w:tcW w:w="535" w:type="pct"/>
            <w:shd w:val="clear" w:color="auto" w:fill="auto"/>
            <w:noWrap/>
          </w:tcPr>
          <w:p w14:paraId="1637FC4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w:t>
            </w:r>
          </w:p>
        </w:tc>
        <w:tc>
          <w:tcPr>
            <w:tcW w:w="582" w:type="pct"/>
            <w:shd w:val="clear" w:color="auto" w:fill="auto"/>
            <w:noWrap/>
          </w:tcPr>
          <w:p w14:paraId="7CD5B8B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159</w:t>
            </w:r>
          </w:p>
        </w:tc>
        <w:tc>
          <w:tcPr>
            <w:tcW w:w="689" w:type="pct"/>
            <w:shd w:val="clear" w:color="auto" w:fill="auto"/>
            <w:noWrap/>
          </w:tcPr>
          <w:p w14:paraId="2E1BE93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111</w:t>
            </w:r>
          </w:p>
        </w:tc>
        <w:tc>
          <w:tcPr>
            <w:tcW w:w="536" w:type="pct"/>
            <w:shd w:val="clear" w:color="auto" w:fill="auto"/>
            <w:noWrap/>
          </w:tcPr>
          <w:p w14:paraId="7FCDFD4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48</w:t>
            </w:r>
          </w:p>
        </w:tc>
      </w:tr>
      <w:tr w:rsidR="002C0DC3" w:rsidRPr="002C0DC3" w14:paraId="624501E9" w14:textId="77777777" w:rsidTr="002C0DC3">
        <w:trPr>
          <w:trHeight w:val="263"/>
          <w:jc w:val="center"/>
        </w:trPr>
        <w:tc>
          <w:tcPr>
            <w:tcW w:w="1552" w:type="pct"/>
            <w:shd w:val="clear" w:color="auto" w:fill="auto"/>
            <w:noWrap/>
            <w:hideMark/>
          </w:tcPr>
          <w:p w14:paraId="4432975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Dato desconocido</w:t>
            </w:r>
          </w:p>
        </w:tc>
        <w:tc>
          <w:tcPr>
            <w:tcW w:w="493" w:type="pct"/>
            <w:shd w:val="clear" w:color="auto" w:fill="auto"/>
            <w:noWrap/>
          </w:tcPr>
          <w:p w14:paraId="63E5F52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25</w:t>
            </w:r>
          </w:p>
        </w:tc>
        <w:tc>
          <w:tcPr>
            <w:tcW w:w="613" w:type="pct"/>
            <w:shd w:val="clear" w:color="auto" w:fill="auto"/>
            <w:noWrap/>
          </w:tcPr>
          <w:p w14:paraId="07FB74C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19</w:t>
            </w:r>
          </w:p>
        </w:tc>
        <w:tc>
          <w:tcPr>
            <w:tcW w:w="535" w:type="pct"/>
            <w:shd w:val="clear" w:color="auto" w:fill="auto"/>
            <w:noWrap/>
          </w:tcPr>
          <w:p w14:paraId="54BB96F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w:t>
            </w:r>
          </w:p>
        </w:tc>
        <w:tc>
          <w:tcPr>
            <w:tcW w:w="582" w:type="pct"/>
            <w:shd w:val="clear" w:color="auto" w:fill="auto"/>
            <w:noWrap/>
          </w:tcPr>
          <w:p w14:paraId="3B9B3CB3"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487</w:t>
            </w:r>
          </w:p>
        </w:tc>
        <w:tc>
          <w:tcPr>
            <w:tcW w:w="689" w:type="pct"/>
            <w:shd w:val="clear" w:color="auto" w:fill="auto"/>
            <w:noWrap/>
          </w:tcPr>
          <w:p w14:paraId="4D7476FE"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346</w:t>
            </w:r>
          </w:p>
        </w:tc>
        <w:tc>
          <w:tcPr>
            <w:tcW w:w="536" w:type="pct"/>
            <w:shd w:val="clear" w:color="auto" w:fill="auto"/>
            <w:noWrap/>
          </w:tcPr>
          <w:p w14:paraId="0805D18F"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141</w:t>
            </w:r>
          </w:p>
        </w:tc>
      </w:tr>
      <w:tr w:rsidR="002C0DC3" w:rsidRPr="002C0DC3" w14:paraId="5890BE1B" w14:textId="77777777" w:rsidTr="002C0DC3">
        <w:trPr>
          <w:trHeight w:val="273"/>
          <w:jc w:val="center"/>
        </w:trPr>
        <w:tc>
          <w:tcPr>
            <w:tcW w:w="1552" w:type="pct"/>
            <w:shd w:val="clear" w:color="auto" w:fill="auto"/>
            <w:noWrap/>
            <w:vAlign w:val="center"/>
            <w:hideMark/>
          </w:tcPr>
          <w:p w14:paraId="0C6732DF"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 </w:t>
            </w:r>
          </w:p>
        </w:tc>
        <w:tc>
          <w:tcPr>
            <w:tcW w:w="493" w:type="pct"/>
            <w:shd w:val="clear" w:color="auto" w:fill="auto"/>
            <w:noWrap/>
            <w:vAlign w:val="center"/>
            <w:hideMark/>
          </w:tcPr>
          <w:p w14:paraId="6E1745B6"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613" w:type="pct"/>
            <w:shd w:val="clear" w:color="auto" w:fill="auto"/>
            <w:noWrap/>
            <w:vAlign w:val="center"/>
            <w:hideMark/>
          </w:tcPr>
          <w:p w14:paraId="0DDA59DF"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535" w:type="pct"/>
            <w:shd w:val="clear" w:color="auto" w:fill="auto"/>
            <w:noWrap/>
            <w:vAlign w:val="center"/>
            <w:hideMark/>
          </w:tcPr>
          <w:p w14:paraId="0CB67224"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582" w:type="pct"/>
            <w:shd w:val="clear" w:color="auto" w:fill="auto"/>
            <w:noWrap/>
            <w:vAlign w:val="center"/>
            <w:hideMark/>
          </w:tcPr>
          <w:p w14:paraId="4E459669"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689" w:type="pct"/>
            <w:shd w:val="clear" w:color="auto" w:fill="auto"/>
            <w:noWrap/>
            <w:vAlign w:val="center"/>
            <w:hideMark/>
          </w:tcPr>
          <w:p w14:paraId="5EA810FC"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c>
          <w:tcPr>
            <w:tcW w:w="536" w:type="pct"/>
            <w:shd w:val="clear" w:color="auto" w:fill="auto"/>
            <w:noWrap/>
            <w:vAlign w:val="center"/>
            <w:hideMark/>
          </w:tcPr>
          <w:p w14:paraId="70A08164"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r w:rsidRPr="002C0DC3">
              <w:rPr>
                <w:rFonts w:eastAsia="Calibri"/>
                <w:lang w:val="es-CR" w:eastAsia="en-US"/>
              </w:rPr>
              <w:t> </w:t>
            </w:r>
          </w:p>
        </w:tc>
      </w:tr>
      <w:tr w:rsidR="002C0DC3" w:rsidRPr="002C0DC3" w14:paraId="1BF83C8C" w14:textId="77777777" w:rsidTr="002C0DC3">
        <w:trPr>
          <w:trHeight w:val="488"/>
          <w:jc w:val="center"/>
        </w:trPr>
        <w:tc>
          <w:tcPr>
            <w:tcW w:w="5000" w:type="pct"/>
            <w:gridSpan w:val="7"/>
            <w:shd w:val="clear" w:color="auto" w:fill="auto"/>
            <w:noWrap/>
            <w:vAlign w:val="center"/>
          </w:tcPr>
          <w:p w14:paraId="43D9F77D" w14:textId="77777777" w:rsidR="002C0DC3" w:rsidRPr="002C0DC3" w:rsidRDefault="002C0DC3" w:rsidP="002C0DC3">
            <w:pPr>
              <w:widowControl w:val="0"/>
              <w:suppressAutoHyphens w:val="0"/>
              <w:autoSpaceDE w:val="0"/>
              <w:autoSpaceDN w:val="0"/>
              <w:adjustRightInd w:val="0"/>
              <w:jc w:val="both"/>
              <w:rPr>
                <w:rFonts w:eastAsia="Calibri"/>
                <w:bCs/>
                <w:lang w:val="es-CR" w:eastAsia="en-US"/>
              </w:rPr>
            </w:pPr>
            <w:r w:rsidRPr="002C0DC3">
              <w:rPr>
                <w:rFonts w:eastAsia="Calibri"/>
                <w:bCs/>
                <w:lang w:val="es-CR" w:eastAsia="en-US"/>
              </w:rPr>
              <w:t>Elaborado por: Subproceso de Estadística, Dirección de Planificación.</w:t>
            </w:r>
          </w:p>
        </w:tc>
      </w:tr>
    </w:tbl>
    <w:p w14:paraId="1D377AF0" w14:textId="77777777" w:rsidR="002C0DC3" w:rsidRPr="002C0DC3" w:rsidRDefault="002C0DC3" w:rsidP="002C0DC3">
      <w:pPr>
        <w:suppressAutoHyphens w:val="0"/>
        <w:jc w:val="both"/>
        <w:rPr>
          <w:rFonts w:eastAsia="Calibri"/>
          <w:lang w:val="es-CR" w:eastAsia="en-US"/>
        </w:rPr>
      </w:pPr>
    </w:p>
    <w:p w14:paraId="747405E0"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El grupo de extranjeros que participan en este tipo de procesos judiciales sumó 2.611 personas, de la cuales el 95.6% fueron demandados.</w:t>
      </w:r>
    </w:p>
    <w:p w14:paraId="22126786" w14:textId="77777777" w:rsidR="002C0DC3" w:rsidRPr="002C0DC3" w:rsidRDefault="002C0DC3" w:rsidP="002C0DC3">
      <w:pPr>
        <w:suppressAutoHyphens w:val="0"/>
        <w:ind w:left="851" w:right="851" w:firstLine="709"/>
        <w:jc w:val="both"/>
        <w:rPr>
          <w:rFonts w:eastAsia="Calibri"/>
          <w:lang w:val="es-CR" w:eastAsia="en-US"/>
        </w:rPr>
      </w:pPr>
    </w:p>
    <w:p w14:paraId="371A50FA"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El siguiente cuadro presenta la información relacionada con las poblaciones en condiciones de vulnerabilidad. De este particular, se desprende que 764 de las 226.119 personas actoras en los juzgados de cobro judicial durante el 2020 presentan algún tipo de discapacidad (0,33%). De ese grupo de personas con algún tipo o grado de vulnerabilidad, el 73.3% fue demandado en estos procesos, mientras que el 26.7 eran actores en las demandas.</w:t>
      </w:r>
    </w:p>
    <w:p w14:paraId="07A163BC" w14:textId="77777777" w:rsidR="002C0DC3" w:rsidRPr="002C0DC3" w:rsidRDefault="002C0DC3" w:rsidP="002C0DC3">
      <w:pPr>
        <w:suppressAutoHyphens w:val="0"/>
        <w:ind w:left="851" w:right="851" w:firstLine="709"/>
        <w:jc w:val="both"/>
        <w:rPr>
          <w:rFonts w:eastAsia="Calibri"/>
          <w:lang w:val="es-CR" w:eastAsia="en-US"/>
        </w:rPr>
      </w:pPr>
    </w:p>
    <w:p w14:paraId="557BDFC3" w14:textId="77777777" w:rsidR="002C0DC3" w:rsidRPr="002C0DC3" w:rsidRDefault="002C0DC3" w:rsidP="002C0DC3">
      <w:pPr>
        <w:widowControl w:val="0"/>
        <w:suppressAutoHyphens w:val="0"/>
        <w:autoSpaceDE w:val="0"/>
        <w:autoSpaceDN w:val="0"/>
        <w:adjustRightInd w:val="0"/>
        <w:ind w:left="851" w:right="851" w:firstLine="709"/>
        <w:jc w:val="center"/>
        <w:rPr>
          <w:rFonts w:eastAsia="Calibri"/>
          <w:lang w:val="es-CR" w:eastAsia="en-US"/>
        </w:rPr>
      </w:pPr>
      <w:r w:rsidRPr="002C0DC3">
        <w:rPr>
          <w:rFonts w:eastAsia="Calibri"/>
          <w:b/>
          <w:bCs/>
          <w:lang w:val="es-CR" w:eastAsia="en-US"/>
        </w:rPr>
        <w:t>Cuadro N°11.5</w:t>
      </w:r>
    </w:p>
    <w:p w14:paraId="2E5BFF37" w14:textId="237FE9F2" w:rsidR="002C0DC3" w:rsidRPr="002C0DC3" w:rsidRDefault="002C0DC3" w:rsidP="00B31AC4">
      <w:pPr>
        <w:widowControl w:val="0"/>
        <w:suppressAutoHyphens w:val="0"/>
        <w:autoSpaceDE w:val="0"/>
        <w:autoSpaceDN w:val="0"/>
        <w:adjustRightInd w:val="0"/>
        <w:ind w:left="851" w:right="851" w:firstLine="709"/>
        <w:jc w:val="center"/>
        <w:rPr>
          <w:rFonts w:eastAsia="Calibri"/>
          <w:b/>
          <w:bCs/>
          <w:lang w:val="es-CR" w:eastAsia="en-US"/>
        </w:rPr>
      </w:pPr>
      <w:r w:rsidRPr="002C0DC3">
        <w:rPr>
          <w:rFonts w:eastAsia="Calibri"/>
          <w:b/>
          <w:bCs/>
          <w:lang w:val="es-CR" w:eastAsia="en-US"/>
        </w:rPr>
        <w:lastRenderedPageBreak/>
        <w:t>Juzgados de Cobro Judicial: Personas intervinientes en los procesos judiciales según</w:t>
      </w:r>
      <w:r w:rsidR="00B31AC4">
        <w:rPr>
          <w:rFonts w:eastAsia="Calibri"/>
          <w:b/>
          <w:bCs/>
          <w:lang w:val="es-CR" w:eastAsia="en-US"/>
        </w:rPr>
        <w:t xml:space="preserve"> </w:t>
      </w:r>
      <w:r w:rsidRPr="002C0DC3">
        <w:rPr>
          <w:rFonts w:eastAsia="Calibri"/>
          <w:b/>
          <w:bCs/>
          <w:lang w:val="es-CR" w:eastAsia="en-US"/>
        </w:rPr>
        <w:t>país de origen, tipo de parte y sexo durante el 2020</w:t>
      </w:r>
    </w:p>
    <w:p w14:paraId="1A5AB5CD" w14:textId="77777777" w:rsidR="002C0DC3" w:rsidRPr="002C0DC3" w:rsidRDefault="002C0DC3" w:rsidP="002C0DC3">
      <w:pPr>
        <w:widowControl w:val="0"/>
        <w:suppressAutoHyphens w:val="0"/>
        <w:autoSpaceDE w:val="0"/>
        <w:autoSpaceDN w:val="0"/>
        <w:adjustRightInd w:val="0"/>
        <w:jc w:val="center"/>
        <w:rPr>
          <w:rFonts w:eastAsia="Calibri"/>
          <w:lang w:val="es-CR" w:eastAsia="en-US"/>
        </w:rPr>
      </w:pP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8"/>
        <w:gridCol w:w="1350"/>
        <w:gridCol w:w="994"/>
        <w:gridCol w:w="868"/>
        <w:gridCol w:w="945"/>
        <w:gridCol w:w="1118"/>
        <w:gridCol w:w="870"/>
      </w:tblGrid>
      <w:tr w:rsidR="002C0DC3" w:rsidRPr="002C0DC3" w14:paraId="3203F41E" w14:textId="77777777" w:rsidTr="002C0DC3">
        <w:trPr>
          <w:trHeight w:val="271"/>
          <w:tblHeader/>
          <w:jc w:val="center"/>
        </w:trPr>
        <w:tc>
          <w:tcPr>
            <w:tcW w:w="2108" w:type="dxa"/>
            <w:shd w:val="clear" w:color="auto" w:fill="auto"/>
            <w:noWrap/>
            <w:vAlign w:val="center"/>
            <w:hideMark/>
          </w:tcPr>
          <w:p w14:paraId="24FD44A1" w14:textId="77777777" w:rsidR="002C0DC3" w:rsidRPr="002C0DC3" w:rsidRDefault="002C0DC3" w:rsidP="002C0DC3">
            <w:pPr>
              <w:widowControl w:val="0"/>
              <w:suppressAutoHyphens w:val="0"/>
              <w:autoSpaceDE w:val="0"/>
              <w:autoSpaceDN w:val="0"/>
              <w:adjustRightInd w:val="0"/>
              <w:jc w:val="center"/>
              <w:rPr>
                <w:rFonts w:eastAsia="Calibri"/>
                <w:b/>
                <w:bCs/>
                <w:lang w:val="es-CR" w:eastAsia="es-CR"/>
              </w:rPr>
            </w:pPr>
            <w:r w:rsidRPr="002C0DC3">
              <w:rPr>
                <w:rFonts w:eastAsia="Calibri"/>
                <w:b/>
                <w:bCs/>
                <w:lang w:val="es-CR" w:eastAsia="en-US"/>
              </w:rPr>
              <w:t>Presencia</w:t>
            </w:r>
          </w:p>
        </w:tc>
        <w:tc>
          <w:tcPr>
            <w:tcW w:w="6123" w:type="dxa"/>
            <w:gridSpan w:val="6"/>
            <w:shd w:val="clear" w:color="auto" w:fill="auto"/>
            <w:noWrap/>
            <w:vAlign w:val="center"/>
            <w:hideMark/>
          </w:tcPr>
          <w:p w14:paraId="233E8F16"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Parte del proceso y sexo</w:t>
            </w:r>
          </w:p>
        </w:tc>
      </w:tr>
      <w:tr w:rsidR="002C0DC3" w:rsidRPr="002C0DC3" w14:paraId="68EE0CC8" w14:textId="77777777" w:rsidTr="002C0DC3">
        <w:trPr>
          <w:trHeight w:val="261"/>
          <w:tblHeader/>
          <w:jc w:val="center"/>
        </w:trPr>
        <w:tc>
          <w:tcPr>
            <w:tcW w:w="2108" w:type="dxa"/>
            <w:shd w:val="clear" w:color="auto" w:fill="auto"/>
            <w:noWrap/>
            <w:vAlign w:val="center"/>
            <w:hideMark/>
          </w:tcPr>
          <w:p w14:paraId="5CB8F46B"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de</w:t>
            </w:r>
          </w:p>
        </w:tc>
        <w:tc>
          <w:tcPr>
            <w:tcW w:w="3190" w:type="dxa"/>
            <w:gridSpan w:val="3"/>
            <w:shd w:val="clear" w:color="auto" w:fill="auto"/>
            <w:noWrap/>
            <w:vAlign w:val="center"/>
            <w:hideMark/>
          </w:tcPr>
          <w:p w14:paraId="3E859EB0"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Actor (a)</w:t>
            </w:r>
          </w:p>
        </w:tc>
        <w:tc>
          <w:tcPr>
            <w:tcW w:w="2933" w:type="dxa"/>
            <w:gridSpan w:val="3"/>
            <w:shd w:val="clear" w:color="auto" w:fill="auto"/>
            <w:noWrap/>
            <w:vAlign w:val="center"/>
            <w:hideMark/>
          </w:tcPr>
          <w:p w14:paraId="27259C68"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Demandado (a)</w:t>
            </w:r>
          </w:p>
        </w:tc>
      </w:tr>
      <w:tr w:rsidR="002C0DC3" w:rsidRPr="002C0DC3" w14:paraId="63C73E30" w14:textId="77777777" w:rsidTr="002C0DC3">
        <w:trPr>
          <w:trHeight w:val="271"/>
          <w:tblHeader/>
          <w:jc w:val="center"/>
        </w:trPr>
        <w:tc>
          <w:tcPr>
            <w:tcW w:w="2108" w:type="dxa"/>
            <w:shd w:val="clear" w:color="auto" w:fill="auto"/>
            <w:noWrap/>
            <w:vAlign w:val="center"/>
            <w:hideMark/>
          </w:tcPr>
          <w:p w14:paraId="0F6D4E0B"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Discapacidad</w:t>
            </w:r>
          </w:p>
        </w:tc>
        <w:tc>
          <w:tcPr>
            <w:tcW w:w="1350" w:type="dxa"/>
            <w:shd w:val="clear" w:color="auto" w:fill="auto"/>
            <w:noWrap/>
            <w:vAlign w:val="center"/>
            <w:hideMark/>
          </w:tcPr>
          <w:p w14:paraId="6F57B95C"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972" w:type="dxa"/>
            <w:shd w:val="clear" w:color="auto" w:fill="auto"/>
            <w:noWrap/>
            <w:vAlign w:val="center"/>
            <w:hideMark/>
          </w:tcPr>
          <w:p w14:paraId="136EF590"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Hombre</w:t>
            </w:r>
          </w:p>
        </w:tc>
        <w:tc>
          <w:tcPr>
            <w:tcW w:w="868" w:type="dxa"/>
            <w:shd w:val="clear" w:color="auto" w:fill="auto"/>
            <w:noWrap/>
            <w:vAlign w:val="center"/>
            <w:hideMark/>
          </w:tcPr>
          <w:p w14:paraId="22CF4199"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Mujer</w:t>
            </w:r>
          </w:p>
        </w:tc>
        <w:tc>
          <w:tcPr>
            <w:tcW w:w="945" w:type="dxa"/>
            <w:shd w:val="clear" w:color="auto" w:fill="auto"/>
            <w:noWrap/>
            <w:vAlign w:val="center"/>
            <w:hideMark/>
          </w:tcPr>
          <w:p w14:paraId="04144B79"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Total</w:t>
            </w:r>
          </w:p>
        </w:tc>
        <w:tc>
          <w:tcPr>
            <w:tcW w:w="1118" w:type="dxa"/>
            <w:shd w:val="clear" w:color="auto" w:fill="auto"/>
            <w:noWrap/>
            <w:vAlign w:val="center"/>
            <w:hideMark/>
          </w:tcPr>
          <w:p w14:paraId="19A01FF9"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Hombre</w:t>
            </w:r>
          </w:p>
        </w:tc>
        <w:tc>
          <w:tcPr>
            <w:tcW w:w="870" w:type="dxa"/>
            <w:shd w:val="clear" w:color="auto" w:fill="auto"/>
            <w:noWrap/>
            <w:vAlign w:val="center"/>
            <w:hideMark/>
          </w:tcPr>
          <w:p w14:paraId="2EF76415" w14:textId="77777777" w:rsidR="002C0DC3" w:rsidRPr="002C0DC3" w:rsidRDefault="002C0DC3" w:rsidP="002C0DC3">
            <w:pPr>
              <w:widowControl w:val="0"/>
              <w:suppressAutoHyphens w:val="0"/>
              <w:autoSpaceDE w:val="0"/>
              <w:autoSpaceDN w:val="0"/>
              <w:adjustRightInd w:val="0"/>
              <w:jc w:val="center"/>
              <w:rPr>
                <w:rFonts w:eastAsia="Calibri"/>
                <w:b/>
                <w:bCs/>
                <w:lang w:val="es-CR" w:eastAsia="en-US"/>
              </w:rPr>
            </w:pPr>
            <w:r w:rsidRPr="002C0DC3">
              <w:rPr>
                <w:rFonts w:eastAsia="Calibri"/>
                <w:b/>
                <w:bCs/>
                <w:lang w:val="es-CR" w:eastAsia="en-US"/>
              </w:rPr>
              <w:t>Mujer</w:t>
            </w:r>
          </w:p>
        </w:tc>
      </w:tr>
      <w:tr w:rsidR="002C0DC3" w:rsidRPr="002C0DC3" w14:paraId="2AE896F6" w14:textId="77777777" w:rsidTr="002C0DC3">
        <w:trPr>
          <w:trHeight w:val="462"/>
          <w:jc w:val="center"/>
        </w:trPr>
        <w:tc>
          <w:tcPr>
            <w:tcW w:w="2108" w:type="dxa"/>
            <w:shd w:val="clear" w:color="auto" w:fill="auto"/>
            <w:noWrap/>
            <w:vAlign w:val="center"/>
            <w:hideMark/>
          </w:tcPr>
          <w:p w14:paraId="6DA998FE" w14:textId="77777777" w:rsidR="002C0DC3" w:rsidRPr="002C0DC3" w:rsidRDefault="002C0DC3" w:rsidP="002C0DC3">
            <w:pPr>
              <w:widowControl w:val="0"/>
              <w:suppressAutoHyphens w:val="0"/>
              <w:autoSpaceDE w:val="0"/>
              <w:autoSpaceDN w:val="0"/>
              <w:adjustRightInd w:val="0"/>
              <w:jc w:val="both"/>
              <w:rPr>
                <w:rFonts w:eastAsia="Calibri"/>
                <w:b/>
                <w:bCs/>
                <w:lang w:val="es-CR" w:eastAsia="en-US"/>
              </w:rPr>
            </w:pPr>
            <w:r w:rsidRPr="002C0DC3">
              <w:rPr>
                <w:rFonts w:eastAsia="Calibri"/>
                <w:b/>
                <w:bCs/>
                <w:lang w:val="es-CR" w:eastAsia="en-US"/>
              </w:rPr>
              <w:t>Total</w:t>
            </w:r>
          </w:p>
        </w:tc>
        <w:tc>
          <w:tcPr>
            <w:tcW w:w="1350" w:type="dxa"/>
            <w:shd w:val="clear" w:color="auto" w:fill="auto"/>
            <w:noWrap/>
            <w:vAlign w:val="center"/>
          </w:tcPr>
          <w:p w14:paraId="1E5F3526"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44.021</w:t>
            </w:r>
          </w:p>
        </w:tc>
        <w:tc>
          <w:tcPr>
            <w:tcW w:w="972" w:type="dxa"/>
            <w:shd w:val="clear" w:color="auto" w:fill="auto"/>
            <w:noWrap/>
            <w:vAlign w:val="center"/>
          </w:tcPr>
          <w:p w14:paraId="4586A36F"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27.491</w:t>
            </w:r>
          </w:p>
        </w:tc>
        <w:tc>
          <w:tcPr>
            <w:tcW w:w="868" w:type="dxa"/>
            <w:shd w:val="clear" w:color="auto" w:fill="auto"/>
            <w:noWrap/>
            <w:vAlign w:val="center"/>
          </w:tcPr>
          <w:p w14:paraId="5938AEBE"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16.530</w:t>
            </w:r>
          </w:p>
        </w:tc>
        <w:tc>
          <w:tcPr>
            <w:tcW w:w="945" w:type="dxa"/>
            <w:shd w:val="clear" w:color="auto" w:fill="auto"/>
            <w:noWrap/>
            <w:vAlign w:val="center"/>
          </w:tcPr>
          <w:p w14:paraId="6E948B8F"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182.098</w:t>
            </w:r>
          </w:p>
        </w:tc>
        <w:tc>
          <w:tcPr>
            <w:tcW w:w="1118" w:type="dxa"/>
            <w:shd w:val="clear" w:color="auto" w:fill="auto"/>
            <w:noWrap/>
            <w:vAlign w:val="center"/>
          </w:tcPr>
          <w:p w14:paraId="53BAD34D"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118.550</w:t>
            </w:r>
          </w:p>
        </w:tc>
        <w:tc>
          <w:tcPr>
            <w:tcW w:w="870" w:type="dxa"/>
            <w:shd w:val="clear" w:color="auto" w:fill="auto"/>
            <w:noWrap/>
            <w:vAlign w:val="center"/>
          </w:tcPr>
          <w:p w14:paraId="41490F9B" w14:textId="77777777" w:rsidR="002C0DC3" w:rsidRPr="002C0DC3" w:rsidRDefault="002C0DC3" w:rsidP="002C0DC3">
            <w:pPr>
              <w:widowControl w:val="0"/>
              <w:suppressAutoHyphens w:val="0"/>
              <w:autoSpaceDE w:val="0"/>
              <w:autoSpaceDN w:val="0"/>
              <w:adjustRightInd w:val="0"/>
              <w:jc w:val="right"/>
              <w:rPr>
                <w:rFonts w:eastAsia="Calibri"/>
                <w:b/>
                <w:bCs/>
                <w:u w:val="single"/>
                <w:lang w:val="es-CR" w:eastAsia="en-US"/>
              </w:rPr>
            </w:pPr>
            <w:r w:rsidRPr="002C0DC3">
              <w:rPr>
                <w:rFonts w:eastAsia="Calibri"/>
                <w:b/>
                <w:bCs/>
                <w:u w:val="single"/>
                <w:lang w:val="es-CR" w:eastAsia="en-US"/>
              </w:rPr>
              <w:t>63.548</w:t>
            </w:r>
          </w:p>
        </w:tc>
      </w:tr>
      <w:tr w:rsidR="002C0DC3" w:rsidRPr="002C0DC3" w14:paraId="47173AAA" w14:textId="77777777" w:rsidTr="002C0DC3">
        <w:trPr>
          <w:trHeight w:val="271"/>
          <w:jc w:val="center"/>
        </w:trPr>
        <w:tc>
          <w:tcPr>
            <w:tcW w:w="2108" w:type="dxa"/>
            <w:shd w:val="clear" w:color="auto" w:fill="auto"/>
            <w:noWrap/>
            <w:vAlign w:val="center"/>
            <w:hideMark/>
          </w:tcPr>
          <w:p w14:paraId="37F41331"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No</w:t>
            </w:r>
          </w:p>
        </w:tc>
        <w:tc>
          <w:tcPr>
            <w:tcW w:w="1350" w:type="dxa"/>
            <w:shd w:val="clear" w:color="auto" w:fill="auto"/>
            <w:noWrap/>
          </w:tcPr>
          <w:p w14:paraId="2990FEA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43 808</w:t>
            </w:r>
          </w:p>
        </w:tc>
        <w:tc>
          <w:tcPr>
            <w:tcW w:w="972" w:type="dxa"/>
            <w:shd w:val="clear" w:color="auto" w:fill="auto"/>
            <w:noWrap/>
          </w:tcPr>
          <w:p w14:paraId="3A85AA20"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27 375</w:t>
            </w:r>
          </w:p>
        </w:tc>
        <w:tc>
          <w:tcPr>
            <w:tcW w:w="868" w:type="dxa"/>
            <w:shd w:val="clear" w:color="auto" w:fill="auto"/>
            <w:noWrap/>
          </w:tcPr>
          <w:p w14:paraId="34DC7195"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16 433</w:t>
            </w:r>
          </w:p>
        </w:tc>
        <w:tc>
          <w:tcPr>
            <w:tcW w:w="945" w:type="dxa"/>
            <w:shd w:val="clear" w:color="auto" w:fill="auto"/>
            <w:noWrap/>
          </w:tcPr>
          <w:p w14:paraId="07FE207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181 521</w:t>
            </w:r>
          </w:p>
        </w:tc>
        <w:tc>
          <w:tcPr>
            <w:tcW w:w="1118" w:type="dxa"/>
            <w:shd w:val="clear" w:color="auto" w:fill="auto"/>
            <w:noWrap/>
          </w:tcPr>
          <w:p w14:paraId="3B2F7B8C"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118 152</w:t>
            </w:r>
          </w:p>
        </w:tc>
        <w:tc>
          <w:tcPr>
            <w:tcW w:w="870" w:type="dxa"/>
            <w:shd w:val="clear" w:color="auto" w:fill="auto"/>
            <w:noWrap/>
          </w:tcPr>
          <w:p w14:paraId="27A3844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63 369</w:t>
            </w:r>
          </w:p>
        </w:tc>
      </w:tr>
      <w:tr w:rsidR="002C0DC3" w:rsidRPr="002C0DC3" w14:paraId="07F74EF6" w14:textId="77777777" w:rsidTr="002C0DC3">
        <w:trPr>
          <w:trHeight w:val="281"/>
          <w:jc w:val="center"/>
        </w:trPr>
        <w:tc>
          <w:tcPr>
            <w:tcW w:w="2108" w:type="dxa"/>
            <w:shd w:val="clear" w:color="auto" w:fill="auto"/>
            <w:noWrap/>
            <w:vAlign w:val="center"/>
            <w:hideMark/>
          </w:tcPr>
          <w:p w14:paraId="61326A8A"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Sí</w:t>
            </w:r>
          </w:p>
        </w:tc>
        <w:tc>
          <w:tcPr>
            <w:tcW w:w="1350" w:type="dxa"/>
            <w:shd w:val="clear" w:color="auto" w:fill="auto"/>
            <w:noWrap/>
          </w:tcPr>
          <w:p w14:paraId="662E27B7"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204</w:t>
            </w:r>
          </w:p>
        </w:tc>
        <w:tc>
          <w:tcPr>
            <w:tcW w:w="972" w:type="dxa"/>
            <w:shd w:val="clear" w:color="auto" w:fill="auto"/>
            <w:noWrap/>
          </w:tcPr>
          <w:p w14:paraId="13B693CA"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110</w:t>
            </w:r>
          </w:p>
        </w:tc>
        <w:tc>
          <w:tcPr>
            <w:tcW w:w="868" w:type="dxa"/>
            <w:shd w:val="clear" w:color="auto" w:fill="auto"/>
            <w:noWrap/>
          </w:tcPr>
          <w:p w14:paraId="5E506CF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94</w:t>
            </w:r>
          </w:p>
        </w:tc>
        <w:tc>
          <w:tcPr>
            <w:tcW w:w="945" w:type="dxa"/>
            <w:shd w:val="clear" w:color="auto" w:fill="auto"/>
            <w:noWrap/>
          </w:tcPr>
          <w:p w14:paraId="4E7155F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560</w:t>
            </w:r>
          </w:p>
        </w:tc>
        <w:tc>
          <w:tcPr>
            <w:tcW w:w="1118" w:type="dxa"/>
            <w:shd w:val="clear" w:color="auto" w:fill="auto"/>
            <w:noWrap/>
          </w:tcPr>
          <w:p w14:paraId="6CFB9F79"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384</w:t>
            </w:r>
          </w:p>
        </w:tc>
        <w:tc>
          <w:tcPr>
            <w:tcW w:w="870" w:type="dxa"/>
            <w:shd w:val="clear" w:color="auto" w:fill="auto"/>
            <w:noWrap/>
          </w:tcPr>
          <w:p w14:paraId="0C21CE6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176</w:t>
            </w:r>
          </w:p>
        </w:tc>
      </w:tr>
      <w:tr w:rsidR="002C0DC3" w:rsidRPr="002C0DC3" w14:paraId="1698A6F9" w14:textId="77777777" w:rsidTr="002C0DC3">
        <w:trPr>
          <w:trHeight w:val="271"/>
          <w:jc w:val="center"/>
        </w:trPr>
        <w:tc>
          <w:tcPr>
            <w:tcW w:w="2108" w:type="dxa"/>
            <w:shd w:val="clear" w:color="auto" w:fill="auto"/>
            <w:noWrap/>
            <w:vAlign w:val="center"/>
            <w:hideMark/>
          </w:tcPr>
          <w:p w14:paraId="359CE02D" w14:textId="77777777" w:rsidR="002C0DC3" w:rsidRPr="002C0DC3" w:rsidRDefault="002C0DC3" w:rsidP="002C0DC3">
            <w:pPr>
              <w:widowControl w:val="0"/>
              <w:suppressAutoHyphens w:val="0"/>
              <w:autoSpaceDE w:val="0"/>
              <w:autoSpaceDN w:val="0"/>
              <w:adjustRightInd w:val="0"/>
              <w:jc w:val="both"/>
              <w:rPr>
                <w:rFonts w:eastAsia="Calibri"/>
                <w:lang w:val="es-CR" w:eastAsia="en-US"/>
              </w:rPr>
            </w:pPr>
            <w:r w:rsidRPr="002C0DC3">
              <w:rPr>
                <w:rFonts w:eastAsia="Calibri"/>
                <w:lang w:val="es-CR" w:eastAsia="en-US"/>
              </w:rPr>
              <w:t>Dato desconocido</w:t>
            </w:r>
          </w:p>
        </w:tc>
        <w:tc>
          <w:tcPr>
            <w:tcW w:w="1350" w:type="dxa"/>
            <w:shd w:val="clear" w:color="auto" w:fill="auto"/>
            <w:noWrap/>
          </w:tcPr>
          <w:p w14:paraId="5E50E9A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9</w:t>
            </w:r>
          </w:p>
        </w:tc>
        <w:tc>
          <w:tcPr>
            <w:tcW w:w="972" w:type="dxa"/>
            <w:shd w:val="clear" w:color="auto" w:fill="auto"/>
            <w:noWrap/>
          </w:tcPr>
          <w:p w14:paraId="61207432"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6</w:t>
            </w:r>
          </w:p>
        </w:tc>
        <w:tc>
          <w:tcPr>
            <w:tcW w:w="868" w:type="dxa"/>
            <w:shd w:val="clear" w:color="auto" w:fill="auto"/>
            <w:noWrap/>
          </w:tcPr>
          <w:p w14:paraId="35169BC6"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w:t>
            </w:r>
          </w:p>
        </w:tc>
        <w:tc>
          <w:tcPr>
            <w:tcW w:w="945" w:type="dxa"/>
            <w:shd w:val="clear" w:color="auto" w:fill="auto"/>
            <w:noWrap/>
          </w:tcPr>
          <w:p w14:paraId="3F62CD34"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17</w:t>
            </w:r>
          </w:p>
        </w:tc>
        <w:tc>
          <w:tcPr>
            <w:tcW w:w="1118" w:type="dxa"/>
            <w:shd w:val="clear" w:color="auto" w:fill="auto"/>
            <w:noWrap/>
          </w:tcPr>
          <w:p w14:paraId="4C67084D"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14</w:t>
            </w:r>
          </w:p>
        </w:tc>
        <w:tc>
          <w:tcPr>
            <w:tcW w:w="870" w:type="dxa"/>
            <w:shd w:val="clear" w:color="auto" w:fill="auto"/>
            <w:noWrap/>
          </w:tcPr>
          <w:p w14:paraId="27B64598" w14:textId="77777777" w:rsidR="002C0DC3" w:rsidRPr="002C0DC3" w:rsidRDefault="002C0DC3" w:rsidP="002C0DC3">
            <w:pPr>
              <w:widowControl w:val="0"/>
              <w:suppressAutoHyphens w:val="0"/>
              <w:autoSpaceDE w:val="0"/>
              <w:autoSpaceDN w:val="0"/>
              <w:adjustRightInd w:val="0"/>
              <w:jc w:val="right"/>
              <w:rPr>
                <w:rFonts w:eastAsia="Calibri"/>
                <w:lang w:val="es-CR" w:eastAsia="en-US"/>
              </w:rPr>
            </w:pPr>
            <w:r w:rsidRPr="002C0DC3">
              <w:rPr>
                <w:rFonts w:eastAsia="Calibri"/>
                <w:lang w:val="es-CR" w:eastAsia="en-US"/>
              </w:rPr>
              <w:t>3</w:t>
            </w:r>
          </w:p>
        </w:tc>
      </w:tr>
      <w:tr w:rsidR="002C0DC3" w:rsidRPr="002C0DC3" w14:paraId="32A935D6" w14:textId="77777777" w:rsidTr="002C0DC3">
        <w:trPr>
          <w:trHeight w:val="502"/>
          <w:jc w:val="center"/>
        </w:trPr>
        <w:tc>
          <w:tcPr>
            <w:tcW w:w="8231" w:type="dxa"/>
            <w:gridSpan w:val="7"/>
            <w:shd w:val="clear" w:color="auto" w:fill="auto"/>
            <w:noWrap/>
            <w:vAlign w:val="center"/>
          </w:tcPr>
          <w:p w14:paraId="794A4E42" w14:textId="77777777" w:rsidR="002C0DC3" w:rsidRPr="002C0DC3" w:rsidRDefault="002C0DC3" w:rsidP="002C0DC3">
            <w:pPr>
              <w:widowControl w:val="0"/>
              <w:suppressAutoHyphens w:val="0"/>
              <w:autoSpaceDE w:val="0"/>
              <w:autoSpaceDN w:val="0"/>
              <w:adjustRightInd w:val="0"/>
              <w:jc w:val="both"/>
              <w:rPr>
                <w:rFonts w:eastAsia="Calibri"/>
                <w:bCs/>
                <w:lang w:val="es-CR" w:eastAsia="en-US"/>
              </w:rPr>
            </w:pPr>
            <w:r w:rsidRPr="002C0DC3">
              <w:rPr>
                <w:rFonts w:eastAsia="Calibri"/>
                <w:bCs/>
                <w:lang w:val="es-CR" w:eastAsia="en-US"/>
              </w:rPr>
              <w:t>Elaborado por: Subproceso de Estadística, Dirección de Planificación.</w:t>
            </w:r>
          </w:p>
        </w:tc>
      </w:tr>
    </w:tbl>
    <w:p w14:paraId="20830FF6" w14:textId="77777777" w:rsidR="002C0DC3" w:rsidRPr="002C0DC3" w:rsidRDefault="002C0DC3" w:rsidP="002C0DC3">
      <w:pPr>
        <w:suppressAutoHyphens w:val="0"/>
        <w:jc w:val="both"/>
        <w:rPr>
          <w:rFonts w:eastAsia="Calibri"/>
          <w:lang w:val="es-CR" w:eastAsia="en-US"/>
        </w:rPr>
      </w:pPr>
    </w:p>
    <w:p w14:paraId="5F08133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Otra variable referente a derechos humanos universales y equitativos es la etnia de la población, en esa línea se tienen que, de la totalidad de intervinientes existe información sobre esta variable en el 0,39 de la totalidad de intervinientes. De ese grupo destaca que 342 intervinientes pertenecen a la población blanca, otros 265 son mestizos, 115 afrodescendientes o raza negra, 83 latinos, 17 indígenas, 54 mulatos (as), 9 asiáticos y 3 pertenecen a otras etnias. A continuación, el detalle de los intervinientes desagregado por tipo y sexo.</w:t>
      </w:r>
    </w:p>
    <w:p w14:paraId="53D58CA1" w14:textId="77777777" w:rsidR="002C0DC3" w:rsidRPr="002C0DC3" w:rsidRDefault="002C0DC3" w:rsidP="002C0DC3">
      <w:pPr>
        <w:suppressAutoHyphens w:val="0"/>
        <w:jc w:val="both"/>
        <w:rPr>
          <w:rFonts w:eastAsia="Calibri"/>
          <w:lang w:val="es-CR" w:eastAsia="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1134"/>
        <w:gridCol w:w="992"/>
        <w:gridCol w:w="1134"/>
        <w:gridCol w:w="1559"/>
      </w:tblGrid>
      <w:tr w:rsidR="002C0DC3" w:rsidRPr="002C0DC3" w14:paraId="637A4862" w14:textId="77777777" w:rsidTr="002C0DC3">
        <w:trPr>
          <w:trHeight w:val="315"/>
          <w:tblHeader/>
          <w:jc w:val="center"/>
        </w:trPr>
        <w:tc>
          <w:tcPr>
            <w:tcW w:w="7371" w:type="dxa"/>
            <w:gridSpan w:val="5"/>
            <w:shd w:val="clear" w:color="auto" w:fill="auto"/>
            <w:vAlign w:val="center"/>
            <w:hideMark/>
          </w:tcPr>
          <w:p w14:paraId="4280D50E" w14:textId="77777777" w:rsidR="002C0DC3" w:rsidRPr="002C0DC3" w:rsidRDefault="002C0DC3" w:rsidP="002C0DC3">
            <w:pPr>
              <w:suppressAutoHyphens w:val="0"/>
              <w:jc w:val="center"/>
              <w:rPr>
                <w:rFonts w:eastAsia="Calibri"/>
                <w:b/>
                <w:bCs/>
                <w:lang w:val="es-CR" w:eastAsia="en-US"/>
              </w:rPr>
            </w:pPr>
            <w:bookmarkStart w:id="21" w:name="_Hlk77149568"/>
            <w:r w:rsidRPr="002C0DC3">
              <w:rPr>
                <w:rFonts w:eastAsia="Calibri"/>
                <w:b/>
                <w:bCs/>
                <w:lang w:val="es-CR" w:eastAsia="en-US"/>
              </w:rPr>
              <w:t>Cuadro N°11.6</w:t>
            </w:r>
          </w:p>
        </w:tc>
      </w:tr>
      <w:tr w:rsidR="002C0DC3" w:rsidRPr="002C0DC3" w14:paraId="2590C801" w14:textId="77777777" w:rsidTr="002C0DC3">
        <w:trPr>
          <w:trHeight w:val="315"/>
          <w:tblHeader/>
          <w:jc w:val="center"/>
        </w:trPr>
        <w:tc>
          <w:tcPr>
            <w:tcW w:w="7371" w:type="dxa"/>
            <w:gridSpan w:val="5"/>
            <w:shd w:val="clear" w:color="auto" w:fill="auto"/>
            <w:vAlign w:val="center"/>
            <w:hideMark/>
          </w:tcPr>
          <w:p w14:paraId="6537D0AF" w14:textId="77777777" w:rsidR="002C0DC3" w:rsidRPr="002C0DC3" w:rsidRDefault="002C0DC3" w:rsidP="002C0DC3">
            <w:pPr>
              <w:suppressAutoHyphens w:val="0"/>
              <w:jc w:val="center"/>
              <w:rPr>
                <w:rFonts w:eastAsia="Calibri"/>
                <w:b/>
                <w:bCs/>
                <w:lang w:val="es-CR" w:eastAsia="en-US"/>
              </w:rPr>
            </w:pPr>
            <w:r w:rsidRPr="002C0DC3">
              <w:rPr>
                <w:rFonts w:eastAsia="Calibri"/>
                <w:b/>
                <w:bCs/>
                <w:lang w:val="es-CR" w:eastAsia="en-US"/>
              </w:rPr>
              <w:t>Juzgados de Cobro Judicial: Personas intervinientes en los procesos judiciales según país de etnia, tipo de parte y sexo durante el 2020</w:t>
            </w:r>
          </w:p>
          <w:p w14:paraId="294DB7CC" w14:textId="77777777" w:rsidR="002C0DC3" w:rsidRPr="002C0DC3" w:rsidRDefault="002C0DC3" w:rsidP="002C0DC3">
            <w:pPr>
              <w:suppressAutoHyphens w:val="0"/>
              <w:jc w:val="center"/>
              <w:rPr>
                <w:rFonts w:eastAsia="Calibri"/>
                <w:b/>
                <w:bCs/>
                <w:lang w:val="es-CR" w:eastAsia="en-US"/>
              </w:rPr>
            </w:pPr>
          </w:p>
        </w:tc>
      </w:tr>
      <w:tr w:rsidR="002C0DC3" w:rsidRPr="002C0DC3" w14:paraId="06F12CC5" w14:textId="77777777" w:rsidTr="002C0DC3">
        <w:trPr>
          <w:trHeight w:val="315"/>
          <w:tblHeader/>
          <w:jc w:val="center"/>
        </w:trPr>
        <w:tc>
          <w:tcPr>
            <w:tcW w:w="2552" w:type="dxa"/>
            <w:vMerge w:val="restart"/>
            <w:shd w:val="clear" w:color="auto" w:fill="auto"/>
            <w:vAlign w:val="center"/>
            <w:hideMark/>
          </w:tcPr>
          <w:p w14:paraId="3E559F5C"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Etnia</w:t>
            </w:r>
          </w:p>
        </w:tc>
        <w:tc>
          <w:tcPr>
            <w:tcW w:w="2126" w:type="dxa"/>
            <w:gridSpan w:val="2"/>
            <w:shd w:val="clear" w:color="auto" w:fill="auto"/>
            <w:vAlign w:val="center"/>
            <w:hideMark/>
          </w:tcPr>
          <w:p w14:paraId="75CF73D2"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Actor(a)</w:t>
            </w:r>
          </w:p>
        </w:tc>
        <w:tc>
          <w:tcPr>
            <w:tcW w:w="2693" w:type="dxa"/>
            <w:gridSpan w:val="2"/>
            <w:shd w:val="clear" w:color="auto" w:fill="auto"/>
            <w:vAlign w:val="center"/>
            <w:hideMark/>
          </w:tcPr>
          <w:p w14:paraId="329B329B"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Demandado(a)</w:t>
            </w:r>
          </w:p>
        </w:tc>
      </w:tr>
      <w:tr w:rsidR="002C0DC3" w:rsidRPr="002C0DC3" w14:paraId="661D2653" w14:textId="77777777" w:rsidTr="002C0DC3">
        <w:trPr>
          <w:trHeight w:val="330"/>
          <w:tblHeader/>
          <w:jc w:val="center"/>
        </w:trPr>
        <w:tc>
          <w:tcPr>
            <w:tcW w:w="2552" w:type="dxa"/>
            <w:vMerge/>
            <w:vAlign w:val="center"/>
            <w:hideMark/>
          </w:tcPr>
          <w:p w14:paraId="6D4F277A" w14:textId="77777777" w:rsidR="002C0DC3" w:rsidRPr="002C0DC3" w:rsidRDefault="002C0DC3" w:rsidP="002C0DC3">
            <w:pPr>
              <w:suppressAutoHyphens w:val="0"/>
              <w:jc w:val="both"/>
              <w:rPr>
                <w:rFonts w:eastAsia="Calibri"/>
                <w:b/>
                <w:bCs/>
                <w:lang w:val="es-CR" w:eastAsia="es-CR"/>
              </w:rPr>
            </w:pPr>
          </w:p>
        </w:tc>
        <w:tc>
          <w:tcPr>
            <w:tcW w:w="1134" w:type="dxa"/>
            <w:shd w:val="clear" w:color="auto" w:fill="auto"/>
            <w:noWrap/>
            <w:vAlign w:val="center"/>
            <w:hideMark/>
          </w:tcPr>
          <w:p w14:paraId="10AA7014"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Hombre</w:t>
            </w:r>
          </w:p>
        </w:tc>
        <w:tc>
          <w:tcPr>
            <w:tcW w:w="992" w:type="dxa"/>
            <w:shd w:val="clear" w:color="auto" w:fill="auto"/>
            <w:noWrap/>
            <w:vAlign w:val="center"/>
            <w:hideMark/>
          </w:tcPr>
          <w:p w14:paraId="759A735F"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Mujer</w:t>
            </w:r>
          </w:p>
        </w:tc>
        <w:tc>
          <w:tcPr>
            <w:tcW w:w="1134" w:type="dxa"/>
            <w:shd w:val="clear" w:color="auto" w:fill="auto"/>
            <w:noWrap/>
            <w:vAlign w:val="center"/>
            <w:hideMark/>
          </w:tcPr>
          <w:p w14:paraId="414907FC"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Hombre</w:t>
            </w:r>
          </w:p>
        </w:tc>
        <w:tc>
          <w:tcPr>
            <w:tcW w:w="1559" w:type="dxa"/>
            <w:shd w:val="clear" w:color="auto" w:fill="auto"/>
            <w:noWrap/>
            <w:vAlign w:val="center"/>
            <w:hideMark/>
          </w:tcPr>
          <w:p w14:paraId="29C42DC8"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Mujer</w:t>
            </w:r>
          </w:p>
        </w:tc>
      </w:tr>
      <w:tr w:rsidR="002C0DC3" w:rsidRPr="002C0DC3" w14:paraId="7866ACFD" w14:textId="77777777" w:rsidTr="002C0DC3">
        <w:trPr>
          <w:trHeight w:val="315"/>
          <w:jc w:val="center"/>
        </w:trPr>
        <w:tc>
          <w:tcPr>
            <w:tcW w:w="2552" w:type="dxa"/>
            <w:shd w:val="clear" w:color="auto" w:fill="auto"/>
            <w:vAlign w:val="center"/>
            <w:hideMark/>
          </w:tcPr>
          <w:p w14:paraId="075421BC"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 </w:t>
            </w:r>
          </w:p>
        </w:tc>
        <w:tc>
          <w:tcPr>
            <w:tcW w:w="1134" w:type="dxa"/>
            <w:shd w:val="clear" w:color="auto" w:fill="auto"/>
            <w:noWrap/>
            <w:vAlign w:val="center"/>
            <w:hideMark/>
          </w:tcPr>
          <w:p w14:paraId="419EEC22" w14:textId="77777777" w:rsidR="002C0DC3" w:rsidRPr="002C0DC3" w:rsidRDefault="002C0DC3" w:rsidP="002C0DC3">
            <w:pPr>
              <w:suppressAutoHyphens w:val="0"/>
              <w:jc w:val="center"/>
              <w:rPr>
                <w:rFonts w:eastAsia="Calibri"/>
                <w:b/>
                <w:bCs/>
                <w:lang w:val="es-CR" w:eastAsia="es-CR"/>
              </w:rPr>
            </w:pPr>
          </w:p>
        </w:tc>
        <w:tc>
          <w:tcPr>
            <w:tcW w:w="992" w:type="dxa"/>
            <w:shd w:val="clear" w:color="auto" w:fill="auto"/>
            <w:noWrap/>
            <w:vAlign w:val="center"/>
            <w:hideMark/>
          </w:tcPr>
          <w:p w14:paraId="08D5AF18"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 </w:t>
            </w:r>
          </w:p>
        </w:tc>
        <w:tc>
          <w:tcPr>
            <w:tcW w:w="1134" w:type="dxa"/>
            <w:shd w:val="clear" w:color="auto" w:fill="auto"/>
            <w:noWrap/>
            <w:vAlign w:val="center"/>
            <w:hideMark/>
          </w:tcPr>
          <w:p w14:paraId="08AADDED"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 </w:t>
            </w:r>
          </w:p>
        </w:tc>
        <w:tc>
          <w:tcPr>
            <w:tcW w:w="1559" w:type="dxa"/>
            <w:shd w:val="clear" w:color="auto" w:fill="auto"/>
            <w:noWrap/>
            <w:vAlign w:val="center"/>
            <w:hideMark/>
          </w:tcPr>
          <w:p w14:paraId="1E107509"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 </w:t>
            </w:r>
          </w:p>
        </w:tc>
      </w:tr>
      <w:tr w:rsidR="002C0DC3" w:rsidRPr="002C0DC3" w14:paraId="1CADC78C" w14:textId="77777777" w:rsidTr="002C0DC3">
        <w:trPr>
          <w:trHeight w:val="340"/>
          <w:jc w:val="center"/>
        </w:trPr>
        <w:tc>
          <w:tcPr>
            <w:tcW w:w="2552" w:type="dxa"/>
            <w:shd w:val="clear" w:color="auto" w:fill="auto"/>
            <w:noWrap/>
            <w:vAlign w:val="center"/>
            <w:hideMark/>
          </w:tcPr>
          <w:p w14:paraId="16075422"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 xml:space="preserve">Total </w:t>
            </w:r>
          </w:p>
        </w:tc>
        <w:tc>
          <w:tcPr>
            <w:tcW w:w="1134" w:type="dxa"/>
            <w:shd w:val="clear" w:color="auto" w:fill="auto"/>
            <w:noWrap/>
            <w:vAlign w:val="center"/>
          </w:tcPr>
          <w:p w14:paraId="32335752" w14:textId="77777777" w:rsidR="002C0DC3" w:rsidRPr="002C0DC3" w:rsidRDefault="002C0DC3" w:rsidP="002C0DC3">
            <w:pPr>
              <w:suppressAutoHyphens w:val="0"/>
              <w:jc w:val="right"/>
              <w:rPr>
                <w:rFonts w:eastAsia="Calibri"/>
                <w:b/>
                <w:bCs/>
                <w:u w:val="single"/>
                <w:lang w:val="es-CR" w:eastAsia="es-CR"/>
              </w:rPr>
            </w:pPr>
            <w:r w:rsidRPr="002C0DC3">
              <w:rPr>
                <w:rFonts w:eastAsia="Calibri"/>
                <w:b/>
                <w:bCs/>
                <w:u w:val="single"/>
                <w:lang w:val="es-CR" w:eastAsia="es-CR"/>
              </w:rPr>
              <w:t>27.491</w:t>
            </w:r>
          </w:p>
        </w:tc>
        <w:tc>
          <w:tcPr>
            <w:tcW w:w="992" w:type="dxa"/>
            <w:shd w:val="clear" w:color="auto" w:fill="auto"/>
            <w:noWrap/>
            <w:vAlign w:val="center"/>
          </w:tcPr>
          <w:p w14:paraId="76A9BCC0" w14:textId="77777777" w:rsidR="002C0DC3" w:rsidRPr="002C0DC3" w:rsidRDefault="002C0DC3" w:rsidP="002C0DC3">
            <w:pPr>
              <w:suppressAutoHyphens w:val="0"/>
              <w:jc w:val="right"/>
              <w:rPr>
                <w:rFonts w:eastAsia="Calibri"/>
                <w:b/>
                <w:bCs/>
                <w:u w:val="single"/>
                <w:lang w:val="es-CR" w:eastAsia="es-CR"/>
              </w:rPr>
            </w:pPr>
            <w:r w:rsidRPr="002C0DC3">
              <w:rPr>
                <w:rFonts w:eastAsia="Calibri"/>
                <w:b/>
                <w:bCs/>
                <w:u w:val="single"/>
                <w:lang w:val="es-CR" w:eastAsia="es-CR"/>
              </w:rPr>
              <w:t>16.530</w:t>
            </w:r>
          </w:p>
        </w:tc>
        <w:tc>
          <w:tcPr>
            <w:tcW w:w="1134" w:type="dxa"/>
            <w:shd w:val="clear" w:color="auto" w:fill="auto"/>
            <w:noWrap/>
            <w:vAlign w:val="center"/>
          </w:tcPr>
          <w:p w14:paraId="68BB1B64" w14:textId="77777777" w:rsidR="002C0DC3" w:rsidRPr="002C0DC3" w:rsidRDefault="002C0DC3" w:rsidP="002C0DC3">
            <w:pPr>
              <w:suppressAutoHyphens w:val="0"/>
              <w:jc w:val="right"/>
              <w:rPr>
                <w:rFonts w:eastAsia="Calibri"/>
                <w:b/>
                <w:bCs/>
                <w:u w:val="single"/>
                <w:lang w:val="es-CR" w:eastAsia="es-CR"/>
              </w:rPr>
            </w:pPr>
            <w:r w:rsidRPr="002C0DC3">
              <w:rPr>
                <w:rFonts w:eastAsia="Calibri"/>
                <w:b/>
                <w:bCs/>
                <w:u w:val="single"/>
                <w:lang w:val="es-CR" w:eastAsia="es-CR"/>
              </w:rPr>
              <w:t>118.550</w:t>
            </w:r>
          </w:p>
        </w:tc>
        <w:tc>
          <w:tcPr>
            <w:tcW w:w="1559" w:type="dxa"/>
            <w:shd w:val="clear" w:color="auto" w:fill="auto"/>
            <w:noWrap/>
            <w:vAlign w:val="center"/>
          </w:tcPr>
          <w:p w14:paraId="6D16BF17" w14:textId="77777777" w:rsidR="002C0DC3" w:rsidRPr="002C0DC3" w:rsidRDefault="002C0DC3" w:rsidP="002C0DC3">
            <w:pPr>
              <w:suppressAutoHyphens w:val="0"/>
              <w:jc w:val="right"/>
              <w:rPr>
                <w:rFonts w:eastAsia="Calibri"/>
                <w:b/>
                <w:bCs/>
                <w:u w:val="single"/>
                <w:lang w:val="es-CR" w:eastAsia="es-CR"/>
              </w:rPr>
            </w:pPr>
            <w:r w:rsidRPr="002C0DC3">
              <w:rPr>
                <w:rFonts w:eastAsia="Calibri"/>
                <w:b/>
                <w:bCs/>
                <w:u w:val="single"/>
                <w:lang w:val="es-CR" w:eastAsia="es-CR"/>
              </w:rPr>
              <w:t>63.548</w:t>
            </w:r>
          </w:p>
        </w:tc>
      </w:tr>
      <w:tr w:rsidR="002C0DC3" w:rsidRPr="002C0DC3" w14:paraId="3573B654" w14:textId="77777777" w:rsidTr="002C0DC3">
        <w:trPr>
          <w:trHeight w:val="315"/>
          <w:jc w:val="center"/>
        </w:trPr>
        <w:tc>
          <w:tcPr>
            <w:tcW w:w="2552" w:type="dxa"/>
            <w:shd w:val="clear" w:color="auto" w:fill="auto"/>
            <w:noWrap/>
          </w:tcPr>
          <w:p w14:paraId="51CD18CE"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t>Persona Blanca</w:t>
            </w:r>
          </w:p>
        </w:tc>
        <w:tc>
          <w:tcPr>
            <w:tcW w:w="1134" w:type="dxa"/>
            <w:shd w:val="clear" w:color="auto" w:fill="auto"/>
            <w:noWrap/>
          </w:tcPr>
          <w:p w14:paraId="443D7399"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135</w:t>
            </w:r>
          </w:p>
        </w:tc>
        <w:tc>
          <w:tcPr>
            <w:tcW w:w="992" w:type="dxa"/>
            <w:shd w:val="clear" w:color="auto" w:fill="auto"/>
            <w:noWrap/>
          </w:tcPr>
          <w:p w14:paraId="0488897B"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73</w:t>
            </w:r>
          </w:p>
        </w:tc>
        <w:tc>
          <w:tcPr>
            <w:tcW w:w="1134" w:type="dxa"/>
            <w:shd w:val="clear" w:color="auto" w:fill="auto"/>
            <w:noWrap/>
          </w:tcPr>
          <w:p w14:paraId="050EDF72" w14:textId="77777777" w:rsidR="002C0DC3" w:rsidRPr="002C0DC3" w:rsidRDefault="002C0DC3" w:rsidP="002C0DC3">
            <w:pPr>
              <w:suppressAutoHyphens w:val="0"/>
              <w:jc w:val="right"/>
              <w:rPr>
                <w:rFonts w:eastAsia="Calibri"/>
                <w:lang w:val="es-CR" w:eastAsia="en-US"/>
              </w:rPr>
            </w:pPr>
            <w:r w:rsidRPr="002C0DC3">
              <w:rPr>
                <w:rFonts w:eastAsia="Calibri"/>
                <w:lang w:val="es-CR" w:eastAsia="en-US"/>
              </w:rPr>
              <w:t>92</w:t>
            </w:r>
          </w:p>
        </w:tc>
        <w:tc>
          <w:tcPr>
            <w:tcW w:w="1559" w:type="dxa"/>
            <w:shd w:val="clear" w:color="auto" w:fill="auto"/>
            <w:noWrap/>
          </w:tcPr>
          <w:p w14:paraId="269ECEE4"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42</w:t>
            </w:r>
          </w:p>
        </w:tc>
      </w:tr>
      <w:tr w:rsidR="002C0DC3" w:rsidRPr="002C0DC3" w14:paraId="36554809" w14:textId="77777777" w:rsidTr="002C0DC3">
        <w:trPr>
          <w:trHeight w:val="315"/>
          <w:jc w:val="center"/>
        </w:trPr>
        <w:tc>
          <w:tcPr>
            <w:tcW w:w="2552" w:type="dxa"/>
            <w:shd w:val="clear" w:color="auto" w:fill="auto"/>
            <w:noWrap/>
          </w:tcPr>
          <w:p w14:paraId="33268284"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t>Persona Mestiza</w:t>
            </w:r>
          </w:p>
        </w:tc>
        <w:tc>
          <w:tcPr>
            <w:tcW w:w="1134" w:type="dxa"/>
            <w:shd w:val="clear" w:color="auto" w:fill="auto"/>
            <w:noWrap/>
          </w:tcPr>
          <w:p w14:paraId="6769DF29"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114</w:t>
            </w:r>
          </w:p>
        </w:tc>
        <w:tc>
          <w:tcPr>
            <w:tcW w:w="992" w:type="dxa"/>
            <w:shd w:val="clear" w:color="auto" w:fill="auto"/>
            <w:noWrap/>
          </w:tcPr>
          <w:p w14:paraId="63A32699"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20</w:t>
            </w:r>
          </w:p>
        </w:tc>
        <w:tc>
          <w:tcPr>
            <w:tcW w:w="1134" w:type="dxa"/>
            <w:shd w:val="clear" w:color="auto" w:fill="auto"/>
            <w:noWrap/>
          </w:tcPr>
          <w:p w14:paraId="050C9B58"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90</w:t>
            </w:r>
          </w:p>
        </w:tc>
        <w:tc>
          <w:tcPr>
            <w:tcW w:w="1559" w:type="dxa"/>
            <w:shd w:val="clear" w:color="auto" w:fill="auto"/>
            <w:noWrap/>
          </w:tcPr>
          <w:p w14:paraId="4FB037B0"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41</w:t>
            </w:r>
          </w:p>
        </w:tc>
      </w:tr>
      <w:tr w:rsidR="002C0DC3" w:rsidRPr="002C0DC3" w14:paraId="2C5410A6" w14:textId="77777777" w:rsidTr="002C0DC3">
        <w:trPr>
          <w:trHeight w:val="315"/>
          <w:jc w:val="center"/>
        </w:trPr>
        <w:tc>
          <w:tcPr>
            <w:tcW w:w="2552" w:type="dxa"/>
            <w:shd w:val="clear" w:color="auto" w:fill="auto"/>
            <w:noWrap/>
          </w:tcPr>
          <w:p w14:paraId="00B946BB"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t>Persona Afrodescendiente</w:t>
            </w:r>
          </w:p>
        </w:tc>
        <w:tc>
          <w:tcPr>
            <w:tcW w:w="1134" w:type="dxa"/>
            <w:shd w:val="clear" w:color="auto" w:fill="auto"/>
            <w:noWrap/>
          </w:tcPr>
          <w:p w14:paraId="5EDB3605"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84</w:t>
            </w:r>
          </w:p>
        </w:tc>
        <w:tc>
          <w:tcPr>
            <w:tcW w:w="992" w:type="dxa"/>
            <w:shd w:val="clear" w:color="auto" w:fill="auto"/>
            <w:noWrap/>
          </w:tcPr>
          <w:p w14:paraId="1AB43F9A"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8</w:t>
            </w:r>
          </w:p>
        </w:tc>
        <w:tc>
          <w:tcPr>
            <w:tcW w:w="1134" w:type="dxa"/>
            <w:shd w:val="clear" w:color="auto" w:fill="auto"/>
            <w:noWrap/>
          </w:tcPr>
          <w:p w14:paraId="0FF8B776"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6</w:t>
            </w:r>
          </w:p>
        </w:tc>
        <w:tc>
          <w:tcPr>
            <w:tcW w:w="1559" w:type="dxa"/>
            <w:shd w:val="clear" w:color="auto" w:fill="auto"/>
            <w:noWrap/>
          </w:tcPr>
          <w:p w14:paraId="53A2EC67"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5</w:t>
            </w:r>
          </w:p>
        </w:tc>
      </w:tr>
      <w:tr w:rsidR="002C0DC3" w:rsidRPr="002C0DC3" w14:paraId="2BE9432B" w14:textId="77777777" w:rsidTr="002C0DC3">
        <w:trPr>
          <w:trHeight w:val="315"/>
          <w:jc w:val="center"/>
        </w:trPr>
        <w:tc>
          <w:tcPr>
            <w:tcW w:w="2552" w:type="dxa"/>
            <w:shd w:val="clear" w:color="auto" w:fill="auto"/>
            <w:noWrap/>
          </w:tcPr>
          <w:p w14:paraId="300F72FE"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t>Latino</w:t>
            </w:r>
          </w:p>
        </w:tc>
        <w:tc>
          <w:tcPr>
            <w:tcW w:w="1134" w:type="dxa"/>
            <w:shd w:val="clear" w:color="auto" w:fill="auto"/>
            <w:noWrap/>
          </w:tcPr>
          <w:p w14:paraId="5BBB4713"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14</w:t>
            </w:r>
          </w:p>
        </w:tc>
        <w:tc>
          <w:tcPr>
            <w:tcW w:w="992" w:type="dxa"/>
            <w:shd w:val="clear" w:color="auto" w:fill="auto"/>
            <w:noWrap/>
          </w:tcPr>
          <w:p w14:paraId="3AA284B6"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8</w:t>
            </w:r>
          </w:p>
        </w:tc>
        <w:tc>
          <w:tcPr>
            <w:tcW w:w="1134" w:type="dxa"/>
            <w:shd w:val="clear" w:color="auto" w:fill="auto"/>
            <w:noWrap/>
          </w:tcPr>
          <w:p w14:paraId="07CA07AC"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40</w:t>
            </w:r>
          </w:p>
        </w:tc>
        <w:tc>
          <w:tcPr>
            <w:tcW w:w="1559" w:type="dxa"/>
            <w:shd w:val="clear" w:color="auto" w:fill="auto"/>
            <w:noWrap/>
          </w:tcPr>
          <w:p w14:paraId="6C9504E2"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21</w:t>
            </w:r>
          </w:p>
        </w:tc>
      </w:tr>
      <w:tr w:rsidR="002C0DC3" w:rsidRPr="002C0DC3" w14:paraId="0B4E7F77" w14:textId="77777777" w:rsidTr="002C0DC3">
        <w:trPr>
          <w:trHeight w:val="315"/>
          <w:jc w:val="center"/>
        </w:trPr>
        <w:tc>
          <w:tcPr>
            <w:tcW w:w="2552" w:type="dxa"/>
            <w:shd w:val="clear" w:color="auto" w:fill="auto"/>
            <w:noWrap/>
          </w:tcPr>
          <w:p w14:paraId="2EC2A635"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t>Persona Mulata</w:t>
            </w:r>
          </w:p>
        </w:tc>
        <w:tc>
          <w:tcPr>
            <w:tcW w:w="1134" w:type="dxa"/>
            <w:shd w:val="clear" w:color="auto" w:fill="auto"/>
            <w:noWrap/>
          </w:tcPr>
          <w:p w14:paraId="7C6F1412"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11</w:t>
            </w:r>
          </w:p>
        </w:tc>
        <w:tc>
          <w:tcPr>
            <w:tcW w:w="992" w:type="dxa"/>
            <w:shd w:val="clear" w:color="auto" w:fill="auto"/>
            <w:noWrap/>
          </w:tcPr>
          <w:p w14:paraId="4C61E80E"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w:t>
            </w:r>
          </w:p>
        </w:tc>
        <w:tc>
          <w:tcPr>
            <w:tcW w:w="1134" w:type="dxa"/>
            <w:shd w:val="clear" w:color="auto" w:fill="auto"/>
            <w:noWrap/>
          </w:tcPr>
          <w:p w14:paraId="6310421E"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29</w:t>
            </w:r>
          </w:p>
        </w:tc>
        <w:tc>
          <w:tcPr>
            <w:tcW w:w="1559" w:type="dxa"/>
            <w:shd w:val="clear" w:color="auto" w:fill="auto"/>
            <w:noWrap/>
          </w:tcPr>
          <w:p w14:paraId="01C55B5C"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13</w:t>
            </w:r>
          </w:p>
        </w:tc>
      </w:tr>
      <w:tr w:rsidR="002C0DC3" w:rsidRPr="002C0DC3" w14:paraId="60048559" w14:textId="77777777" w:rsidTr="002C0DC3">
        <w:trPr>
          <w:trHeight w:val="315"/>
          <w:jc w:val="center"/>
        </w:trPr>
        <w:tc>
          <w:tcPr>
            <w:tcW w:w="2552" w:type="dxa"/>
            <w:shd w:val="clear" w:color="auto" w:fill="auto"/>
            <w:noWrap/>
          </w:tcPr>
          <w:p w14:paraId="5D7C9DB2"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t>Persona Indígena</w:t>
            </w:r>
          </w:p>
        </w:tc>
        <w:tc>
          <w:tcPr>
            <w:tcW w:w="1134" w:type="dxa"/>
            <w:shd w:val="clear" w:color="auto" w:fill="auto"/>
            <w:noWrap/>
          </w:tcPr>
          <w:p w14:paraId="10BA9F9B"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13</w:t>
            </w:r>
          </w:p>
        </w:tc>
        <w:tc>
          <w:tcPr>
            <w:tcW w:w="992" w:type="dxa"/>
            <w:shd w:val="clear" w:color="auto" w:fill="auto"/>
            <w:noWrap/>
          </w:tcPr>
          <w:p w14:paraId="6289C1B7"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3</w:t>
            </w:r>
          </w:p>
        </w:tc>
        <w:tc>
          <w:tcPr>
            <w:tcW w:w="1134" w:type="dxa"/>
            <w:shd w:val="clear" w:color="auto" w:fill="auto"/>
            <w:noWrap/>
          </w:tcPr>
          <w:p w14:paraId="59D98376"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w:t>
            </w:r>
          </w:p>
        </w:tc>
        <w:tc>
          <w:tcPr>
            <w:tcW w:w="1559" w:type="dxa"/>
            <w:shd w:val="clear" w:color="auto" w:fill="auto"/>
            <w:noWrap/>
          </w:tcPr>
          <w:p w14:paraId="08953AFC"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0</w:t>
            </w:r>
          </w:p>
        </w:tc>
      </w:tr>
      <w:tr w:rsidR="002C0DC3" w:rsidRPr="002C0DC3" w14:paraId="24BE8244" w14:textId="77777777" w:rsidTr="002C0DC3">
        <w:trPr>
          <w:trHeight w:val="315"/>
          <w:jc w:val="center"/>
        </w:trPr>
        <w:tc>
          <w:tcPr>
            <w:tcW w:w="2552" w:type="dxa"/>
            <w:shd w:val="clear" w:color="auto" w:fill="auto"/>
            <w:noWrap/>
          </w:tcPr>
          <w:p w14:paraId="287CA331"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t>Persona Negra</w:t>
            </w:r>
          </w:p>
        </w:tc>
        <w:tc>
          <w:tcPr>
            <w:tcW w:w="1134" w:type="dxa"/>
            <w:shd w:val="clear" w:color="auto" w:fill="auto"/>
            <w:noWrap/>
          </w:tcPr>
          <w:p w14:paraId="508D4BF1"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11</w:t>
            </w:r>
          </w:p>
        </w:tc>
        <w:tc>
          <w:tcPr>
            <w:tcW w:w="992" w:type="dxa"/>
            <w:shd w:val="clear" w:color="auto" w:fill="auto"/>
            <w:noWrap/>
          </w:tcPr>
          <w:p w14:paraId="57A73EC8"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0</w:t>
            </w:r>
          </w:p>
        </w:tc>
        <w:tc>
          <w:tcPr>
            <w:tcW w:w="1134" w:type="dxa"/>
            <w:shd w:val="clear" w:color="auto" w:fill="auto"/>
            <w:noWrap/>
          </w:tcPr>
          <w:p w14:paraId="46205D84"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0</w:t>
            </w:r>
          </w:p>
        </w:tc>
        <w:tc>
          <w:tcPr>
            <w:tcW w:w="1559" w:type="dxa"/>
            <w:shd w:val="clear" w:color="auto" w:fill="auto"/>
            <w:noWrap/>
          </w:tcPr>
          <w:p w14:paraId="62B06924"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w:t>
            </w:r>
          </w:p>
        </w:tc>
      </w:tr>
      <w:tr w:rsidR="002C0DC3" w:rsidRPr="002C0DC3" w14:paraId="5884B8C0" w14:textId="77777777" w:rsidTr="002C0DC3">
        <w:trPr>
          <w:trHeight w:val="315"/>
          <w:jc w:val="center"/>
        </w:trPr>
        <w:tc>
          <w:tcPr>
            <w:tcW w:w="2552" w:type="dxa"/>
            <w:shd w:val="clear" w:color="auto" w:fill="auto"/>
            <w:noWrap/>
          </w:tcPr>
          <w:p w14:paraId="3B982BAB"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lastRenderedPageBreak/>
              <w:t>Persona Asiática</w:t>
            </w:r>
          </w:p>
        </w:tc>
        <w:tc>
          <w:tcPr>
            <w:tcW w:w="1134" w:type="dxa"/>
            <w:shd w:val="clear" w:color="auto" w:fill="auto"/>
            <w:noWrap/>
          </w:tcPr>
          <w:p w14:paraId="57D0051A"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w:t>
            </w:r>
          </w:p>
        </w:tc>
        <w:tc>
          <w:tcPr>
            <w:tcW w:w="992" w:type="dxa"/>
            <w:shd w:val="clear" w:color="auto" w:fill="auto"/>
            <w:noWrap/>
          </w:tcPr>
          <w:p w14:paraId="6260A94F"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0</w:t>
            </w:r>
          </w:p>
        </w:tc>
        <w:tc>
          <w:tcPr>
            <w:tcW w:w="1134" w:type="dxa"/>
            <w:shd w:val="clear" w:color="auto" w:fill="auto"/>
            <w:noWrap/>
          </w:tcPr>
          <w:p w14:paraId="314C26FF"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7</w:t>
            </w:r>
          </w:p>
        </w:tc>
        <w:tc>
          <w:tcPr>
            <w:tcW w:w="1559" w:type="dxa"/>
            <w:shd w:val="clear" w:color="auto" w:fill="auto"/>
            <w:noWrap/>
          </w:tcPr>
          <w:p w14:paraId="5180E2AC"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w:t>
            </w:r>
          </w:p>
        </w:tc>
      </w:tr>
      <w:tr w:rsidR="002C0DC3" w:rsidRPr="002C0DC3" w14:paraId="009DA6EE" w14:textId="77777777" w:rsidTr="002C0DC3">
        <w:trPr>
          <w:trHeight w:val="315"/>
          <w:jc w:val="center"/>
        </w:trPr>
        <w:tc>
          <w:tcPr>
            <w:tcW w:w="2552" w:type="dxa"/>
            <w:shd w:val="clear" w:color="auto" w:fill="auto"/>
            <w:noWrap/>
          </w:tcPr>
          <w:p w14:paraId="76B07689"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t xml:space="preserve">Otras </w:t>
            </w:r>
            <w:proofErr w:type="spellStart"/>
            <w:r w:rsidRPr="002C0DC3">
              <w:rPr>
                <w:rFonts w:eastAsia="Calibri"/>
                <w:lang w:val="es-CR" w:eastAsia="en-US"/>
              </w:rPr>
              <w:t>étnias</w:t>
            </w:r>
            <w:proofErr w:type="spellEnd"/>
            <w:r w:rsidRPr="002C0DC3">
              <w:rPr>
                <w:rFonts w:eastAsia="Calibri"/>
                <w:lang w:val="es-CR" w:eastAsia="en-US"/>
              </w:rPr>
              <w:t xml:space="preserve"> registradas</w:t>
            </w:r>
          </w:p>
        </w:tc>
        <w:tc>
          <w:tcPr>
            <w:tcW w:w="1134" w:type="dxa"/>
            <w:shd w:val="clear" w:color="auto" w:fill="auto"/>
            <w:noWrap/>
          </w:tcPr>
          <w:p w14:paraId="6AC06F56"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2</w:t>
            </w:r>
          </w:p>
        </w:tc>
        <w:tc>
          <w:tcPr>
            <w:tcW w:w="992" w:type="dxa"/>
            <w:shd w:val="clear" w:color="auto" w:fill="auto"/>
            <w:noWrap/>
          </w:tcPr>
          <w:p w14:paraId="737C22F6"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0</w:t>
            </w:r>
          </w:p>
        </w:tc>
        <w:tc>
          <w:tcPr>
            <w:tcW w:w="1134" w:type="dxa"/>
            <w:shd w:val="clear" w:color="auto" w:fill="auto"/>
            <w:noWrap/>
          </w:tcPr>
          <w:p w14:paraId="7C5626B5"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w:t>
            </w:r>
          </w:p>
        </w:tc>
        <w:tc>
          <w:tcPr>
            <w:tcW w:w="1559" w:type="dxa"/>
            <w:shd w:val="clear" w:color="auto" w:fill="auto"/>
            <w:noWrap/>
          </w:tcPr>
          <w:p w14:paraId="1017EAF6"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0</w:t>
            </w:r>
          </w:p>
        </w:tc>
      </w:tr>
      <w:tr w:rsidR="002C0DC3" w:rsidRPr="002C0DC3" w14:paraId="7F12F7C1" w14:textId="77777777" w:rsidTr="002C0DC3">
        <w:trPr>
          <w:trHeight w:val="315"/>
          <w:jc w:val="center"/>
        </w:trPr>
        <w:tc>
          <w:tcPr>
            <w:tcW w:w="2552" w:type="dxa"/>
            <w:shd w:val="clear" w:color="auto" w:fill="auto"/>
            <w:noWrap/>
          </w:tcPr>
          <w:p w14:paraId="3B19977B" w14:textId="77777777" w:rsidR="002C0DC3" w:rsidRPr="002C0DC3" w:rsidRDefault="002C0DC3" w:rsidP="002C0DC3">
            <w:pPr>
              <w:suppressAutoHyphens w:val="0"/>
              <w:jc w:val="both"/>
              <w:rPr>
                <w:rFonts w:eastAsia="Calibri"/>
                <w:lang w:val="es-CR" w:eastAsia="es-CR"/>
              </w:rPr>
            </w:pPr>
            <w:r w:rsidRPr="002C0DC3">
              <w:rPr>
                <w:rFonts w:eastAsia="Calibri"/>
                <w:lang w:val="es-CR" w:eastAsia="en-US"/>
              </w:rPr>
              <w:t>Dato desconocido</w:t>
            </w:r>
          </w:p>
        </w:tc>
        <w:tc>
          <w:tcPr>
            <w:tcW w:w="1134" w:type="dxa"/>
            <w:shd w:val="clear" w:color="auto" w:fill="auto"/>
            <w:noWrap/>
          </w:tcPr>
          <w:p w14:paraId="5FD52B2A"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27.106</w:t>
            </w:r>
          </w:p>
        </w:tc>
        <w:tc>
          <w:tcPr>
            <w:tcW w:w="992" w:type="dxa"/>
            <w:shd w:val="clear" w:color="auto" w:fill="auto"/>
            <w:noWrap/>
          </w:tcPr>
          <w:p w14:paraId="0FE5DBA1"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16.417</w:t>
            </w:r>
          </w:p>
        </w:tc>
        <w:tc>
          <w:tcPr>
            <w:tcW w:w="1134" w:type="dxa"/>
            <w:shd w:val="clear" w:color="auto" w:fill="auto"/>
            <w:noWrap/>
          </w:tcPr>
          <w:p w14:paraId="00275C26"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118.284</w:t>
            </w:r>
          </w:p>
        </w:tc>
        <w:tc>
          <w:tcPr>
            <w:tcW w:w="1559" w:type="dxa"/>
            <w:shd w:val="clear" w:color="auto" w:fill="auto"/>
            <w:noWrap/>
          </w:tcPr>
          <w:p w14:paraId="0106DB2D" w14:textId="77777777" w:rsidR="002C0DC3" w:rsidRPr="002C0DC3" w:rsidRDefault="002C0DC3" w:rsidP="002C0DC3">
            <w:pPr>
              <w:suppressAutoHyphens w:val="0"/>
              <w:jc w:val="right"/>
              <w:rPr>
                <w:rFonts w:eastAsia="Calibri"/>
                <w:lang w:val="es-CR" w:eastAsia="es-CR"/>
              </w:rPr>
            </w:pPr>
            <w:r w:rsidRPr="002C0DC3">
              <w:rPr>
                <w:rFonts w:eastAsia="Calibri"/>
                <w:lang w:val="es-CR" w:eastAsia="en-US"/>
              </w:rPr>
              <w:t>63.424</w:t>
            </w:r>
          </w:p>
        </w:tc>
      </w:tr>
      <w:tr w:rsidR="002C0DC3" w:rsidRPr="002C0DC3" w14:paraId="42A8558A" w14:textId="77777777" w:rsidTr="002C0DC3">
        <w:trPr>
          <w:trHeight w:val="255"/>
          <w:jc w:val="center"/>
        </w:trPr>
        <w:tc>
          <w:tcPr>
            <w:tcW w:w="7371" w:type="dxa"/>
            <w:gridSpan w:val="5"/>
            <w:shd w:val="clear" w:color="auto" w:fill="auto"/>
            <w:noWrap/>
            <w:vAlign w:val="center"/>
            <w:hideMark/>
          </w:tcPr>
          <w:p w14:paraId="15B7AE59"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Elaborado por: Subproceso de Estadística, Dirección de Planificación.</w:t>
            </w:r>
          </w:p>
        </w:tc>
      </w:tr>
    </w:tbl>
    <w:p w14:paraId="4EE6545E" w14:textId="77777777" w:rsidR="002C0DC3" w:rsidRPr="002C0DC3" w:rsidRDefault="002C0DC3" w:rsidP="002C0DC3">
      <w:pPr>
        <w:keepNext/>
        <w:keepLines/>
        <w:suppressAutoHyphens w:val="0"/>
        <w:ind w:left="851" w:right="851" w:firstLine="709"/>
        <w:jc w:val="both"/>
        <w:rPr>
          <w:b/>
          <w:lang w:val="es-CR" w:eastAsia="es-CR"/>
        </w:rPr>
      </w:pPr>
      <w:bookmarkStart w:id="22" w:name="_Toc74138075"/>
      <w:bookmarkStart w:id="23" w:name="_Toc80351029"/>
      <w:bookmarkEnd w:id="21"/>
      <w:r w:rsidRPr="002C0DC3">
        <w:rPr>
          <w:b/>
          <w:lang w:val="es-CR" w:eastAsia="es-CR"/>
        </w:rPr>
        <w:t>Oportunidades de mejora estadística</w:t>
      </w:r>
      <w:bookmarkEnd w:id="22"/>
      <w:bookmarkEnd w:id="23"/>
    </w:p>
    <w:p w14:paraId="753F6DB1" w14:textId="77777777" w:rsidR="002C0DC3" w:rsidRPr="002C0DC3" w:rsidRDefault="002C0DC3" w:rsidP="002C0DC3">
      <w:pPr>
        <w:suppressAutoHyphens w:val="0"/>
        <w:ind w:left="851" w:right="851" w:firstLine="709"/>
        <w:jc w:val="both"/>
        <w:rPr>
          <w:rFonts w:eastAsia="Calibri"/>
          <w:lang w:val="es-CR" w:eastAsia="en-US"/>
        </w:rPr>
      </w:pPr>
    </w:p>
    <w:p w14:paraId="1D600D73" w14:textId="7D3EBE41" w:rsidR="002C0DC3" w:rsidRDefault="002C0DC3" w:rsidP="00CE3D95">
      <w:pPr>
        <w:numPr>
          <w:ilvl w:val="0"/>
          <w:numId w:val="29"/>
        </w:numPr>
        <w:suppressAutoHyphens w:val="0"/>
        <w:ind w:left="851" w:right="851" w:firstLine="709"/>
        <w:contextualSpacing/>
        <w:jc w:val="both"/>
        <w:rPr>
          <w:rFonts w:eastAsia="Calibri"/>
          <w:lang w:val="es-CR" w:eastAsia="en-US"/>
        </w:rPr>
      </w:pPr>
      <w:r w:rsidRPr="002C0DC3">
        <w:rPr>
          <w:rFonts w:eastAsia="Calibri"/>
          <w:lang w:val="es-CR" w:eastAsia="en-US"/>
        </w:rPr>
        <w:t xml:space="preserve">De conformidad con los hallazgos encontrados a través del análisis, fue posible corroborar la existencia de una importante cantidad de expedientes </w:t>
      </w:r>
      <w:r w:rsidRPr="002C0DC3">
        <w:rPr>
          <w:rFonts w:eastAsia="Calibri"/>
          <w:i/>
          <w:iCs/>
          <w:lang w:val="es-CR" w:eastAsia="en-US"/>
        </w:rPr>
        <w:t xml:space="preserve">sin fase </w:t>
      </w:r>
      <w:r w:rsidRPr="002C0DC3">
        <w:rPr>
          <w:rFonts w:eastAsia="Calibri"/>
          <w:lang w:val="es-CR" w:eastAsia="en-US"/>
        </w:rPr>
        <w:t>(1.347), situación resulta preocupante no solo desde el punto de vista del análisis de carácter estadístico o numérico, sino también desde una perspectiva de control interno de los despachos, lo que implica una desactualización del sistema. En esa línea se recomienda ejercer por parte de los despachos un control más estricto sobre la actualización de los expedientes a través del uso de buenas prácticas para el ingreso y seguimiento de expedientes en el sistema de gestión y escritorio virtual. A los coordinadores de despachos se les invita a ejercer mayor control sobre el personal técnico respecto a este punto en particular.</w:t>
      </w:r>
    </w:p>
    <w:p w14:paraId="6B15BF8B" w14:textId="77777777" w:rsidR="00B31AC4" w:rsidRPr="002C0DC3" w:rsidRDefault="00B31AC4" w:rsidP="00B31AC4">
      <w:pPr>
        <w:suppressAutoHyphens w:val="0"/>
        <w:ind w:left="1560" w:right="851"/>
        <w:contextualSpacing/>
        <w:jc w:val="both"/>
        <w:rPr>
          <w:rFonts w:eastAsia="Calibri"/>
          <w:lang w:val="es-CR" w:eastAsia="en-US"/>
        </w:rPr>
      </w:pPr>
    </w:p>
    <w:p w14:paraId="08F0A8DB" w14:textId="3C62221F" w:rsidR="002C0DC3" w:rsidRDefault="002C0DC3" w:rsidP="00CE3D95">
      <w:pPr>
        <w:numPr>
          <w:ilvl w:val="0"/>
          <w:numId w:val="29"/>
        </w:numPr>
        <w:suppressAutoHyphens w:val="0"/>
        <w:ind w:left="851" w:right="851" w:firstLine="709"/>
        <w:contextualSpacing/>
        <w:jc w:val="both"/>
        <w:rPr>
          <w:rFonts w:eastAsia="Calibri"/>
          <w:lang w:val="es-CR" w:eastAsia="en-US"/>
        </w:rPr>
      </w:pPr>
      <w:r w:rsidRPr="002C0DC3">
        <w:rPr>
          <w:rFonts w:eastAsia="Calibri"/>
          <w:lang w:val="es-CR" w:eastAsia="en-US"/>
        </w:rPr>
        <w:t>Se recomienda al personal técnico y jueces coordinadores a generar los informes de inconsistencias pertinentes al cierre de cada mes, a fin de conocer el estado de la información en el sistema.</w:t>
      </w:r>
    </w:p>
    <w:p w14:paraId="1BC3C506" w14:textId="77777777" w:rsidR="00B31AC4" w:rsidRPr="002C0DC3" w:rsidRDefault="00B31AC4" w:rsidP="00B31AC4">
      <w:pPr>
        <w:suppressAutoHyphens w:val="0"/>
        <w:ind w:right="851"/>
        <w:contextualSpacing/>
        <w:jc w:val="both"/>
        <w:rPr>
          <w:rFonts w:eastAsia="Calibri"/>
          <w:lang w:val="es-CR" w:eastAsia="en-US"/>
        </w:rPr>
      </w:pPr>
    </w:p>
    <w:p w14:paraId="138A9641" w14:textId="44915997" w:rsidR="002C0DC3" w:rsidRDefault="002C0DC3" w:rsidP="00CE3D95">
      <w:pPr>
        <w:numPr>
          <w:ilvl w:val="0"/>
          <w:numId w:val="29"/>
        </w:numPr>
        <w:suppressAutoHyphens w:val="0"/>
        <w:ind w:left="851" w:right="851" w:firstLine="709"/>
        <w:contextualSpacing/>
        <w:jc w:val="both"/>
        <w:rPr>
          <w:rFonts w:eastAsia="Calibri"/>
          <w:lang w:val="es-CR" w:eastAsia="en-US"/>
        </w:rPr>
      </w:pPr>
      <w:r w:rsidRPr="002C0DC3">
        <w:rPr>
          <w:rFonts w:eastAsia="Calibri"/>
          <w:lang w:val="es-CR" w:eastAsia="en-US"/>
        </w:rPr>
        <w:t xml:space="preserve">Realizar un seguimiento a aquellos expedientes de más vieja data en los juzgados que mantiene en trámite a efecto del promedio de duración refleje adecuadamente el tiempo invertido en los procesos gestionados. </w:t>
      </w:r>
    </w:p>
    <w:p w14:paraId="1726D2C5" w14:textId="77777777" w:rsidR="00B31AC4" w:rsidRPr="002C0DC3" w:rsidRDefault="00B31AC4" w:rsidP="00B31AC4">
      <w:pPr>
        <w:suppressAutoHyphens w:val="0"/>
        <w:ind w:right="851"/>
        <w:contextualSpacing/>
        <w:jc w:val="both"/>
        <w:rPr>
          <w:rFonts w:eastAsia="Calibri"/>
          <w:lang w:val="es-CR" w:eastAsia="en-US"/>
        </w:rPr>
      </w:pPr>
    </w:p>
    <w:p w14:paraId="46B2F409" w14:textId="77777777" w:rsidR="002C0DC3" w:rsidRPr="002C0DC3" w:rsidRDefault="002C0DC3" w:rsidP="00CE3D95">
      <w:pPr>
        <w:numPr>
          <w:ilvl w:val="0"/>
          <w:numId w:val="29"/>
        </w:numPr>
        <w:suppressAutoHyphens w:val="0"/>
        <w:ind w:left="851" w:right="851" w:firstLine="709"/>
        <w:contextualSpacing/>
        <w:jc w:val="both"/>
        <w:rPr>
          <w:rFonts w:eastAsia="Calibri"/>
          <w:lang w:val="es-CR" w:eastAsia="en-US"/>
        </w:rPr>
      </w:pPr>
      <w:r w:rsidRPr="002C0DC3">
        <w:rPr>
          <w:rFonts w:eastAsia="Calibri"/>
          <w:lang w:val="es-CR" w:eastAsia="en-US"/>
        </w:rPr>
        <w:t>Se recomienda al personal técnico y jueces coordinadores realizar las depuraciones de los expedientes que no poseen movimiento o puja alguna por parte de los involucrados por un periodo no menor a seis meses y en aras de no poseer dentro del circulante activo esta clase de causas que generan una carga adicional de trabajo.</w:t>
      </w:r>
    </w:p>
    <w:p w14:paraId="5A48CE7E" w14:textId="77777777" w:rsidR="002C0DC3" w:rsidRPr="002C0DC3" w:rsidRDefault="002C0DC3" w:rsidP="002C0DC3">
      <w:pPr>
        <w:suppressAutoHyphens w:val="0"/>
        <w:ind w:left="851" w:right="851" w:firstLine="709"/>
        <w:jc w:val="both"/>
        <w:rPr>
          <w:rFonts w:eastAsia="Calibri"/>
          <w:lang w:val="es-CR" w:eastAsia="en-US"/>
        </w:rPr>
      </w:pPr>
    </w:p>
    <w:p w14:paraId="36268DB8" w14:textId="77777777" w:rsidR="002C0DC3" w:rsidRPr="002C0DC3" w:rsidRDefault="002C0DC3" w:rsidP="002C0DC3">
      <w:pPr>
        <w:suppressAutoHyphens w:val="0"/>
        <w:ind w:left="851" w:right="851" w:firstLine="709"/>
        <w:jc w:val="both"/>
        <w:rPr>
          <w:rFonts w:eastAsia="Calibri"/>
          <w:lang w:val="es-CR" w:eastAsia="en-US"/>
        </w:rPr>
      </w:pPr>
    </w:p>
    <w:p w14:paraId="00178C70" w14:textId="77777777" w:rsidR="002C0DC3" w:rsidRPr="002C0DC3" w:rsidRDefault="002C0DC3" w:rsidP="002C0DC3">
      <w:pPr>
        <w:keepNext/>
        <w:keepLines/>
        <w:suppressAutoHyphens w:val="0"/>
        <w:ind w:left="851" w:right="851" w:firstLine="709"/>
        <w:jc w:val="both"/>
        <w:rPr>
          <w:b/>
          <w:lang w:val="es-CR" w:eastAsia="es-CR"/>
        </w:rPr>
      </w:pPr>
      <w:bookmarkStart w:id="24" w:name="_Toc80351030"/>
      <w:r w:rsidRPr="002C0DC3">
        <w:rPr>
          <w:b/>
          <w:lang w:val="es-CR" w:eastAsia="es-CR"/>
        </w:rPr>
        <w:lastRenderedPageBreak/>
        <w:t>Documentación Anexa</w:t>
      </w:r>
      <w:bookmarkEnd w:id="24"/>
    </w:p>
    <w:p w14:paraId="227347D5" w14:textId="77777777" w:rsidR="002C0DC3" w:rsidRPr="002C0DC3" w:rsidRDefault="002C0DC3" w:rsidP="002C0DC3">
      <w:pPr>
        <w:keepNext/>
        <w:keepLines/>
        <w:suppressAutoHyphens w:val="0"/>
        <w:ind w:left="360" w:hanging="360"/>
        <w:jc w:val="both"/>
        <w:rPr>
          <w:b/>
          <w:lang w:val="es-CR" w:eastAsia="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6120"/>
        <w:gridCol w:w="2266"/>
      </w:tblGrid>
      <w:tr w:rsidR="002C0DC3" w:rsidRPr="002C0DC3" w14:paraId="745010A5" w14:textId="77777777" w:rsidTr="002C0DC3">
        <w:tc>
          <w:tcPr>
            <w:tcW w:w="537" w:type="pct"/>
            <w:shd w:val="clear" w:color="auto" w:fill="D9D9D9"/>
            <w:vAlign w:val="center"/>
          </w:tcPr>
          <w:p w14:paraId="3B977120" w14:textId="77777777" w:rsidR="002C0DC3" w:rsidRPr="002C0DC3" w:rsidRDefault="002C0DC3" w:rsidP="002C0DC3">
            <w:pPr>
              <w:suppressAutoHyphens w:val="0"/>
              <w:jc w:val="center"/>
              <w:rPr>
                <w:rFonts w:eastAsia="Calibri"/>
                <w:b/>
                <w:noProof/>
                <w:lang w:val="es-CR" w:eastAsia="en-US"/>
              </w:rPr>
            </w:pPr>
            <w:r w:rsidRPr="002C0DC3">
              <w:rPr>
                <w:rFonts w:eastAsia="Calibri"/>
                <w:b/>
                <w:noProof/>
                <w:lang w:val="es-CR" w:eastAsia="en-US"/>
              </w:rPr>
              <w:t>Anexo</w:t>
            </w:r>
          </w:p>
        </w:tc>
        <w:tc>
          <w:tcPr>
            <w:tcW w:w="3257" w:type="pct"/>
            <w:shd w:val="clear" w:color="auto" w:fill="D9D9D9"/>
            <w:vAlign w:val="center"/>
          </w:tcPr>
          <w:p w14:paraId="3BDBA953" w14:textId="77777777" w:rsidR="002C0DC3" w:rsidRPr="002C0DC3" w:rsidRDefault="002C0DC3" w:rsidP="002C0DC3">
            <w:pPr>
              <w:suppressAutoHyphens w:val="0"/>
              <w:jc w:val="center"/>
              <w:rPr>
                <w:rFonts w:eastAsia="Calibri"/>
                <w:b/>
                <w:noProof/>
                <w:lang w:val="es-CR" w:eastAsia="en-US"/>
              </w:rPr>
            </w:pPr>
            <w:r w:rsidRPr="002C0DC3">
              <w:rPr>
                <w:rFonts w:eastAsia="Calibri"/>
                <w:b/>
                <w:noProof/>
                <w:lang w:val="es-CR" w:eastAsia="en-US"/>
              </w:rPr>
              <w:t>Descripción</w:t>
            </w:r>
          </w:p>
        </w:tc>
        <w:tc>
          <w:tcPr>
            <w:tcW w:w="1206" w:type="pct"/>
            <w:shd w:val="clear" w:color="auto" w:fill="D9D9D9"/>
            <w:vAlign w:val="center"/>
          </w:tcPr>
          <w:p w14:paraId="74FBA0AD" w14:textId="77777777" w:rsidR="002C0DC3" w:rsidRPr="002C0DC3" w:rsidRDefault="002C0DC3" w:rsidP="002C0DC3">
            <w:pPr>
              <w:suppressAutoHyphens w:val="0"/>
              <w:jc w:val="center"/>
              <w:rPr>
                <w:rFonts w:eastAsia="Calibri"/>
                <w:b/>
                <w:noProof/>
                <w:lang w:val="es-CR" w:eastAsia="en-US"/>
              </w:rPr>
            </w:pPr>
            <w:r w:rsidRPr="002C0DC3">
              <w:rPr>
                <w:rFonts w:eastAsia="Calibri"/>
                <w:b/>
                <w:noProof/>
                <w:lang w:val="es-CR" w:eastAsia="en-US"/>
              </w:rPr>
              <w:t>Archivo</w:t>
            </w:r>
          </w:p>
        </w:tc>
      </w:tr>
      <w:tr w:rsidR="002C0DC3" w:rsidRPr="002C0DC3" w14:paraId="5ACA4D44" w14:textId="77777777" w:rsidTr="002C0DC3">
        <w:tc>
          <w:tcPr>
            <w:tcW w:w="537" w:type="pct"/>
            <w:vAlign w:val="center"/>
          </w:tcPr>
          <w:p w14:paraId="3E9B7743" w14:textId="77777777" w:rsidR="002C0DC3" w:rsidRPr="002C0DC3" w:rsidRDefault="002C0DC3" w:rsidP="002C0DC3">
            <w:pPr>
              <w:suppressAutoHyphens w:val="0"/>
              <w:jc w:val="center"/>
              <w:rPr>
                <w:rFonts w:eastAsia="Calibri"/>
                <w:noProof/>
                <w:lang w:val="es-CR" w:eastAsia="en-US"/>
              </w:rPr>
            </w:pPr>
            <w:r w:rsidRPr="002C0DC3">
              <w:rPr>
                <w:rFonts w:eastAsia="Calibri"/>
                <w:noProof/>
                <w:lang w:val="es-CR" w:eastAsia="en-US"/>
              </w:rPr>
              <w:t>1</w:t>
            </w:r>
          </w:p>
        </w:tc>
        <w:tc>
          <w:tcPr>
            <w:tcW w:w="3257" w:type="pct"/>
            <w:shd w:val="clear" w:color="auto" w:fill="auto"/>
            <w:vAlign w:val="center"/>
          </w:tcPr>
          <w:p w14:paraId="6D3B1FC7" w14:textId="77777777" w:rsidR="002C0DC3" w:rsidRPr="002C0DC3" w:rsidRDefault="002C0DC3" w:rsidP="002C0DC3">
            <w:pPr>
              <w:suppressAutoHyphens w:val="0"/>
              <w:jc w:val="both"/>
              <w:rPr>
                <w:rFonts w:eastAsia="Calibri"/>
                <w:noProof/>
                <w:lang w:val="es-CR" w:eastAsia="en-US"/>
              </w:rPr>
            </w:pPr>
            <w:r w:rsidRPr="002C0DC3">
              <w:rPr>
                <w:rFonts w:eastAsia="Calibri"/>
                <w:noProof/>
                <w:lang w:val="es-CR" w:eastAsia="en-US"/>
              </w:rPr>
              <w:t>Cuadros Oficiales de la Materia de Cobro Judicial 2020.</w:t>
            </w:r>
          </w:p>
        </w:tc>
        <w:tc>
          <w:tcPr>
            <w:tcW w:w="1206" w:type="pct"/>
            <w:shd w:val="clear" w:color="auto" w:fill="auto"/>
            <w:vAlign w:val="center"/>
          </w:tcPr>
          <w:p w14:paraId="103EF85A" w14:textId="77777777" w:rsidR="002C0DC3" w:rsidRPr="002C0DC3" w:rsidRDefault="002C0DC3" w:rsidP="002C0DC3">
            <w:pPr>
              <w:suppressAutoHyphens w:val="0"/>
              <w:jc w:val="center"/>
              <w:rPr>
                <w:rFonts w:eastAsia="Calibri"/>
                <w:noProof/>
                <w:lang w:val="es-CR" w:eastAsia="en-US"/>
              </w:rPr>
            </w:pPr>
            <w:r w:rsidRPr="002C0DC3">
              <w:rPr>
                <w:rFonts w:eastAsia="Calibri"/>
                <w:noProof/>
                <w:lang w:val="es-CR" w:eastAsia="en-US"/>
              </w:rPr>
              <w:object w:dxaOrig="1376" w:dyaOrig="893" w14:anchorId="338CE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7.5pt" o:ole="">
                  <v:imagedata r:id="rId16" o:title=""/>
                </v:shape>
                <o:OLEObject Type="Embed" ProgID="Excel.Sheet.8" ShapeID="_x0000_i1025" DrawAspect="Icon" ObjectID="_1697525866" r:id="rId17"/>
              </w:object>
            </w:r>
          </w:p>
        </w:tc>
      </w:tr>
      <w:tr w:rsidR="002C0DC3" w:rsidRPr="002C0DC3" w14:paraId="20BC23B7" w14:textId="77777777" w:rsidTr="002C0DC3">
        <w:tc>
          <w:tcPr>
            <w:tcW w:w="537" w:type="pct"/>
            <w:vAlign w:val="center"/>
          </w:tcPr>
          <w:p w14:paraId="1E0308DD" w14:textId="77777777" w:rsidR="002C0DC3" w:rsidRPr="002C0DC3" w:rsidRDefault="002C0DC3" w:rsidP="002C0DC3">
            <w:pPr>
              <w:suppressAutoHyphens w:val="0"/>
              <w:jc w:val="center"/>
              <w:rPr>
                <w:rFonts w:eastAsia="Calibri"/>
                <w:noProof/>
                <w:lang w:val="es-CR" w:eastAsia="en-US"/>
              </w:rPr>
            </w:pPr>
            <w:r w:rsidRPr="002C0DC3">
              <w:rPr>
                <w:rFonts w:eastAsia="Calibri"/>
                <w:noProof/>
                <w:lang w:val="es-CR" w:eastAsia="en-US"/>
              </w:rPr>
              <w:t>2</w:t>
            </w:r>
          </w:p>
        </w:tc>
        <w:tc>
          <w:tcPr>
            <w:tcW w:w="3257" w:type="pct"/>
            <w:shd w:val="clear" w:color="auto" w:fill="auto"/>
            <w:vAlign w:val="center"/>
          </w:tcPr>
          <w:p w14:paraId="7577D3FC" w14:textId="77777777" w:rsidR="002C0DC3" w:rsidRPr="002C0DC3" w:rsidRDefault="002C0DC3" w:rsidP="002C0DC3">
            <w:pPr>
              <w:suppressAutoHyphens w:val="0"/>
              <w:jc w:val="both"/>
              <w:rPr>
                <w:rFonts w:eastAsia="Calibri"/>
                <w:noProof/>
                <w:lang w:val="es-CR" w:eastAsia="en-US"/>
              </w:rPr>
            </w:pPr>
            <w:r w:rsidRPr="002C0DC3">
              <w:rPr>
                <w:rFonts w:eastAsia="Calibri"/>
                <w:noProof/>
                <w:lang w:val="es-CR" w:eastAsia="en-US"/>
              </w:rPr>
              <w:t>Cuadros oficiales de Intervinientes en la Materia de Cobro Judicial 2020.</w:t>
            </w:r>
          </w:p>
        </w:tc>
        <w:tc>
          <w:tcPr>
            <w:tcW w:w="1206" w:type="pct"/>
            <w:shd w:val="clear" w:color="auto" w:fill="auto"/>
            <w:vAlign w:val="center"/>
          </w:tcPr>
          <w:p w14:paraId="110C5240" w14:textId="77777777" w:rsidR="002C0DC3" w:rsidRPr="002C0DC3" w:rsidRDefault="002C0DC3" w:rsidP="002C0DC3">
            <w:pPr>
              <w:suppressAutoHyphens w:val="0"/>
              <w:jc w:val="center"/>
              <w:rPr>
                <w:rFonts w:eastAsia="Calibri"/>
                <w:noProof/>
                <w:lang w:val="es-CR" w:eastAsia="en-US"/>
              </w:rPr>
            </w:pPr>
            <w:r w:rsidRPr="002C0DC3">
              <w:rPr>
                <w:rFonts w:eastAsia="Calibri"/>
                <w:noProof/>
                <w:lang w:val="es-CR" w:eastAsia="en-US"/>
              </w:rPr>
              <w:object w:dxaOrig="1508" w:dyaOrig="983" w14:anchorId="3F144831">
                <v:shape id="_x0000_i1026" type="#_x0000_t75" style="width:77.5pt;height:52.5pt" o:ole="">
                  <v:imagedata r:id="rId18" o:title=""/>
                </v:shape>
                <o:OLEObject Type="Embed" ProgID="Excel.Sheet.12" ShapeID="_x0000_i1026" DrawAspect="Icon" ObjectID="_1697525867" r:id="rId19"/>
              </w:object>
            </w:r>
          </w:p>
        </w:tc>
      </w:tr>
    </w:tbl>
    <w:p w14:paraId="6CB2DB60" w14:textId="77777777" w:rsidR="002C0DC3" w:rsidRPr="002C0DC3" w:rsidRDefault="002C0DC3" w:rsidP="002C0DC3">
      <w:pPr>
        <w:keepNext/>
        <w:keepLines/>
        <w:suppressAutoHyphens w:val="0"/>
        <w:ind w:left="851" w:right="851" w:firstLine="709"/>
        <w:jc w:val="both"/>
        <w:rPr>
          <w:b/>
          <w:lang w:val="es-CR" w:eastAsia="en-US"/>
        </w:rPr>
      </w:pPr>
      <w:bookmarkStart w:id="25" w:name="_Toc80351031"/>
      <w:r w:rsidRPr="002C0DC3">
        <w:rPr>
          <w:b/>
          <w:lang w:val="es-CR" w:eastAsia="en-US"/>
        </w:rPr>
        <w:t>Capítulo 2: Análisis de estructuras funcionales en materia cobro</w:t>
      </w:r>
      <w:bookmarkEnd w:id="25"/>
    </w:p>
    <w:p w14:paraId="2496DF0C" w14:textId="77777777" w:rsidR="002C0DC3" w:rsidRPr="002C0DC3" w:rsidRDefault="002C0DC3" w:rsidP="002C0DC3">
      <w:pPr>
        <w:suppressAutoHyphens w:val="0"/>
        <w:ind w:left="851" w:right="851" w:firstLine="709"/>
        <w:jc w:val="both"/>
        <w:rPr>
          <w:rFonts w:eastAsia="Calibri"/>
          <w:lang w:val="es-CR" w:eastAsia="en-US"/>
        </w:rPr>
      </w:pPr>
    </w:p>
    <w:p w14:paraId="4AF79BDC" w14:textId="77777777" w:rsidR="002C0DC3" w:rsidRPr="002C0DC3" w:rsidRDefault="002C0DC3" w:rsidP="00CE3D95">
      <w:pPr>
        <w:keepNext/>
        <w:keepLines/>
        <w:numPr>
          <w:ilvl w:val="0"/>
          <w:numId w:val="27"/>
        </w:numPr>
        <w:suppressAutoHyphens w:val="0"/>
        <w:ind w:left="851" w:right="851" w:firstLine="709"/>
        <w:jc w:val="both"/>
        <w:rPr>
          <w:b/>
          <w:lang w:val="es-CR" w:eastAsia="es-CR"/>
        </w:rPr>
      </w:pPr>
      <w:bookmarkStart w:id="26" w:name="_Toc80351032"/>
      <w:r w:rsidRPr="002C0DC3">
        <w:rPr>
          <w:b/>
          <w:lang w:val="es-CR" w:eastAsia="es-CR"/>
        </w:rPr>
        <w:t>Antecedentes</w:t>
      </w:r>
      <w:bookmarkStart w:id="27" w:name="_Hlk35243980"/>
      <w:bookmarkEnd w:id="26"/>
      <w:bookmarkEnd w:id="27"/>
    </w:p>
    <w:p w14:paraId="18233239" w14:textId="77777777" w:rsidR="002C0DC3" w:rsidRPr="002C0DC3" w:rsidRDefault="002C0DC3" w:rsidP="002C0DC3">
      <w:pPr>
        <w:widowControl w:val="0"/>
        <w:tabs>
          <w:tab w:val="left" w:pos="567"/>
          <w:tab w:val="left" w:pos="10065"/>
        </w:tabs>
        <w:suppressAutoHyphens w:val="0"/>
        <w:ind w:left="851" w:right="851" w:firstLine="709"/>
        <w:jc w:val="both"/>
        <w:rPr>
          <w:rFonts w:eastAsia="Calibri"/>
          <w:lang w:val="es-CR" w:eastAsia="en-US"/>
        </w:rPr>
      </w:pPr>
    </w:p>
    <w:p w14:paraId="194A6C62" w14:textId="43B8FF26" w:rsidR="002C0DC3" w:rsidRDefault="002C0DC3" w:rsidP="00CE3D95">
      <w:pPr>
        <w:numPr>
          <w:ilvl w:val="1"/>
          <w:numId w:val="23"/>
        </w:numPr>
        <w:tabs>
          <w:tab w:val="left" w:pos="567"/>
        </w:tabs>
        <w:suppressAutoHyphens w:val="0"/>
        <w:ind w:left="851" w:right="851" w:firstLine="709"/>
        <w:jc w:val="both"/>
        <w:textAlignment w:val="baseline"/>
        <w:rPr>
          <w:lang w:val="es-CR" w:eastAsia="es-CR"/>
        </w:rPr>
      </w:pPr>
      <w:r w:rsidRPr="002C0DC3">
        <w:rPr>
          <w:lang w:eastAsia="es-CR"/>
        </w:rPr>
        <w:t>El Consejo Superior en la sesión 82-15 celebrada el 16 de setiembre de 2015, artículo XXI, tuvo por rendido el informe 1317-PLA-2015 relacionado con la aplicación del Modelo de Seguimiento y Sostenibilidad de proyectos en las oficinas y despachos judiciales, realizado por la Dirección de Planificación.</w:t>
      </w:r>
      <w:r w:rsidRPr="002C0DC3">
        <w:rPr>
          <w:lang w:val="es-CR" w:eastAsia="es-CR"/>
        </w:rPr>
        <w:t> </w:t>
      </w:r>
    </w:p>
    <w:p w14:paraId="2B213264" w14:textId="77777777" w:rsidR="00B31AC4" w:rsidRPr="002C0DC3" w:rsidRDefault="00B31AC4" w:rsidP="00B31AC4">
      <w:pPr>
        <w:tabs>
          <w:tab w:val="left" w:pos="567"/>
        </w:tabs>
        <w:suppressAutoHyphens w:val="0"/>
        <w:ind w:left="1560" w:right="851"/>
        <w:jc w:val="both"/>
        <w:textAlignment w:val="baseline"/>
        <w:rPr>
          <w:lang w:val="es-CR" w:eastAsia="es-CR"/>
        </w:rPr>
      </w:pPr>
    </w:p>
    <w:p w14:paraId="572C9D81" w14:textId="3396FB26" w:rsidR="002C0DC3" w:rsidRPr="00B31AC4" w:rsidRDefault="002C0DC3" w:rsidP="00CE3D95">
      <w:pPr>
        <w:numPr>
          <w:ilvl w:val="1"/>
          <w:numId w:val="23"/>
        </w:numPr>
        <w:tabs>
          <w:tab w:val="left" w:pos="567"/>
        </w:tabs>
        <w:suppressAutoHyphens w:val="0"/>
        <w:ind w:left="851" w:right="851" w:firstLine="709"/>
        <w:jc w:val="both"/>
        <w:rPr>
          <w:rFonts w:eastAsia="Calibri"/>
          <w:i/>
          <w:iCs/>
          <w:lang w:val="es-CR" w:eastAsia="zh-CN"/>
        </w:rPr>
      </w:pPr>
      <w:r w:rsidRPr="002C0DC3">
        <w:rPr>
          <w:rFonts w:eastAsia="Calibri"/>
          <w:i/>
          <w:iCs/>
          <w:lang w:val="es-CR" w:eastAsia="zh-CN"/>
        </w:rPr>
        <w:t xml:space="preserve"> </w:t>
      </w:r>
      <w:r w:rsidRPr="002C0DC3">
        <w:rPr>
          <w:rFonts w:eastAsia="Calibri"/>
          <w:lang w:val="es-CR" w:eastAsia="zh-CN"/>
        </w:rPr>
        <w:t>El Consejo superior en sesión 107-16 celebrada el 29 de noviembre del 2016, artículo XLIX, aprobó el Modelo de Sostenibilidad de los Proyectos de Rediseño (informe 1981-PLA-2016 del 26 de octubre de 2016), con el fin de que las oficinas y despachos que han sido sometidos a esos proyectos cuenten con la sostenibilidad de las propuestas implementadas a lo largo del tiempo y continúen con la aplicación de los procesos de mejora continua. Por ello, en ese mismo acuerdo, el Consejo Superior dispone que:</w:t>
      </w:r>
    </w:p>
    <w:p w14:paraId="422DABF5" w14:textId="77777777" w:rsidR="00B31AC4" w:rsidRPr="002C0DC3" w:rsidRDefault="00B31AC4" w:rsidP="00B31AC4">
      <w:pPr>
        <w:tabs>
          <w:tab w:val="left" w:pos="567"/>
        </w:tabs>
        <w:suppressAutoHyphens w:val="0"/>
        <w:ind w:right="851"/>
        <w:jc w:val="both"/>
        <w:rPr>
          <w:rFonts w:eastAsia="Calibri"/>
          <w:i/>
          <w:iCs/>
          <w:lang w:val="es-CR" w:eastAsia="zh-CN"/>
        </w:rPr>
      </w:pPr>
    </w:p>
    <w:p w14:paraId="61152A5B" w14:textId="128B6715" w:rsidR="00B31AC4" w:rsidRDefault="002C0DC3" w:rsidP="00B31AC4">
      <w:pPr>
        <w:tabs>
          <w:tab w:val="left" w:pos="567"/>
        </w:tabs>
        <w:ind w:left="851" w:right="851" w:firstLine="709"/>
        <w:jc w:val="both"/>
        <w:rPr>
          <w:rFonts w:eastAsia="Calibri"/>
          <w:i/>
          <w:iCs/>
          <w:lang w:val="es-CR" w:eastAsia="zh-CN"/>
        </w:rPr>
      </w:pPr>
      <w:r w:rsidRPr="002C0DC3">
        <w:rPr>
          <w:rFonts w:eastAsia="Calibri"/>
          <w:i/>
          <w:iCs/>
          <w:lang w:val="es-CR" w:eastAsia="zh-CN"/>
        </w:rPr>
        <w:t>“…Cada vez que concluya un proyecto de rediseño en un circuito judicial, se dotará con una plaza ordinaria y permanente a la Administración Regional correspondiente a una plaza de Profesional 2, con clase angosta de Ingeniería Industrial. Esa plaza se reportará administrativamente a la Administración Regional respectiva y funcionalmente a la Dirección de Planificación.”</w:t>
      </w:r>
    </w:p>
    <w:p w14:paraId="08FE4C93" w14:textId="77777777" w:rsidR="00B31AC4" w:rsidRPr="002C0DC3" w:rsidRDefault="00B31AC4" w:rsidP="00B31AC4">
      <w:pPr>
        <w:tabs>
          <w:tab w:val="left" w:pos="567"/>
        </w:tabs>
        <w:ind w:left="851" w:right="851" w:firstLine="709"/>
        <w:jc w:val="both"/>
        <w:rPr>
          <w:rFonts w:eastAsia="Calibri"/>
          <w:i/>
          <w:iCs/>
          <w:lang w:val="es-CR" w:eastAsia="zh-CN"/>
        </w:rPr>
      </w:pPr>
    </w:p>
    <w:p w14:paraId="417487E0" w14:textId="1ECC62DE" w:rsid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Es así como mediante la sesión indicada el Consejo Superior aprobó la dotación de una plaza ordinaria y permanente de Profesional 2 al Circuito Judicial de Cartago, con el objetivo de asegurar la implementación del Modelo de Sostenibilidad y Seguimiento de los Proyectos de Rediseño realizados por la Dirección de Planificación, en aras de mejorar la calidad del servicio público en la administración de Justicia. Esta plaza está adscrita a la Dirección de </w:t>
      </w:r>
      <w:r w:rsidRPr="002C0DC3">
        <w:rPr>
          <w:rFonts w:eastAsia="Calibri"/>
          <w:lang w:val="es-CR" w:eastAsia="en-US"/>
        </w:rPr>
        <w:lastRenderedPageBreak/>
        <w:t>Planificación (funcionalmente), pero se reporta administrativamente a la Administración Regional del Circuito.</w:t>
      </w:r>
    </w:p>
    <w:p w14:paraId="21F9B2B8" w14:textId="77777777" w:rsidR="00B31AC4" w:rsidRPr="002C0DC3" w:rsidRDefault="00B31AC4" w:rsidP="002C0DC3">
      <w:pPr>
        <w:suppressAutoHyphens w:val="0"/>
        <w:ind w:left="851" w:right="851" w:firstLine="709"/>
        <w:jc w:val="both"/>
        <w:rPr>
          <w:rFonts w:eastAsia="Calibri"/>
          <w:lang w:val="es-CR" w:eastAsia="en-US"/>
        </w:rPr>
      </w:pPr>
    </w:p>
    <w:p w14:paraId="2E8D62BC" w14:textId="034A0F0B" w:rsidR="002C0DC3" w:rsidRPr="00B31AC4" w:rsidRDefault="002C0DC3" w:rsidP="00CE3D95">
      <w:pPr>
        <w:numPr>
          <w:ilvl w:val="1"/>
          <w:numId w:val="23"/>
        </w:numPr>
        <w:tabs>
          <w:tab w:val="left" w:pos="567"/>
        </w:tabs>
        <w:suppressAutoHyphens w:val="0"/>
        <w:ind w:left="851" w:right="851" w:firstLine="709"/>
        <w:jc w:val="both"/>
        <w:rPr>
          <w:rFonts w:eastAsia="Calibri"/>
          <w:lang w:eastAsia="zh-CN"/>
        </w:rPr>
      </w:pPr>
      <w:r w:rsidRPr="002C0DC3">
        <w:rPr>
          <w:rFonts w:eastAsia="Calibri"/>
          <w:lang w:val="es-CR" w:eastAsia="zh-CN"/>
        </w:rPr>
        <w:t>En la sesión extraordinaria 34-18 (presupuesto 2019), artículo III, se aprobó el informe 32-PLA-MI-2018, en la que se consideró la réplica del Modelo de Sostenibilidad para el Circuito Judicial de Heredia y el Primer Circuito Judicial de Guanacaste con la dotación de dos plazas de Profesional 2 destacadas en las zonas, bajo las mismas condiciones de las plazas situadas en San Carlos y Cartago.</w:t>
      </w:r>
    </w:p>
    <w:p w14:paraId="4B2FD670" w14:textId="77777777" w:rsidR="00B31AC4" w:rsidRPr="002C0DC3" w:rsidRDefault="00B31AC4" w:rsidP="00B31AC4">
      <w:pPr>
        <w:tabs>
          <w:tab w:val="left" w:pos="567"/>
        </w:tabs>
        <w:suppressAutoHyphens w:val="0"/>
        <w:ind w:left="1560" w:right="851"/>
        <w:jc w:val="both"/>
        <w:rPr>
          <w:rFonts w:eastAsia="Calibri"/>
          <w:lang w:eastAsia="zh-CN"/>
        </w:rPr>
      </w:pPr>
    </w:p>
    <w:p w14:paraId="01118F48" w14:textId="05425E6F" w:rsidR="002C0DC3" w:rsidRPr="00B31AC4" w:rsidRDefault="002C0DC3" w:rsidP="00CE3D95">
      <w:pPr>
        <w:numPr>
          <w:ilvl w:val="1"/>
          <w:numId w:val="23"/>
        </w:numPr>
        <w:tabs>
          <w:tab w:val="left" w:pos="567"/>
        </w:tabs>
        <w:suppressAutoHyphens w:val="0"/>
        <w:ind w:left="851" w:right="851" w:firstLine="709"/>
        <w:jc w:val="both"/>
        <w:rPr>
          <w:rFonts w:eastAsia="Calibri"/>
          <w:lang w:eastAsia="zh-CN"/>
        </w:rPr>
      </w:pPr>
      <w:r w:rsidRPr="002C0DC3">
        <w:rPr>
          <w:rFonts w:eastAsia="Calibri"/>
          <w:lang w:val="es-CR" w:eastAsia="zh-CN"/>
        </w:rPr>
        <w:t xml:space="preserve">Posteriormente, en sesión extraordinaria 47-2019 (presupuesto 2020) artículo II, el Consejo Superior aprobó el informe de Requerimiento de Recurso Humano 727-PLA-RH-MI-2019 </w:t>
      </w:r>
      <w:r w:rsidRPr="002C0DC3">
        <w:rPr>
          <w:rFonts w:eastAsia="Calibri"/>
          <w:i/>
          <w:iCs/>
          <w:lang w:val="es-CR" w:eastAsia="zh-CN"/>
        </w:rPr>
        <w:t>“Continuidad del abordaje y Preparación de Despachos en la materia de Familia, Pensiones Alimentarias y Violencia Domestica”.</w:t>
      </w:r>
      <w:r w:rsidRPr="002C0DC3">
        <w:rPr>
          <w:rFonts w:eastAsia="Calibri"/>
          <w:lang w:val="es-CR" w:eastAsia="zh-CN"/>
        </w:rPr>
        <w:t xml:space="preserve"> En dicho acuerdo se establece aprobar el informe y las recomendaciones presentadas por la Dirección de Planificación y se aprueba la asignación en forma ordinaria de dos plazas que serían utilizadas para la Implementación y Seguimiento del Modelo de Sostenibilidad y que se encontrarían ubicadas físicamente en el Primer Circuito Judicial de Zona Atlántica y el Circuito Judicial de Puntarenas. El recurso fue suplido con recurso ordinario de la Dirección de Planificación, por lo que no implicó, crecimiento de plazas nuevas.</w:t>
      </w:r>
    </w:p>
    <w:p w14:paraId="5E2D8756" w14:textId="77777777" w:rsidR="00B31AC4" w:rsidRPr="002C0DC3" w:rsidRDefault="00B31AC4" w:rsidP="00B31AC4">
      <w:pPr>
        <w:tabs>
          <w:tab w:val="left" w:pos="567"/>
        </w:tabs>
        <w:suppressAutoHyphens w:val="0"/>
        <w:ind w:right="851"/>
        <w:jc w:val="both"/>
        <w:rPr>
          <w:rFonts w:eastAsia="Calibri"/>
          <w:lang w:eastAsia="zh-CN"/>
        </w:rPr>
      </w:pPr>
    </w:p>
    <w:p w14:paraId="19B26D7D" w14:textId="113FCCFF" w:rsidR="002C0DC3" w:rsidRPr="00B31AC4" w:rsidRDefault="002C0DC3" w:rsidP="00CE3D95">
      <w:pPr>
        <w:numPr>
          <w:ilvl w:val="1"/>
          <w:numId w:val="23"/>
        </w:numPr>
        <w:tabs>
          <w:tab w:val="left" w:pos="567"/>
        </w:tabs>
        <w:suppressAutoHyphens w:val="0"/>
        <w:ind w:left="851" w:right="851" w:firstLine="709"/>
        <w:jc w:val="both"/>
        <w:rPr>
          <w:rFonts w:eastAsia="Calibri"/>
          <w:lang w:eastAsia="zh-CN"/>
        </w:rPr>
      </w:pPr>
      <w:r w:rsidRPr="002C0DC3">
        <w:rPr>
          <w:rFonts w:eastAsia="Calibri"/>
          <w:lang w:eastAsia="zh-CN"/>
        </w:rPr>
        <w:t xml:space="preserve">El Consejo Superior del Poder Judicial, en sesión extraordinaria 16-2020 celebrada el 27 de febrero del 2020, artículo LXXIII aprueba las recomendaciones del informe N°217-PLA-2020 denominado </w:t>
      </w:r>
      <w:r w:rsidRPr="002C0DC3">
        <w:rPr>
          <w:rFonts w:eastAsia="Calibri"/>
          <w:i/>
          <w:iCs/>
          <w:lang w:eastAsia="zh-CN"/>
        </w:rPr>
        <w:t>“Propuesta de Mejora para la Gestión del Modelo de Sostenibilidad”,</w:t>
      </w:r>
      <w:r w:rsidRPr="002C0DC3">
        <w:rPr>
          <w:rFonts w:eastAsia="Calibri"/>
          <w:lang w:eastAsia="zh-CN"/>
        </w:rPr>
        <w:t xml:space="preserve"> en el cual se establecen algunos cambios a la propuesta original, cuyas recomendaciones se pueden sintetizar en lo siguiente:</w:t>
      </w:r>
      <w:r w:rsidRPr="002C0DC3">
        <w:rPr>
          <w:rFonts w:eastAsia="Calibri"/>
          <w:lang w:val="es-CR" w:eastAsia="zh-CN"/>
        </w:rPr>
        <w:t xml:space="preserve"> Ampliar el modelo de sostenibilidad en dos Circuitos adicionales a los ya existentes: Primer Circuito Judicial de Alajuela, Primer Circuito Judicial de la Zona Sur. La implementación de este modelo será asumida con recurso humano ordinario que tiene asignado la Dirección de Planificación, por tanto, se asumirán con las plazas ordinarias 365600 de Profesional 2 y con la recalificación de la plaza 54339 de Técnico Administrativo a Profesional 2 para aplicar el Modelo de Sostenibilidad del Primer Circuito Judicial de la Zona Sur. Con esta propuesta se llegaría a tener la cobertura a nivel nacional del Modelo de Sostenibilidad.</w:t>
      </w:r>
    </w:p>
    <w:p w14:paraId="57A80DD4" w14:textId="77777777" w:rsidR="00B31AC4" w:rsidRPr="002C0DC3" w:rsidRDefault="00B31AC4" w:rsidP="00B31AC4">
      <w:pPr>
        <w:tabs>
          <w:tab w:val="left" w:pos="567"/>
        </w:tabs>
        <w:suppressAutoHyphens w:val="0"/>
        <w:ind w:right="851"/>
        <w:jc w:val="both"/>
        <w:rPr>
          <w:rFonts w:eastAsia="Calibri"/>
          <w:lang w:eastAsia="zh-CN"/>
        </w:rPr>
      </w:pPr>
    </w:p>
    <w:p w14:paraId="6D1F0DF4" w14:textId="343C5D62" w:rsidR="002C0DC3" w:rsidRDefault="002C0DC3" w:rsidP="00CE3D95">
      <w:pPr>
        <w:numPr>
          <w:ilvl w:val="1"/>
          <w:numId w:val="23"/>
        </w:numPr>
        <w:tabs>
          <w:tab w:val="left" w:pos="567"/>
        </w:tabs>
        <w:suppressAutoHyphens w:val="0"/>
        <w:ind w:left="851" w:right="851" w:firstLine="709"/>
        <w:jc w:val="both"/>
        <w:rPr>
          <w:rFonts w:eastAsia="Calibri"/>
          <w:lang w:val="es-CR" w:eastAsia="zh-CN"/>
        </w:rPr>
      </w:pPr>
      <w:r w:rsidRPr="002C0DC3">
        <w:rPr>
          <w:rFonts w:eastAsia="Calibri"/>
          <w:lang w:val="es-CR" w:eastAsia="zh-CN"/>
        </w:rPr>
        <w:t xml:space="preserve">Acuerdo de Corte Plena 15-2020 del 20 de marzo de 2020, en el cual se dispuso adoptar una serie de medidas relacionadas con la prestación de servicios en el Poder Judicial con motivo de la emergencia declarada mediante </w:t>
      </w:r>
      <w:r w:rsidRPr="002C0DC3">
        <w:rPr>
          <w:rFonts w:eastAsia="Calibri"/>
          <w:lang w:val="es-CR" w:eastAsia="zh-CN"/>
        </w:rPr>
        <w:lastRenderedPageBreak/>
        <w:t>decreto ejecutivo 42227-MS del COVID-19, emitido el día 16 de marzo de 2020, en que se declara estado de emergencia nacional en todo el territorio de la República de Costa Rica, debido a la situación de emergencia sanitaria provocada por la enfermedad COVID-19, suspendiéndose las actividades presenciales para los puestos teletrabajables que se desarrollan en el Poder Judicial a partir del día lunes 23 de marzo de 2020 y hasta el día viernes 3 de abril de 2020, a fin de que las personas servidoras se mantengan en sus hogares y reduzcan el contagio de la enfermedad COVID-19. Dichas medidas fueron prorrogadas por dicho órgano superior durante todo el 2020, mediante los siguientes acuerdos:</w:t>
      </w:r>
    </w:p>
    <w:p w14:paraId="0AD7470E" w14:textId="77777777" w:rsidR="00B31AC4" w:rsidRPr="002C0DC3" w:rsidRDefault="00B31AC4" w:rsidP="00B31AC4">
      <w:pPr>
        <w:tabs>
          <w:tab w:val="left" w:pos="567"/>
        </w:tabs>
        <w:suppressAutoHyphens w:val="0"/>
        <w:ind w:right="851"/>
        <w:jc w:val="both"/>
        <w:rPr>
          <w:rFonts w:eastAsia="Calibri"/>
          <w:lang w:val="es-CR" w:eastAsia="zh-CN"/>
        </w:rPr>
      </w:pPr>
    </w:p>
    <w:p w14:paraId="5B674229" w14:textId="0E41D538" w:rsidR="002C0DC3" w:rsidRDefault="002C0DC3" w:rsidP="00CE3D95">
      <w:pPr>
        <w:numPr>
          <w:ilvl w:val="0"/>
          <w:numId w:val="26"/>
        </w:numPr>
        <w:suppressAutoHyphens w:val="0"/>
        <w:ind w:left="851" w:right="851" w:firstLine="709"/>
        <w:contextualSpacing/>
        <w:jc w:val="both"/>
        <w:rPr>
          <w:rFonts w:eastAsia="Calibri"/>
          <w:lang w:val="es-CR" w:eastAsia="zh-CN"/>
        </w:rPr>
      </w:pPr>
      <w:r w:rsidRPr="002C0DC3">
        <w:rPr>
          <w:rFonts w:eastAsia="Calibri"/>
          <w:lang w:val="es-CR" w:eastAsia="zh-CN"/>
        </w:rPr>
        <w:t xml:space="preserve">Acuerdo de Corte Plena en extraordinaria 18-2020, celebrada el 2 de abril de 2020, artículo Único.  </w:t>
      </w:r>
    </w:p>
    <w:p w14:paraId="0E9D8111" w14:textId="77777777" w:rsidR="00B31AC4" w:rsidRPr="002C0DC3" w:rsidRDefault="00B31AC4" w:rsidP="00B31AC4">
      <w:pPr>
        <w:suppressAutoHyphens w:val="0"/>
        <w:ind w:right="851"/>
        <w:contextualSpacing/>
        <w:jc w:val="both"/>
        <w:rPr>
          <w:rFonts w:eastAsia="Calibri"/>
          <w:lang w:val="es-CR" w:eastAsia="zh-CN"/>
        </w:rPr>
      </w:pPr>
    </w:p>
    <w:p w14:paraId="23621283" w14:textId="6D1199DD" w:rsidR="002C0DC3" w:rsidRDefault="002C0DC3" w:rsidP="00CE3D95">
      <w:pPr>
        <w:numPr>
          <w:ilvl w:val="0"/>
          <w:numId w:val="26"/>
        </w:numPr>
        <w:suppressAutoHyphens w:val="0"/>
        <w:ind w:left="851" w:right="851" w:firstLine="709"/>
        <w:contextualSpacing/>
        <w:jc w:val="both"/>
        <w:rPr>
          <w:rFonts w:eastAsia="Calibri"/>
          <w:lang w:val="es-CR" w:eastAsia="zh-CN"/>
        </w:rPr>
      </w:pPr>
      <w:r w:rsidRPr="002C0DC3">
        <w:rPr>
          <w:rFonts w:eastAsia="Calibri"/>
          <w:lang w:val="es-CR" w:eastAsia="zh-CN"/>
        </w:rPr>
        <w:t>Acuerdo de Corte Plena en Sesión 23-2020 del 28 de abril de 2020, artículo único.</w:t>
      </w:r>
    </w:p>
    <w:p w14:paraId="574894C4" w14:textId="77777777" w:rsidR="00B31AC4" w:rsidRPr="002C0DC3" w:rsidRDefault="00B31AC4" w:rsidP="00B31AC4">
      <w:pPr>
        <w:suppressAutoHyphens w:val="0"/>
        <w:ind w:right="851"/>
        <w:contextualSpacing/>
        <w:jc w:val="both"/>
        <w:rPr>
          <w:rFonts w:eastAsia="Calibri"/>
          <w:lang w:val="es-CR" w:eastAsia="zh-CN"/>
        </w:rPr>
      </w:pPr>
    </w:p>
    <w:p w14:paraId="046CE97C" w14:textId="48ED0BB8" w:rsidR="002C0DC3" w:rsidRDefault="002C0DC3" w:rsidP="00CE3D95">
      <w:pPr>
        <w:numPr>
          <w:ilvl w:val="0"/>
          <w:numId w:val="26"/>
        </w:numPr>
        <w:suppressAutoHyphens w:val="0"/>
        <w:ind w:left="851" w:right="851" w:firstLine="709"/>
        <w:contextualSpacing/>
        <w:jc w:val="both"/>
        <w:rPr>
          <w:rFonts w:eastAsia="Calibri"/>
          <w:lang w:val="es-CR" w:eastAsia="zh-CN"/>
        </w:rPr>
      </w:pPr>
      <w:r w:rsidRPr="002C0DC3">
        <w:rPr>
          <w:rFonts w:eastAsia="Calibri"/>
          <w:lang w:val="es-CR" w:eastAsia="zh-CN"/>
        </w:rPr>
        <w:t xml:space="preserve">Acuerdo de Corte Plena en sesión extraordinaria 26-2020, celebrada el 13 de mayo de 2020, artículo Único. </w:t>
      </w:r>
    </w:p>
    <w:p w14:paraId="48E75BCC" w14:textId="77777777" w:rsidR="00B31AC4" w:rsidRPr="002C0DC3" w:rsidRDefault="00B31AC4" w:rsidP="00B31AC4">
      <w:pPr>
        <w:suppressAutoHyphens w:val="0"/>
        <w:ind w:right="851"/>
        <w:contextualSpacing/>
        <w:jc w:val="both"/>
        <w:rPr>
          <w:rFonts w:eastAsia="Calibri"/>
          <w:lang w:val="es-CR" w:eastAsia="zh-CN"/>
        </w:rPr>
      </w:pPr>
    </w:p>
    <w:p w14:paraId="6145EEDF" w14:textId="5E499B74" w:rsidR="002C0DC3" w:rsidRDefault="002C0DC3" w:rsidP="00CE3D95">
      <w:pPr>
        <w:numPr>
          <w:ilvl w:val="0"/>
          <w:numId w:val="26"/>
        </w:numPr>
        <w:suppressAutoHyphens w:val="0"/>
        <w:ind w:left="851" w:right="851" w:firstLine="709"/>
        <w:contextualSpacing/>
        <w:jc w:val="both"/>
        <w:rPr>
          <w:rFonts w:eastAsia="Calibri"/>
          <w:lang w:val="es-CR" w:eastAsia="zh-CN"/>
        </w:rPr>
      </w:pPr>
      <w:r w:rsidRPr="002C0DC3">
        <w:rPr>
          <w:rFonts w:eastAsia="Calibri"/>
          <w:lang w:val="es-CR" w:eastAsia="zh-CN"/>
        </w:rPr>
        <w:t>Acuerdo de Corte Plena sesión 29-2020, celebrada el 28 de mayo de 2020, artículo único.</w:t>
      </w:r>
    </w:p>
    <w:p w14:paraId="48DDA31B" w14:textId="77777777" w:rsidR="00B31AC4" w:rsidRPr="002C0DC3" w:rsidRDefault="00B31AC4" w:rsidP="00B31AC4">
      <w:pPr>
        <w:suppressAutoHyphens w:val="0"/>
        <w:ind w:right="851"/>
        <w:contextualSpacing/>
        <w:jc w:val="both"/>
        <w:rPr>
          <w:rFonts w:eastAsia="Calibri"/>
          <w:lang w:val="es-CR" w:eastAsia="zh-CN"/>
        </w:rPr>
      </w:pPr>
    </w:p>
    <w:p w14:paraId="52E9BD06" w14:textId="68382BBD" w:rsidR="002C0DC3" w:rsidRDefault="002C0DC3" w:rsidP="00CE3D95">
      <w:pPr>
        <w:numPr>
          <w:ilvl w:val="0"/>
          <w:numId w:val="26"/>
        </w:numPr>
        <w:suppressAutoHyphens w:val="0"/>
        <w:autoSpaceDN w:val="0"/>
        <w:ind w:left="851" w:right="851" w:firstLine="709"/>
        <w:jc w:val="both"/>
        <w:rPr>
          <w:rFonts w:eastAsia="Batang"/>
          <w:iCs/>
          <w:lang w:val="es-CR" w:eastAsia="es-CR"/>
        </w:rPr>
      </w:pPr>
      <w:r w:rsidRPr="002C0DC3">
        <w:rPr>
          <w:rFonts w:eastAsia="Calibri"/>
          <w:lang w:eastAsia="zh-CN"/>
        </w:rPr>
        <w:t>A</w:t>
      </w:r>
      <w:r w:rsidRPr="002C0DC3">
        <w:rPr>
          <w:lang w:val="es-CR" w:eastAsia="zh-CN"/>
        </w:rPr>
        <w:t xml:space="preserve">cuerdo de </w:t>
      </w:r>
      <w:r w:rsidRPr="002C0DC3">
        <w:rPr>
          <w:rFonts w:eastAsia="Batang"/>
          <w:iCs/>
          <w:lang w:val="es-CR" w:eastAsia="es-CR"/>
        </w:rPr>
        <w:t>Corte Plena sesión 33-2020 del 15 de junio del 2020, artículo XVI.</w:t>
      </w:r>
    </w:p>
    <w:p w14:paraId="4DF2EBDE" w14:textId="77777777" w:rsidR="00B31AC4" w:rsidRPr="002C0DC3" w:rsidRDefault="00B31AC4" w:rsidP="00B31AC4">
      <w:pPr>
        <w:suppressAutoHyphens w:val="0"/>
        <w:autoSpaceDN w:val="0"/>
        <w:ind w:right="851"/>
        <w:jc w:val="both"/>
        <w:rPr>
          <w:rFonts w:eastAsia="Batang"/>
          <w:iCs/>
          <w:lang w:val="es-CR" w:eastAsia="es-CR"/>
        </w:rPr>
      </w:pPr>
    </w:p>
    <w:p w14:paraId="6C056B1D" w14:textId="35068524" w:rsidR="002C0DC3" w:rsidRDefault="002C0DC3" w:rsidP="00CE3D95">
      <w:pPr>
        <w:numPr>
          <w:ilvl w:val="0"/>
          <w:numId w:val="26"/>
        </w:numPr>
        <w:suppressAutoHyphens w:val="0"/>
        <w:autoSpaceDN w:val="0"/>
        <w:ind w:left="851" w:right="851" w:firstLine="709"/>
        <w:jc w:val="both"/>
        <w:rPr>
          <w:rFonts w:eastAsia="Batang"/>
          <w:iCs/>
          <w:lang w:val="es-CR" w:eastAsia="es-CR"/>
        </w:rPr>
      </w:pPr>
      <w:r w:rsidRPr="002C0DC3">
        <w:rPr>
          <w:rFonts w:eastAsia="Batang"/>
          <w:iCs/>
          <w:lang w:val="es-CR" w:eastAsia="es-CR"/>
        </w:rPr>
        <w:t>Acuerdo de Corte Plena en sesión extraordinaria 40-2020, celebrada el 11 de julio de 2020, artículo Único.</w:t>
      </w:r>
    </w:p>
    <w:p w14:paraId="562E8CC5" w14:textId="77777777" w:rsidR="00B31AC4" w:rsidRPr="002C0DC3" w:rsidRDefault="00B31AC4" w:rsidP="00B31AC4">
      <w:pPr>
        <w:suppressAutoHyphens w:val="0"/>
        <w:autoSpaceDN w:val="0"/>
        <w:ind w:right="851"/>
        <w:jc w:val="both"/>
        <w:rPr>
          <w:rFonts w:eastAsia="Batang"/>
          <w:iCs/>
          <w:lang w:val="es-CR" w:eastAsia="es-CR"/>
        </w:rPr>
      </w:pPr>
    </w:p>
    <w:p w14:paraId="26EB32DE" w14:textId="406BABFA" w:rsidR="002C0DC3" w:rsidRDefault="002C0DC3" w:rsidP="00CE3D95">
      <w:pPr>
        <w:numPr>
          <w:ilvl w:val="0"/>
          <w:numId w:val="26"/>
        </w:numPr>
        <w:suppressAutoHyphens w:val="0"/>
        <w:autoSpaceDN w:val="0"/>
        <w:ind w:left="851" w:right="851" w:firstLine="709"/>
        <w:jc w:val="both"/>
        <w:rPr>
          <w:rFonts w:eastAsia="Batang"/>
          <w:iCs/>
          <w:lang w:val="es-CR" w:eastAsia="es-CR"/>
        </w:rPr>
      </w:pPr>
      <w:r w:rsidRPr="002C0DC3">
        <w:rPr>
          <w:rFonts w:eastAsia="Batang"/>
          <w:iCs/>
          <w:lang w:val="es-CR" w:eastAsia="es-CR"/>
        </w:rPr>
        <w:t>Acuerdo de Corte Plena sesión extraordinaria 41-2020, celebrada el 13 de julio de 2020, artículo XX.</w:t>
      </w:r>
    </w:p>
    <w:p w14:paraId="7DB17AAC" w14:textId="77777777" w:rsidR="00B31AC4" w:rsidRPr="002C0DC3" w:rsidRDefault="00B31AC4" w:rsidP="00B31AC4">
      <w:pPr>
        <w:suppressAutoHyphens w:val="0"/>
        <w:autoSpaceDN w:val="0"/>
        <w:ind w:right="851"/>
        <w:jc w:val="both"/>
        <w:rPr>
          <w:rFonts w:eastAsia="Batang"/>
          <w:iCs/>
          <w:lang w:val="es-CR" w:eastAsia="es-CR"/>
        </w:rPr>
      </w:pPr>
    </w:p>
    <w:p w14:paraId="280B47E4" w14:textId="741ACB91" w:rsidR="002C0DC3" w:rsidRDefault="002C0DC3" w:rsidP="00CE3D95">
      <w:pPr>
        <w:numPr>
          <w:ilvl w:val="0"/>
          <w:numId w:val="26"/>
        </w:numPr>
        <w:suppressAutoHyphens w:val="0"/>
        <w:autoSpaceDN w:val="0"/>
        <w:ind w:left="851" w:right="851" w:firstLine="709"/>
        <w:jc w:val="both"/>
        <w:rPr>
          <w:rFonts w:eastAsia="Batang"/>
          <w:iCs/>
          <w:lang w:val="es-CR" w:eastAsia="es-CR"/>
        </w:rPr>
      </w:pPr>
      <w:r w:rsidRPr="002C0DC3">
        <w:rPr>
          <w:rFonts w:eastAsia="Batang"/>
          <w:iCs/>
          <w:lang w:val="es-CR" w:eastAsia="es-CR"/>
        </w:rPr>
        <w:t>Acuerdo de Corte Plena sesión extraordinaria 44-2020, celebrada el 10 de agosto de 2020, artículo XIV.</w:t>
      </w:r>
    </w:p>
    <w:p w14:paraId="43005F94" w14:textId="77777777" w:rsidR="00B31AC4" w:rsidRPr="002C0DC3" w:rsidRDefault="00B31AC4" w:rsidP="00B31AC4">
      <w:pPr>
        <w:suppressAutoHyphens w:val="0"/>
        <w:autoSpaceDN w:val="0"/>
        <w:ind w:right="851"/>
        <w:jc w:val="both"/>
        <w:rPr>
          <w:rFonts w:eastAsia="Batang"/>
          <w:iCs/>
          <w:lang w:val="es-CR" w:eastAsia="es-CR"/>
        </w:rPr>
      </w:pPr>
    </w:p>
    <w:p w14:paraId="53D1B61E" w14:textId="6C832BE9" w:rsidR="002C0DC3" w:rsidRPr="00B31AC4" w:rsidRDefault="002C0DC3" w:rsidP="00CE3D95">
      <w:pPr>
        <w:numPr>
          <w:ilvl w:val="0"/>
          <w:numId w:val="26"/>
        </w:numPr>
        <w:suppressAutoHyphens w:val="0"/>
        <w:autoSpaceDN w:val="0"/>
        <w:ind w:left="851" w:right="851" w:firstLine="709"/>
        <w:jc w:val="both"/>
        <w:rPr>
          <w:bCs/>
          <w:lang w:val="es-CR" w:eastAsia="es-CR"/>
        </w:rPr>
      </w:pPr>
      <w:r w:rsidRPr="002C0DC3">
        <w:rPr>
          <w:rFonts w:eastAsia="Batang"/>
          <w:iCs/>
          <w:lang w:val="es-CR" w:eastAsia="es-CR"/>
        </w:rPr>
        <w:t>Acuerdo de Corte Plena sesión 48-2020 del 31 de agosto de 2020, artículo</w:t>
      </w:r>
    </w:p>
    <w:p w14:paraId="7F386DD2" w14:textId="77777777" w:rsidR="00B31AC4" w:rsidRPr="002C0DC3" w:rsidRDefault="00B31AC4" w:rsidP="00B31AC4">
      <w:pPr>
        <w:suppressAutoHyphens w:val="0"/>
        <w:autoSpaceDN w:val="0"/>
        <w:ind w:right="851"/>
        <w:jc w:val="both"/>
        <w:rPr>
          <w:bCs/>
          <w:lang w:val="es-CR" w:eastAsia="es-CR"/>
        </w:rPr>
      </w:pPr>
    </w:p>
    <w:p w14:paraId="2F4470E5" w14:textId="74311142" w:rsidR="002C0DC3" w:rsidRDefault="002C0DC3" w:rsidP="00CE3D95">
      <w:pPr>
        <w:numPr>
          <w:ilvl w:val="0"/>
          <w:numId w:val="26"/>
        </w:numPr>
        <w:suppressAutoHyphens w:val="0"/>
        <w:autoSpaceDE w:val="0"/>
        <w:autoSpaceDN w:val="0"/>
        <w:adjustRightInd w:val="0"/>
        <w:ind w:left="851" w:right="851" w:firstLine="709"/>
        <w:contextualSpacing/>
        <w:jc w:val="both"/>
        <w:rPr>
          <w:rFonts w:eastAsia="Batang"/>
          <w:iCs/>
          <w:u w:color="000000"/>
          <w:lang w:val="es-CR" w:eastAsia="en-US"/>
        </w:rPr>
      </w:pPr>
      <w:bookmarkStart w:id="28" w:name="_Hlk76109310"/>
      <w:r w:rsidRPr="002C0DC3">
        <w:rPr>
          <w:rFonts w:eastAsia="Batang"/>
          <w:iCs/>
          <w:u w:color="000000"/>
          <w:lang w:val="es-CR" w:eastAsia="en-US"/>
        </w:rPr>
        <w:t>Acuerdo de</w:t>
      </w:r>
      <w:bookmarkEnd w:id="28"/>
      <w:r w:rsidRPr="002C0DC3">
        <w:rPr>
          <w:rFonts w:eastAsia="Batang"/>
          <w:iCs/>
          <w:u w:color="000000"/>
          <w:lang w:val="es-CR" w:eastAsia="en-US"/>
        </w:rPr>
        <w:t xml:space="preserve"> Corte Plena en sesión ordinaria 50-2020, celebrada el 7 de setiembre de 2020, artículo XII, </w:t>
      </w:r>
    </w:p>
    <w:p w14:paraId="196FFDC6" w14:textId="77777777" w:rsidR="00B31AC4" w:rsidRPr="002C0DC3" w:rsidRDefault="00B31AC4" w:rsidP="00B31AC4">
      <w:pPr>
        <w:suppressAutoHyphens w:val="0"/>
        <w:autoSpaceDE w:val="0"/>
        <w:autoSpaceDN w:val="0"/>
        <w:adjustRightInd w:val="0"/>
        <w:ind w:right="851"/>
        <w:contextualSpacing/>
        <w:jc w:val="both"/>
        <w:rPr>
          <w:rFonts w:eastAsia="Batang"/>
          <w:iCs/>
          <w:u w:color="000000"/>
          <w:lang w:val="es-CR" w:eastAsia="en-US"/>
        </w:rPr>
      </w:pPr>
    </w:p>
    <w:p w14:paraId="6FABCC6B" w14:textId="3195DE4F" w:rsidR="002C0DC3" w:rsidRDefault="002C0DC3" w:rsidP="00CE3D95">
      <w:pPr>
        <w:numPr>
          <w:ilvl w:val="0"/>
          <w:numId w:val="26"/>
        </w:numPr>
        <w:suppressAutoHyphens w:val="0"/>
        <w:autoSpaceDE w:val="0"/>
        <w:autoSpaceDN w:val="0"/>
        <w:adjustRightInd w:val="0"/>
        <w:ind w:left="851" w:right="851" w:firstLine="709"/>
        <w:contextualSpacing/>
        <w:jc w:val="both"/>
        <w:rPr>
          <w:rFonts w:eastAsia="Batang"/>
          <w:iCs/>
          <w:u w:color="000000"/>
          <w:lang w:val="es-CR" w:eastAsia="en-US"/>
        </w:rPr>
      </w:pPr>
      <w:r w:rsidRPr="002C0DC3">
        <w:rPr>
          <w:rFonts w:eastAsia="Batang"/>
          <w:iCs/>
          <w:u w:color="000000"/>
          <w:lang w:val="es-CR" w:eastAsia="en-US"/>
        </w:rPr>
        <w:lastRenderedPageBreak/>
        <w:t>Acuerdo de Corte Plena en sesión extraordinaria 55-2020, celebrada el 28 de setiembre de 2020, artículo XIV, se acordó prorrogar las medidas sanitarias a partir del día 01 de octubre 2020 y hasta el día 31 del mismo mes y año, para todos despachos administrativos y jurisdiccionales del Poder Judicial.</w:t>
      </w:r>
    </w:p>
    <w:p w14:paraId="5D7E5D21" w14:textId="77777777" w:rsidR="00B31AC4" w:rsidRPr="002C0DC3" w:rsidRDefault="00B31AC4" w:rsidP="00B31AC4">
      <w:pPr>
        <w:suppressAutoHyphens w:val="0"/>
        <w:autoSpaceDE w:val="0"/>
        <w:autoSpaceDN w:val="0"/>
        <w:adjustRightInd w:val="0"/>
        <w:ind w:right="851"/>
        <w:contextualSpacing/>
        <w:jc w:val="both"/>
        <w:rPr>
          <w:rFonts w:eastAsia="Batang"/>
          <w:iCs/>
          <w:u w:color="000000"/>
          <w:lang w:val="es-CR" w:eastAsia="en-US"/>
        </w:rPr>
      </w:pPr>
    </w:p>
    <w:p w14:paraId="2CCE0CCC" w14:textId="2F14C79B" w:rsidR="002C0DC3" w:rsidRDefault="002C0DC3" w:rsidP="00CE3D95">
      <w:pPr>
        <w:numPr>
          <w:ilvl w:val="0"/>
          <w:numId w:val="26"/>
        </w:numPr>
        <w:suppressAutoHyphens w:val="0"/>
        <w:autoSpaceDE w:val="0"/>
        <w:autoSpaceDN w:val="0"/>
        <w:adjustRightInd w:val="0"/>
        <w:ind w:left="851" w:right="851" w:firstLine="709"/>
        <w:contextualSpacing/>
        <w:jc w:val="both"/>
        <w:rPr>
          <w:rFonts w:eastAsia="Batang"/>
          <w:iCs/>
          <w:u w:color="000000"/>
          <w:lang w:val="es-CR" w:eastAsia="en-US"/>
        </w:rPr>
      </w:pPr>
      <w:r w:rsidRPr="002C0DC3">
        <w:rPr>
          <w:rFonts w:eastAsia="Batang"/>
          <w:iCs/>
          <w:u w:color="000000"/>
          <w:lang w:val="es-CR" w:eastAsia="en-US"/>
        </w:rPr>
        <w:t>Acuerdo de Corte Plena en sesión extraordinaria 64-2020, celebrada el 26 de octubre de 2020, artículo XV.</w:t>
      </w:r>
    </w:p>
    <w:p w14:paraId="4B3A4E23" w14:textId="77777777" w:rsidR="00B31AC4" w:rsidRPr="002C0DC3" w:rsidRDefault="00B31AC4" w:rsidP="00B31AC4">
      <w:pPr>
        <w:suppressAutoHyphens w:val="0"/>
        <w:autoSpaceDE w:val="0"/>
        <w:autoSpaceDN w:val="0"/>
        <w:adjustRightInd w:val="0"/>
        <w:ind w:right="851"/>
        <w:contextualSpacing/>
        <w:jc w:val="both"/>
        <w:rPr>
          <w:rFonts w:eastAsia="Batang"/>
          <w:iCs/>
          <w:u w:color="000000"/>
          <w:lang w:val="es-CR" w:eastAsia="en-US"/>
        </w:rPr>
      </w:pPr>
    </w:p>
    <w:p w14:paraId="77CDC58C" w14:textId="77777777" w:rsidR="002C0DC3" w:rsidRPr="002C0DC3" w:rsidRDefault="002C0DC3" w:rsidP="00CE3D95">
      <w:pPr>
        <w:numPr>
          <w:ilvl w:val="0"/>
          <w:numId w:val="26"/>
        </w:numPr>
        <w:suppressAutoHyphens w:val="0"/>
        <w:autoSpaceDE w:val="0"/>
        <w:autoSpaceDN w:val="0"/>
        <w:adjustRightInd w:val="0"/>
        <w:ind w:left="851" w:right="851" w:firstLine="709"/>
        <w:contextualSpacing/>
        <w:jc w:val="both"/>
        <w:rPr>
          <w:rFonts w:eastAsia="Batang"/>
          <w:iCs/>
          <w:u w:color="000000"/>
          <w:lang w:val="es-CR" w:eastAsia="en-US"/>
        </w:rPr>
      </w:pPr>
      <w:r w:rsidRPr="002C0DC3">
        <w:rPr>
          <w:rFonts w:eastAsia="Batang"/>
          <w:iCs/>
          <w:u w:color="000000"/>
          <w:lang w:val="es-CR" w:eastAsia="en-US"/>
        </w:rPr>
        <w:t>Acuerdo de Corte Plena en sesión extraordinaria 68-2020, celebrada el 23 de noviembre de 2020, artículo XX.</w:t>
      </w:r>
    </w:p>
    <w:p w14:paraId="2C208B17" w14:textId="77777777" w:rsidR="002C0DC3" w:rsidRPr="002C0DC3" w:rsidRDefault="002C0DC3" w:rsidP="002C0DC3">
      <w:pPr>
        <w:suppressAutoHyphens w:val="0"/>
        <w:ind w:left="851" w:right="851" w:firstLine="709"/>
        <w:jc w:val="both"/>
        <w:rPr>
          <w:rFonts w:eastAsia="Calibri"/>
          <w:lang w:val="es-CR" w:eastAsia="en-US"/>
        </w:rPr>
      </w:pPr>
    </w:p>
    <w:p w14:paraId="7784B550"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El primer impacto que se alcanzó fue que durante el periodo del 23 de marzo al 3 de abril se dio un cierre colectivo adelantado reduciendo los servicios judiciales al mínimo, lo cual impactaba en todas las actividades presenciales, capacitaciones, coordinaciones y desarrollo de audiencias o juicios. </w:t>
      </w:r>
    </w:p>
    <w:p w14:paraId="392CB49A" w14:textId="77777777" w:rsidR="002C0DC3" w:rsidRPr="002C0DC3" w:rsidRDefault="002C0DC3" w:rsidP="002C0DC3">
      <w:pPr>
        <w:suppressAutoHyphens w:val="0"/>
        <w:ind w:left="851" w:right="851" w:firstLine="709"/>
        <w:jc w:val="both"/>
        <w:rPr>
          <w:rFonts w:eastAsia="Calibri"/>
          <w:lang w:val="es-CR" w:eastAsia="en-US"/>
        </w:rPr>
      </w:pPr>
    </w:p>
    <w:p w14:paraId="03193936" w14:textId="71D26A87" w:rsidR="002C0DC3" w:rsidRPr="00B31AC4" w:rsidRDefault="002C0DC3" w:rsidP="00CE3D95">
      <w:pPr>
        <w:numPr>
          <w:ilvl w:val="1"/>
          <w:numId w:val="23"/>
        </w:numPr>
        <w:tabs>
          <w:tab w:val="left" w:pos="567"/>
        </w:tabs>
        <w:suppressAutoHyphens w:val="0"/>
        <w:ind w:left="851" w:right="851" w:firstLine="709"/>
        <w:jc w:val="both"/>
        <w:rPr>
          <w:shd w:val="clear" w:color="auto" w:fill="FFFFFF"/>
          <w:lang w:eastAsia="zh-CN"/>
        </w:rPr>
      </w:pPr>
      <w:r w:rsidRPr="002C0DC3">
        <w:rPr>
          <w:rFonts w:eastAsia="Calibri"/>
          <w:lang w:val="es-CR" w:eastAsia="zh-CN"/>
        </w:rPr>
        <w:t>Acuerdo de Consejo Superior, sesión 71-2020, celebrada el 14 de julio de 2020, artículo XXXVI, en el que se conoció el informe 963-PLA-EV-2020 relacionado con el plan de trabajo 2020 del Juzgado de Cobro y Juzgado Civil del Primer Circuito Judicial de Alajuela y Juzgado de Cobro y Juzgado Civil del Segundo Circuito Judicial de Alajuela, y en el que se acordó:</w:t>
      </w:r>
    </w:p>
    <w:p w14:paraId="304DA951" w14:textId="77777777" w:rsidR="00B31AC4" w:rsidRPr="002C0DC3" w:rsidRDefault="00B31AC4" w:rsidP="00B31AC4">
      <w:pPr>
        <w:tabs>
          <w:tab w:val="left" w:pos="567"/>
        </w:tabs>
        <w:suppressAutoHyphens w:val="0"/>
        <w:ind w:left="1560" w:right="851"/>
        <w:jc w:val="both"/>
        <w:rPr>
          <w:shd w:val="clear" w:color="auto" w:fill="FFFFFF"/>
          <w:lang w:eastAsia="zh-CN"/>
        </w:rPr>
      </w:pPr>
    </w:p>
    <w:p w14:paraId="79B4881B" w14:textId="2E654E09" w:rsidR="002C0DC3" w:rsidRDefault="002C0DC3" w:rsidP="002C0DC3">
      <w:pPr>
        <w:tabs>
          <w:tab w:val="left" w:pos="567"/>
        </w:tabs>
        <w:suppressAutoHyphens w:val="0"/>
        <w:ind w:left="851" w:right="851" w:firstLine="709"/>
        <w:contextualSpacing/>
        <w:jc w:val="both"/>
        <w:rPr>
          <w:rFonts w:eastAsia="Calibri"/>
          <w:b/>
          <w:bCs/>
          <w:i/>
          <w:iCs/>
          <w:lang w:val="es-CR" w:eastAsia="en-US"/>
        </w:rPr>
      </w:pPr>
      <w:r w:rsidRPr="002C0DC3">
        <w:rPr>
          <w:rFonts w:eastAsia="Calibri"/>
          <w:lang w:val="es-CR" w:eastAsia="en-US"/>
        </w:rPr>
        <w:t>“…</w:t>
      </w:r>
      <w:r w:rsidRPr="002C0DC3">
        <w:rPr>
          <w:rFonts w:eastAsia="Garamond"/>
          <w:b/>
          <w:i/>
          <w:iCs/>
          <w:lang w:val="es-CR" w:eastAsia="en-US"/>
        </w:rPr>
        <w:t xml:space="preserve"> 1.)</w:t>
      </w:r>
      <w:r w:rsidRPr="002C0DC3">
        <w:rPr>
          <w:rFonts w:eastAsia="Garamond"/>
          <w:i/>
          <w:iCs/>
          <w:lang w:val="es-CR" w:eastAsia="en-US"/>
        </w:rPr>
        <w:t xml:space="preserve"> Tener por rendido el informe N° 742-PLA-EV-2020 de la Dirección de Planificación, relacionado con </w:t>
      </w:r>
      <w:r w:rsidRPr="002C0DC3">
        <w:rPr>
          <w:rFonts w:eastAsia="Calibri"/>
          <w:i/>
          <w:iCs/>
          <w:lang w:val="es-CR" w:eastAsia="en-US"/>
        </w:rPr>
        <w:t xml:space="preserve">el plan de trabajo 2020 del Juzgado de Cobro y Juzgado Civil del Primer Circuito Judicial de Alajuela y Juzgado de Cobro y Juzgado Civil del Segundo Circuito Judicial de Alajuela. </w:t>
      </w:r>
      <w:r w:rsidRPr="002C0DC3">
        <w:rPr>
          <w:rFonts w:eastAsia="Garamond"/>
          <w:b/>
          <w:bCs/>
          <w:i/>
          <w:iCs/>
          <w:lang w:val="es-CR" w:eastAsia="en-US"/>
        </w:rPr>
        <w:t>2.</w:t>
      </w:r>
      <w:r w:rsidRPr="002C0DC3">
        <w:rPr>
          <w:rFonts w:eastAsia="Calibri"/>
          <w:b/>
          <w:bCs/>
          <w:i/>
          <w:iCs/>
          <w:lang w:val="es-CR" w:eastAsia="en-US"/>
        </w:rPr>
        <w:t>)</w:t>
      </w:r>
      <w:r w:rsidRPr="002C0DC3">
        <w:rPr>
          <w:rFonts w:eastAsia="Calibri"/>
          <w:i/>
          <w:iCs/>
          <w:lang w:val="es-CR" w:eastAsia="en-US"/>
        </w:rPr>
        <w:t xml:space="preserve"> Aprobar las recomendaciones señaladas en el presente informe dirigidas a Centro de Apoyo, Coordinación y Mejoramiento de la Función Jurisdiccional, Comisión de Jurisdicción Civil en conjunto con el Centro de Apoyo, Coordinación y Mejoramiento de la Función Jurisdiccional, Administración Regional de Alajuela, al Juzgado de Cobro del Primer Circuito Judicial de Alajuela, Administración Regional de San Carlos y al Juzgado de Cobro del Segundo Circuito Judicial de Alajuela. </w:t>
      </w:r>
      <w:r w:rsidRPr="002C0DC3">
        <w:rPr>
          <w:rFonts w:eastAsia="Calibri"/>
          <w:b/>
          <w:bCs/>
          <w:i/>
          <w:iCs/>
          <w:lang w:val="es-CR" w:eastAsia="en-US"/>
        </w:rPr>
        <w:t xml:space="preserve">3.) </w:t>
      </w:r>
      <w:r w:rsidRPr="002C0DC3">
        <w:rPr>
          <w:rFonts w:eastAsia="Calibri"/>
          <w:i/>
          <w:iCs/>
          <w:lang w:val="es-CR" w:eastAsia="en-US"/>
        </w:rPr>
        <w:t>En cuanto a las recomendaciones dirigidas al Consejo Superior, no se aprueba la 5.1, al no ser procedente para el caso y se aprueba la recomendación 5.2, referente al plan de trabajo para l</w:t>
      </w:r>
      <w:r w:rsidRPr="002C0DC3">
        <w:rPr>
          <w:rFonts w:eastAsia="Calibri"/>
          <w:i/>
          <w:iCs/>
          <w:lang w:val="es-CR" w:eastAsia="es-CR"/>
        </w:rPr>
        <w:t>a readecuación de las cuotas de personal técnico del Juzgado Civil para que atiendan 50% cuota Civil y 50% de la cuota de Cobro, siendo que cada técnico judicial asignado para dicha labor, deberá cumplir una cuota de trabajo diaria de 17 expedientes, correspondiente a 10 de Cobro y 7 de Civil. Además, d</w:t>
      </w:r>
      <w:r w:rsidRPr="002C0DC3">
        <w:rPr>
          <w:rFonts w:eastAsia="Calibri"/>
          <w:i/>
          <w:iCs/>
          <w:lang w:val="es-CR" w:eastAsia="en-US"/>
        </w:rPr>
        <w:t xml:space="preserve">urante los primeros 3 </w:t>
      </w:r>
      <w:r w:rsidRPr="002C0DC3">
        <w:rPr>
          <w:rFonts w:eastAsia="Calibri"/>
          <w:i/>
          <w:iCs/>
          <w:lang w:val="es-CR" w:eastAsia="en-US"/>
        </w:rPr>
        <w:lastRenderedPageBreak/>
        <w:t xml:space="preserve">meses del plan por la curva de aprendizaje, la cuota en Cobro de las personas Técnicas Judiciales del Juzgado Civil, será de mínimo 7 asuntos nuevos o con prevención inicial resueltos diariamente. </w:t>
      </w:r>
      <w:r w:rsidRPr="002C0DC3">
        <w:rPr>
          <w:rFonts w:eastAsia="Calibri"/>
          <w:b/>
          <w:bCs/>
          <w:i/>
          <w:iCs/>
          <w:lang w:val="es-CR" w:eastAsia="en-US"/>
        </w:rPr>
        <w:t>4.)</w:t>
      </w:r>
      <w:r w:rsidRPr="002C0DC3">
        <w:rPr>
          <w:rFonts w:eastAsia="Calibri"/>
          <w:i/>
          <w:iCs/>
          <w:lang w:val="es-CR" w:eastAsia="en-US"/>
        </w:rPr>
        <w:t xml:space="preserve"> Se ordena al Juzgado Civil del Primer Circuito Judicial de Alajuela y Juzgado Civil del Segundo Circuito Judicial de Alajuela, asignar las cuatro plazas de técnico judicial que colaborarán en el plan de trabajo de apoyo a los Juzgados de Cobro del Primer y Segundo Circuito Judicial, respectivamente. </w:t>
      </w:r>
      <w:r w:rsidRPr="002C0DC3">
        <w:rPr>
          <w:rFonts w:eastAsia="Calibri"/>
          <w:b/>
          <w:bCs/>
          <w:i/>
          <w:iCs/>
          <w:lang w:val="es-CR" w:eastAsia="en-US"/>
        </w:rPr>
        <w:t>5.)</w:t>
      </w:r>
      <w:r w:rsidRPr="002C0DC3">
        <w:rPr>
          <w:rFonts w:eastAsia="Calibri"/>
          <w:i/>
          <w:iCs/>
          <w:lang w:val="es-CR" w:eastAsia="en-US"/>
        </w:rPr>
        <w:t xml:space="preserve"> Hacer este informe de conocimiento de la Dirección Ejecutiva, Comisión de la Jurisdicción Civil, Juzgado Civil del Primer Circuito Judicial de Alajuela y Juzgado Civil del Segundo Circuito Judicial de Alajuela, Juzgado de Cobro del Segundo Circuito Judicial de Alajuela, Juzgado de Cobro del Primer Circuito Judicial de Alajuela, Administración Regional del Primer Circuito Judicial de Alajuela, Administración Regional del Segundo Circuito Judicial de Alajuela y del Centro de Apoyo, Coordinación y Mejoramiento de la Función Jurisdiccional. </w:t>
      </w:r>
      <w:r w:rsidRPr="002C0DC3">
        <w:rPr>
          <w:rFonts w:eastAsia="Calibri"/>
          <w:b/>
          <w:i/>
          <w:iCs/>
          <w:lang w:val="es-CR" w:eastAsia="en-US"/>
        </w:rPr>
        <w:t>Se declara acuerdo firme</w:t>
      </w:r>
      <w:r w:rsidRPr="002C0DC3">
        <w:rPr>
          <w:rFonts w:eastAsia="Calibri"/>
          <w:i/>
          <w:iCs/>
          <w:lang w:val="es-CR" w:eastAsia="en-US"/>
        </w:rPr>
        <w:t>.</w:t>
      </w:r>
      <w:r w:rsidRPr="002C0DC3">
        <w:rPr>
          <w:rFonts w:eastAsia="Calibri"/>
          <w:b/>
          <w:bCs/>
          <w:i/>
          <w:iCs/>
          <w:lang w:val="es-CR" w:eastAsia="en-US"/>
        </w:rPr>
        <w:t>”</w:t>
      </w:r>
    </w:p>
    <w:p w14:paraId="7F6F7F4A" w14:textId="77777777" w:rsidR="00B31AC4" w:rsidRPr="002C0DC3" w:rsidRDefault="00B31AC4" w:rsidP="00B31AC4">
      <w:pPr>
        <w:tabs>
          <w:tab w:val="left" w:pos="567"/>
        </w:tabs>
        <w:suppressAutoHyphens w:val="0"/>
        <w:ind w:right="851"/>
        <w:contextualSpacing/>
        <w:jc w:val="both"/>
        <w:rPr>
          <w:rFonts w:eastAsia="Calibri"/>
          <w:b/>
          <w:bCs/>
          <w:i/>
          <w:iCs/>
          <w:lang w:val="es-CR" w:eastAsia="en-US"/>
        </w:rPr>
      </w:pPr>
    </w:p>
    <w:p w14:paraId="1DD67C8F" w14:textId="02DBB227" w:rsidR="002C0DC3" w:rsidRDefault="002C0DC3" w:rsidP="00CE3D95">
      <w:pPr>
        <w:numPr>
          <w:ilvl w:val="1"/>
          <w:numId w:val="23"/>
        </w:numPr>
        <w:tabs>
          <w:tab w:val="left" w:pos="567"/>
        </w:tabs>
        <w:suppressAutoHyphens w:val="0"/>
        <w:ind w:left="851" w:right="851" w:firstLine="709"/>
        <w:jc w:val="both"/>
        <w:rPr>
          <w:shd w:val="clear" w:color="auto" w:fill="FFFFFF"/>
          <w:lang w:eastAsia="zh-CN"/>
        </w:rPr>
      </w:pPr>
      <w:r w:rsidRPr="002C0DC3">
        <w:rPr>
          <w:shd w:val="clear" w:color="auto" w:fill="FFFFFF"/>
          <w:lang w:eastAsia="zh-CN"/>
        </w:rPr>
        <w:t>Acuerde de Consejo Superior en sesión 82-2020 celebrada el 20 de agosto del 2020, artículo XLI, dispuso reiterar a las oficinas judiciales, Consejo de Administración de los Circuitos judiciales, Administraciones Regionales del país, Centro de Apoyo, Coordinación y Mejoramiento de la Función Jurisdiccional y Dirección de Planificación, las responsabilidades asociadas Modelo de Sostenibilidad y Seguimientos de los proyectos de rediseño de oficinas, según acuerdos de este Consejo Superior en sesiones 107-16 del 29 de noviembre de 2016, artículo XLIX (oficio 1981-PLA-2016) y 16-2020 celebrada el 27 de febrero del 2020, artículo LXXIII (oficio 217-PLA-2020). Adicionalmente, en dicho acuerdo dispuso reiterar a las Juezas, Jueces Coordinadores y Consejos de Jueces sus funciones respecto a sus responsabilidades en el cumplimiento de las labores y el rendimiento de todos los servidores del despacho y el régimen disciplinario, de conformidad con el artículo 5 incisos 3 y 8 y artículo 11 incisos 1 y 5 del Reglamento de Organización y Funcionamiento de los Consejos de Jueces y Juezas de la República; conforme a sus perfiles competenciales (circular 51-2007), para lo cual podrán hacer uso de los productos del Modelo de Sostenibilidad y Seguimiento como insumo para esta labor. Lo anterior, fue comunicado mediante circular de la Secretaría General de la Corte 193 y 194-2020, respectivamente.</w:t>
      </w:r>
    </w:p>
    <w:p w14:paraId="414E223D" w14:textId="77777777" w:rsidR="00B31AC4" w:rsidRPr="002C0DC3" w:rsidRDefault="00B31AC4" w:rsidP="00B31AC4">
      <w:pPr>
        <w:tabs>
          <w:tab w:val="left" w:pos="567"/>
        </w:tabs>
        <w:suppressAutoHyphens w:val="0"/>
        <w:ind w:left="1560" w:right="851"/>
        <w:jc w:val="both"/>
        <w:rPr>
          <w:shd w:val="clear" w:color="auto" w:fill="FFFFFF"/>
          <w:lang w:eastAsia="zh-CN"/>
        </w:rPr>
      </w:pPr>
    </w:p>
    <w:p w14:paraId="48753105" w14:textId="6D844E1C" w:rsidR="002C0DC3" w:rsidRPr="00B31AC4" w:rsidRDefault="002C0DC3" w:rsidP="00CE3D95">
      <w:pPr>
        <w:numPr>
          <w:ilvl w:val="1"/>
          <w:numId w:val="23"/>
        </w:numPr>
        <w:tabs>
          <w:tab w:val="left" w:pos="567"/>
        </w:tabs>
        <w:suppressAutoHyphens w:val="0"/>
        <w:ind w:left="851" w:right="851" w:firstLine="709"/>
        <w:jc w:val="both"/>
        <w:rPr>
          <w:lang w:eastAsia="zh-CN"/>
        </w:rPr>
      </w:pPr>
      <w:r w:rsidRPr="002C0DC3">
        <w:rPr>
          <w:shd w:val="clear" w:color="auto" w:fill="FFFFFF"/>
          <w:lang w:eastAsia="zh-CN"/>
        </w:rPr>
        <w:t xml:space="preserve">Plan Estratégico Institucional 2019-2024, el cual tiene como tema estratégico la optimización e innovación de los servicios judiciales, cuyo objetivo estratégico dice: “Optimizar </w:t>
      </w:r>
      <w:r w:rsidRPr="002C0DC3">
        <w:rPr>
          <w:rFonts w:eastAsia="Calibri"/>
          <w:lang w:val="es-CR" w:eastAsia="zh-CN"/>
        </w:rPr>
        <w:t>los</w:t>
      </w:r>
      <w:r w:rsidRPr="002C0DC3">
        <w:rPr>
          <w:shd w:val="clear" w:color="auto" w:fill="FFFFFF"/>
          <w:lang w:eastAsia="zh-CN"/>
        </w:rPr>
        <w:t xml:space="preserve"> recursos institucionales e impulsar la innovación de los procesos judiciales, para agilizar los servicios de justicia”, y la acción </w:t>
      </w:r>
      <w:r w:rsidRPr="002C0DC3">
        <w:rPr>
          <w:shd w:val="clear" w:color="auto" w:fill="FFFFFF"/>
          <w:lang w:eastAsia="zh-CN"/>
        </w:rPr>
        <w:lastRenderedPageBreak/>
        <w:t xml:space="preserve">estratégica incluye -entre otras- modalidades alternas de trabajo, desarrollo y optimización de servicios y procesos judiciales. </w:t>
      </w:r>
    </w:p>
    <w:p w14:paraId="07B571C0" w14:textId="77777777" w:rsidR="00B31AC4" w:rsidRPr="002C0DC3" w:rsidRDefault="00B31AC4" w:rsidP="00B31AC4">
      <w:pPr>
        <w:tabs>
          <w:tab w:val="left" w:pos="567"/>
        </w:tabs>
        <w:suppressAutoHyphens w:val="0"/>
        <w:ind w:right="851"/>
        <w:jc w:val="both"/>
        <w:rPr>
          <w:lang w:eastAsia="zh-CN"/>
        </w:rPr>
      </w:pPr>
    </w:p>
    <w:p w14:paraId="52E67A10" w14:textId="77777777" w:rsidR="002C0DC3" w:rsidRPr="002C0DC3" w:rsidRDefault="002C0DC3" w:rsidP="00CE3D95">
      <w:pPr>
        <w:numPr>
          <w:ilvl w:val="1"/>
          <w:numId w:val="23"/>
        </w:numPr>
        <w:tabs>
          <w:tab w:val="left" w:pos="567"/>
        </w:tabs>
        <w:suppressAutoHyphens w:val="0"/>
        <w:ind w:left="851" w:right="851" w:firstLine="709"/>
        <w:jc w:val="both"/>
        <w:rPr>
          <w:shd w:val="clear" w:color="auto" w:fill="FFFFFF"/>
          <w:lang w:val="es-CR" w:eastAsia="zh-CN"/>
        </w:rPr>
      </w:pPr>
      <w:r w:rsidRPr="002C0DC3">
        <w:rPr>
          <w:shd w:val="clear" w:color="auto" w:fill="FFFFFF"/>
          <w:lang w:val="es-CR" w:eastAsia="zh-CN"/>
        </w:rPr>
        <w:t>Informe 301-PLA-MI-2021/76-CACMFJ-JEF-2021 relacionado con los resultados del seguimiento mensual de la materia Penal y no Penal durante la atención de la emergencia COVID-19, de octubre 2020 a enero 2021. Este informe contiene la información recopilada por la Dirección de Planificación y por el Centro de Apoyo, Coordinación y Mejoramiento de la Función Jurisdiccional.</w:t>
      </w:r>
    </w:p>
    <w:p w14:paraId="6EE58B35" w14:textId="77777777" w:rsidR="002C0DC3" w:rsidRPr="002C0DC3" w:rsidRDefault="002C0DC3" w:rsidP="002C0DC3">
      <w:pPr>
        <w:tabs>
          <w:tab w:val="left" w:pos="567"/>
        </w:tabs>
        <w:suppressAutoHyphens w:val="0"/>
        <w:ind w:left="851" w:right="851" w:firstLine="709"/>
        <w:jc w:val="both"/>
        <w:rPr>
          <w:rFonts w:eastAsia="Calibri"/>
          <w:lang w:val="es-CR" w:eastAsia="en-US"/>
        </w:rPr>
      </w:pPr>
    </w:p>
    <w:p w14:paraId="771A5075" w14:textId="77777777" w:rsidR="002C0DC3" w:rsidRPr="002C0DC3" w:rsidRDefault="002C0DC3" w:rsidP="002C0DC3">
      <w:pPr>
        <w:keepNext/>
        <w:keepLines/>
        <w:suppressAutoHyphens w:val="0"/>
        <w:ind w:left="851" w:right="851" w:firstLine="709"/>
        <w:jc w:val="both"/>
        <w:rPr>
          <w:b/>
          <w:lang w:val="es-CR" w:eastAsia="es-CR"/>
        </w:rPr>
      </w:pPr>
      <w:bookmarkStart w:id="29" w:name="_Hlk25917238"/>
      <w:bookmarkStart w:id="30" w:name="_Toc78467032"/>
      <w:bookmarkStart w:id="31" w:name="_Toc80351033"/>
      <w:bookmarkEnd w:id="29"/>
      <w:r w:rsidRPr="002C0DC3">
        <w:rPr>
          <w:b/>
          <w:lang w:val="es-CR" w:eastAsia="es-CR"/>
        </w:rPr>
        <w:t>Análisis Integral de Circuitos, materia cobro</w:t>
      </w:r>
      <w:bookmarkEnd w:id="30"/>
      <w:bookmarkEnd w:id="31"/>
    </w:p>
    <w:p w14:paraId="478DA166" w14:textId="77777777" w:rsidR="002C0DC3" w:rsidRPr="002C0DC3" w:rsidRDefault="002C0DC3" w:rsidP="002C0DC3">
      <w:pPr>
        <w:suppressAutoHyphens w:val="0"/>
        <w:ind w:left="851" w:right="851" w:firstLine="709"/>
        <w:jc w:val="both"/>
        <w:rPr>
          <w:rFonts w:eastAsia="Calibri"/>
          <w:lang w:val="es-CR" w:eastAsia="en-US"/>
        </w:rPr>
      </w:pPr>
    </w:p>
    <w:p w14:paraId="1F759A80" w14:textId="77777777" w:rsidR="002C0DC3" w:rsidRPr="002C0DC3" w:rsidRDefault="002C0DC3" w:rsidP="002C0DC3">
      <w:pPr>
        <w:keepNext/>
        <w:keepLines/>
        <w:numPr>
          <w:ilvl w:val="1"/>
          <w:numId w:val="0"/>
        </w:numPr>
        <w:suppressAutoHyphens w:val="0"/>
        <w:ind w:left="851" w:right="851" w:firstLine="709"/>
        <w:jc w:val="both"/>
        <w:rPr>
          <w:b/>
          <w:lang w:val="es-CR" w:eastAsia="es-CR"/>
        </w:rPr>
      </w:pPr>
      <w:bookmarkStart w:id="32" w:name="_Toc76646228"/>
      <w:bookmarkStart w:id="33" w:name="_Toc78467033"/>
      <w:r w:rsidRPr="002C0DC3">
        <w:rPr>
          <w:b/>
          <w:lang w:val="es-CR" w:eastAsia="es-CR"/>
        </w:rPr>
        <w:t>Rendimiento del Personal Judicial</w:t>
      </w:r>
      <w:bookmarkEnd w:id="32"/>
      <w:r w:rsidRPr="002C0DC3">
        <w:rPr>
          <w:b/>
          <w:lang w:val="es-CR" w:eastAsia="es-CR"/>
        </w:rPr>
        <w:t xml:space="preserve"> y aplicación del Modelo de Sostenibilidad</w:t>
      </w:r>
      <w:bookmarkEnd w:id="33"/>
    </w:p>
    <w:p w14:paraId="7DB4EF2C" w14:textId="77777777" w:rsidR="002C0DC3" w:rsidRPr="002C0DC3" w:rsidRDefault="002C0DC3" w:rsidP="002C0DC3">
      <w:pPr>
        <w:suppressAutoHyphens w:val="0"/>
        <w:ind w:left="851" w:right="851" w:firstLine="709"/>
        <w:jc w:val="both"/>
        <w:rPr>
          <w:rFonts w:eastAsia="Calibri"/>
          <w:lang w:val="es-CR" w:eastAsia="en-US"/>
        </w:rPr>
      </w:pPr>
    </w:p>
    <w:p w14:paraId="2148608D" w14:textId="77777777" w:rsidR="002C0DC3" w:rsidRPr="002C0DC3" w:rsidRDefault="002C0DC3" w:rsidP="002C0DC3">
      <w:pPr>
        <w:suppressAutoHyphens w:val="0"/>
        <w:ind w:left="851" w:right="851" w:firstLine="709"/>
        <w:jc w:val="center"/>
        <w:rPr>
          <w:rFonts w:eastAsia="Calibri"/>
          <w:lang w:val="es-CR" w:eastAsia="en-US"/>
        </w:rPr>
      </w:pPr>
      <w:r w:rsidRPr="002C0DC3">
        <w:rPr>
          <w:rFonts w:eastAsia="Calibri"/>
          <w:lang w:val="es-CR" w:eastAsia="en-US"/>
        </w:rPr>
        <w:t>Cuadro 1</w:t>
      </w:r>
    </w:p>
    <w:p w14:paraId="70ACB48C" w14:textId="77777777" w:rsidR="002C0DC3" w:rsidRPr="002C0DC3" w:rsidRDefault="002C0DC3" w:rsidP="002C0DC3">
      <w:pPr>
        <w:suppressAutoHyphens w:val="0"/>
        <w:ind w:left="851" w:right="851" w:firstLine="709"/>
        <w:jc w:val="center"/>
        <w:rPr>
          <w:rFonts w:eastAsia="Calibri"/>
          <w:lang w:val="es-CR" w:eastAsia="en-US"/>
        </w:rPr>
      </w:pPr>
      <w:r w:rsidRPr="002C0DC3">
        <w:rPr>
          <w:rFonts w:eastAsia="Calibri"/>
          <w:lang w:val="es-CR" w:eastAsia="en-US"/>
        </w:rPr>
        <w:t>Rendimiento del personal judicial en los despachos de Cobro</w:t>
      </w:r>
    </w:p>
    <w:p w14:paraId="2C9748F6" w14:textId="77777777" w:rsidR="002C0DC3" w:rsidRPr="002C0DC3" w:rsidRDefault="002C0DC3" w:rsidP="002C0DC3">
      <w:pPr>
        <w:suppressAutoHyphens w:val="0"/>
        <w:ind w:left="851" w:right="851" w:firstLine="709"/>
        <w:jc w:val="center"/>
        <w:rPr>
          <w:rFonts w:eastAsia="Calibri"/>
          <w:lang w:val="es-CR" w:eastAsia="en-US"/>
        </w:rPr>
      </w:pPr>
      <w:r w:rsidRPr="002C0DC3">
        <w:rPr>
          <w:rFonts w:eastAsia="Calibri"/>
          <w:lang w:val="es-CR" w:eastAsia="en-US"/>
        </w:rPr>
        <w:t>(Modelo de Sostenibilidad)</w:t>
      </w:r>
    </w:p>
    <w:p w14:paraId="42D6C0A3" w14:textId="77777777" w:rsidR="002C0DC3" w:rsidRPr="002C0DC3" w:rsidRDefault="002C0DC3" w:rsidP="002C0DC3">
      <w:pPr>
        <w:suppressAutoHyphens w:val="0"/>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3821"/>
        <w:gridCol w:w="1073"/>
        <w:gridCol w:w="1622"/>
        <w:gridCol w:w="1335"/>
        <w:gridCol w:w="1544"/>
      </w:tblGrid>
      <w:tr w:rsidR="002C0DC3" w:rsidRPr="002C0DC3" w14:paraId="51A0A567" w14:textId="77777777" w:rsidTr="002C0DC3">
        <w:trPr>
          <w:trHeight w:val="1012"/>
        </w:trPr>
        <w:tc>
          <w:tcPr>
            <w:tcW w:w="1332" w:type="pct"/>
            <w:tcBorders>
              <w:top w:val="single" w:sz="4" w:space="0" w:color="auto"/>
              <w:left w:val="single" w:sz="4" w:space="0" w:color="auto"/>
              <w:bottom w:val="single" w:sz="4" w:space="0" w:color="auto"/>
              <w:right w:val="single" w:sz="4" w:space="0" w:color="auto"/>
            </w:tcBorders>
            <w:shd w:val="clear" w:color="000000" w:fill="203764"/>
            <w:vAlign w:val="center"/>
            <w:hideMark/>
          </w:tcPr>
          <w:p w14:paraId="43A8FAB1"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Oficina</w:t>
            </w:r>
          </w:p>
        </w:tc>
        <w:tc>
          <w:tcPr>
            <w:tcW w:w="781" w:type="pct"/>
            <w:tcBorders>
              <w:top w:val="single" w:sz="4" w:space="0" w:color="auto"/>
              <w:left w:val="nil"/>
              <w:bottom w:val="single" w:sz="4" w:space="0" w:color="auto"/>
              <w:right w:val="single" w:sz="4" w:space="0" w:color="auto"/>
            </w:tcBorders>
            <w:shd w:val="clear" w:color="000000" w:fill="203764"/>
            <w:vAlign w:val="center"/>
            <w:hideMark/>
          </w:tcPr>
          <w:p w14:paraId="44A62B19"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Cumple con la aplicación del Modelo (100%)</w:t>
            </w:r>
          </w:p>
        </w:tc>
        <w:tc>
          <w:tcPr>
            <w:tcW w:w="829" w:type="pct"/>
            <w:tcBorders>
              <w:top w:val="single" w:sz="4" w:space="0" w:color="auto"/>
              <w:left w:val="nil"/>
              <w:bottom w:val="single" w:sz="4" w:space="0" w:color="auto"/>
              <w:right w:val="single" w:sz="4" w:space="0" w:color="auto"/>
            </w:tcBorders>
            <w:shd w:val="clear" w:color="000000" w:fill="203764"/>
            <w:vAlign w:val="center"/>
            <w:hideMark/>
          </w:tcPr>
          <w:p w14:paraId="35D02CE8"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Personal Juzgador cumple con cuotas (%rendimiento)</w:t>
            </w:r>
          </w:p>
        </w:tc>
        <w:tc>
          <w:tcPr>
            <w:tcW w:w="701" w:type="pct"/>
            <w:tcBorders>
              <w:top w:val="single" w:sz="4" w:space="0" w:color="auto"/>
              <w:left w:val="nil"/>
              <w:bottom w:val="single" w:sz="4" w:space="0" w:color="auto"/>
              <w:right w:val="single" w:sz="4" w:space="0" w:color="auto"/>
            </w:tcBorders>
            <w:shd w:val="clear" w:color="000000" w:fill="203764"/>
            <w:vAlign w:val="center"/>
            <w:hideMark/>
          </w:tcPr>
          <w:p w14:paraId="0E579D6C"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Personal técnico cumple cuotas (% rendimiento)</w:t>
            </w:r>
          </w:p>
        </w:tc>
        <w:tc>
          <w:tcPr>
            <w:tcW w:w="1357" w:type="pct"/>
            <w:tcBorders>
              <w:top w:val="single" w:sz="4" w:space="0" w:color="auto"/>
              <w:left w:val="nil"/>
              <w:bottom w:val="single" w:sz="4" w:space="0" w:color="auto"/>
              <w:right w:val="single" w:sz="4" w:space="0" w:color="auto"/>
            </w:tcBorders>
            <w:shd w:val="clear" w:color="000000" w:fill="203764"/>
            <w:vAlign w:val="center"/>
            <w:hideMark/>
          </w:tcPr>
          <w:p w14:paraId="523EE33E"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Observaciones</w:t>
            </w:r>
          </w:p>
        </w:tc>
      </w:tr>
      <w:tr w:rsidR="002C0DC3" w:rsidRPr="002C0DC3" w14:paraId="3F782CCE" w14:textId="77777777" w:rsidTr="002C0DC3">
        <w:trPr>
          <w:trHeight w:val="282"/>
        </w:trPr>
        <w:tc>
          <w:tcPr>
            <w:tcW w:w="1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3F21"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COBROS DE CARTAGO</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09F3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100%</w:t>
            </w: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9E79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133%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4C3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93%</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6DB4E" w14:textId="77777777" w:rsidR="002C0DC3" w:rsidRPr="002C0DC3" w:rsidRDefault="002C0DC3" w:rsidP="002C0DC3">
            <w:pPr>
              <w:suppressAutoHyphens w:val="0"/>
              <w:jc w:val="center"/>
              <w:rPr>
                <w:rFonts w:eastAsia="Calibri"/>
                <w:lang w:val="es-CR" w:eastAsia="es-CR"/>
              </w:rPr>
            </w:pPr>
          </w:p>
        </w:tc>
      </w:tr>
      <w:tr w:rsidR="002C0DC3" w:rsidRPr="002C0DC3" w14:paraId="57D56405" w14:textId="77777777" w:rsidTr="002C0DC3">
        <w:trPr>
          <w:trHeight w:val="282"/>
        </w:trPr>
        <w:tc>
          <w:tcPr>
            <w:tcW w:w="1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BC337"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 JUZGADO DE COBROS </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5B5CC96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100%</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11A86080"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110%</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038AC0B5"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107%</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14:paraId="7D0F87B0"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 </w:t>
            </w:r>
          </w:p>
        </w:tc>
      </w:tr>
      <w:tr w:rsidR="002C0DC3" w:rsidRPr="002C0DC3" w14:paraId="53B87016" w14:textId="77777777" w:rsidTr="002C0DC3">
        <w:trPr>
          <w:trHeight w:val="1022"/>
        </w:trPr>
        <w:tc>
          <w:tcPr>
            <w:tcW w:w="1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B020A"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 HEREDIA</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9F48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6B00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116.40%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C570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101.72%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23C13A"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Despacho que por su naturaleza y especialización maneja grandes cargas de trabajo. Se trata de coadyuvar con planes de trabajo tales </w:t>
            </w:r>
            <w:r w:rsidRPr="002C0DC3">
              <w:rPr>
                <w:rFonts w:eastAsia="Calibri"/>
                <w:lang w:val="es-CR" w:eastAsia="es-CR"/>
              </w:rPr>
              <w:lastRenderedPageBreak/>
              <w:t xml:space="preserve">como apoyo con personal supernumerario. </w:t>
            </w:r>
          </w:p>
        </w:tc>
      </w:tr>
      <w:tr w:rsidR="002C0DC3" w:rsidRPr="002C0DC3" w14:paraId="10162242" w14:textId="77777777" w:rsidTr="002C0DC3">
        <w:trPr>
          <w:trHeight w:val="282"/>
        </w:trPr>
        <w:tc>
          <w:tcPr>
            <w:tcW w:w="1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0E7AA"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lastRenderedPageBreak/>
              <w:t>JUZGADO DE COBRO DE LIBERIA</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4EB44AB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100%</w:t>
            </w:r>
          </w:p>
        </w:tc>
        <w:tc>
          <w:tcPr>
            <w:tcW w:w="829" w:type="pct"/>
            <w:tcBorders>
              <w:top w:val="single" w:sz="4" w:space="0" w:color="auto"/>
              <w:left w:val="nil"/>
              <w:bottom w:val="single" w:sz="4" w:space="0" w:color="auto"/>
              <w:right w:val="single" w:sz="4" w:space="0" w:color="auto"/>
            </w:tcBorders>
            <w:shd w:val="clear" w:color="auto" w:fill="auto"/>
            <w:noWrap/>
            <w:vAlign w:val="center"/>
            <w:hideMark/>
          </w:tcPr>
          <w:p w14:paraId="75A3F04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117%</w:t>
            </w:r>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14:paraId="2D46AA4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101%</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14:paraId="0AFFBD84"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w:t>
            </w:r>
          </w:p>
        </w:tc>
      </w:tr>
      <w:tr w:rsidR="002C0DC3" w:rsidRPr="002C0DC3" w14:paraId="5F623295" w14:textId="77777777" w:rsidTr="002C0DC3">
        <w:trPr>
          <w:trHeight w:val="282"/>
        </w:trPr>
        <w:tc>
          <w:tcPr>
            <w:tcW w:w="1332" w:type="pct"/>
            <w:tcBorders>
              <w:top w:val="single" w:sz="4" w:space="0" w:color="auto"/>
              <w:left w:val="single" w:sz="4" w:space="0" w:color="auto"/>
              <w:bottom w:val="single" w:sz="4" w:space="0" w:color="auto"/>
              <w:right w:val="single" w:sz="4" w:space="0" w:color="BFBFBF"/>
            </w:tcBorders>
            <w:shd w:val="clear" w:color="auto" w:fill="auto"/>
            <w:vAlign w:val="center"/>
            <w:hideMark/>
          </w:tcPr>
          <w:p w14:paraId="3C2D0562"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JUZGADO DE COBRO  DEL I CIRC. JUD. ALAJUELA </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45E6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100%</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4216CBD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114%</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7F97E8C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104%</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14:paraId="01CAE28F"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w:t>
            </w:r>
          </w:p>
        </w:tc>
      </w:tr>
      <w:tr w:rsidR="002C0DC3" w:rsidRPr="002C0DC3" w14:paraId="3FA619F2" w14:textId="77777777" w:rsidTr="002C0DC3">
        <w:trPr>
          <w:trHeight w:val="282"/>
        </w:trPr>
        <w:tc>
          <w:tcPr>
            <w:tcW w:w="133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3B6588"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 PUNTARENAS</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2F65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100%</w:t>
            </w: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20D1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133%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D6495"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124%</w:t>
            </w:r>
          </w:p>
        </w:tc>
        <w:tc>
          <w:tcPr>
            <w:tcW w:w="1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85C33" w14:textId="77777777" w:rsidR="002C0DC3" w:rsidRPr="002C0DC3" w:rsidRDefault="002C0DC3" w:rsidP="002C0DC3">
            <w:pPr>
              <w:suppressAutoHyphens w:val="0"/>
              <w:jc w:val="center"/>
              <w:rPr>
                <w:rFonts w:eastAsia="Calibri"/>
                <w:lang w:val="es-CR" w:eastAsia="es-CR"/>
              </w:rPr>
            </w:pPr>
          </w:p>
        </w:tc>
      </w:tr>
      <w:tr w:rsidR="002C0DC3" w:rsidRPr="002C0DC3" w14:paraId="398E7352" w14:textId="77777777" w:rsidTr="002C0DC3">
        <w:trPr>
          <w:trHeight w:val="282"/>
        </w:trPr>
        <w:tc>
          <w:tcPr>
            <w:tcW w:w="1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E37D9"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w:t>
            </w:r>
          </w:p>
        </w:tc>
        <w:tc>
          <w:tcPr>
            <w:tcW w:w="781" w:type="pct"/>
            <w:tcBorders>
              <w:top w:val="single" w:sz="4" w:space="0" w:color="auto"/>
              <w:left w:val="nil"/>
              <w:bottom w:val="single" w:sz="4" w:space="0" w:color="auto"/>
              <w:right w:val="single" w:sz="4" w:space="0" w:color="auto"/>
            </w:tcBorders>
            <w:shd w:val="clear" w:color="auto" w:fill="auto"/>
            <w:noWrap/>
            <w:vAlign w:val="bottom"/>
            <w:hideMark/>
          </w:tcPr>
          <w:p w14:paraId="07F15EFF"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100%</w:t>
            </w:r>
          </w:p>
        </w:tc>
        <w:tc>
          <w:tcPr>
            <w:tcW w:w="829" w:type="pct"/>
            <w:tcBorders>
              <w:top w:val="single" w:sz="4" w:space="0" w:color="auto"/>
              <w:left w:val="nil"/>
              <w:bottom w:val="single" w:sz="4" w:space="0" w:color="auto"/>
              <w:right w:val="single" w:sz="4" w:space="0" w:color="auto"/>
            </w:tcBorders>
            <w:shd w:val="clear" w:color="auto" w:fill="auto"/>
            <w:noWrap/>
            <w:vAlign w:val="bottom"/>
            <w:hideMark/>
          </w:tcPr>
          <w:p w14:paraId="51D603F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101%</w:t>
            </w:r>
          </w:p>
        </w:tc>
        <w:tc>
          <w:tcPr>
            <w:tcW w:w="701" w:type="pct"/>
            <w:tcBorders>
              <w:top w:val="single" w:sz="4" w:space="0" w:color="auto"/>
              <w:left w:val="nil"/>
              <w:bottom w:val="single" w:sz="4" w:space="0" w:color="auto"/>
              <w:right w:val="single" w:sz="4" w:space="0" w:color="auto"/>
            </w:tcBorders>
            <w:shd w:val="clear" w:color="auto" w:fill="auto"/>
            <w:noWrap/>
            <w:vAlign w:val="bottom"/>
            <w:hideMark/>
          </w:tcPr>
          <w:p w14:paraId="1A634F2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102%</w:t>
            </w:r>
          </w:p>
        </w:tc>
        <w:tc>
          <w:tcPr>
            <w:tcW w:w="1357" w:type="pct"/>
            <w:tcBorders>
              <w:top w:val="single" w:sz="4" w:space="0" w:color="auto"/>
              <w:left w:val="nil"/>
              <w:bottom w:val="single" w:sz="4" w:space="0" w:color="auto"/>
              <w:right w:val="single" w:sz="4" w:space="0" w:color="auto"/>
            </w:tcBorders>
            <w:shd w:val="clear" w:color="auto" w:fill="auto"/>
            <w:noWrap/>
            <w:vAlign w:val="bottom"/>
            <w:hideMark/>
          </w:tcPr>
          <w:p w14:paraId="6EE09A5A" w14:textId="77777777" w:rsidR="002C0DC3" w:rsidRPr="002C0DC3" w:rsidRDefault="002C0DC3" w:rsidP="002C0DC3">
            <w:pPr>
              <w:suppressAutoHyphens w:val="0"/>
              <w:jc w:val="center"/>
              <w:rPr>
                <w:rFonts w:eastAsia="Calibri"/>
                <w:lang w:val="es-CR" w:eastAsia="es-CR"/>
              </w:rPr>
            </w:pPr>
          </w:p>
        </w:tc>
      </w:tr>
    </w:tbl>
    <w:p w14:paraId="28EAD7BF"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Fuente: Elaboración propia Subproceso de Evaluación.</w:t>
      </w:r>
    </w:p>
    <w:p w14:paraId="546394C0" w14:textId="77777777" w:rsidR="002C0DC3" w:rsidRPr="002C0DC3" w:rsidRDefault="002C0DC3" w:rsidP="002C0DC3">
      <w:pPr>
        <w:suppressAutoHyphens w:val="0"/>
        <w:ind w:left="851" w:right="851" w:firstLine="709"/>
        <w:jc w:val="both"/>
        <w:rPr>
          <w:rFonts w:eastAsia="Calibri"/>
          <w:lang w:val="es-CR" w:eastAsia="en-US"/>
        </w:rPr>
      </w:pPr>
    </w:p>
    <w:p w14:paraId="0B4E65D7"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cuadro anterior se observa que el 100% de los despachos de Cobro cumplen con la aplicación del Modelo de Sostenibilidad; esto es realizar las reuniones de los equipos de mejora, elaborar la minuta con los respectivos planes remediales y remitir los indicadores de gestión de manera mensual, tanto a la Administración Regional, como al profesional de la Dirección de Planificación.</w:t>
      </w:r>
    </w:p>
    <w:p w14:paraId="59A5A5A5" w14:textId="77777777" w:rsidR="002C0DC3" w:rsidRPr="002C0DC3" w:rsidRDefault="002C0DC3" w:rsidP="002C0DC3">
      <w:pPr>
        <w:suppressAutoHyphens w:val="0"/>
        <w:ind w:left="851" w:right="851" w:firstLine="709"/>
        <w:jc w:val="both"/>
        <w:rPr>
          <w:rFonts w:eastAsia="Calibri"/>
          <w:lang w:val="es-CR" w:eastAsia="en-US"/>
        </w:rPr>
      </w:pPr>
    </w:p>
    <w:p w14:paraId="42D0A227" w14:textId="77777777" w:rsidR="002C0DC3" w:rsidRPr="002C0DC3" w:rsidRDefault="002C0DC3" w:rsidP="002C0DC3">
      <w:pPr>
        <w:tabs>
          <w:tab w:val="left" w:pos="6946"/>
        </w:tabs>
        <w:suppressAutoHyphens w:val="0"/>
        <w:ind w:left="851" w:right="851" w:firstLine="709"/>
        <w:jc w:val="both"/>
        <w:rPr>
          <w:rFonts w:eastAsia="Calibri"/>
          <w:lang w:val="es-CR" w:eastAsia="en-US"/>
        </w:rPr>
      </w:pPr>
      <w:r w:rsidRPr="002C0DC3">
        <w:rPr>
          <w:rFonts w:eastAsia="Calibri"/>
          <w:lang w:val="es-CR" w:eastAsia="en-US"/>
        </w:rPr>
        <w:t>El personal juzgador por su parte, supera el cumplimiento de las cuotas establecidas en los indicadores de gestión, lo cual permite registrar rendimientos que superan el 100% en todos los casos.</w:t>
      </w:r>
    </w:p>
    <w:p w14:paraId="58E98BA2" w14:textId="77777777" w:rsidR="002C0DC3" w:rsidRPr="002C0DC3" w:rsidRDefault="002C0DC3" w:rsidP="002C0DC3">
      <w:pPr>
        <w:tabs>
          <w:tab w:val="left" w:pos="6946"/>
        </w:tabs>
        <w:suppressAutoHyphens w:val="0"/>
        <w:ind w:left="851" w:right="851" w:firstLine="709"/>
        <w:jc w:val="both"/>
        <w:rPr>
          <w:rFonts w:eastAsia="Calibri"/>
          <w:lang w:val="es-CR" w:eastAsia="en-US"/>
        </w:rPr>
      </w:pPr>
    </w:p>
    <w:p w14:paraId="129E9B0C" w14:textId="77777777" w:rsidR="002C0DC3" w:rsidRPr="002C0DC3" w:rsidRDefault="002C0DC3" w:rsidP="002C0DC3">
      <w:pPr>
        <w:tabs>
          <w:tab w:val="left" w:pos="6946"/>
        </w:tabs>
        <w:suppressAutoHyphens w:val="0"/>
        <w:ind w:left="851" w:right="851" w:firstLine="709"/>
        <w:jc w:val="both"/>
        <w:rPr>
          <w:rFonts w:eastAsia="Calibri"/>
          <w:lang w:val="es-CR" w:eastAsia="en-US"/>
        </w:rPr>
      </w:pPr>
      <w:r w:rsidRPr="002C0DC3">
        <w:rPr>
          <w:rFonts w:eastAsia="Calibri"/>
          <w:lang w:val="es-CR" w:eastAsia="en-US"/>
        </w:rPr>
        <w:t>Igual situación sucede en el caso del personal técnico judicial, pues a excepción del Circuito Judicial de Cartago, en todos los demás circuitos, el rendimiento de las personas técnicas judiciales, superó el 100% del rendimiento establecido en los indicadores de gestión.</w:t>
      </w:r>
    </w:p>
    <w:p w14:paraId="69AEE2FD" w14:textId="77777777" w:rsidR="002C0DC3" w:rsidRPr="002C0DC3" w:rsidRDefault="002C0DC3" w:rsidP="002C0DC3">
      <w:pPr>
        <w:tabs>
          <w:tab w:val="left" w:pos="6946"/>
        </w:tabs>
        <w:suppressAutoHyphens w:val="0"/>
        <w:ind w:left="851" w:right="851" w:firstLine="709"/>
        <w:jc w:val="both"/>
        <w:rPr>
          <w:rFonts w:eastAsia="Calibri"/>
          <w:lang w:val="es-CR" w:eastAsia="en-US"/>
        </w:rPr>
      </w:pPr>
    </w:p>
    <w:p w14:paraId="7546F69F" w14:textId="77777777" w:rsidR="002C0DC3" w:rsidRPr="002C0DC3" w:rsidRDefault="002C0DC3" w:rsidP="002C0DC3">
      <w:pPr>
        <w:tabs>
          <w:tab w:val="left" w:pos="6946"/>
        </w:tabs>
        <w:suppressAutoHyphens w:val="0"/>
        <w:ind w:left="851" w:right="851" w:firstLine="709"/>
        <w:jc w:val="both"/>
        <w:rPr>
          <w:rFonts w:eastAsia="Calibri"/>
          <w:lang w:val="es-CR" w:eastAsia="en-US"/>
        </w:rPr>
      </w:pPr>
      <w:r w:rsidRPr="002C0DC3">
        <w:rPr>
          <w:rFonts w:eastAsia="Calibri"/>
          <w:lang w:val="es-CR" w:eastAsia="en-US"/>
        </w:rPr>
        <w:t>Sin embargo, pese a que Cartago es la excepción, su rendimiento estuvo por encima del 90%, pero que igualmente resulta una alarma importante, para poder intervenir y mejorar.</w:t>
      </w:r>
    </w:p>
    <w:p w14:paraId="3E70357C" w14:textId="77777777" w:rsidR="002C0DC3" w:rsidRPr="002C0DC3" w:rsidRDefault="002C0DC3" w:rsidP="002C0DC3">
      <w:pPr>
        <w:tabs>
          <w:tab w:val="left" w:pos="6946"/>
        </w:tabs>
        <w:suppressAutoHyphens w:val="0"/>
        <w:ind w:left="851" w:right="851" w:firstLine="709"/>
        <w:jc w:val="both"/>
        <w:rPr>
          <w:rFonts w:eastAsia="Calibri"/>
          <w:lang w:val="es-CR" w:eastAsia="en-US"/>
        </w:rPr>
      </w:pPr>
    </w:p>
    <w:p w14:paraId="71C0BC79" w14:textId="77777777" w:rsidR="002C0DC3" w:rsidRPr="002C0DC3" w:rsidRDefault="002C0DC3" w:rsidP="002C0DC3">
      <w:pPr>
        <w:tabs>
          <w:tab w:val="left" w:pos="6946"/>
        </w:tabs>
        <w:suppressAutoHyphens w:val="0"/>
        <w:ind w:left="851" w:right="851" w:firstLine="709"/>
        <w:jc w:val="both"/>
        <w:rPr>
          <w:rFonts w:eastAsia="Calibri"/>
          <w:lang w:val="es-CR" w:eastAsia="en-US"/>
        </w:rPr>
      </w:pPr>
      <w:r w:rsidRPr="002C0DC3">
        <w:rPr>
          <w:rFonts w:eastAsia="Calibri"/>
          <w:lang w:val="es-CR" w:eastAsia="en-US"/>
        </w:rPr>
        <w:t>Como se verá en el apartado correspondiente, en Cartago durante el 2020 se desarrollaron planes de trabajo continuos para mejorar esta situación.</w:t>
      </w:r>
    </w:p>
    <w:p w14:paraId="0A0B536A" w14:textId="77777777" w:rsidR="002C0DC3" w:rsidRPr="002C0DC3" w:rsidRDefault="002C0DC3" w:rsidP="002C0DC3">
      <w:pPr>
        <w:suppressAutoHyphens w:val="0"/>
        <w:ind w:left="851" w:right="851" w:firstLine="709"/>
        <w:jc w:val="both"/>
        <w:rPr>
          <w:rFonts w:eastAsia="Calibri"/>
          <w:lang w:val="es-CR" w:eastAsia="en-US"/>
        </w:rPr>
      </w:pPr>
    </w:p>
    <w:p w14:paraId="6F8BBAE2" w14:textId="77777777" w:rsidR="002C0DC3" w:rsidRPr="002C0DC3" w:rsidRDefault="002C0DC3" w:rsidP="002C0DC3">
      <w:pPr>
        <w:keepNext/>
        <w:keepLines/>
        <w:numPr>
          <w:ilvl w:val="1"/>
          <w:numId w:val="0"/>
        </w:numPr>
        <w:suppressAutoHyphens w:val="0"/>
        <w:ind w:left="851" w:right="851" w:firstLine="709"/>
        <w:jc w:val="both"/>
        <w:rPr>
          <w:b/>
          <w:bCs/>
          <w:lang w:eastAsia="es-CR"/>
        </w:rPr>
      </w:pPr>
      <w:bookmarkStart w:id="34" w:name="_Toc78467034"/>
      <w:r w:rsidRPr="002C0DC3">
        <w:rPr>
          <w:b/>
          <w:lang w:val="es-CR" w:eastAsia="es-CR"/>
        </w:rPr>
        <w:t>Porcentaje</w:t>
      </w:r>
      <w:r w:rsidRPr="002C0DC3">
        <w:rPr>
          <w:b/>
          <w:bCs/>
          <w:lang w:eastAsia="es-CR"/>
        </w:rPr>
        <w:t xml:space="preserve"> de efectividad de las audiencias durante el 2020.</w:t>
      </w:r>
      <w:bookmarkEnd w:id="34"/>
    </w:p>
    <w:p w14:paraId="5E8D64D7" w14:textId="77777777" w:rsidR="002C0DC3" w:rsidRPr="002C0DC3" w:rsidRDefault="002C0DC3" w:rsidP="002C0DC3">
      <w:pPr>
        <w:suppressAutoHyphens w:val="0"/>
        <w:ind w:left="851" w:right="851" w:firstLine="709"/>
        <w:jc w:val="both"/>
        <w:rPr>
          <w:rFonts w:eastAsia="Calibri"/>
          <w:lang w:val="es-CR" w:eastAsia="en-US"/>
        </w:rPr>
      </w:pPr>
    </w:p>
    <w:p w14:paraId="716265F1"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A continuación se muestra el detalle de audiencias realizadas y no realizadas, así como el porcentaje de efectividad en los Juzgados de Cobro donde opera el Modelo de Sostenibilidad. </w:t>
      </w:r>
    </w:p>
    <w:p w14:paraId="66EDC695" w14:textId="77777777" w:rsidR="002C0DC3" w:rsidRPr="002C0DC3" w:rsidRDefault="002C0DC3" w:rsidP="002C0DC3">
      <w:pPr>
        <w:suppressAutoHyphens w:val="0"/>
        <w:ind w:left="851" w:right="851" w:firstLine="709"/>
        <w:jc w:val="both"/>
        <w:rPr>
          <w:rFonts w:eastAsia="Calibri"/>
          <w:lang w:val="es-CR" w:eastAsia="en-US"/>
        </w:rPr>
      </w:pPr>
    </w:p>
    <w:p w14:paraId="4AE84208" w14:textId="77777777" w:rsidR="002C0DC3" w:rsidRPr="002C0DC3" w:rsidRDefault="002C0DC3" w:rsidP="002C0DC3">
      <w:pPr>
        <w:suppressAutoHyphens w:val="0"/>
        <w:ind w:left="851" w:right="851" w:firstLine="709"/>
        <w:jc w:val="center"/>
        <w:rPr>
          <w:rFonts w:eastAsia="Calibri"/>
          <w:b/>
          <w:i/>
          <w:lang w:val="es-CR" w:eastAsia="en-US"/>
        </w:rPr>
      </w:pPr>
      <w:r w:rsidRPr="002C0DC3">
        <w:rPr>
          <w:rFonts w:eastAsia="Calibri"/>
          <w:b/>
          <w:lang w:val="es-CR" w:eastAsia="en-US"/>
        </w:rPr>
        <w:t>Cuadro 2</w:t>
      </w:r>
    </w:p>
    <w:p w14:paraId="4B3A0911" w14:textId="77777777" w:rsidR="002C0DC3" w:rsidRPr="002C0DC3" w:rsidRDefault="002C0DC3" w:rsidP="002C0DC3">
      <w:pPr>
        <w:suppressAutoHyphens w:val="0"/>
        <w:ind w:left="851" w:right="851" w:firstLine="709"/>
        <w:jc w:val="center"/>
        <w:rPr>
          <w:rFonts w:eastAsia="Calibri"/>
          <w:b/>
          <w:lang w:val="es-CR" w:eastAsia="en-US"/>
        </w:rPr>
      </w:pPr>
      <w:r w:rsidRPr="002C0DC3">
        <w:rPr>
          <w:rFonts w:eastAsia="Calibri"/>
          <w:b/>
          <w:lang w:val="es-CR" w:eastAsia="en-US"/>
        </w:rPr>
        <w:t>Detalle de audiencias realizadas durante el periodo de enero-diciembre del 2020</w:t>
      </w:r>
    </w:p>
    <w:p w14:paraId="0C7ABB0E" w14:textId="77777777" w:rsidR="002C0DC3" w:rsidRPr="002C0DC3" w:rsidRDefault="002C0DC3" w:rsidP="002C0DC3">
      <w:pPr>
        <w:suppressAutoHyphens w:val="0"/>
        <w:jc w:val="center"/>
        <w:rPr>
          <w:rFonts w:eastAsia="Calibri"/>
          <w:b/>
          <w:i/>
          <w:lang w:val="es-CR" w:eastAsia="en-US"/>
        </w:rPr>
      </w:pPr>
    </w:p>
    <w:tbl>
      <w:tblPr>
        <w:tblW w:w="5000" w:type="pct"/>
        <w:tblCellMar>
          <w:left w:w="70" w:type="dxa"/>
          <w:right w:w="70" w:type="dxa"/>
        </w:tblCellMar>
        <w:tblLook w:val="04A0" w:firstRow="1" w:lastRow="0" w:firstColumn="1" w:lastColumn="0" w:noHBand="0" w:noVBand="1"/>
      </w:tblPr>
      <w:tblGrid>
        <w:gridCol w:w="966"/>
        <w:gridCol w:w="704"/>
        <w:gridCol w:w="690"/>
        <w:gridCol w:w="690"/>
        <w:gridCol w:w="723"/>
        <w:gridCol w:w="703"/>
        <w:gridCol w:w="690"/>
        <w:gridCol w:w="690"/>
        <w:gridCol w:w="723"/>
        <w:gridCol w:w="703"/>
        <w:gridCol w:w="690"/>
        <w:gridCol w:w="690"/>
        <w:gridCol w:w="723"/>
      </w:tblGrid>
      <w:tr w:rsidR="002C0DC3" w:rsidRPr="002C0DC3" w14:paraId="46B725B0" w14:textId="77777777" w:rsidTr="002C0DC3">
        <w:trPr>
          <w:trHeight w:val="316"/>
        </w:trPr>
        <w:tc>
          <w:tcPr>
            <w:tcW w:w="822" w:type="pct"/>
            <w:vMerge w:val="restart"/>
            <w:tcBorders>
              <w:top w:val="single" w:sz="8" w:space="0" w:color="auto"/>
              <w:left w:val="single" w:sz="8" w:space="0" w:color="auto"/>
              <w:bottom w:val="single" w:sz="8" w:space="0" w:color="000000"/>
              <w:right w:val="single" w:sz="8" w:space="0" w:color="auto"/>
            </w:tcBorders>
            <w:shd w:val="clear" w:color="000000" w:fill="305496"/>
            <w:noWrap/>
            <w:vAlign w:val="center"/>
            <w:hideMark/>
          </w:tcPr>
          <w:p w14:paraId="5B66AE73"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Materia</w:t>
            </w:r>
          </w:p>
        </w:tc>
        <w:tc>
          <w:tcPr>
            <w:tcW w:w="1438" w:type="pct"/>
            <w:gridSpan w:val="4"/>
            <w:tcBorders>
              <w:top w:val="single" w:sz="8" w:space="0" w:color="auto"/>
              <w:left w:val="nil"/>
              <w:bottom w:val="single" w:sz="8" w:space="0" w:color="auto"/>
              <w:right w:val="single" w:sz="8" w:space="0" w:color="000000"/>
            </w:tcBorders>
            <w:shd w:val="clear" w:color="000000" w:fill="305496"/>
            <w:noWrap/>
            <w:vAlign w:val="center"/>
            <w:hideMark/>
          </w:tcPr>
          <w:p w14:paraId="0D3F4B9F"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Enero-Abril</w:t>
            </w:r>
          </w:p>
        </w:tc>
        <w:tc>
          <w:tcPr>
            <w:tcW w:w="1370" w:type="pct"/>
            <w:gridSpan w:val="4"/>
            <w:tcBorders>
              <w:top w:val="single" w:sz="8" w:space="0" w:color="auto"/>
              <w:left w:val="nil"/>
              <w:bottom w:val="single" w:sz="8" w:space="0" w:color="auto"/>
              <w:right w:val="single" w:sz="8" w:space="0" w:color="000000"/>
            </w:tcBorders>
            <w:shd w:val="clear" w:color="000000" w:fill="305496"/>
            <w:noWrap/>
            <w:vAlign w:val="center"/>
            <w:hideMark/>
          </w:tcPr>
          <w:p w14:paraId="5044BE12"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Mayo-Setiembre</w:t>
            </w:r>
          </w:p>
        </w:tc>
        <w:tc>
          <w:tcPr>
            <w:tcW w:w="1370" w:type="pct"/>
            <w:gridSpan w:val="4"/>
            <w:tcBorders>
              <w:top w:val="single" w:sz="8" w:space="0" w:color="auto"/>
              <w:left w:val="nil"/>
              <w:bottom w:val="single" w:sz="8" w:space="0" w:color="auto"/>
              <w:right w:val="single" w:sz="8" w:space="0" w:color="000000"/>
            </w:tcBorders>
            <w:shd w:val="clear" w:color="000000" w:fill="305496"/>
            <w:noWrap/>
            <w:vAlign w:val="center"/>
            <w:hideMark/>
          </w:tcPr>
          <w:p w14:paraId="783C91ED"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Octubre-Diciembre</w:t>
            </w:r>
          </w:p>
        </w:tc>
      </w:tr>
      <w:tr w:rsidR="002C0DC3" w:rsidRPr="002C0DC3" w14:paraId="0765E844" w14:textId="77777777" w:rsidTr="002C0DC3">
        <w:trPr>
          <w:trHeight w:val="316"/>
        </w:trPr>
        <w:tc>
          <w:tcPr>
            <w:tcW w:w="822" w:type="pct"/>
            <w:vMerge/>
            <w:tcBorders>
              <w:top w:val="single" w:sz="8" w:space="0" w:color="auto"/>
              <w:left w:val="single" w:sz="8" w:space="0" w:color="auto"/>
              <w:bottom w:val="single" w:sz="8" w:space="0" w:color="000000"/>
              <w:right w:val="single" w:sz="8" w:space="0" w:color="auto"/>
            </w:tcBorders>
            <w:vAlign w:val="center"/>
            <w:hideMark/>
          </w:tcPr>
          <w:p w14:paraId="7B2D9CB0" w14:textId="77777777" w:rsidR="002C0DC3" w:rsidRPr="002C0DC3" w:rsidRDefault="002C0DC3" w:rsidP="002C0DC3">
            <w:pPr>
              <w:suppressAutoHyphens w:val="0"/>
              <w:jc w:val="both"/>
              <w:rPr>
                <w:rFonts w:eastAsia="Calibri"/>
                <w:b/>
                <w:bCs/>
                <w:lang w:val="es-CR" w:eastAsia="es-CR"/>
              </w:rPr>
            </w:pPr>
          </w:p>
        </w:tc>
        <w:tc>
          <w:tcPr>
            <w:tcW w:w="411" w:type="pct"/>
            <w:tcBorders>
              <w:top w:val="nil"/>
              <w:left w:val="nil"/>
              <w:bottom w:val="nil"/>
              <w:right w:val="single" w:sz="8" w:space="0" w:color="auto"/>
            </w:tcBorders>
            <w:shd w:val="clear" w:color="000000" w:fill="8EA9DB"/>
            <w:vAlign w:val="center"/>
            <w:hideMark/>
          </w:tcPr>
          <w:p w14:paraId="1FE0FE48"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Agendadas</w:t>
            </w:r>
          </w:p>
        </w:tc>
        <w:tc>
          <w:tcPr>
            <w:tcW w:w="342" w:type="pct"/>
            <w:tcBorders>
              <w:top w:val="nil"/>
              <w:left w:val="nil"/>
              <w:bottom w:val="nil"/>
              <w:right w:val="single" w:sz="8" w:space="0" w:color="auto"/>
            </w:tcBorders>
            <w:shd w:val="clear" w:color="000000" w:fill="8EA9DB"/>
            <w:vAlign w:val="center"/>
            <w:hideMark/>
          </w:tcPr>
          <w:p w14:paraId="1587CAD4"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Realizadas</w:t>
            </w:r>
          </w:p>
        </w:tc>
        <w:tc>
          <w:tcPr>
            <w:tcW w:w="342" w:type="pct"/>
            <w:tcBorders>
              <w:top w:val="nil"/>
              <w:left w:val="nil"/>
              <w:bottom w:val="nil"/>
              <w:right w:val="single" w:sz="8" w:space="0" w:color="auto"/>
            </w:tcBorders>
            <w:shd w:val="clear" w:color="000000" w:fill="8EA9DB"/>
            <w:vAlign w:val="center"/>
            <w:hideMark/>
          </w:tcPr>
          <w:p w14:paraId="157CE31C"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No Realizadas</w:t>
            </w:r>
          </w:p>
        </w:tc>
        <w:tc>
          <w:tcPr>
            <w:tcW w:w="343" w:type="pct"/>
            <w:tcBorders>
              <w:top w:val="nil"/>
              <w:left w:val="nil"/>
              <w:bottom w:val="nil"/>
              <w:right w:val="single" w:sz="8" w:space="0" w:color="auto"/>
            </w:tcBorders>
            <w:shd w:val="clear" w:color="000000" w:fill="8EA9DB"/>
            <w:vAlign w:val="center"/>
            <w:hideMark/>
          </w:tcPr>
          <w:p w14:paraId="73217692"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 Efectividad</w:t>
            </w:r>
          </w:p>
        </w:tc>
        <w:tc>
          <w:tcPr>
            <w:tcW w:w="342" w:type="pct"/>
            <w:tcBorders>
              <w:top w:val="nil"/>
              <w:left w:val="nil"/>
              <w:bottom w:val="nil"/>
              <w:right w:val="single" w:sz="8" w:space="0" w:color="auto"/>
            </w:tcBorders>
            <w:shd w:val="clear" w:color="000000" w:fill="8EA9DB"/>
            <w:vAlign w:val="center"/>
            <w:hideMark/>
          </w:tcPr>
          <w:p w14:paraId="65CEB13A"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Agendadas</w:t>
            </w:r>
          </w:p>
        </w:tc>
        <w:tc>
          <w:tcPr>
            <w:tcW w:w="342" w:type="pct"/>
            <w:tcBorders>
              <w:top w:val="nil"/>
              <w:left w:val="nil"/>
              <w:bottom w:val="nil"/>
              <w:right w:val="single" w:sz="8" w:space="0" w:color="auto"/>
            </w:tcBorders>
            <w:shd w:val="clear" w:color="000000" w:fill="8EA9DB"/>
            <w:vAlign w:val="center"/>
            <w:hideMark/>
          </w:tcPr>
          <w:p w14:paraId="4571F761"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Realizadas</w:t>
            </w:r>
          </w:p>
        </w:tc>
        <w:tc>
          <w:tcPr>
            <w:tcW w:w="342" w:type="pct"/>
            <w:tcBorders>
              <w:top w:val="nil"/>
              <w:left w:val="nil"/>
              <w:bottom w:val="nil"/>
              <w:right w:val="single" w:sz="8" w:space="0" w:color="auto"/>
            </w:tcBorders>
            <w:shd w:val="clear" w:color="000000" w:fill="8EA9DB"/>
            <w:vAlign w:val="center"/>
            <w:hideMark/>
          </w:tcPr>
          <w:p w14:paraId="402C2100"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No Realizadas</w:t>
            </w:r>
          </w:p>
        </w:tc>
        <w:tc>
          <w:tcPr>
            <w:tcW w:w="343" w:type="pct"/>
            <w:tcBorders>
              <w:top w:val="nil"/>
              <w:left w:val="nil"/>
              <w:bottom w:val="nil"/>
              <w:right w:val="single" w:sz="8" w:space="0" w:color="auto"/>
            </w:tcBorders>
            <w:shd w:val="clear" w:color="000000" w:fill="8EA9DB"/>
            <w:vAlign w:val="center"/>
            <w:hideMark/>
          </w:tcPr>
          <w:p w14:paraId="77FAD1E4"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 Efectividad</w:t>
            </w:r>
          </w:p>
        </w:tc>
        <w:tc>
          <w:tcPr>
            <w:tcW w:w="342" w:type="pct"/>
            <w:tcBorders>
              <w:top w:val="nil"/>
              <w:left w:val="nil"/>
              <w:bottom w:val="nil"/>
              <w:right w:val="single" w:sz="8" w:space="0" w:color="auto"/>
            </w:tcBorders>
            <w:shd w:val="clear" w:color="000000" w:fill="8EA9DB"/>
            <w:vAlign w:val="center"/>
            <w:hideMark/>
          </w:tcPr>
          <w:p w14:paraId="6C53104F"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Agendadas</w:t>
            </w:r>
          </w:p>
        </w:tc>
        <w:tc>
          <w:tcPr>
            <w:tcW w:w="342" w:type="pct"/>
            <w:tcBorders>
              <w:top w:val="nil"/>
              <w:left w:val="nil"/>
              <w:bottom w:val="nil"/>
              <w:right w:val="single" w:sz="8" w:space="0" w:color="auto"/>
            </w:tcBorders>
            <w:shd w:val="clear" w:color="000000" w:fill="8EA9DB"/>
            <w:vAlign w:val="center"/>
            <w:hideMark/>
          </w:tcPr>
          <w:p w14:paraId="49A5A9E6"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Realizadas</w:t>
            </w:r>
          </w:p>
        </w:tc>
        <w:tc>
          <w:tcPr>
            <w:tcW w:w="342" w:type="pct"/>
            <w:tcBorders>
              <w:top w:val="nil"/>
              <w:left w:val="nil"/>
              <w:bottom w:val="nil"/>
              <w:right w:val="single" w:sz="8" w:space="0" w:color="auto"/>
            </w:tcBorders>
            <w:shd w:val="clear" w:color="000000" w:fill="8EA9DB"/>
            <w:vAlign w:val="center"/>
            <w:hideMark/>
          </w:tcPr>
          <w:p w14:paraId="7373B87D"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No Realizadas</w:t>
            </w:r>
          </w:p>
        </w:tc>
        <w:tc>
          <w:tcPr>
            <w:tcW w:w="343" w:type="pct"/>
            <w:tcBorders>
              <w:top w:val="nil"/>
              <w:left w:val="nil"/>
              <w:bottom w:val="single" w:sz="4" w:space="0" w:color="auto"/>
              <w:right w:val="single" w:sz="8" w:space="0" w:color="auto"/>
            </w:tcBorders>
            <w:shd w:val="clear" w:color="000000" w:fill="8EA9DB"/>
            <w:vAlign w:val="center"/>
            <w:hideMark/>
          </w:tcPr>
          <w:p w14:paraId="39798EBE" w14:textId="77777777" w:rsidR="002C0DC3" w:rsidRPr="002C0DC3" w:rsidRDefault="002C0DC3" w:rsidP="002C0DC3">
            <w:pPr>
              <w:suppressAutoHyphens w:val="0"/>
              <w:jc w:val="center"/>
              <w:rPr>
                <w:rFonts w:eastAsia="Calibri"/>
                <w:b/>
                <w:bCs/>
                <w:lang w:val="es-CR" w:eastAsia="es-CR"/>
              </w:rPr>
            </w:pPr>
            <w:r w:rsidRPr="002C0DC3">
              <w:rPr>
                <w:rFonts w:eastAsia="Calibri"/>
                <w:b/>
                <w:bCs/>
                <w:vertAlign w:val="superscript"/>
                <w:lang w:val="es-CR" w:eastAsia="es-CR"/>
              </w:rPr>
              <w:t>% Efectividad</w:t>
            </w:r>
          </w:p>
        </w:tc>
      </w:tr>
      <w:tr w:rsidR="002C0DC3" w:rsidRPr="002C0DC3" w14:paraId="3F22A1AE" w14:textId="77777777" w:rsidTr="002C0DC3">
        <w:trPr>
          <w:trHeight w:val="441"/>
        </w:trPr>
        <w:tc>
          <w:tcPr>
            <w:tcW w:w="822" w:type="pct"/>
            <w:tcBorders>
              <w:top w:val="nil"/>
              <w:left w:val="single" w:sz="8" w:space="0" w:color="auto"/>
              <w:bottom w:val="single" w:sz="8" w:space="0" w:color="auto"/>
              <w:right w:val="nil"/>
            </w:tcBorders>
            <w:shd w:val="clear" w:color="auto" w:fill="auto"/>
            <w:vAlign w:val="center"/>
            <w:hideMark/>
          </w:tcPr>
          <w:p w14:paraId="6B8C38FD"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ICJ Guanacaste</w:t>
            </w:r>
          </w:p>
        </w:tc>
        <w:tc>
          <w:tcPr>
            <w:tcW w:w="41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D733C44" w14:textId="77777777" w:rsidR="002C0DC3" w:rsidRPr="002C0DC3" w:rsidRDefault="002C0DC3" w:rsidP="002C0DC3">
            <w:pPr>
              <w:suppressAutoHyphens w:val="0"/>
              <w:jc w:val="center"/>
              <w:rPr>
                <w:rFonts w:eastAsia="Calibri"/>
                <w:lang w:val="es-CR" w:eastAsia="es-CR"/>
              </w:rPr>
            </w:pPr>
          </w:p>
          <w:p w14:paraId="48DBEE5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322</w:t>
            </w:r>
          </w:p>
        </w:tc>
        <w:tc>
          <w:tcPr>
            <w:tcW w:w="342" w:type="pct"/>
            <w:tcBorders>
              <w:top w:val="single" w:sz="8" w:space="0" w:color="auto"/>
              <w:left w:val="nil"/>
              <w:bottom w:val="single" w:sz="8" w:space="0" w:color="auto"/>
              <w:right w:val="single" w:sz="8" w:space="0" w:color="auto"/>
            </w:tcBorders>
            <w:shd w:val="clear" w:color="auto" w:fill="auto"/>
            <w:vAlign w:val="center"/>
            <w:hideMark/>
          </w:tcPr>
          <w:p w14:paraId="38547B1E" w14:textId="77777777" w:rsidR="002C0DC3" w:rsidRPr="002C0DC3" w:rsidRDefault="002C0DC3" w:rsidP="002C0DC3">
            <w:pPr>
              <w:suppressAutoHyphens w:val="0"/>
              <w:jc w:val="center"/>
              <w:rPr>
                <w:rFonts w:eastAsia="Calibri"/>
                <w:lang w:val="es-CR" w:eastAsia="es-CR"/>
              </w:rPr>
            </w:pPr>
          </w:p>
          <w:p w14:paraId="1C04081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47</w:t>
            </w:r>
          </w:p>
        </w:tc>
        <w:tc>
          <w:tcPr>
            <w:tcW w:w="342" w:type="pct"/>
            <w:tcBorders>
              <w:top w:val="single" w:sz="8" w:space="0" w:color="auto"/>
              <w:left w:val="nil"/>
              <w:bottom w:val="single" w:sz="8" w:space="0" w:color="auto"/>
              <w:right w:val="single" w:sz="8" w:space="0" w:color="auto"/>
            </w:tcBorders>
            <w:shd w:val="clear" w:color="auto" w:fill="auto"/>
            <w:vAlign w:val="center"/>
            <w:hideMark/>
          </w:tcPr>
          <w:p w14:paraId="61B80EAF" w14:textId="77777777" w:rsidR="002C0DC3" w:rsidRPr="002C0DC3" w:rsidRDefault="002C0DC3" w:rsidP="002C0DC3">
            <w:pPr>
              <w:suppressAutoHyphens w:val="0"/>
              <w:jc w:val="center"/>
              <w:rPr>
                <w:rFonts w:eastAsia="Calibri"/>
                <w:lang w:val="es-CR" w:eastAsia="es-CR"/>
              </w:rPr>
            </w:pPr>
          </w:p>
          <w:p w14:paraId="6D183AB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275</w:t>
            </w:r>
          </w:p>
        </w:tc>
        <w:tc>
          <w:tcPr>
            <w:tcW w:w="343" w:type="pct"/>
            <w:tcBorders>
              <w:top w:val="single" w:sz="8" w:space="0" w:color="auto"/>
              <w:left w:val="nil"/>
              <w:bottom w:val="single" w:sz="8" w:space="0" w:color="auto"/>
              <w:right w:val="single" w:sz="8" w:space="0" w:color="auto"/>
            </w:tcBorders>
            <w:shd w:val="clear" w:color="auto" w:fill="auto"/>
            <w:vAlign w:val="center"/>
            <w:hideMark/>
          </w:tcPr>
          <w:p w14:paraId="55919B4E" w14:textId="77777777" w:rsidR="002C0DC3" w:rsidRPr="002C0DC3" w:rsidRDefault="002C0DC3" w:rsidP="002C0DC3">
            <w:pPr>
              <w:suppressAutoHyphens w:val="0"/>
              <w:jc w:val="center"/>
              <w:rPr>
                <w:rFonts w:eastAsia="Calibri"/>
                <w:lang w:val="es-CR" w:eastAsia="es-CR"/>
              </w:rPr>
            </w:pPr>
          </w:p>
          <w:p w14:paraId="4DFFDFE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15%</w:t>
            </w:r>
          </w:p>
        </w:tc>
        <w:tc>
          <w:tcPr>
            <w:tcW w:w="342" w:type="pct"/>
            <w:tcBorders>
              <w:top w:val="single" w:sz="8" w:space="0" w:color="auto"/>
              <w:left w:val="nil"/>
              <w:bottom w:val="single" w:sz="8" w:space="0" w:color="auto"/>
              <w:right w:val="single" w:sz="8" w:space="0" w:color="auto"/>
            </w:tcBorders>
            <w:shd w:val="clear" w:color="auto" w:fill="auto"/>
            <w:vAlign w:val="center"/>
            <w:hideMark/>
          </w:tcPr>
          <w:p w14:paraId="6C3E1961" w14:textId="77777777" w:rsidR="002C0DC3" w:rsidRPr="002C0DC3" w:rsidRDefault="002C0DC3" w:rsidP="002C0DC3">
            <w:pPr>
              <w:suppressAutoHyphens w:val="0"/>
              <w:jc w:val="center"/>
              <w:rPr>
                <w:rFonts w:eastAsia="Calibri"/>
                <w:lang w:val="es-CR" w:eastAsia="es-CR"/>
              </w:rPr>
            </w:pPr>
          </w:p>
          <w:p w14:paraId="2560845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741</w:t>
            </w:r>
          </w:p>
        </w:tc>
        <w:tc>
          <w:tcPr>
            <w:tcW w:w="342" w:type="pct"/>
            <w:tcBorders>
              <w:top w:val="single" w:sz="8" w:space="0" w:color="auto"/>
              <w:left w:val="nil"/>
              <w:bottom w:val="single" w:sz="8" w:space="0" w:color="auto"/>
              <w:right w:val="single" w:sz="8" w:space="0" w:color="auto"/>
            </w:tcBorders>
            <w:shd w:val="clear" w:color="auto" w:fill="auto"/>
            <w:vAlign w:val="center"/>
            <w:hideMark/>
          </w:tcPr>
          <w:p w14:paraId="02C2D3CF" w14:textId="77777777" w:rsidR="002C0DC3" w:rsidRPr="002C0DC3" w:rsidRDefault="002C0DC3" w:rsidP="002C0DC3">
            <w:pPr>
              <w:suppressAutoHyphens w:val="0"/>
              <w:jc w:val="center"/>
              <w:rPr>
                <w:rFonts w:eastAsia="Calibri"/>
                <w:lang w:val="es-CR" w:eastAsia="es-CR"/>
              </w:rPr>
            </w:pPr>
          </w:p>
          <w:p w14:paraId="07444E85"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361</w:t>
            </w:r>
          </w:p>
        </w:tc>
        <w:tc>
          <w:tcPr>
            <w:tcW w:w="342" w:type="pct"/>
            <w:tcBorders>
              <w:top w:val="single" w:sz="8" w:space="0" w:color="auto"/>
              <w:left w:val="nil"/>
              <w:bottom w:val="single" w:sz="8" w:space="0" w:color="auto"/>
              <w:right w:val="single" w:sz="8" w:space="0" w:color="auto"/>
            </w:tcBorders>
            <w:shd w:val="clear" w:color="auto" w:fill="auto"/>
            <w:vAlign w:val="center"/>
            <w:hideMark/>
          </w:tcPr>
          <w:p w14:paraId="6284FF23" w14:textId="77777777" w:rsidR="002C0DC3" w:rsidRPr="002C0DC3" w:rsidRDefault="002C0DC3" w:rsidP="002C0DC3">
            <w:pPr>
              <w:suppressAutoHyphens w:val="0"/>
              <w:jc w:val="center"/>
              <w:rPr>
                <w:rFonts w:eastAsia="Calibri"/>
                <w:lang w:val="es-CR" w:eastAsia="es-CR"/>
              </w:rPr>
            </w:pPr>
          </w:p>
          <w:p w14:paraId="233CC2B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380</w:t>
            </w:r>
          </w:p>
        </w:tc>
        <w:tc>
          <w:tcPr>
            <w:tcW w:w="343" w:type="pct"/>
            <w:tcBorders>
              <w:top w:val="single" w:sz="8" w:space="0" w:color="auto"/>
              <w:left w:val="nil"/>
              <w:bottom w:val="single" w:sz="8" w:space="0" w:color="auto"/>
              <w:right w:val="single" w:sz="8" w:space="0" w:color="auto"/>
            </w:tcBorders>
            <w:shd w:val="clear" w:color="auto" w:fill="auto"/>
            <w:vAlign w:val="center"/>
            <w:hideMark/>
          </w:tcPr>
          <w:p w14:paraId="6D079FD4" w14:textId="77777777" w:rsidR="002C0DC3" w:rsidRPr="002C0DC3" w:rsidRDefault="002C0DC3" w:rsidP="002C0DC3">
            <w:pPr>
              <w:suppressAutoHyphens w:val="0"/>
              <w:jc w:val="center"/>
              <w:rPr>
                <w:rFonts w:eastAsia="Calibri"/>
                <w:b/>
                <w:bCs/>
                <w:lang w:val="es-CR" w:eastAsia="es-CR"/>
              </w:rPr>
            </w:pPr>
          </w:p>
          <w:p w14:paraId="588B79AE"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49%</w:t>
            </w:r>
          </w:p>
        </w:tc>
        <w:tc>
          <w:tcPr>
            <w:tcW w:w="342" w:type="pct"/>
            <w:tcBorders>
              <w:top w:val="single" w:sz="8" w:space="0" w:color="auto"/>
              <w:left w:val="nil"/>
              <w:bottom w:val="single" w:sz="8" w:space="0" w:color="auto"/>
              <w:right w:val="single" w:sz="8" w:space="0" w:color="auto"/>
            </w:tcBorders>
            <w:shd w:val="clear" w:color="auto" w:fill="auto"/>
            <w:vAlign w:val="center"/>
            <w:hideMark/>
          </w:tcPr>
          <w:p w14:paraId="79C7F72D" w14:textId="77777777" w:rsidR="002C0DC3" w:rsidRPr="002C0DC3" w:rsidRDefault="002C0DC3" w:rsidP="002C0DC3">
            <w:pPr>
              <w:suppressAutoHyphens w:val="0"/>
              <w:jc w:val="center"/>
              <w:rPr>
                <w:rFonts w:eastAsia="Calibri"/>
                <w:lang w:val="es-CR" w:eastAsia="es-CR"/>
              </w:rPr>
            </w:pPr>
          </w:p>
          <w:p w14:paraId="076279E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w:t>
            </w:r>
          </w:p>
        </w:tc>
        <w:tc>
          <w:tcPr>
            <w:tcW w:w="342" w:type="pct"/>
            <w:tcBorders>
              <w:top w:val="single" w:sz="8" w:space="0" w:color="auto"/>
              <w:left w:val="nil"/>
              <w:bottom w:val="single" w:sz="8" w:space="0" w:color="auto"/>
              <w:right w:val="single" w:sz="8" w:space="0" w:color="auto"/>
            </w:tcBorders>
            <w:shd w:val="clear" w:color="auto" w:fill="auto"/>
            <w:vAlign w:val="center"/>
            <w:hideMark/>
          </w:tcPr>
          <w:p w14:paraId="67EC473F" w14:textId="77777777" w:rsidR="002C0DC3" w:rsidRPr="002C0DC3" w:rsidRDefault="002C0DC3" w:rsidP="002C0DC3">
            <w:pPr>
              <w:suppressAutoHyphens w:val="0"/>
              <w:jc w:val="center"/>
              <w:rPr>
                <w:rFonts w:eastAsia="Calibri"/>
                <w:lang w:val="es-CR" w:eastAsia="es-CR"/>
              </w:rPr>
            </w:pPr>
          </w:p>
          <w:p w14:paraId="6E76270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5</w:t>
            </w:r>
          </w:p>
        </w:tc>
        <w:tc>
          <w:tcPr>
            <w:tcW w:w="342" w:type="pct"/>
            <w:tcBorders>
              <w:top w:val="single" w:sz="8" w:space="0" w:color="auto"/>
              <w:left w:val="nil"/>
              <w:bottom w:val="single" w:sz="8" w:space="0" w:color="auto"/>
              <w:right w:val="single" w:sz="8" w:space="0" w:color="auto"/>
            </w:tcBorders>
            <w:shd w:val="clear" w:color="auto" w:fill="auto"/>
            <w:vAlign w:val="center"/>
            <w:hideMark/>
          </w:tcPr>
          <w:p w14:paraId="45C4545E" w14:textId="77777777" w:rsidR="002C0DC3" w:rsidRPr="002C0DC3" w:rsidRDefault="002C0DC3" w:rsidP="002C0DC3">
            <w:pPr>
              <w:suppressAutoHyphens w:val="0"/>
              <w:jc w:val="center"/>
              <w:rPr>
                <w:rFonts w:eastAsia="Calibri"/>
                <w:lang w:val="es-CR" w:eastAsia="es-CR"/>
              </w:rPr>
            </w:pPr>
          </w:p>
          <w:p w14:paraId="17E57AB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w:t>
            </w:r>
          </w:p>
        </w:tc>
        <w:tc>
          <w:tcPr>
            <w:tcW w:w="343" w:type="pct"/>
            <w:tcBorders>
              <w:top w:val="single" w:sz="4" w:space="0" w:color="auto"/>
              <w:left w:val="nil"/>
              <w:bottom w:val="single" w:sz="4" w:space="0" w:color="auto"/>
              <w:right w:val="single" w:sz="8" w:space="0" w:color="auto"/>
            </w:tcBorders>
            <w:shd w:val="clear" w:color="auto" w:fill="auto"/>
            <w:noWrap/>
            <w:vAlign w:val="bottom"/>
            <w:hideMark/>
          </w:tcPr>
          <w:p w14:paraId="59A236F1" w14:textId="77777777" w:rsidR="002C0DC3" w:rsidRPr="002C0DC3" w:rsidRDefault="002C0DC3" w:rsidP="002C0DC3">
            <w:pPr>
              <w:widowControl w:val="0"/>
              <w:suppressAutoHyphens w:val="0"/>
              <w:jc w:val="center"/>
              <w:rPr>
                <w:rFonts w:eastAsia="Calibri"/>
                <w:lang w:val="es-CR" w:eastAsia="es-CR"/>
              </w:rPr>
            </w:pPr>
            <w:r w:rsidRPr="002C0DC3">
              <w:rPr>
                <w:rFonts w:eastAsia="Calibri"/>
                <w:b/>
                <w:bCs/>
                <w:lang w:val="es-CR" w:eastAsia="es-CR"/>
              </w:rPr>
              <w:t>83%</w:t>
            </w:r>
          </w:p>
        </w:tc>
      </w:tr>
      <w:tr w:rsidR="002C0DC3" w:rsidRPr="002C0DC3" w14:paraId="6F863361" w14:textId="77777777" w:rsidTr="002C0DC3">
        <w:trPr>
          <w:trHeight w:val="249"/>
        </w:trPr>
        <w:tc>
          <w:tcPr>
            <w:tcW w:w="822" w:type="pct"/>
            <w:tcBorders>
              <w:top w:val="nil"/>
              <w:left w:val="single" w:sz="8" w:space="0" w:color="auto"/>
              <w:bottom w:val="single" w:sz="8" w:space="0" w:color="auto"/>
              <w:right w:val="nil"/>
            </w:tcBorders>
            <w:shd w:val="clear" w:color="auto" w:fill="auto"/>
            <w:vAlign w:val="center"/>
            <w:hideMark/>
          </w:tcPr>
          <w:p w14:paraId="2EA159CB"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Cartago</w:t>
            </w:r>
          </w:p>
        </w:tc>
        <w:tc>
          <w:tcPr>
            <w:tcW w:w="411" w:type="pct"/>
            <w:tcBorders>
              <w:top w:val="nil"/>
              <w:left w:val="single" w:sz="8" w:space="0" w:color="auto"/>
              <w:bottom w:val="single" w:sz="8" w:space="0" w:color="auto"/>
              <w:right w:val="single" w:sz="8" w:space="0" w:color="auto"/>
            </w:tcBorders>
            <w:shd w:val="clear" w:color="auto" w:fill="auto"/>
            <w:noWrap/>
            <w:vAlign w:val="bottom"/>
            <w:hideMark/>
          </w:tcPr>
          <w:p w14:paraId="7EFE827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584</w:t>
            </w:r>
          </w:p>
        </w:tc>
        <w:tc>
          <w:tcPr>
            <w:tcW w:w="342" w:type="pct"/>
            <w:tcBorders>
              <w:top w:val="nil"/>
              <w:left w:val="nil"/>
              <w:bottom w:val="single" w:sz="8" w:space="0" w:color="auto"/>
              <w:right w:val="nil"/>
            </w:tcBorders>
            <w:shd w:val="clear" w:color="auto" w:fill="auto"/>
            <w:vAlign w:val="center"/>
            <w:hideMark/>
          </w:tcPr>
          <w:p w14:paraId="04DFA7D0" w14:textId="77777777" w:rsidR="002C0DC3" w:rsidRPr="002C0DC3" w:rsidRDefault="002C0DC3" w:rsidP="002C0DC3">
            <w:pPr>
              <w:suppressAutoHyphens w:val="0"/>
              <w:jc w:val="center"/>
              <w:rPr>
                <w:rFonts w:eastAsia="Calibri"/>
                <w:lang w:val="es-CR" w:eastAsia="es-CR"/>
              </w:rPr>
            </w:pPr>
          </w:p>
          <w:p w14:paraId="133579D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143</w:t>
            </w:r>
          </w:p>
        </w:tc>
        <w:tc>
          <w:tcPr>
            <w:tcW w:w="342" w:type="pct"/>
            <w:tcBorders>
              <w:top w:val="nil"/>
              <w:left w:val="single" w:sz="8" w:space="0" w:color="auto"/>
              <w:bottom w:val="single" w:sz="8" w:space="0" w:color="auto"/>
              <w:right w:val="single" w:sz="8" w:space="0" w:color="auto"/>
            </w:tcBorders>
            <w:shd w:val="clear" w:color="auto" w:fill="auto"/>
            <w:vAlign w:val="center"/>
            <w:hideMark/>
          </w:tcPr>
          <w:p w14:paraId="05908F3E" w14:textId="77777777" w:rsidR="002C0DC3" w:rsidRPr="002C0DC3" w:rsidRDefault="002C0DC3" w:rsidP="002C0DC3">
            <w:pPr>
              <w:suppressAutoHyphens w:val="0"/>
              <w:jc w:val="center"/>
              <w:rPr>
                <w:rFonts w:eastAsia="Calibri"/>
                <w:lang w:val="es-CR" w:eastAsia="es-CR"/>
              </w:rPr>
            </w:pPr>
          </w:p>
          <w:p w14:paraId="15D3F85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441</w:t>
            </w:r>
          </w:p>
        </w:tc>
        <w:tc>
          <w:tcPr>
            <w:tcW w:w="343" w:type="pct"/>
            <w:tcBorders>
              <w:top w:val="nil"/>
              <w:left w:val="nil"/>
              <w:bottom w:val="single" w:sz="8" w:space="0" w:color="auto"/>
              <w:right w:val="nil"/>
            </w:tcBorders>
            <w:shd w:val="clear" w:color="auto" w:fill="auto"/>
            <w:vAlign w:val="center"/>
            <w:hideMark/>
          </w:tcPr>
          <w:p w14:paraId="7FEB11FF" w14:textId="77777777" w:rsidR="002C0DC3" w:rsidRPr="002C0DC3" w:rsidRDefault="002C0DC3" w:rsidP="002C0DC3">
            <w:pPr>
              <w:suppressAutoHyphens w:val="0"/>
              <w:jc w:val="center"/>
              <w:rPr>
                <w:rFonts w:eastAsia="Calibri"/>
                <w:lang w:val="es-CR" w:eastAsia="es-CR"/>
              </w:rPr>
            </w:pPr>
          </w:p>
          <w:p w14:paraId="781E4F2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24%</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14:paraId="3DCFA48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669</w:t>
            </w:r>
          </w:p>
        </w:tc>
        <w:tc>
          <w:tcPr>
            <w:tcW w:w="342" w:type="pct"/>
            <w:tcBorders>
              <w:top w:val="nil"/>
              <w:left w:val="nil"/>
              <w:bottom w:val="single" w:sz="8" w:space="0" w:color="auto"/>
              <w:right w:val="nil"/>
            </w:tcBorders>
            <w:shd w:val="clear" w:color="auto" w:fill="auto"/>
            <w:vAlign w:val="center"/>
            <w:hideMark/>
          </w:tcPr>
          <w:p w14:paraId="61E861CE" w14:textId="77777777" w:rsidR="002C0DC3" w:rsidRPr="002C0DC3" w:rsidRDefault="002C0DC3" w:rsidP="002C0DC3">
            <w:pPr>
              <w:suppressAutoHyphens w:val="0"/>
              <w:jc w:val="center"/>
              <w:rPr>
                <w:rFonts w:eastAsia="Calibri"/>
                <w:lang w:val="es-CR" w:eastAsia="es-CR"/>
              </w:rPr>
            </w:pPr>
          </w:p>
          <w:p w14:paraId="2AFCF89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147</w:t>
            </w:r>
          </w:p>
        </w:tc>
        <w:tc>
          <w:tcPr>
            <w:tcW w:w="342" w:type="pct"/>
            <w:tcBorders>
              <w:top w:val="nil"/>
              <w:left w:val="single" w:sz="8" w:space="0" w:color="auto"/>
              <w:bottom w:val="single" w:sz="8" w:space="0" w:color="auto"/>
              <w:right w:val="single" w:sz="8" w:space="0" w:color="auto"/>
            </w:tcBorders>
            <w:shd w:val="clear" w:color="auto" w:fill="auto"/>
            <w:vAlign w:val="center"/>
            <w:hideMark/>
          </w:tcPr>
          <w:p w14:paraId="45D9DA7A" w14:textId="77777777" w:rsidR="002C0DC3" w:rsidRPr="002C0DC3" w:rsidRDefault="002C0DC3" w:rsidP="002C0DC3">
            <w:pPr>
              <w:suppressAutoHyphens w:val="0"/>
              <w:jc w:val="center"/>
              <w:rPr>
                <w:rFonts w:eastAsia="Calibri"/>
                <w:lang w:val="es-CR" w:eastAsia="es-CR"/>
              </w:rPr>
            </w:pPr>
          </w:p>
          <w:p w14:paraId="519F4C7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522</w:t>
            </w:r>
          </w:p>
        </w:tc>
        <w:tc>
          <w:tcPr>
            <w:tcW w:w="343" w:type="pct"/>
            <w:tcBorders>
              <w:top w:val="nil"/>
              <w:left w:val="nil"/>
              <w:bottom w:val="single" w:sz="8" w:space="0" w:color="auto"/>
              <w:right w:val="nil"/>
            </w:tcBorders>
            <w:shd w:val="clear" w:color="auto" w:fill="auto"/>
            <w:vAlign w:val="center"/>
            <w:hideMark/>
          </w:tcPr>
          <w:p w14:paraId="674467E3" w14:textId="77777777" w:rsidR="002C0DC3" w:rsidRPr="002C0DC3" w:rsidRDefault="002C0DC3" w:rsidP="002C0DC3">
            <w:pPr>
              <w:suppressAutoHyphens w:val="0"/>
              <w:jc w:val="center"/>
              <w:rPr>
                <w:rFonts w:eastAsia="Calibri"/>
                <w:b/>
                <w:bCs/>
                <w:lang w:val="es-CR" w:eastAsia="es-CR"/>
              </w:rPr>
            </w:pPr>
          </w:p>
          <w:p w14:paraId="46524B54"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22%</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14:paraId="5E20A38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23</w:t>
            </w:r>
          </w:p>
        </w:tc>
        <w:tc>
          <w:tcPr>
            <w:tcW w:w="342" w:type="pct"/>
            <w:tcBorders>
              <w:top w:val="nil"/>
              <w:left w:val="nil"/>
              <w:bottom w:val="single" w:sz="8" w:space="0" w:color="auto"/>
              <w:right w:val="nil"/>
            </w:tcBorders>
            <w:shd w:val="clear" w:color="auto" w:fill="auto"/>
            <w:vAlign w:val="center"/>
            <w:hideMark/>
          </w:tcPr>
          <w:p w14:paraId="252DDC2A" w14:textId="77777777" w:rsidR="002C0DC3" w:rsidRPr="002C0DC3" w:rsidRDefault="002C0DC3" w:rsidP="002C0DC3">
            <w:pPr>
              <w:suppressAutoHyphens w:val="0"/>
              <w:jc w:val="center"/>
              <w:rPr>
                <w:rFonts w:eastAsia="Calibri"/>
                <w:lang w:val="es-CR" w:eastAsia="es-CR"/>
              </w:rPr>
            </w:pPr>
          </w:p>
          <w:p w14:paraId="6B640F9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14</w:t>
            </w:r>
          </w:p>
        </w:tc>
        <w:tc>
          <w:tcPr>
            <w:tcW w:w="342" w:type="pct"/>
            <w:tcBorders>
              <w:top w:val="nil"/>
              <w:left w:val="single" w:sz="8" w:space="0" w:color="auto"/>
              <w:bottom w:val="single" w:sz="8" w:space="0" w:color="auto"/>
              <w:right w:val="single" w:sz="8" w:space="0" w:color="auto"/>
            </w:tcBorders>
            <w:shd w:val="clear" w:color="auto" w:fill="auto"/>
            <w:vAlign w:val="center"/>
            <w:hideMark/>
          </w:tcPr>
          <w:p w14:paraId="78B74056" w14:textId="77777777" w:rsidR="002C0DC3" w:rsidRPr="002C0DC3" w:rsidRDefault="002C0DC3" w:rsidP="002C0DC3">
            <w:pPr>
              <w:suppressAutoHyphens w:val="0"/>
              <w:jc w:val="center"/>
              <w:rPr>
                <w:rFonts w:eastAsia="Calibri"/>
                <w:lang w:val="es-CR" w:eastAsia="es-CR"/>
              </w:rPr>
            </w:pPr>
          </w:p>
          <w:p w14:paraId="292C28D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9</w:t>
            </w:r>
          </w:p>
        </w:tc>
        <w:tc>
          <w:tcPr>
            <w:tcW w:w="343" w:type="pct"/>
            <w:tcBorders>
              <w:top w:val="single" w:sz="4" w:space="0" w:color="auto"/>
              <w:left w:val="nil"/>
              <w:bottom w:val="nil"/>
              <w:right w:val="single" w:sz="8" w:space="0" w:color="auto"/>
            </w:tcBorders>
            <w:shd w:val="clear" w:color="auto" w:fill="auto"/>
            <w:noWrap/>
            <w:vAlign w:val="bottom"/>
            <w:hideMark/>
          </w:tcPr>
          <w:p w14:paraId="1E2794D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61%</w:t>
            </w:r>
          </w:p>
        </w:tc>
      </w:tr>
      <w:tr w:rsidR="002C0DC3" w:rsidRPr="002C0DC3" w14:paraId="615D294A" w14:textId="77777777" w:rsidTr="002C0DC3">
        <w:trPr>
          <w:trHeight w:val="441"/>
        </w:trPr>
        <w:tc>
          <w:tcPr>
            <w:tcW w:w="822" w:type="pct"/>
            <w:tcBorders>
              <w:top w:val="nil"/>
              <w:left w:val="single" w:sz="8" w:space="0" w:color="auto"/>
              <w:bottom w:val="single" w:sz="8" w:space="0" w:color="auto"/>
              <w:right w:val="nil"/>
            </w:tcBorders>
            <w:shd w:val="clear" w:color="auto" w:fill="auto"/>
            <w:vAlign w:val="center"/>
            <w:hideMark/>
          </w:tcPr>
          <w:p w14:paraId="0A6DF552"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ICJ Zona Atlántica</w:t>
            </w:r>
          </w:p>
        </w:tc>
        <w:tc>
          <w:tcPr>
            <w:tcW w:w="411" w:type="pct"/>
            <w:tcBorders>
              <w:top w:val="nil"/>
              <w:left w:val="single" w:sz="8" w:space="0" w:color="auto"/>
              <w:bottom w:val="single" w:sz="8" w:space="0" w:color="auto"/>
              <w:right w:val="single" w:sz="8" w:space="0" w:color="auto"/>
            </w:tcBorders>
            <w:shd w:val="clear" w:color="auto" w:fill="auto"/>
            <w:noWrap/>
            <w:vAlign w:val="bottom"/>
            <w:hideMark/>
          </w:tcPr>
          <w:p w14:paraId="3768FF9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334 </w:t>
            </w:r>
          </w:p>
        </w:tc>
        <w:tc>
          <w:tcPr>
            <w:tcW w:w="342" w:type="pct"/>
            <w:tcBorders>
              <w:top w:val="nil"/>
              <w:left w:val="nil"/>
              <w:bottom w:val="single" w:sz="8" w:space="0" w:color="auto"/>
              <w:right w:val="nil"/>
            </w:tcBorders>
            <w:shd w:val="clear" w:color="auto" w:fill="auto"/>
            <w:noWrap/>
            <w:vAlign w:val="bottom"/>
            <w:hideMark/>
          </w:tcPr>
          <w:p w14:paraId="5223060C" w14:textId="77777777" w:rsidR="002C0DC3" w:rsidRPr="002C0DC3" w:rsidRDefault="002C0DC3" w:rsidP="002C0DC3">
            <w:pPr>
              <w:suppressAutoHyphens w:val="0"/>
              <w:jc w:val="center"/>
              <w:rPr>
                <w:rFonts w:eastAsia="Calibri"/>
                <w:lang w:val="es-CR" w:eastAsia="es-CR"/>
              </w:rPr>
            </w:pPr>
          </w:p>
          <w:p w14:paraId="24ABD64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45</w:t>
            </w:r>
          </w:p>
          <w:p w14:paraId="6F48F693" w14:textId="77777777" w:rsidR="002C0DC3" w:rsidRPr="002C0DC3" w:rsidRDefault="002C0DC3" w:rsidP="002C0DC3">
            <w:pPr>
              <w:suppressAutoHyphens w:val="0"/>
              <w:jc w:val="center"/>
              <w:rPr>
                <w:rFonts w:eastAsia="Calibri"/>
                <w:lang w:val="es-CR" w:eastAsia="es-CR"/>
              </w:rPr>
            </w:pP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14:paraId="5D2864D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289 </w:t>
            </w:r>
          </w:p>
        </w:tc>
        <w:tc>
          <w:tcPr>
            <w:tcW w:w="343" w:type="pct"/>
            <w:tcBorders>
              <w:top w:val="nil"/>
              <w:left w:val="nil"/>
              <w:bottom w:val="single" w:sz="8" w:space="0" w:color="auto"/>
              <w:right w:val="nil"/>
            </w:tcBorders>
            <w:shd w:val="clear" w:color="auto" w:fill="auto"/>
            <w:noWrap/>
            <w:vAlign w:val="bottom"/>
            <w:hideMark/>
          </w:tcPr>
          <w:p w14:paraId="71B1FE5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13% </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14:paraId="54777F8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754</w:t>
            </w:r>
          </w:p>
        </w:tc>
        <w:tc>
          <w:tcPr>
            <w:tcW w:w="342" w:type="pct"/>
            <w:tcBorders>
              <w:top w:val="nil"/>
              <w:left w:val="nil"/>
              <w:bottom w:val="single" w:sz="8" w:space="0" w:color="auto"/>
              <w:right w:val="nil"/>
            </w:tcBorders>
            <w:shd w:val="clear" w:color="auto" w:fill="auto"/>
            <w:noWrap/>
            <w:vAlign w:val="center"/>
            <w:hideMark/>
          </w:tcPr>
          <w:p w14:paraId="0764977F" w14:textId="77777777" w:rsidR="002C0DC3" w:rsidRPr="002C0DC3" w:rsidRDefault="002C0DC3" w:rsidP="002C0DC3">
            <w:pPr>
              <w:suppressAutoHyphens w:val="0"/>
              <w:jc w:val="center"/>
              <w:rPr>
                <w:rFonts w:eastAsia="Calibri"/>
                <w:lang w:val="es-CR" w:eastAsia="es-CR"/>
              </w:rPr>
            </w:pPr>
          </w:p>
          <w:p w14:paraId="391485C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77</w:t>
            </w:r>
          </w:p>
        </w:tc>
        <w:tc>
          <w:tcPr>
            <w:tcW w:w="342" w:type="pct"/>
            <w:tcBorders>
              <w:top w:val="nil"/>
              <w:left w:val="single" w:sz="8" w:space="0" w:color="auto"/>
              <w:bottom w:val="single" w:sz="8" w:space="0" w:color="auto"/>
              <w:right w:val="single" w:sz="8" w:space="0" w:color="auto"/>
            </w:tcBorders>
            <w:shd w:val="clear" w:color="auto" w:fill="auto"/>
            <w:noWrap/>
            <w:vAlign w:val="center"/>
            <w:hideMark/>
          </w:tcPr>
          <w:p w14:paraId="635C13CE" w14:textId="77777777" w:rsidR="002C0DC3" w:rsidRPr="002C0DC3" w:rsidRDefault="002C0DC3" w:rsidP="002C0DC3">
            <w:pPr>
              <w:suppressAutoHyphens w:val="0"/>
              <w:jc w:val="center"/>
              <w:rPr>
                <w:rFonts w:eastAsia="Calibri"/>
                <w:lang w:val="es-CR" w:eastAsia="es-CR"/>
              </w:rPr>
            </w:pPr>
          </w:p>
          <w:p w14:paraId="5E70A5B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677</w:t>
            </w:r>
          </w:p>
        </w:tc>
        <w:tc>
          <w:tcPr>
            <w:tcW w:w="343" w:type="pct"/>
            <w:tcBorders>
              <w:top w:val="nil"/>
              <w:left w:val="nil"/>
              <w:bottom w:val="single" w:sz="8" w:space="0" w:color="auto"/>
              <w:right w:val="nil"/>
            </w:tcBorders>
            <w:shd w:val="clear" w:color="auto" w:fill="auto"/>
            <w:noWrap/>
            <w:vAlign w:val="center"/>
            <w:hideMark/>
          </w:tcPr>
          <w:p w14:paraId="2293570C" w14:textId="77777777" w:rsidR="002C0DC3" w:rsidRPr="002C0DC3" w:rsidRDefault="002C0DC3" w:rsidP="002C0DC3">
            <w:pPr>
              <w:suppressAutoHyphens w:val="0"/>
              <w:jc w:val="center"/>
              <w:rPr>
                <w:rFonts w:eastAsia="Calibri"/>
                <w:b/>
                <w:bCs/>
                <w:lang w:val="es-CR" w:eastAsia="es-CR"/>
              </w:rPr>
            </w:pPr>
          </w:p>
          <w:p w14:paraId="097F25DA"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10%</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14:paraId="6DDBE26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w:t>
            </w:r>
          </w:p>
        </w:tc>
        <w:tc>
          <w:tcPr>
            <w:tcW w:w="342" w:type="pct"/>
            <w:tcBorders>
              <w:top w:val="nil"/>
              <w:left w:val="nil"/>
              <w:bottom w:val="single" w:sz="8" w:space="0" w:color="auto"/>
              <w:right w:val="nil"/>
            </w:tcBorders>
            <w:shd w:val="clear" w:color="auto" w:fill="auto"/>
            <w:vAlign w:val="center"/>
            <w:hideMark/>
          </w:tcPr>
          <w:p w14:paraId="27896AD4" w14:textId="77777777" w:rsidR="002C0DC3" w:rsidRPr="002C0DC3" w:rsidRDefault="002C0DC3" w:rsidP="002C0DC3">
            <w:pPr>
              <w:suppressAutoHyphens w:val="0"/>
              <w:jc w:val="center"/>
              <w:rPr>
                <w:rFonts w:eastAsia="Calibri"/>
                <w:b/>
                <w:bCs/>
                <w:lang w:val="es-CR" w:eastAsia="es-CR"/>
              </w:rPr>
            </w:pPr>
          </w:p>
          <w:p w14:paraId="5DD3FF96"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0</w:t>
            </w:r>
          </w:p>
        </w:tc>
        <w:tc>
          <w:tcPr>
            <w:tcW w:w="342" w:type="pct"/>
            <w:tcBorders>
              <w:top w:val="nil"/>
              <w:left w:val="single" w:sz="8" w:space="0" w:color="auto"/>
              <w:bottom w:val="single" w:sz="8" w:space="0" w:color="auto"/>
              <w:right w:val="single" w:sz="8" w:space="0" w:color="auto"/>
            </w:tcBorders>
            <w:shd w:val="clear" w:color="auto" w:fill="auto"/>
            <w:vAlign w:val="center"/>
            <w:hideMark/>
          </w:tcPr>
          <w:p w14:paraId="2900FCA7" w14:textId="77777777" w:rsidR="002C0DC3" w:rsidRPr="002C0DC3" w:rsidRDefault="002C0DC3" w:rsidP="002C0DC3">
            <w:pPr>
              <w:suppressAutoHyphens w:val="0"/>
              <w:jc w:val="center"/>
              <w:rPr>
                <w:rFonts w:eastAsia="Calibri"/>
                <w:b/>
                <w:bCs/>
                <w:lang w:val="es-CR" w:eastAsia="es-CR"/>
              </w:rPr>
            </w:pPr>
          </w:p>
          <w:p w14:paraId="25E9605F"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1</w:t>
            </w:r>
          </w:p>
        </w:tc>
        <w:tc>
          <w:tcPr>
            <w:tcW w:w="343" w:type="pct"/>
            <w:tcBorders>
              <w:top w:val="single" w:sz="8" w:space="0" w:color="auto"/>
              <w:left w:val="nil"/>
              <w:bottom w:val="single" w:sz="8" w:space="0" w:color="auto"/>
              <w:right w:val="single" w:sz="8" w:space="0" w:color="auto"/>
            </w:tcBorders>
            <w:shd w:val="clear" w:color="auto" w:fill="auto"/>
            <w:vAlign w:val="center"/>
            <w:hideMark/>
          </w:tcPr>
          <w:p w14:paraId="0522DDDA" w14:textId="77777777" w:rsidR="002C0DC3" w:rsidRPr="002C0DC3" w:rsidRDefault="002C0DC3" w:rsidP="002C0DC3">
            <w:pPr>
              <w:suppressAutoHyphens w:val="0"/>
              <w:jc w:val="center"/>
              <w:rPr>
                <w:rFonts w:eastAsia="Calibri"/>
                <w:b/>
                <w:bCs/>
                <w:lang w:val="es-CR" w:eastAsia="es-CR"/>
              </w:rPr>
            </w:pPr>
          </w:p>
          <w:p w14:paraId="25A5B6A9"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0%</w:t>
            </w:r>
          </w:p>
        </w:tc>
      </w:tr>
      <w:tr w:rsidR="002C0DC3" w:rsidRPr="002C0DC3" w14:paraId="53946157" w14:textId="77777777" w:rsidTr="002C0DC3">
        <w:trPr>
          <w:trHeight w:val="441"/>
        </w:trPr>
        <w:tc>
          <w:tcPr>
            <w:tcW w:w="822" w:type="pct"/>
            <w:tcBorders>
              <w:top w:val="nil"/>
              <w:left w:val="single" w:sz="8" w:space="0" w:color="auto"/>
              <w:bottom w:val="single" w:sz="8" w:space="0" w:color="auto"/>
              <w:right w:val="nil"/>
            </w:tcBorders>
            <w:shd w:val="clear" w:color="auto" w:fill="auto"/>
            <w:vAlign w:val="center"/>
            <w:hideMark/>
          </w:tcPr>
          <w:p w14:paraId="4E05E90E"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ICJ de Alajuela</w:t>
            </w:r>
          </w:p>
        </w:tc>
        <w:tc>
          <w:tcPr>
            <w:tcW w:w="411" w:type="pct"/>
            <w:tcBorders>
              <w:top w:val="nil"/>
              <w:left w:val="single" w:sz="8" w:space="0" w:color="auto"/>
              <w:bottom w:val="nil"/>
              <w:right w:val="single" w:sz="8" w:space="0" w:color="auto"/>
            </w:tcBorders>
            <w:shd w:val="clear" w:color="auto" w:fill="auto"/>
            <w:noWrap/>
            <w:vAlign w:val="bottom"/>
            <w:hideMark/>
          </w:tcPr>
          <w:p w14:paraId="53CA8A83"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1023</w:t>
            </w:r>
          </w:p>
        </w:tc>
        <w:tc>
          <w:tcPr>
            <w:tcW w:w="342" w:type="pct"/>
            <w:tcBorders>
              <w:top w:val="nil"/>
              <w:left w:val="nil"/>
              <w:bottom w:val="nil"/>
              <w:right w:val="nil"/>
            </w:tcBorders>
            <w:shd w:val="clear" w:color="auto" w:fill="auto"/>
            <w:noWrap/>
            <w:vAlign w:val="bottom"/>
            <w:hideMark/>
          </w:tcPr>
          <w:p w14:paraId="1C30A7E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238</w:t>
            </w:r>
          </w:p>
        </w:tc>
        <w:tc>
          <w:tcPr>
            <w:tcW w:w="342" w:type="pct"/>
            <w:tcBorders>
              <w:top w:val="nil"/>
              <w:left w:val="single" w:sz="8" w:space="0" w:color="auto"/>
              <w:bottom w:val="nil"/>
              <w:right w:val="single" w:sz="8" w:space="0" w:color="auto"/>
            </w:tcBorders>
            <w:shd w:val="clear" w:color="auto" w:fill="auto"/>
            <w:noWrap/>
            <w:vAlign w:val="bottom"/>
            <w:hideMark/>
          </w:tcPr>
          <w:p w14:paraId="11A6C48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785</w:t>
            </w:r>
          </w:p>
        </w:tc>
        <w:tc>
          <w:tcPr>
            <w:tcW w:w="343" w:type="pct"/>
            <w:tcBorders>
              <w:top w:val="nil"/>
              <w:left w:val="nil"/>
              <w:bottom w:val="nil"/>
              <w:right w:val="nil"/>
            </w:tcBorders>
            <w:shd w:val="clear" w:color="auto" w:fill="auto"/>
            <w:noWrap/>
            <w:vAlign w:val="bottom"/>
            <w:hideMark/>
          </w:tcPr>
          <w:p w14:paraId="45CE46EF"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23%</w:t>
            </w:r>
          </w:p>
        </w:tc>
        <w:tc>
          <w:tcPr>
            <w:tcW w:w="342" w:type="pct"/>
            <w:tcBorders>
              <w:top w:val="nil"/>
              <w:left w:val="single" w:sz="8" w:space="0" w:color="auto"/>
              <w:bottom w:val="nil"/>
              <w:right w:val="single" w:sz="8" w:space="0" w:color="auto"/>
            </w:tcBorders>
            <w:shd w:val="clear" w:color="auto" w:fill="auto"/>
            <w:noWrap/>
            <w:vAlign w:val="center"/>
            <w:hideMark/>
          </w:tcPr>
          <w:p w14:paraId="15841B24" w14:textId="77777777" w:rsidR="002C0DC3" w:rsidRPr="002C0DC3" w:rsidRDefault="002C0DC3" w:rsidP="002C0DC3">
            <w:pPr>
              <w:suppressAutoHyphens w:val="0"/>
              <w:jc w:val="center"/>
              <w:rPr>
                <w:rFonts w:eastAsia="Calibri"/>
                <w:lang w:val="es-CR" w:eastAsia="es-CR"/>
              </w:rPr>
            </w:pPr>
          </w:p>
          <w:p w14:paraId="0811DF2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1603</w:t>
            </w:r>
          </w:p>
        </w:tc>
        <w:tc>
          <w:tcPr>
            <w:tcW w:w="342" w:type="pct"/>
            <w:tcBorders>
              <w:top w:val="nil"/>
              <w:left w:val="nil"/>
              <w:bottom w:val="nil"/>
              <w:right w:val="nil"/>
            </w:tcBorders>
            <w:shd w:val="clear" w:color="auto" w:fill="auto"/>
            <w:noWrap/>
            <w:vAlign w:val="center"/>
            <w:hideMark/>
          </w:tcPr>
          <w:p w14:paraId="30AB12BE" w14:textId="77777777" w:rsidR="002C0DC3" w:rsidRPr="002C0DC3" w:rsidRDefault="002C0DC3" w:rsidP="002C0DC3">
            <w:pPr>
              <w:suppressAutoHyphens w:val="0"/>
              <w:jc w:val="center"/>
              <w:rPr>
                <w:rFonts w:eastAsia="Calibri"/>
                <w:lang w:val="es-CR" w:eastAsia="es-CR"/>
              </w:rPr>
            </w:pPr>
          </w:p>
          <w:p w14:paraId="2DFADD9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424</w:t>
            </w:r>
          </w:p>
        </w:tc>
        <w:tc>
          <w:tcPr>
            <w:tcW w:w="342" w:type="pct"/>
            <w:tcBorders>
              <w:top w:val="nil"/>
              <w:left w:val="single" w:sz="8" w:space="0" w:color="auto"/>
              <w:bottom w:val="nil"/>
              <w:right w:val="single" w:sz="8" w:space="0" w:color="auto"/>
            </w:tcBorders>
            <w:shd w:val="clear" w:color="auto" w:fill="auto"/>
            <w:noWrap/>
            <w:vAlign w:val="center"/>
            <w:hideMark/>
          </w:tcPr>
          <w:p w14:paraId="0C149AAB" w14:textId="77777777" w:rsidR="002C0DC3" w:rsidRPr="002C0DC3" w:rsidRDefault="002C0DC3" w:rsidP="002C0DC3">
            <w:pPr>
              <w:suppressAutoHyphens w:val="0"/>
              <w:jc w:val="center"/>
              <w:rPr>
                <w:rFonts w:eastAsia="Calibri"/>
                <w:lang w:val="es-CR" w:eastAsia="es-CR"/>
              </w:rPr>
            </w:pPr>
          </w:p>
          <w:p w14:paraId="0D7E424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1179</w:t>
            </w:r>
          </w:p>
        </w:tc>
        <w:tc>
          <w:tcPr>
            <w:tcW w:w="343" w:type="pct"/>
            <w:tcBorders>
              <w:top w:val="nil"/>
              <w:left w:val="nil"/>
              <w:bottom w:val="nil"/>
              <w:right w:val="nil"/>
            </w:tcBorders>
            <w:shd w:val="clear" w:color="auto" w:fill="auto"/>
            <w:noWrap/>
            <w:vAlign w:val="center"/>
            <w:hideMark/>
          </w:tcPr>
          <w:p w14:paraId="3FC255F2" w14:textId="77777777" w:rsidR="002C0DC3" w:rsidRPr="002C0DC3" w:rsidRDefault="002C0DC3" w:rsidP="002C0DC3">
            <w:pPr>
              <w:suppressAutoHyphens w:val="0"/>
              <w:jc w:val="center"/>
              <w:rPr>
                <w:rFonts w:eastAsia="Calibri"/>
                <w:lang w:val="es-CR" w:eastAsia="es-CR"/>
              </w:rPr>
            </w:pPr>
          </w:p>
          <w:p w14:paraId="1D67F3D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26%</w:t>
            </w:r>
          </w:p>
        </w:tc>
        <w:tc>
          <w:tcPr>
            <w:tcW w:w="342" w:type="pct"/>
            <w:tcBorders>
              <w:top w:val="nil"/>
              <w:left w:val="single" w:sz="8" w:space="0" w:color="auto"/>
              <w:bottom w:val="nil"/>
              <w:right w:val="single" w:sz="8" w:space="0" w:color="auto"/>
            </w:tcBorders>
            <w:shd w:val="clear" w:color="auto" w:fill="auto"/>
            <w:noWrap/>
            <w:vAlign w:val="bottom"/>
            <w:hideMark/>
          </w:tcPr>
          <w:p w14:paraId="380156A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111</w:t>
            </w:r>
          </w:p>
        </w:tc>
        <w:tc>
          <w:tcPr>
            <w:tcW w:w="342" w:type="pct"/>
            <w:tcBorders>
              <w:top w:val="nil"/>
              <w:left w:val="nil"/>
              <w:bottom w:val="nil"/>
              <w:right w:val="nil"/>
            </w:tcBorders>
            <w:shd w:val="clear" w:color="auto" w:fill="auto"/>
            <w:noWrap/>
            <w:vAlign w:val="bottom"/>
            <w:hideMark/>
          </w:tcPr>
          <w:p w14:paraId="2666AB60"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w:t>
            </w:r>
          </w:p>
        </w:tc>
        <w:tc>
          <w:tcPr>
            <w:tcW w:w="342" w:type="pct"/>
            <w:tcBorders>
              <w:top w:val="nil"/>
              <w:left w:val="single" w:sz="8" w:space="0" w:color="auto"/>
              <w:bottom w:val="nil"/>
              <w:right w:val="single" w:sz="8" w:space="0" w:color="auto"/>
            </w:tcBorders>
            <w:shd w:val="clear" w:color="auto" w:fill="auto"/>
            <w:noWrap/>
            <w:vAlign w:val="bottom"/>
            <w:hideMark/>
          </w:tcPr>
          <w:p w14:paraId="4BC93FC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105</w:t>
            </w:r>
          </w:p>
        </w:tc>
        <w:tc>
          <w:tcPr>
            <w:tcW w:w="343" w:type="pct"/>
            <w:tcBorders>
              <w:top w:val="nil"/>
              <w:left w:val="nil"/>
              <w:bottom w:val="nil"/>
              <w:right w:val="single" w:sz="8" w:space="0" w:color="auto"/>
            </w:tcBorders>
            <w:shd w:val="clear" w:color="auto" w:fill="auto"/>
            <w:noWrap/>
            <w:vAlign w:val="bottom"/>
            <w:hideMark/>
          </w:tcPr>
          <w:p w14:paraId="02A01D65"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5%</w:t>
            </w:r>
          </w:p>
        </w:tc>
      </w:tr>
      <w:tr w:rsidR="002C0DC3" w:rsidRPr="002C0DC3" w14:paraId="40A15276" w14:textId="77777777" w:rsidTr="002C0DC3">
        <w:trPr>
          <w:trHeight w:val="441"/>
        </w:trPr>
        <w:tc>
          <w:tcPr>
            <w:tcW w:w="822" w:type="pct"/>
            <w:tcBorders>
              <w:top w:val="nil"/>
              <w:left w:val="single" w:sz="8" w:space="0" w:color="auto"/>
              <w:bottom w:val="single" w:sz="8" w:space="0" w:color="auto"/>
              <w:right w:val="nil"/>
            </w:tcBorders>
            <w:shd w:val="clear" w:color="auto" w:fill="auto"/>
            <w:vAlign w:val="center"/>
            <w:hideMark/>
          </w:tcPr>
          <w:p w14:paraId="7E67228B"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Juzgado de Cobro IICJ Alajuela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A51A7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294</w:t>
            </w:r>
          </w:p>
        </w:tc>
        <w:tc>
          <w:tcPr>
            <w:tcW w:w="342" w:type="pct"/>
            <w:tcBorders>
              <w:top w:val="single" w:sz="8" w:space="0" w:color="auto"/>
              <w:left w:val="nil"/>
              <w:bottom w:val="single" w:sz="8" w:space="0" w:color="auto"/>
              <w:right w:val="nil"/>
            </w:tcBorders>
            <w:shd w:val="clear" w:color="auto" w:fill="auto"/>
            <w:noWrap/>
            <w:vAlign w:val="bottom"/>
            <w:hideMark/>
          </w:tcPr>
          <w:p w14:paraId="39F53DB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94</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4C8FD0"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200</w:t>
            </w:r>
          </w:p>
        </w:tc>
        <w:tc>
          <w:tcPr>
            <w:tcW w:w="343" w:type="pct"/>
            <w:tcBorders>
              <w:top w:val="single" w:sz="8" w:space="0" w:color="auto"/>
              <w:left w:val="nil"/>
              <w:bottom w:val="single" w:sz="8" w:space="0" w:color="auto"/>
              <w:right w:val="nil"/>
            </w:tcBorders>
            <w:shd w:val="clear" w:color="auto" w:fill="auto"/>
            <w:noWrap/>
            <w:vAlign w:val="bottom"/>
            <w:hideMark/>
          </w:tcPr>
          <w:p w14:paraId="6435D03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32%</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829E6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457</w:t>
            </w:r>
          </w:p>
        </w:tc>
        <w:tc>
          <w:tcPr>
            <w:tcW w:w="342" w:type="pct"/>
            <w:tcBorders>
              <w:top w:val="single" w:sz="8" w:space="0" w:color="auto"/>
              <w:left w:val="nil"/>
              <w:bottom w:val="single" w:sz="8" w:space="0" w:color="auto"/>
              <w:right w:val="nil"/>
            </w:tcBorders>
            <w:shd w:val="clear" w:color="auto" w:fill="auto"/>
            <w:vAlign w:val="center"/>
            <w:hideMark/>
          </w:tcPr>
          <w:p w14:paraId="5103EB59" w14:textId="77777777" w:rsidR="002C0DC3" w:rsidRPr="002C0DC3" w:rsidRDefault="002C0DC3" w:rsidP="002C0DC3">
            <w:pPr>
              <w:suppressAutoHyphens w:val="0"/>
              <w:jc w:val="center"/>
              <w:rPr>
                <w:rFonts w:eastAsia="Calibri"/>
                <w:lang w:val="es-CR" w:eastAsia="es-CR"/>
              </w:rPr>
            </w:pPr>
          </w:p>
          <w:p w14:paraId="1E68A102"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165</w:t>
            </w:r>
          </w:p>
        </w:tc>
        <w:tc>
          <w:tcPr>
            <w:tcW w:w="34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EF57DE1" w14:textId="77777777" w:rsidR="002C0DC3" w:rsidRPr="002C0DC3" w:rsidRDefault="002C0DC3" w:rsidP="002C0DC3">
            <w:pPr>
              <w:suppressAutoHyphens w:val="0"/>
              <w:jc w:val="center"/>
              <w:rPr>
                <w:rFonts w:eastAsia="Calibri"/>
                <w:lang w:val="es-CR" w:eastAsia="es-CR"/>
              </w:rPr>
            </w:pPr>
          </w:p>
          <w:p w14:paraId="1AEAE46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292</w:t>
            </w:r>
          </w:p>
        </w:tc>
        <w:tc>
          <w:tcPr>
            <w:tcW w:w="343" w:type="pct"/>
            <w:tcBorders>
              <w:top w:val="single" w:sz="8" w:space="0" w:color="auto"/>
              <w:left w:val="nil"/>
              <w:bottom w:val="single" w:sz="8" w:space="0" w:color="auto"/>
              <w:right w:val="nil"/>
            </w:tcBorders>
            <w:shd w:val="clear" w:color="auto" w:fill="auto"/>
            <w:vAlign w:val="center"/>
            <w:hideMark/>
          </w:tcPr>
          <w:p w14:paraId="4048F7B8" w14:textId="77777777" w:rsidR="002C0DC3" w:rsidRPr="002C0DC3" w:rsidRDefault="002C0DC3" w:rsidP="002C0DC3">
            <w:pPr>
              <w:suppressAutoHyphens w:val="0"/>
              <w:jc w:val="center"/>
              <w:rPr>
                <w:rFonts w:eastAsia="Calibri"/>
                <w:lang w:val="es-CR" w:eastAsia="es-CR"/>
              </w:rPr>
            </w:pPr>
          </w:p>
          <w:p w14:paraId="4A541F7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35%</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47047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w:t>
            </w:r>
          </w:p>
        </w:tc>
        <w:tc>
          <w:tcPr>
            <w:tcW w:w="342" w:type="pct"/>
            <w:tcBorders>
              <w:top w:val="single" w:sz="8" w:space="0" w:color="auto"/>
              <w:left w:val="nil"/>
              <w:bottom w:val="single" w:sz="8" w:space="0" w:color="auto"/>
              <w:right w:val="nil"/>
            </w:tcBorders>
            <w:shd w:val="clear" w:color="auto" w:fill="auto"/>
            <w:vAlign w:val="center"/>
            <w:hideMark/>
          </w:tcPr>
          <w:p w14:paraId="7783684D" w14:textId="77777777" w:rsidR="002C0DC3" w:rsidRPr="002C0DC3" w:rsidRDefault="002C0DC3" w:rsidP="002C0DC3">
            <w:pPr>
              <w:suppressAutoHyphens w:val="0"/>
              <w:jc w:val="center"/>
              <w:rPr>
                <w:rFonts w:eastAsia="Calibri"/>
                <w:lang w:val="es-CR" w:eastAsia="es-CR"/>
              </w:rPr>
            </w:pPr>
          </w:p>
          <w:p w14:paraId="074543B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w:t>
            </w:r>
          </w:p>
        </w:tc>
        <w:tc>
          <w:tcPr>
            <w:tcW w:w="34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7439322" w14:textId="77777777" w:rsidR="002C0DC3" w:rsidRPr="002C0DC3" w:rsidRDefault="002C0DC3" w:rsidP="002C0DC3">
            <w:pPr>
              <w:suppressAutoHyphens w:val="0"/>
              <w:jc w:val="center"/>
              <w:rPr>
                <w:rFonts w:eastAsia="Calibri"/>
                <w:lang w:val="es-CR" w:eastAsia="es-CR"/>
              </w:rPr>
            </w:pPr>
          </w:p>
          <w:p w14:paraId="4670360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w:t>
            </w:r>
          </w:p>
        </w:tc>
        <w:tc>
          <w:tcPr>
            <w:tcW w:w="343" w:type="pct"/>
            <w:tcBorders>
              <w:top w:val="single" w:sz="8" w:space="0" w:color="auto"/>
              <w:left w:val="nil"/>
              <w:bottom w:val="single" w:sz="8" w:space="0" w:color="auto"/>
              <w:right w:val="single" w:sz="8" w:space="0" w:color="auto"/>
            </w:tcBorders>
            <w:shd w:val="clear" w:color="auto" w:fill="auto"/>
            <w:vAlign w:val="center"/>
            <w:hideMark/>
          </w:tcPr>
          <w:p w14:paraId="59D65B20" w14:textId="77777777" w:rsidR="002C0DC3" w:rsidRPr="002C0DC3" w:rsidRDefault="002C0DC3" w:rsidP="002C0DC3">
            <w:pPr>
              <w:suppressAutoHyphens w:val="0"/>
              <w:jc w:val="center"/>
              <w:rPr>
                <w:rFonts w:eastAsia="Calibri"/>
                <w:lang w:val="es-CR" w:eastAsia="es-CR"/>
              </w:rPr>
            </w:pPr>
          </w:p>
          <w:p w14:paraId="0F72C2A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33%</w:t>
            </w:r>
          </w:p>
        </w:tc>
      </w:tr>
      <w:tr w:rsidR="002C0DC3" w:rsidRPr="002C0DC3" w14:paraId="1B0F337D" w14:textId="77777777" w:rsidTr="002C0DC3">
        <w:trPr>
          <w:trHeight w:val="441"/>
        </w:trPr>
        <w:tc>
          <w:tcPr>
            <w:tcW w:w="822" w:type="pct"/>
            <w:tcBorders>
              <w:top w:val="nil"/>
              <w:left w:val="single" w:sz="8" w:space="0" w:color="auto"/>
              <w:bottom w:val="single" w:sz="8" w:space="0" w:color="auto"/>
              <w:right w:val="nil"/>
            </w:tcBorders>
            <w:shd w:val="clear" w:color="auto" w:fill="auto"/>
            <w:vAlign w:val="center"/>
            <w:hideMark/>
          </w:tcPr>
          <w:p w14:paraId="07E546A6"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Juzgado de Cobro de </w:t>
            </w:r>
            <w:r w:rsidRPr="002C0DC3">
              <w:rPr>
                <w:rFonts w:eastAsia="Calibri"/>
                <w:lang w:val="es-CR" w:eastAsia="es-CR"/>
              </w:rPr>
              <w:lastRenderedPageBreak/>
              <w:t>Puntarenas</w:t>
            </w:r>
          </w:p>
        </w:tc>
        <w:tc>
          <w:tcPr>
            <w:tcW w:w="411" w:type="pct"/>
            <w:tcBorders>
              <w:top w:val="nil"/>
              <w:left w:val="single" w:sz="8" w:space="0" w:color="auto"/>
              <w:bottom w:val="single" w:sz="8" w:space="0" w:color="auto"/>
              <w:right w:val="single" w:sz="8" w:space="0" w:color="auto"/>
            </w:tcBorders>
            <w:shd w:val="clear" w:color="auto" w:fill="auto"/>
            <w:noWrap/>
            <w:vAlign w:val="center"/>
          </w:tcPr>
          <w:p w14:paraId="01D3F040" w14:textId="77777777" w:rsidR="002C0DC3" w:rsidRPr="002C0DC3" w:rsidRDefault="002C0DC3" w:rsidP="002C0DC3">
            <w:pPr>
              <w:suppressAutoHyphens w:val="0"/>
              <w:jc w:val="center"/>
              <w:rPr>
                <w:rFonts w:eastAsia="Calibri"/>
                <w:lang w:val="es-CR" w:eastAsia="es-CR"/>
              </w:rPr>
            </w:pPr>
          </w:p>
          <w:p w14:paraId="3AB4859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417</w:t>
            </w:r>
          </w:p>
        </w:tc>
        <w:tc>
          <w:tcPr>
            <w:tcW w:w="342" w:type="pct"/>
            <w:tcBorders>
              <w:top w:val="nil"/>
              <w:left w:val="single" w:sz="8" w:space="0" w:color="auto"/>
              <w:bottom w:val="single" w:sz="8" w:space="0" w:color="auto"/>
              <w:right w:val="single" w:sz="8" w:space="0" w:color="auto"/>
            </w:tcBorders>
            <w:shd w:val="clear" w:color="auto" w:fill="auto"/>
            <w:noWrap/>
            <w:vAlign w:val="center"/>
          </w:tcPr>
          <w:p w14:paraId="3A75D07E" w14:textId="77777777" w:rsidR="002C0DC3" w:rsidRPr="002C0DC3" w:rsidRDefault="002C0DC3" w:rsidP="002C0DC3">
            <w:pPr>
              <w:suppressAutoHyphens w:val="0"/>
              <w:jc w:val="center"/>
              <w:rPr>
                <w:rFonts w:eastAsia="Calibri"/>
                <w:lang w:val="es-CR" w:eastAsia="es-CR"/>
              </w:rPr>
            </w:pPr>
          </w:p>
          <w:p w14:paraId="54CC4C10"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55</w:t>
            </w:r>
          </w:p>
        </w:tc>
        <w:tc>
          <w:tcPr>
            <w:tcW w:w="342" w:type="pct"/>
            <w:tcBorders>
              <w:top w:val="nil"/>
              <w:left w:val="nil"/>
              <w:bottom w:val="single" w:sz="8" w:space="0" w:color="auto"/>
              <w:right w:val="nil"/>
            </w:tcBorders>
            <w:shd w:val="clear" w:color="auto" w:fill="auto"/>
            <w:noWrap/>
            <w:vAlign w:val="center"/>
          </w:tcPr>
          <w:p w14:paraId="3C8ED6EE" w14:textId="77777777" w:rsidR="002C0DC3" w:rsidRPr="002C0DC3" w:rsidRDefault="002C0DC3" w:rsidP="002C0DC3">
            <w:pPr>
              <w:suppressAutoHyphens w:val="0"/>
              <w:jc w:val="center"/>
              <w:rPr>
                <w:rFonts w:eastAsia="Calibri"/>
                <w:lang w:val="es-CR" w:eastAsia="es-CR"/>
              </w:rPr>
            </w:pPr>
          </w:p>
          <w:p w14:paraId="4ED84F7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362</w:t>
            </w:r>
          </w:p>
        </w:tc>
        <w:tc>
          <w:tcPr>
            <w:tcW w:w="343" w:type="pct"/>
            <w:tcBorders>
              <w:top w:val="nil"/>
              <w:left w:val="single" w:sz="8" w:space="0" w:color="auto"/>
              <w:bottom w:val="single" w:sz="8" w:space="0" w:color="auto"/>
              <w:right w:val="single" w:sz="8" w:space="0" w:color="auto"/>
            </w:tcBorders>
            <w:shd w:val="clear" w:color="auto" w:fill="auto"/>
            <w:noWrap/>
            <w:vAlign w:val="center"/>
          </w:tcPr>
          <w:p w14:paraId="5B6E3EE2" w14:textId="77777777" w:rsidR="002C0DC3" w:rsidRPr="002C0DC3" w:rsidRDefault="002C0DC3" w:rsidP="002C0DC3">
            <w:pPr>
              <w:suppressAutoHyphens w:val="0"/>
              <w:jc w:val="center"/>
              <w:rPr>
                <w:rFonts w:eastAsia="Calibri"/>
                <w:lang w:val="es-CR" w:eastAsia="es-CR"/>
              </w:rPr>
            </w:pPr>
          </w:p>
          <w:p w14:paraId="2F6F411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13%</w:t>
            </w:r>
          </w:p>
        </w:tc>
        <w:tc>
          <w:tcPr>
            <w:tcW w:w="342" w:type="pct"/>
            <w:tcBorders>
              <w:top w:val="nil"/>
              <w:left w:val="single" w:sz="8" w:space="0" w:color="auto"/>
              <w:bottom w:val="single" w:sz="8" w:space="0" w:color="auto"/>
              <w:right w:val="single" w:sz="8" w:space="0" w:color="auto"/>
            </w:tcBorders>
            <w:shd w:val="clear" w:color="auto" w:fill="auto"/>
            <w:noWrap/>
            <w:vAlign w:val="center"/>
          </w:tcPr>
          <w:p w14:paraId="5A20D2CA" w14:textId="77777777" w:rsidR="002C0DC3" w:rsidRPr="002C0DC3" w:rsidRDefault="002C0DC3" w:rsidP="002C0DC3">
            <w:pPr>
              <w:suppressAutoHyphens w:val="0"/>
              <w:jc w:val="center"/>
              <w:rPr>
                <w:rFonts w:eastAsia="Calibri"/>
                <w:lang w:val="es-CR" w:eastAsia="es-CR"/>
              </w:rPr>
            </w:pPr>
          </w:p>
          <w:p w14:paraId="38437B8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974</w:t>
            </w:r>
          </w:p>
        </w:tc>
        <w:tc>
          <w:tcPr>
            <w:tcW w:w="342" w:type="pct"/>
            <w:tcBorders>
              <w:top w:val="nil"/>
              <w:left w:val="nil"/>
              <w:bottom w:val="single" w:sz="8" w:space="0" w:color="auto"/>
              <w:right w:val="nil"/>
            </w:tcBorders>
            <w:shd w:val="clear" w:color="auto" w:fill="auto"/>
            <w:noWrap/>
            <w:vAlign w:val="bottom"/>
          </w:tcPr>
          <w:p w14:paraId="0FE5E1D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n-US"/>
              </w:rPr>
              <w:t>214</w:t>
            </w:r>
          </w:p>
        </w:tc>
        <w:tc>
          <w:tcPr>
            <w:tcW w:w="342" w:type="pct"/>
            <w:tcBorders>
              <w:top w:val="nil"/>
              <w:left w:val="single" w:sz="8" w:space="0" w:color="auto"/>
              <w:bottom w:val="single" w:sz="8" w:space="0" w:color="auto"/>
              <w:right w:val="single" w:sz="8" w:space="0" w:color="auto"/>
            </w:tcBorders>
            <w:shd w:val="clear" w:color="auto" w:fill="auto"/>
            <w:noWrap/>
            <w:vAlign w:val="bottom"/>
          </w:tcPr>
          <w:p w14:paraId="01152CF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n-US"/>
              </w:rPr>
              <w:t>760</w:t>
            </w:r>
          </w:p>
        </w:tc>
        <w:tc>
          <w:tcPr>
            <w:tcW w:w="343" w:type="pct"/>
            <w:tcBorders>
              <w:top w:val="nil"/>
              <w:left w:val="nil"/>
              <w:bottom w:val="single" w:sz="8" w:space="0" w:color="auto"/>
              <w:right w:val="nil"/>
            </w:tcBorders>
            <w:shd w:val="clear" w:color="auto" w:fill="auto"/>
            <w:noWrap/>
            <w:vAlign w:val="bottom"/>
          </w:tcPr>
          <w:p w14:paraId="246A433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n-US"/>
              </w:rPr>
              <w:t>22%</w:t>
            </w:r>
          </w:p>
        </w:tc>
        <w:tc>
          <w:tcPr>
            <w:tcW w:w="342" w:type="pct"/>
            <w:tcBorders>
              <w:top w:val="nil"/>
              <w:left w:val="single" w:sz="8" w:space="0" w:color="auto"/>
              <w:bottom w:val="single" w:sz="8" w:space="0" w:color="auto"/>
              <w:right w:val="single" w:sz="8" w:space="0" w:color="auto"/>
            </w:tcBorders>
            <w:shd w:val="clear" w:color="auto" w:fill="auto"/>
            <w:noWrap/>
            <w:vAlign w:val="center"/>
          </w:tcPr>
          <w:p w14:paraId="1BA06B46" w14:textId="77777777" w:rsidR="002C0DC3" w:rsidRPr="002C0DC3" w:rsidRDefault="002C0DC3" w:rsidP="002C0DC3">
            <w:pPr>
              <w:suppressAutoHyphens w:val="0"/>
              <w:jc w:val="center"/>
              <w:rPr>
                <w:rFonts w:eastAsia="Calibri"/>
                <w:lang w:val="es-CR" w:eastAsia="es-CR"/>
              </w:rPr>
            </w:pPr>
          </w:p>
          <w:p w14:paraId="74400B72"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w:t>
            </w:r>
          </w:p>
        </w:tc>
        <w:tc>
          <w:tcPr>
            <w:tcW w:w="342" w:type="pct"/>
            <w:tcBorders>
              <w:top w:val="nil"/>
              <w:left w:val="nil"/>
              <w:bottom w:val="single" w:sz="8" w:space="0" w:color="auto"/>
              <w:right w:val="nil"/>
            </w:tcBorders>
            <w:shd w:val="clear" w:color="auto" w:fill="auto"/>
            <w:noWrap/>
            <w:vAlign w:val="bottom"/>
          </w:tcPr>
          <w:p w14:paraId="580400A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n-US"/>
              </w:rPr>
              <w:t>3</w:t>
            </w:r>
          </w:p>
        </w:tc>
        <w:tc>
          <w:tcPr>
            <w:tcW w:w="342" w:type="pct"/>
            <w:tcBorders>
              <w:top w:val="nil"/>
              <w:left w:val="single" w:sz="8" w:space="0" w:color="auto"/>
              <w:bottom w:val="single" w:sz="8" w:space="0" w:color="auto"/>
              <w:right w:val="single" w:sz="8" w:space="0" w:color="auto"/>
            </w:tcBorders>
            <w:shd w:val="clear" w:color="auto" w:fill="auto"/>
            <w:noWrap/>
            <w:vAlign w:val="bottom"/>
          </w:tcPr>
          <w:p w14:paraId="2C99B5A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n-US"/>
              </w:rPr>
              <w:t>3</w:t>
            </w:r>
          </w:p>
        </w:tc>
        <w:tc>
          <w:tcPr>
            <w:tcW w:w="343" w:type="pct"/>
            <w:tcBorders>
              <w:top w:val="nil"/>
              <w:left w:val="nil"/>
              <w:bottom w:val="single" w:sz="8" w:space="0" w:color="auto"/>
              <w:right w:val="single" w:sz="8" w:space="0" w:color="auto"/>
            </w:tcBorders>
            <w:shd w:val="clear" w:color="auto" w:fill="auto"/>
            <w:noWrap/>
            <w:vAlign w:val="bottom"/>
          </w:tcPr>
          <w:p w14:paraId="1FDA76E0" w14:textId="77777777" w:rsidR="002C0DC3" w:rsidRPr="002C0DC3" w:rsidRDefault="002C0DC3" w:rsidP="002C0DC3">
            <w:pPr>
              <w:suppressAutoHyphens w:val="0"/>
              <w:jc w:val="center"/>
              <w:rPr>
                <w:rFonts w:eastAsia="Calibri"/>
                <w:lang w:val="es-CR" w:eastAsia="es-CR"/>
              </w:rPr>
            </w:pPr>
            <w:r w:rsidRPr="002C0DC3">
              <w:rPr>
                <w:rFonts w:eastAsia="Calibri"/>
                <w:lang w:val="es-CR" w:eastAsia="en-US"/>
              </w:rPr>
              <w:t>50%</w:t>
            </w:r>
          </w:p>
        </w:tc>
      </w:tr>
      <w:tr w:rsidR="002C0DC3" w:rsidRPr="002C0DC3" w14:paraId="544C1386" w14:textId="77777777" w:rsidTr="002C0DC3">
        <w:trPr>
          <w:trHeight w:val="441"/>
        </w:trPr>
        <w:tc>
          <w:tcPr>
            <w:tcW w:w="822" w:type="pct"/>
            <w:tcBorders>
              <w:top w:val="nil"/>
              <w:left w:val="single" w:sz="8" w:space="0" w:color="auto"/>
              <w:bottom w:val="single" w:sz="8" w:space="0" w:color="auto"/>
              <w:right w:val="nil"/>
            </w:tcBorders>
            <w:shd w:val="clear" w:color="auto" w:fill="auto"/>
            <w:vAlign w:val="center"/>
            <w:hideMark/>
          </w:tcPr>
          <w:p w14:paraId="3136FA28"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Juzgado de Cobro de Heredia </w:t>
            </w:r>
          </w:p>
        </w:tc>
        <w:tc>
          <w:tcPr>
            <w:tcW w:w="411" w:type="pct"/>
            <w:tcBorders>
              <w:top w:val="nil"/>
              <w:left w:val="single" w:sz="8" w:space="0" w:color="auto"/>
              <w:bottom w:val="single" w:sz="8" w:space="0" w:color="auto"/>
              <w:right w:val="single" w:sz="4" w:space="0" w:color="auto"/>
            </w:tcBorders>
            <w:shd w:val="clear" w:color="auto" w:fill="auto"/>
            <w:noWrap/>
            <w:vAlign w:val="center"/>
          </w:tcPr>
          <w:p w14:paraId="2527AFC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1279</w:t>
            </w:r>
          </w:p>
        </w:tc>
        <w:tc>
          <w:tcPr>
            <w:tcW w:w="342" w:type="pct"/>
            <w:tcBorders>
              <w:top w:val="nil"/>
              <w:left w:val="nil"/>
              <w:bottom w:val="single" w:sz="8" w:space="0" w:color="auto"/>
              <w:right w:val="nil"/>
            </w:tcBorders>
            <w:shd w:val="clear" w:color="auto" w:fill="auto"/>
            <w:noWrap/>
            <w:vAlign w:val="center"/>
          </w:tcPr>
          <w:p w14:paraId="7E8EC6D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1037</w:t>
            </w:r>
          </w:p>
        </w:tc>
        <w:tc>
          <w:tcPr>
            <w:tcW w:w="342" w:type="pct"/>
            <w:tcBorders>
              <w:top w:val="nil"/>
              <w:left w:val="single" w:sz="8" w:space="0" w:color="auto"/>
              <w:bottom w:val="single" w:sz="8" w:space="0" w:color="auto"/>
              <w:right w:val="single" w:sz="8" w:space="0" w:color="auto"/>
            </w:tcBorders>
            <w:shd w:val="clear" w:color="auto" w:fill="auto"/>
            <w:noWrap/>
            <w:vAlign w:val="center"/>
          </w:tcPr>
          <w:p w14:paraId="46703C9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242</w:t>
            </w:r>
          </w:p>
        </w:tc>
        <w:tc>
          <w:tcPr>
            <w:tcW w:w="343" w:type="pct"/>
            <w:tcBorders>
              <w:top w:val="nil"/>
              <w:left w:val="nil"/>
              <w:bottom w:val="single" w:sz="8" w:space="0" w:color="auto"/>
              <w:right w:val="nil"/>
            </w:tcBorders>
            <w:shd w:val="clear" w:color="auto" w:fill="auto"/>
            <w:noWrap/>
            <w:vAlign w:val="center"/>
          </w:tcPr>
          <w:p w14:paraId="5AD1562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81%</w:t>
            </w:r>
          </w:p>
        </w:tc>
        <w:tc>
          <w:tcPr>
            <w:tcW w:w="342" w:type="pct"/>
            <w:tcBorders>
              <w:top w:val="nil"/>
              <w:left w:val="single" w:sz="8" w:space="0" w:color="auto"/>
              <w:bottom w:val="single" w:sz="8" w:space="0" w:color="auto"/>
              <w:right w:val="single" w:sz="8" w:space="0" w:color="auto"/>
            </w:tcBorders>
            <w:shd w:val="clear" w:color="auto" w:fill="auto"/>
            <w:noWrap/>
            <w:vAlign w:val="center"/>
          </w:tcPr>
          <w:p w14:paraId="2BE211B2"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1410</w:t>
            </w:r>
          </w:p>
        </w:tc>
        <w:tc>
          <w:tcPr>
            <w:tcW w:w="342" w:type="pct"/>
            <w:tcBorders>
              <w:top w:val="nil"/>
              <w:left w:val="nil"/>
              <w:bottom w:val="single" w:sz="8" w:space="0" w:color="auto"/>
              <w:right w:val="nil"/>
            </w:tcBorders>
            <w:shd w:val="clear" w:color="auto" w:fill="auto"/>
            <w:noWrap/>
            <w:vAlign w:val="center"/>
          </w:tcPr>
          <w:p w14:paraId="1ACDAE1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1052</w:t>
            </w:r>
          </w:p>
        </w:tc>
        <w:tc>
          <w:tcPr>
            <w:tcW w:w="342" w:type="pct"/>
            <w:tcBorders>
              <w:top w:val="nil"/>
              <w:left w:val="single" w:sz="8" w:space="0" w:color="auto"/>
              <w:bottom w:val="single" w:sz="8" w:space="0" w:color="auto"/>
              <w:right w:val="single" w:sz="8" w:space="0" w:color="auto"/>
            </w:tcBorders>
            <w:shd w:val="clear" w:color="auto" w:fill="auto"/>
            <w:noWrap/>
            <w:vAlign w:val="center"/>
          </w:tcPr>
          <w:p w14:paraId="5F9D36D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358</w:t>
            </w:r>
          </w:p>
        </w:tc>
        <w:tc>
          <w:tcPr>
            <w:tcW w:w="343" w:type="pct"/>
            <w:tcBorders>
              <w:top w:val="nil"/>
              <w:left w:val="nil"/>
              <w:bottom w:val="single" w:sz="8" w:space="0" w:color="auto"/>
              <w:right w:val="nil"/>
            </w:tcBorders>
            <w:shd w:val="clear" w:color="auto" w:fill="auto"/>
            <w:noWrap/>
            <w:vAlign w:val="center"/>
          </w:tcPr>
          <w:p w14:paraId="2D4DF20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75%</w:t>
            </w:r>
          </w:p>
        </w:tc>
        <w:tc>
          <w:tcPr>
            <w:tcW w:w="342" w:type="pct"/>
            <w:tcBorders>
              <w:top w:val="nil"/>
              <w:left w:val="single" w:sz="8" w:space="0" w:color="auto"/>
              <w:bottom w:val="single" w:sz="8" w:space="0" w:color="auto"/>
              <w:right w:val="single" w:sz="8" w:space="0" w:color="auto"/>
            </w:tcBorders>
            <w:shd w:val="clear" w:color="auto" w:fill="auto"/>
            <w:noWrap/>
            <w:vAlign w:val="center"/>
          </w:tcPr>
          <w:p w14:paraId="224AF68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912</w:t>
            </w:r>
          </w:p>
        </w:tc>
        <w:tc>
          <w:tcPr>
            <w:tcW w:w="342" w:type="pct"/>
            <w:tcBorders>
              <w:top w:val="nil"/>
              <w:left w:val="nil"/>
              <w:bottom w:val="single" w:sz="8" w:space="0" w:color="auto"/>
              <w:right w:val="nil"/>
            </w:tcBorders>
            <w:shd w:val="clear" w:color="auto" w:fill="auto"/>
            <w:noWrap/>
            <w:vAlign w:val="center"/>
          </w:tcPr>
          <w:p w14:paraId="30E02F73"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554</w:t>
            </w:r>
          </w:p>
        </w:tc>
        <w:tc>
          <w:tcPr>
            <w:tcW w:w="342" w:type="pct"/>
            <w:tcBorders>
              <w:top w:val="nil"/>
              <w:left w:val="single" w:sz="8" w:space="0" w:color="auto"/>
              <w:bottom w:val="single" w:sz="8" w:space="0" w:color="auto"/>
              <w:right w:val="single" w:sz="8" w:space="0" w:color="auto"/>
            </w:tcBorders>
            <w:shd w:val="clear" w:color="auto" w:fill="auto"/>
            <w:noWrap/>
            <w:vAlign w:val="center"/>
          </w:tcPr>
          <w:p w14:paraId="23890E2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358</w:t>
            </w:r>
          </w:p>
        </w:tc>
        <w:tc>
          <w:tcPr>
            <w:tcW w:w="343" w:type="pct"/>
            <w:tcBorders>
              <w:top w:val="nil"/>
              <w:left w:val="nil"/>
              <w:bottom w:val="single" w:sz="8" w:space="0" w:color="auto"/>
              <w:right w:val="single" w:sz="8" w:space="0" w:color="auto"/>
            </w:tcBorders>
            <w:shd w:val="clear" w:color="auto" w:fill="auto"/>
            <w:noWrap/>
            <w:vAlign w:val="center"/>
          </w:tcPr>
          <w:p w14:paraId="5BF154B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61%</w:t>
            </w:r>
          </w:p>
        </w:tc>
      </w:tr>
    </w:tbl>
    <w:p w14:paraId="0595DF1D" w14:textId="77777777" w:rsidR="002C0DC3" w:rsidRPr="002C0DC3" w:rsidRDefault="002C0DC3" w:rsidP="002C0DC3">
      <w:pPr>
        <w:suppressAutoHyphens w:val="0"/>
        <w:jc w:val="both"/>
        <w:rPr>
          <w:rFonts w:eastAsia="Calibri"/>
          <w:lang w:eastAsia="zh-CN"/>
        </w:rPr>
      </w:pPr>
    </w:p>
    <w:p w14:paraId="619D106F" w14:textId="77777777" w:rsidR="002C0DC3" w:rsidRPr="002C0DC3" w:rsidRDefault="002C0DC3" w:rsidP="002C0DC3">
      <w:pPr>
        <w:suppressAutoHyphens w:val="0"/>
        <w:ind w:left="851" w:right="851" w:firstLine="709"/>
        <w:jc w:val="both"/>
        <w:rPr>
          <w:rFonts w:eastAsia="Calibri"/>
          <w:lang w:eastAsia="zh-CN"/>
        </w:rPr>
      </w:pPr>
      <w:r w:rsidRPr="002C0DC3">
        <w:rPr>
          <w:rFonts w:eastAsia="Calibri"/>
          <w:lang w:eastAsia="zh-CN"/>
        </w:rPr>
        <w:t>Fuente: Subproceso de Evaluación. Elaboración a partir de los reportes del sistema SIGMA.</w:t>
      </w:r>
    </w:p>
    <w:p w14:paraId="618C554E" w14:textId="77777777" w:rsidR="002C0DC3" w:rsidRPr="002C0DC3" w:rsidRDefault="002C0DC3" w:rsidP="002C0DC3">
      <w:pPr>
        <w:suppressAutoHyphens w:val="0"/>
        <w:ind w:left="851" w:right="851" w:firstLine="709"/>
        <w:jc w:val="both"/>
        <w:rPr>
          <w:rFonts w:eastAsia="Calibri"/>
          <w:lang w:val="es-CR" w:eastAsia="en-US"/>
        </w:rPr>
      </w:pPr>
    </w:p>
    <w:p w14:paraId="5FB1692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Respecto al porcentaje de efectividad de las audiencias de enero a diciembre 2020, se puede concluir que en el caso específico del Juzgado de cobro de Liberia el porcentaje de efectividad de las audiencias de enero a abril registró un 15% de efectividad, de mayo a setiembre aumentó con respecto a los meses de enero-abril, a un 49% y de octubre a diciembre a un 83%; aun así, el número de audiencias no  realizadas a excepción del último trimestre del año, es en ambos casos mayor que el número de audiencias realizadas. </w:t>
      </w:r>
    </w:p>
    <w:p w14:paraId="341BD283" w14:textId="77777777" w:rsidR="002C0DC3" w:rsidRPr="002C0DC3" w:rsidRDefault="002C0DC3" w:rsidP="002C0DC3">
      <w:pPr>
        <w:suppressAutoHyphens w:val="0"/>
        <w:ind w:left="851" w:right="851" w:firstLine="709"/>
        <w:jc w:val="both"/>
        <w:rPr>
          <w:rFonts w:eastAsia="Calibri"/>
          <w:lang w:val="es-CR" w:eastAsia="en-US"/>
        </w:rPr>
      </w:pPr>
    </w:p>
    <w:p w14:paraId="2A67C129" w14:textId="719D7523" w:rsid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Respecto de la situación de octubre a diciembre, es notorio el descenso en la cantidad de audiencias agendadas.  Si bien el porcentaje de efectividad de las audiencias aumentó a un 83%, y que el número de audiencias realizadas supera el de las no realizadas, es muy bajo el total de audiencias agendadas pues pasó de 361 audiencias realizadas de mayo a setiembre a tan solo 5 de octubre a diciembre.</w:t>
      </w:r>
    </w:p>
    <w:p w14:paraId="40A3B221" w14:textId="77777777" w:rsidR="00B31AC4" w:rsidRPr="002C0DC3" w:rsidRDefault="00B31AC4" w:rsidP="00B31AC4">
      <w:pPr>
        <w:suppressAutoHyphens w:val="0"/>
        <w:ind w:right="851"/>
        <w:jc w:val="both"/>
        <w:rPr>
          <w:rFonts w:eastAsia="Calibri"/>
          <w:lang w:val="es-CR" w:eastAsia="en-US"/>
        </w:rPr>
      </w:pPr>
    </w:p>
    <w:p w14:paraId="696A0601"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caso del Circuito Judicial de Cartago, se observa que durante el periodo enero-abril, mayo-setiembre, el porcentaje de efectividad de las audiencias prácticamente se mantuvo muy semejante, pues para los primeros meses, el porcentaje de efectividad fue de 24%, mientras que en los meses de mayo a setiembre alcanzó un 22% de efectividad en la celebración de audiencias en materia de cobro judicial.</w:t>
      </w:r>
    </w:p>
    <w:p w14:paraId="2375327A" w14:textId="77777777" w:rsidR="002C0DC3" w:rsidRPr="002C0DC3" w:rsidRDefault="002C0DC3" w:rsidP="002C0DC3">
      <w:pPr>
        <w:suppressAutoHyphens w:val="0"/>
        <w:ind w:left="851" w:right="851" w:firstLine="709"/>
        <w:jc w:val="both"/>
        <w:rPr>
          <w:rFonts w:eastAsia="Calibri"/>
          <w:lang w:val="es-CR" w:eastAsia="en-US"/>
        </w:rPr>
      </w:pPr>
    </w:p>
    <w:p w14:paraId="621E2B30"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Para los meses octubre a diciembre, este porcentaje aumentó a un 61%.  Sin embargo, si bien fueron más las audiencias realizadas en estos meses que las no realizadas, situación contraria a los meses anteriores, es importante mencionar que al comparar la cantidad de audiencias para el resto de los meses que anteceden este periodo, la cifra descendió significativamente, pues de enero a setiembre la cantidad de audiencias realizadas superó las 140 audiencias, mientras que para octubre-diciembre, solo se realizaron 14.</w:t>
      </w:r>
    </w:p>
    <w:p w14:paraId="3A6BCB78" w14:textId="77777777" w:rsidR="002C0DC3" w:rsidRPr="002C0DC3" w:rsidRDefault="002C0DC3" w:rsidP="002C0DC3">
      <w:pPr>
        <w:suppressAutoHyphens w:val="0"/>
        <w:ind w:left="851" w:right="851" w:firstLine="709"/>
        <w:jc w:val="both"/>
        <w:rPr>
          <w:rFonts w:eastAsia="Calibri"/>
          <w:lang w:val="es-CR" w:eastAsia="en-US"/>
        </w:rPr>
      </w:pPr>
    </w:p>
    <w:p w14:paraId="54699E2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Este es un indicador que depende en la mayoría de los casos de la asistencia de las personas usuarias a las audiencias y/o juicios, por lo que el despacho no tendría control sobre este resultado en caso de que la parte no tenga la intención de asistir a la comparecencia correspondiente.</w:t>
      </w:r>
    </w:p>
    <w:p w14:paraId="72E5E72E" w14:textId="77777777" w:rsidR="002C0DC3" w:rsidRPr="002C0DC3" w:rsidRDefault="002C0DC3" w:rsidP="002C0DC3">
      <w:pPr>
        <w:suppressAutoHyphens w:val="0"/>
        <w:ind w:left="851" w:right="851" w:firstLine="709"/>
        <w:jc w:val="both"/>
        <w:rPr>
          <w:rFonts w:eastAsia="Calibri"/>
          <w:lang w:val="es-CR" w:eastAsia="en-US"/>
        </w:rPr>
      </w:pPr>
    </w:p>
    <w:p w14:paraId="78E2D0CF"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 el Primer Circuito de la Zona Atlántica como se muestra en el cuadro anterior, la cantidad de audiencias realizadas de enero a abril aumentó, pasando de 45 audiencias a 77 de mayo a setiembre; sin embargo, nuevamente desciende en los meses de octubre a diciembre, meses en los cuales, no se realizó ni una sola audiencia. </w:t>
      </w:r>
    </w:p>
    <w:p w14:paraId="30719434" w14:textId="77777777" w:rsidR="002C0DC3" w:rsidRPr="002C0DC3" w:rsidRDefault="002C0DC3" w:rsidP="002C0DC3">
      <w:pPr>
        <w:suppressAutoHyphens w:val="0"/>
        <w:ind w:left="851" w:right="851" w:firstLine="709"/>
        <w:jc w:val="both"/>
        <w:rPr>
          <w:rFonts w:eastAsia="Calibri"/>
          <w:lang w:val="es-CR" w:eastAsia="en-US"/>
        </w:rPr>
      </w:pPr>
    </w:p>
    <w:p w14:paraId="104F643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Es importante mencionar, que al igual que en la mayoría de los meses en los diversos circuitos, la cantidad de audiencias no realizadas, supera a las realizadas. </w:t>
      </w:r>
    </w:p>
    <w:p w14:paraId="50C5275D" w14:textId="77777777" w:rsidR="002C0DC3" w:rsidRPr="002C0DC3" w:rsidRDefault="002C0DC3" w:rsidP="002C0DC3">
      <w:pPr>
        <w:suppressAutoHyphens w:val="0"/>
        <w:ind w:left="851" w:right="851" w:firstLine="709"/>
        <w:jc w:val="both"/>
        <w:rPr>
          <w:rFonts w:eastAsia="Calibri"/>
          <w:lang w:val="es-CR" w:eastAsia="en-US"/>
        </w:rPr>
      </w:pPr>
    </w:p>
    <w:p w14:paraId="3684054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Primer Circuito de Alajuela se puede observar, que de enero a abril, el porcentaje de efectividad de las audiencias registró un 23%, cifra que se superó de mayo a setiembre con un 26%; sin embargo, para los meses de octubre a diciembre ese dato descendió significativamente a un 5%. Este despacho registra en mismo comportamiento que la mayoría de sus homólogos, en los cuales la cifra de audiencias no realizadas, supera a las cifras de audiencias realizadas.</w:t>
      </w:r>
    </w:p>
    <w:p w14:paraId="01CA9317" w14:textId="77777777" w:rsidR="002C0DC3" w:rsidRPr="002C0DC3" w:rsidRDefault="002C0DC3" w:rsidP="002C0DC3">
      <w:pPr>
        <w:suppressAutoHyphens w:val="0"/>
        <w:ind w:left="851" w:right="851" w:firstLine="709"/>
        <w:jc w:val="both"/>
        <w:rPr>
          <w:rFonts w:eastAsia="Calibri"/>
          <w:lang w:val="es-CR" w:eastAsia="en-US"/>
        </w:rPr>
      </w:pPr>
    </w:p>
    <w:p w14:paraId="5379923A"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 el Segundo Circuito de Alajuela, los porcentajes de efectividad de las audiencias son los más estables de todos los despachos analizados, pues de enero-abril fue de un 32%, de mayo a setiembre de 35% y de octubre a diciembre de 33%. </w:t>
      </w:r>
    </w:p>
    <w:p w14:paraId="79EB8FBD" w14:textId="77777777" w:rsidR="002C0DC3" w:rsidRPr="002C0DC3" w:rsidRDefault="002C0DC3" w:rsidP="002C0DC3">
      <w:pPr>
        <w:suppressAutoHyphens w:val="0"/>
        <w:ind w:left="851" w:right="851" w:firstLine="709"/>
        <w:jc w:val="both"/>
        <w:rPr>
          <w:rFonts w:eastAsia="Calibri"/>
          <w:lang w:val="es-CR" w:eastAsia="en-US"/>
        </w:rPr>
      </w:pPr>
    </w:p>
    <w:p w14:paraId="5CF6403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A pesar de lo anterior, no escapa este despacho del mismo fenómeno que su homólogo en cuanto a las audiencias suspendidas.</w:t>
      </w:r>
    </w:p>
    <w:p w14:paraId="6E0B6AA7" w14:textId="77777777" w:rsidR="002C0DC3" w:rsidRPr="002C0DC3" w:rsidRDefault="002C0DC3" w:rsidP="002C0DC3">
      <w:pPr>
        <w:suppressAutoHyphens w:val="0"/>
        <w:ind w:left="851" w:right="851" w:firstLine="709"/>
        <w:jc w:val="both"/>
        <w:rPr>
          <w:rFonts w:eastAsia="Calibri"/>
          <w:lang w:val="es-CR" w:eastAsia="en-US"/>
        </w:rPr>
      </w:pPr>
    </w:p>
    <w:p w14:paraId="47078A9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 el Circuito Judicial de Puntarenas, se observa que el porcentaje de efectividad de las audiencias fue incrementándose a lo largo del año, pues de enero-abril registró un 13%, de mayo-setiembre un 22% y de octubre-diciembre un 50%. </w:t>
      </w:r>
    </w:p>
    <w:p w14:paraId="075CC1DD" w14:textId="77777777" w:rsidR="002C0DC3" w:rsidRPr="002C0DC3" w:rsidRDefault="002C0DC3" w:rsidP="002C0DC3">
      <w:pPr>
        <w:suppressAutoHyphens w:val="0"/>
        <w:ind w:left="851" w:right="851" w:firstLine="709"/>
        <w:jc w:val="both"/>
        <w:rPr>
          <w:rFonts w:eastAsia="Calibri"/>
          <w:lang w:val="es-CR" w:eastAsia="en-US"/>
        </w:rPr>
      </w:pPr>
    </w:p>
    <w:p w14:paraId="0C85EA3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No obstante, lo anterior, en términos porcentuales parece ser significativo el aumento en el porcentaje de efectividad de las audiencias a finales de diciembre; sin embargo, si se observan los números absolutos, tanto la cantidad de audiencias realizadas como las no realizadas, es una cifra baja comparada con las cifras registradas en meses anteriores.</w:t>
      </w:r>
    </w:p>
    <w:p w14:paraId="08762867" w14:textId="77777777" w:rsidR="002C0DC3" w:rsidRPr="002C0DC3" w:rsidRDefault="002C0DC3" w:rsidP="002C0DC3">
      <w:pPr>
        <w:suppressAutoHyphens w:val="0"/>
        <w:ind w:left="851" w:right="851" w:firstLine="709"/>
        <w:jc w:val="both"/>
        <w:rPr>
          <w:rFonts w:eastAsia="Calibri"/>
          <w:lang w:val="es-CR" w:eastAsia="en-US"/>
        </w:rPr>
      </w:pPr>
    </w:p>
    <w:p w14:paraId="37F8BFA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Se observa, además, que exceptuando los meses de octubre a diciembre, en los demás meses registrados, la cantidad de audiencias no realizadas supera a la cantidad de audiencias realizadas, al igual que en la mayoría de los despachos de cobro.</w:t>
      </w:r>
    </w:p>
    <w:p w14:paraId="5CDD210A" w14:textId="77777777" w:rsidR="002C0DC3" w:rsidRPr="002C0DC3" w:rsidRDefault="002C0DC3" w:rsidP="002C0DC3">
      <w:pPr>
        <w:suppressAutoHyphens w:val="0"/>
        <w:ind w:left="851" w:right="851" w:firstLine="709"/>
        <w:jc w:val="both"/>
        <w:rPr>
          <w:rFonts w:eastAsia="Calibri"/>
          <w:lang w:val="es-CR" w:eastAsia="en-US"/>
        </w:rPr>
      </w:pPr>
    </w:p>
    <w:p w14:paraId="2A495F6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Finalmente, en cuanto al Circuito Judicial de Heredia, se observa que el porcentaje de efectividad de las audiencias paso de un 81% de enero-abril a 75% de mayo-setiembre y finalmente, registra un nuevo descenso en los meses de octubre-diciembre con un 61%.</w:t>
      </w:r>
    </w:p>
    <w:p w14:paraId="5BDD423D" w14:textId="77777777" w:rsidR="002C0DC3" w:rsidRPr="002C0DC3" w:rsidRDefault="002C0DC3" w:rsidP="002C0DC3">
      <w:pPr>
        <w:suppressAutoHyphens w:val="0"/>
        <w:ind w:left="851" w:right="851" w:firstLine="709"/>
        <w:jc w:val="both"/>
        <w:rPr>
          <w:rFonts w:eastAsia="Calibri"/>
          <w:lang w:val="es-CR" w:eastAsia="en-US"/>
        </w:rPr>
      </w:pPr>
    </w:p>
    <w:p w14:paraId="5242FFD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Es importante mencionar, que el porcentaje de efectividad de las audiencias se ve impactado por diversos factores, entre los cuales se puede mencionar,  la inasistencia de las partes a las audiencias, los cierres del despacho por motivos de desinfección por COVID-19, las declaratorias de zona naranja realizadas por la Comisión Nacional de Emergencia, en algunos casos las órdenes sanitarias giradas a personal infectado por el virus que limitó la disposición de recurso humano a disposición de los despachos, la restricción en cuanto a la circulación vehicular que limitaba a muchas personas a movilizarse con facilidad, entre otros; todos ellos, producto de la pandemia, por COVID-19.</w:t>
      </w:r>
    </w:p>
    <w:p w14:paraId="6F5EBC17" w14:textId="77777777" w:rsidR="002C0DC3" w:rsidRPr="002C0DC3" w:rsidRDefault="002C0DC3" w:rsidP="002C0DC3">
      <w:pPr>
        <w:suppressAutoHyphens w:val="0"/>
        <w:ind w:left="851" w:right="851" w:firstLine="709"/>
        <w:jc w:val="both"/>
        <w:rPr>
          <w:rFonts w:eastAsia="Calibri"/>
          <w:lang w:val="es-CR" w:eastAsia="en-US"/>
        </w:rPr>
      </w:pPr>
    </w:p>
    <w:p w14:paraId="2062B365" w14:textId="77777777" w:rsidR="002C0DC3" w:rsidRPr="002C0DC3" w:rsidRDefault="002C0DC3" w:rsidP="002C0DC3">
      <w:pPr>
        <w:keepNext/>
        <w:keepLines/>
        <w:numPr>
          <w:ilvl w:val="1"/>
          <w:numId w:val="0"/>
        </w:numPr>
        <w:suppressAutoHyphens w:val="0"/>
        <w:ind w:left="851" w:right="851" w:firstLine="709"/>
        <w:jc w:val="both"/>
        <w:rPr>
          <w:b/>
          <w:bCs/>
          <w:lang w:eastAsia="es-CR"/>
        </w:rPr>
      </w:pPr>
      <w:bookmarkStart w:id="35" w:name="_Toc76646230"/>
      <w:bookmarkStart w:id="36" w:name="_Toc78467035"/>
      <w:r w:rsidRPr="002C0DC3">
        <w:rPr>
          <w:b/>
          <w:lang w:val="es-CR" w:eastAsia="es-CR"/>
        </w:rPr>
        <w:t>Aplicación</w:t>
      </w:r>
      <w:r w:rsidRPr="002C0DC3">
        <w:rPr>
          <w:b/>
          <w:bCs/>
          <w:lang w:eastAsia="es-CR"/>
        </w:rPr>
        <w:t xml:space="preserve"> del Modelo de Análisis Integral del Circuito (MAIC)</w:t>
      </w:r>
      <w:bookmarkEnd w:id="35"/>
      <w:bookmarkEnd w:id="36"/>
      <w:r w:rsidRPr="002C0DC3">
        <w:rPr>
          <w:b/>
          <w:bCs/>
          <w:lang w:eastAsia="es-CR"/>
        </w:rPr>
        <w:t xml:space="preserve"> </w:t>
      </w:r>
    </w:p>
    <w:p w14:paraId="0588F90B" w14:textId="77777777" w:rsidR="002C0DC3" w:rsidRPr="002C0DC3" w:rsidRDefault="002C0DC3" w:rsidP="002C0DC3">
      <w:pPr>
        <w:suppressAutoHyphens w:val="0"/>
        <w:ind w:left="851" w:right="851" w:firstLine="709"/>
        <w:jc w:val="both"/>
        <w:rPr>
          <w:rFonts w:eastAsia="Calibri"/>
          <w:lang w:val="es-CR" w:eastAsia="en-US"/>
        </w:rPr>
      </w:pPr>
    </w:p>
    <w:p w14:paraId="72C6DC2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El Modelo de Análisis Integral del Circuito Judicial conocido como MAIC, es una herramienta de análisis global de la gestión de los despachos y oficinas, por medio de la cual según los resultados que se obtienen mes a mes en los indicadores de gestión implementados, se identifica y clasifica a las oficinas y despachos del Circuito según el nivel de criticidad que presenten en sus diferentes áreas cada mes.</w:t>
      </w:r>
    </w:p>
    <w:p w14:paraId="51F9D1F6" w14:textId="77777777" w:rsidR="002C0DC3" w:rsidRPr="002C0DC3" w:rsidRDefault="002C0DC3" w:rsidP="002C0DC3">
      <w:pPr>
        <w:suppressAutoHyphens w:val="0"/>
        <w:ind w:left="851" w:right="851" w:firstLine="709"/>
        <w:jc w:val="both"/>
        <w:rPr>
          <w:rFonts w:eastAsia="Calibri"/>
          <w:lang w:val="es-CR" w:eastAsia="en-US"/>
        </w:rPr>
      </w:pPr>
    </w:p>
    <w:p w14:paraId="77F8B0F1" w14:textId="77777777" w:rsidR="002C0DC3" w:rsidRPr="002C0DC3" w:rsidRDefault="002C0DC3" w:rsidP="002C0DC3">
      <w:pPr>
        <w:suppressAutoHyphens w:val="0"/>
        <w:ind w:left="851" w:right="851" w:firstLine="709"/>
        <w:jc w:val="center"/>
        <w:rPr>
          <w:rFonts w:eastAsia="Calibri"/>
          <w:lang w:eastAsia="zh-CN"/>
        </w:rPr>
      </w:pPr>
      <w:r w:rsidRPr="002C0DC3">
        <w:rPr>
          <w:rFonts w:eastAsia="Calibri"/>
          <w:lang w:eastAsia="zh-CN"/>
        </w:rPr>
        <w:t>Cuadro 3</w:t>
      </w:r>
    </w:p>
    <w:p w14:paraId="1AA900F1" w14:textId="62F583E9" w:rsidR="002C0DC3" w:rsidRDefault="002C0DC3" w:rsidP="002C0DC3">
      <w:pPr>
        <w:suppressAutoHyphens w:val="0"/>
        <w:ind w:left="851" w:right="851" w:firstLine="709"/>
        <w:jc w:val="center"/>
        <w:rPr>
          <w:rFonts w:eastAsia="Calibri"/>
          <w:lang w:eastAsia="zh-CN"/>
        </w:rPr>
      </w:pPr>
      <w:r w:rsidRPr="002C0DC3">
        <w:rPr>
          <w:rFonts w:eastAsia="Calibri"/>
          <w:lang w:eastAsia="zh-CN"/>
        </w:rPr>
        <w:t>Escala y clasificación a que responde cada despacho conforme al MAIC</w:t>
      </w:r>
    </w:p>
    <w:p w14:paraId="7FD27F5F" w14:textId="77777777" w:rsidR="00B31AC4" w:rsidRPr="002C0DC3" w:rsidRDefault="00B31AC4" w:rsidP="002C0DC3">
      <w:pPr>
        <w:suppressAutoHyphens w:val="0"/>
        <w:ind w:left="851" w:right="851" w:firstLine="709"/>
        <w:jc w:val="center"/>
        <w:rPr>
          <w:rFonts w:eastAsia="Calibri"/>
          <w:lang w:eastAsia="zh-CN"/>
        </w:rPr>
      </w:pPr>
    </w:p>
    <w:tbl>
      <w:tblPr>
        <w:tblW w:w="9801" w:type="dxa"/>
        <w:jc w:val="center"/>
        <w:tblCellMar>
          <w:left w:w="70" w:type="dxa"/>
          <w:right w:w="70" w:type="dxa"/>
        </w:tblCellMar>
        <w:tblLook w:val="04A0" w:firstRow="1" w:lastRow="0" w:firstColumn="1" w:lastColumn="0" w:noHBand="0" w:noVBand="1"/>
      </w:tblPr>
      <w:tblGrid>
        <w:gridCol w:w="1758"/>
        <w:gridCol w:w="1367"/>
        <w:gridCol w:w="1544"/>
        <w:gridCol w:w="1455"/>
        <w:gridCol w:w="3677"/>
      </w:tblGrid>
      <w:tr w:rsidR="002C0DC3" w:rsidRPr="002C0DC3" w14:paraId="4A313F92" w14:textId="77777777" w:rsidTr="002C0DC3">
        <w:trPr>
          <w:trHeight w:val="859"/>
          <w:jc w:val="center"/>
        </w:trPr>
        <w:tc>
          <w:tcPr>
            <w:tcW w:w="175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ECE6"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Definición Breve</w:t>
            </w:r>
          </w:p>
        </w:tc>
        <w:tc>
          <w:tcPr>
            <w:tcW w:w="1163" w:type="dxa"/>
            <w:tcBorders>
              <w:top w:val="single" w:sz="4" w:space="0" w:color="auto"/>
              <w:left w:val="nil"/>
              <w:bottom w:val="single" w:sz="4" w:space="0" w:color="auto"/>
              <w:right w:val="single" w:sz="4" w:space="0" w:color="auto"/>
            </w:tcBorders>
            <w:shd w:val="clear" w:color="000000" w:fill="D9D9D9"/>
            <w:vAlign w:val="center"/>
            <w:hideMark/>
          </w:tcPr>
          <w:p w14:paraId="72AE1B1A"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Calificación</w:t>
            </w:r>
          </w:p>
        </w:tc>
        <w:tc>
          <w:tcPr>
            <w:tcW w:w="1563" w:type="dxa"/>
            <w:tcBorders>
              <w:top w:val="single" w:sz="4" w:space="0" w:color="auto"/>
              <w:left w:val="nil"/>
              <w:bottom w:val="single" w:sz="4" w:space="0" w:color="auto"/>
              <w:right w:val="single" w:sz="4" w:space="0" w:color="auto"/>
            </w:tcBorders>
            <w:shd w:val="clear" w:color="000000" w:fill="D9D9D9"/>
            <w:vAlign w:val="center"/>
            <w:hideMark/>
          </w:tcPr>
          <w:p w14:paraId="1C52B5B3"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 xml:space="preserve">Cant. indicadores en color rojo </w:t>
            </w:r>
            <w:r w:rsidRPr="002C0DC3">
              <w:rPr>
                <w:rFonts w:eastAsia="Calibri"/>
                <w:b/>
                <w:bCs/>
                <w:lang w:val="es-CR" w:eastAsia="es-CR"/>
              </w:rPr>
              <w:br/>
              <w:t>(oport. de mejora)</w:t>
            </w:r>
          </w:p>
        </w:tc>
        <w:tc>
          <w:tcPr>
            <w:tcW w:w="1460" w:type="dxa"/>
            <w:tcBorders>
              <w:top w:val="single" w:sz="4" w:space="0" w:color="auto"/>
              <w:left w:val="nil"/>
              <w:bottom w:val="single" w:sz="4" w:space="0" w:color="auto"/>
              <w:right w:val="single" w:sz="4" w:space="0" w:color="auto"/>
            </w:tcBorders>
            <w:shd w:val="clear" w:color="000000" w:fill="D9D9D9"/>
            <w:vAlign w:val="center"/>
            <w:hideMark/>
          </w:tcPr>
          <w:p w14:paraId="2C11543E"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Alejamiento de rango establecido</w:t>
            </w:r>
          </w:p>
        </w:tc>
        <w:tc>
          <w:tcPr>
            <w:tcW w:w="3857" w:type="dxa"/>
            <w:tcBorders>
              <w:top w:val="single" w:sz="4" w:space="0" w:color="auto"/>
              <w:left w:val="nil"/>
              <w:bottom w:val="single" w:sz="4" w:space="0" w:color="auto"/>
              <w:right w:val="single" w:sz="4" w:space="0" w:color="auto"/>
            </w:tcBorders>
            <w:shd w:val="clear" w:color="000000" w:fill="D9D9D9"/>
            <w:vAlign w:val="center"/>
            <w:hideMark/>
          </w:tcPr>
          <w:p w14:paraId="2FD99B8D"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Observaciones</w:t>
            </w:r>
          </w:p>
        </w:tc>
      </w:tr>
      <w:tr w:rsidR="002C0DC3" w:rsidRPr="002C0DC3" w14:paraId="61C72E2F" w14:textId="77777777" w:rsidTr="002C0DC3">
        <w:trPr>
          <w:trHeight w:val="802"/>
          <w:jc w:val="center"/>
        </w:trPr>
        <w:tc>
          <w:tcPr>
            <w:tcW w:w="1758" w:type="dxa"/>
            <w:tcBorders>
              <w:top w:val="nil"/>
              <w:left w:val="single" w:sz="4" w:space="0" w:color="auto"/>
              <w:bottom w:val="single" w:sz="4" w:space="0" w:color="auto"/>
              <w:right w:val="single" w:sz="4" w:space="0" w:color="auto"/>
            </w:tcBorders>
            <w:shd w:val="clear" w:color="000000" w:fill="DDEBF7"/>
            <w:noWrap/>
            <w:vAlign w:val="center"/>
            <w:hideMark/>
          </w:tcPr>
          <w:p w14:paraId="5E60AB97"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lastRenderedPageBreak/>
              <w:t>Excelente</w:t>
            </w:r>
          </w:p>
        </w:tc>
        <w:tc>
          <w:tcPr>
            <w:tcW w:w="1163" w:type="dxa"/>
            <w:tcBorders>
              <w:top w:val="single" w:sz="4" w:space="0" w:color="auto"/>
              <w:left w:val="single" w:sz="4" w:space="0" w:color="auto"/>
              <w:bottom w:val="single" w:sz="4" w:space="0" w:color="auto"/>
              <w:right w:val="single" w:sz="4" w:space="0" w:color="auto"/>
            </w:tcBorders>
            <w:shd w:val="clear" w:color="000000" w:fill="2537E3"/>
            <w:noWrap/>
            <w:vAlign w:val="center"/>
            <w:hideMark/>
          </w:tcPr>
          <w:p w14:paraId="3DA39ABE" w14:textId="77777777" w:rsidR="002C0DC3" w:rsidRPr="002C0DC3" w:rsidRDefault="002C0DC3" w:rsidP="002C0DC3">
            <w:pPr>
              <w:suppressAutoHyphens w:val="0"/>
              <w:ind w:left="-758" w:firstLine="758"/>
              <w:jc w:val="both"/>
              <w:rPr>
                <w:rFonts w:eastAsia="Calibri"/>
                <w:b/>
                <w:bCs/>
                <w:lang w:val="es-CR" w:eastAsia="es-CR"/>
              </w:rPr>
            </w:pPr>
            <w:r w:rsidRPr="002C0DC3">
              <w:rPr>
                <w:rFonts w:eastAsia="Calibri"/>
                <w:b/>
                <w:bCs/>
                <w:lang w:val="es-CR" w:eastAsia="es-CR"/>
              </w:rPr>
              <w:t>A</w:t>
            </w:r>
          </w:p>
        </w:tc>
        <w:tc>
          <w:tcPr>
            <w:tcW w:w="1563" w:type="dxa"/>
            <w:tcBorders>
              <w:top w:val="nil"/>
              <w:left w:val="nil"/>
              <w:bottom w:val="single" w:sz="4" w:space="0" w:color="auto"/>
              <w:right w:val="single" w:sz="4" w:space="0" w:color="auto"/>
            </w:tcBorders>
            <w:shd w:val="clear" w:color="auto" w:fill="auto"/>
            <w:vAlign w:val="center"/>
            <w:hideMark/>
          </w:tcPr>
          <w:p w14:paraId="48745186"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Cero o bien de uno hasta su totalidad</w:t>
            </w:r>
          </w:p>
        </w:tc>
        <w:tc>
          <w:tcPr>
            <w:tcW w:w="1460" w:type="dxa"/>
            <w:tcBorders>
              <w:top w:val="nil"/>
              <w:left w:val="nil"/>
              <w:bottom w:val="single" w:sz="4" w:space="0" w:color="auto"/>
              <w:right w:val="single" w:sz="4" w:space="0" w:color="auto"/>
            </w:tcBorders>
            <w:shd w:val="clear" w:color="auto" w:fill="auto"/>
            <w:vAlign w:val="center"/>
            <w:hideMark/>
          </w:tcPr>
          <w:p w14:paraId="31686E1A"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De 0% a 10%</w:t>
            </w:r>
          </w:p>
        </w:tc>
        <w:tc>
          <w:tcPr>
            <w:tcW w:w="3857" w:type="dxa"/>
            <w:tcBorders>
              <w:top w:val="nil"/>
              <w:left w:val="nil"/>
              <w:bottom w:val="single" w:sz="4" w:space="0" w:color="auto"/>
              <w:right w:val="single" w:sz="4" w:space="0" w:color="auto"/>
            </w:tcBorders>
            <w:shd w:val="clear" w:color="auto" w:fill="auto"/>
            <w:vAlign w:val="center"/>
            <w:hideMark/>
          </w:tcPr>
          <w:p w14:paraId="0E54AEEB"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Si en la matriz se detecta que el indicador con mayor oportunidad de mejora se aleja negativamente máximo un </w:t>
            </w:r>
            <w:r w:rsidRPr="002C0DC3">
              <w:rPr>
                <w:rFonts w:eastAsia="Calibri"/>
                <w:b/>
                <w:bCs/>
                <w:lang w:val="es-CR" w:eastAsia="es-CR"/>
              </w:rPr>
              <w:t>10%</w:t>
            </w:r>
            <w:r w:rsidRPr="002C0DC3">
              <w:rPr>
                <w:rFonts w:eastAsia="Calibri"/>
                <w:lang w:val="es-CR" w:eastAsia="es-CR"/>
              </w:rPr>
              <w:t xml:space="preserve"> del rango establecido, se debe ubicar en esta categoría.</w:t>
            </w:r>
          </w:p>
        </w:tc>
      </w:tr>
      <w:tr w:rsidR="002C0DC3" w:rsidRPr="002C0DC3" w14:paraId="142028EF" w14:textId="77777777" w:rsidTr="002C0DC3">
        <w:trPr>
          <w:trHeight w:val="1068"/>
          <w:jc w:val="center"/>
        </w:trPr>
        <w:tc>
          <w:tcPr>
            <w:tcW w:w="1758" w:type="dxa"/>
            <w:tcBorders>
              <w:top w:val="nil"/>
              <w:left w:val="single" w:sz="4" w:space="0" w:color="auto"/>
              <w:bottom w:val="single" w:sz="4" w:space="0" w:color="auto"/>
              <w:right w:val="single" w:sz="4" w:space="0" w:color="auto"/>
            </w:tcBorders>
            <w:shd w:val="clear" w:color="000000" w:fill="AFFFAF"/>
            <w:noWrap/>
            <w:vAlign w:val="center"/>
            <w:hideMark/>
          </w:tcPr>
          <w:p w14:paraId="31439F7C"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Bien</w:t>
            </w:r>
          </w:p>
        </w:tc>
        <w:tc>
          <w:tcPr>
            <w:tcW w:w="1163"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A4A2CCB"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B</w:t>
            </w:r>
          </w:p>
        </w:tc>
        <w:tc>
          <w:tcPr>
            <w:tcW w:w="1563" w:type="dxa"/>
            <w:tcBorders>
              <w:top w:val="nil"/>
              <w:left w:val="nil"/>
              <w:bottom w:val="single" w:sz="4" w:space="0" w:color="auto"/>
              <w:right w:val="single" w:sz="4" w:space="0" w:color="auto"/>
            </w:tcBorders>
            <w:shd w:val="clear" w:color="auto" w:fill="auto"/>
            <w:vAlign w:val="center"/>
            <w:hideMark/>
          </w:tcPr>
          <w:p w14:paraId="5AA52BEE"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De uno hasta su totalidad</w:t>
            </w:r>
          </w:p>
        </w:tc>
        <w:tc>
          <w:tcPr>
            <w:tcW w:w="1460" w:type="dxa"/>
            <w:tcBorders>
              <w:top w:val="nil"/>
              <w:left w:val="nil"/>
              <w:bottom w:val="single" w:sz="4" w:space="0" w:color="auto"/>
              <w:right w:val="single" w:sz="4" w:space="0" w:color="auto"/>
            </w:tcBorders>
            <w:shd w:val="clear" w:color="auto" w:fill="auto"/>
            <w:vAlign w:val="center"/>
            <w:hideMark/>
          </w:tcPr>
          <w:p w14:paraId="0D932E8B"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De 11% a 49%</w:t>
            </w:r>
          </w:p>
        </w:tc>
        <w:tc>
          <w:tcPr>
            <w:tcW w:w="3857" w:type="dxa"/>
            <w:tcBorders>
              <w:top w:val="nil"/>
              <w:left w:val="nil"/>
              <w:bottom w:val="single" w:sz="4" w:space="0" w:color="auto"/>
              <w:right w:val="single" w:sz="4" w:space="0" w:color="auto"/>
            </w:tcBorders>
            <w:shd w:val="clear" w:color="auto" w:fill="auto"/>
            <w:vAlign w:val="center"/>
            <w:hideMark/>
          </w:tcPr>
          <w:p w14:paraId="626D3F3E"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Si en la matriz se detecta al menos un indicador que su resultado se aleja negativamente de un </w:t>
            </w:r>
            <w:r w:rsidRPr="002C0DC3">
              <w:rPr>
                <w:rFonts w:eastAsia="Calibri"/>
                <w:b/>
                <w:bCs/>
                <w:lang w:val="es-CR" w:eastAsia="es-CR"/>
              </w:rPr>
              <w:t>11% a un 49%</w:t>
            </w:r>
            <w:r w:rsidRPr="002C0DC3">
              <w:rPr>
                <w:rFonts w:eastAsia="Calibri"/>
                <w:lang w:val="es-CR" w:eastAsia="es-CR"/>
              </w:rPr>
              <w:t xml:space="preserve"> del rango establecido se debe ubicar en esta categoría.</w:t>
            </w:r>
          </w:p>
        </w:tc>
      </w:tr>
      <w:tr w:rsidR="002C0DC3" w:rsidRPr="002C0DC3" w14:paraId="7C937564" w14:textId="77777777" w:rsidTr="002C0DC3">
        <w:trPr>
          <w:trHeight w:val="813"/>
          <w:jc w:val="center"/>
        </w:trPr>
        <w:tc>
          <w:tcPr>
            <w:tcW w:w="1758" w:type="dxa"/>
            <w:tcBorders>
              <w:top w:val="nil"/>
              <w:left w:val="single" w:sz="4" w:space="0" w:color="auto"/>
              <w:bottom w:val="single" w:sz="4" w:space="0" w:color="auto"/>
              <w:right w:val="single" w:sz="4" w:space="0" w:color="auto"/>
            </w:tcBorders>
            <w:shd w:val="clear" w:color="000000" w:fill="FFFFA7"/>
            <w:vAlign w:val="center"/>
            <w:hideMark/>
          </w:tcPr>
          <w:p w14:paraId="30CF1285"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Con oportunidades de mejora manejables</w:t>
            </w:r>
          </w:p>
        </w:tc>
        <w:tc>
          <w:tcPr>
            <w:tcW w:w="116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3064CEA"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C</w:t>
            </w:r>
          </w:p>
        </w:tc>
        <w:tc>
          <w:tcPr>
            <w:tcW w:w="1563" w:type="dxa"/>
            <w:tcBorders>
              <w:top w:val="nil"/>
              <w:left w:val="nil"/>
              <w:bottom w:val="single" w:sz="4" w:space="0" w:color="auto"/>
              <w:right w:val="single" w:sz="4" w:space="0" w:color="auto"/>
            </w:tcBorders>
            <w:shd w:val="clear" w:color="auto" w:fill="auto"/>
            <w:vAlign w:val="center"/>
            <w:hideMark/>
          </w:tcPr>
          <w:p w14:paraId="73C16341"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De uno hasta su totalidad</w:t>
            </w:r>
          </w:p>
        </w:tc>
        <w:tc>
          <w:tcPr>
            <w:tcW w:w="1460" w:type="dxa"/>
            <w:tcBorders>
              <w:top w:val="nil"/>
              <w:left w:val="nil"/>
              <w:bottom w:val="single" w:sz="4" w:space="0" w:color="auto"/>
              <w:right w:val="single" w:sz="4" w:space="0" w:color="auto"/>
            </w:tcBorders>
            <w:shd w:val="clear" w:color="auto" w:fill="auto"/>
            <w:vAlign w:val="center"/>
            <w:hideMark/>
          </w:tcPr>
          <w:p w14:paraId="5D09A1EF"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50% a 99%</w:t>
            </w:r>
          </w:p>
        </w:tc>
        <w:tc>
          <w:tcPr>
            <w:tcW w:w="3857" w:type="dxa"/>
            <w:tcBorders>
              <w:top w:val="nil"/>
              <w:left w:val="nil"/>
              <w:bottom w:val="single" w:sz="4" w:space="0" w:color="auto"/>
              <w:right w:val="single" w:sz="4" w:space="0" w:color="auto"/>
            </w:tcBorders>
            <w:shd w:val="clear" w:color="auto" w:fill="auto"/>
            <w:vAlign w:val="center"/>
            <w:hideMark/>
          </w:tcPr>
          <w:p w14:paraId="55962843"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Si en la matriz se detecta al menos un indicador que su resultado se aleja negativamente de un </w:t>
            </w:r>
            <w:r w:rsidRPr="002C0DC3">
              <w:rPr>
                <w:rFonts w:eastAsia="Calibri"/>
                <w:b/>
                <w:bCs/>
                <w:lang w:val="es-CR" w:eastAsia="es-CR"/>
              </w:rPr>
              <w:t>50% a un 99%</w:t>
            </w:r>
            <w:r w:rsidRPr="002C0DC3">
              <w:rPr>
                <w:rFonts w:eastAsia="Calibri"/>
                <w:lang w:val="es-CR" w:eastAsia="es-CR"/>
              </w:rPr>
              <w:t xml:space="preserve"> del rango establecido se debe ubicar en esta categoría.</w:t>
            </w:r>
          </w:p>
        </w:tc>
      </w:tr>
      <w:tr w:rsidR="002C0DC3" w:rsidRPr="002C0DC3" w14:paraId="239D231B" w14:textId="77777777" w:rsidTr="002C0DC3">
        <w:trPr>
          <w:trHeight w:val="859"/>
          <w:jc w:val="center"/>
        </w:trPr>
        <w:tc>
          <w:tcPr>
            <w:tcW w:w="1758" w:type="dxa"/>
            <w:tcBorders>
              <w:top w:val="nil"/>
              <w:left w:val="single" w:sz="4" w:space="0" w:color="auto"/>
              <w:bottom w:val="single" w:sz="4" w:space="0" w:color="auto"/>
              <w:right w:val="single" w:sz="4" w:space="0" w:color="auto"/>
            </w:tcBorders>
            <w:shd w:val="clear" w:color="000000" w:fill="FCE4D6"/>
            <w:vAlign w:val="center"/>
            <w:hideMark/>
          </w:tcPr>
          <w:p w14:paraId="400B827A"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Crítico y mayoría del personal no cumple cuotas de trabajo</w:t>
            </w:r>
          </w:p>
        </w:tc>
        <w:tc>
          <w:tcPr>
            <w:tcW w:w="1163"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499539F"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D</w:t>
            </w:r>
          </w:p>
        </w:tc>
        <w:tc>
          <w:tcPr>
            <w:tcW w:w="1563" w:type="dxa"/>
            <w:tcBorders>
              <w:top w:val="nil"/>
              <w:left w:val="nil"/>
              <w:bottom w:val="single" w:sz="4" w:space="0" w:color="auto"/>
              <w:right w:val="single" w:sz="4" w:space="0" w:color="auto"/>
            </w:tcBorders>
            <w:shd w:val="clear" w:color="auto" w:fill="auto"/>
            <w:vAlign w:val="center"/>
            <w:hideMark/>
          </w:tcPr>
          <w:p w14:paraId="5929B14F"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De uno hasta su totalidad</w:t>
            </w:r>
          </w:p>
        </w:tc>
        <w:tc>
          <w:tcPr>
            <w:tcW w:w="1460" w:type="dxa"/>
            <w:tcBorders>
              <w:top w:val="nil"/>
              <w:left w:val="nil"/>
              <w:bottom w:val="single" w:sz="4" w:space="0" w:color="auto"/>
              <w:right w:val="single" w:sz="4" w:space="0" w:color="auto"/>
            </w:tcBorders>
            <w:shd w:val="clear" w:color="auto" w:fill="auto"/>
            <w:vAlign w:val="center"/>
            <w:hideMark/>
          </w:tcPr>
          <w:p w14:paraId="2F840688"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100% en adelante</w:t>
            </w:r>
          </w:p>
        </w:tc>
        <w:tc>
          <w:tcPr>
            <w:tcW w:w="3857" w:type="dxa"/>
            <w:tcBorders>
              <w:top w:val="nil"/>
              <w:left w:val="nil"/>
              <w:bottom w:val="single" w:sz="4" w:space="0" w:color="auto"/>
              <w:right w:val="single" w:sz="4" w:space="0" w:color="auto"/>
            </w:tcBorders>
            <w:shd w:val="clear" w:color="auto" w:fill="auto"/>
            <w:vAlign w:val="center"/>
            <w:hideMark/>
          </w:tcPr>
          <w:p w14:paraId="76FB5948"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Si en la matriz se detecta al menos un indicador que su resultado se aleja negativamente un </w:t>
            </w:r>
            <w:r w:rsidRPr="002C0DC3">
              <w:rPr>
                <w:rFonts w:eastAsia="Calibri"/>
                <w:b/>
                <w:bCs/>
                <w:lang w:val="es-CR" w:eastAsia="es-CR"/>
              </w:rPr>
              <w:t>100%</w:t>
            </w:r>
            <w:r w:rsidRPr="002C0DC3">
              <w:rPr>
                <w:rFonts w:eastAsia="Calibri"/>
                <w:lang w:val="es-CR" w:eastAsia="es-CR"/>
              </w:rPr>
              <w:t xml:space="preserve"> o más del rango establecido se debe ubicar en esta categoría.</w:t>
            </w:r>
          </w:p>
        </w:tc>
      </w:tr>
      <w:tr w:rsidR="002C0DC3" w:rsidRPr="002C0DC3" w14:paraId="3CE5A2EF" w14:textId="77777777" w:rsidTr="002C0DC3">
        <w:trPr>
          <w:trHeight w:val="1060"/>
          <w:jc w:val="center"/>
        </w:trPr>
        <w:tc>
          <w:tcPr>
            <w:tcW w:w="1758" w:type="dxa"/>
            <w:tcBorders>
              <w:top w:val="nil"/>
              <w:left w:val="single" w:sz="4" w:space="0" w:color="auto"/>
              <w:bottom w:val="single" w:sz="4" w:space="0" w:color="auto"/>
              <w:right w:val="single" w:sz="4" w:space="0" w:color="auto"/>
            </w:tcBorders>
            <w:shd w:val="clear" w:color="000000" w:fill="FFC993"/>
            <w:vAlign w:val="center"/>
            <w:hideMark/>
          </w:tcPr>
          <w:p w14:paraId="5E5897B3"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Crítico con rendimiento del personal aceptable</w:t>
            </w:r>
          </w:p>
        </w:tc>
        <w:tc>
          <w:tcPr>
            <w:tcW w:w="1163" w:type="dxa"/>
            <w:tcBorders>
              <w:top w:val="nil"/>
              <w:left w:val="nil"/>
              <w:bottom w:val="single" w:sz="4" w:space="0" w:color="auto"/>
              <w:right w:val="single" w:sz="4" w:space="0" w:color="auto"/>
            </w:tcBorders>
            <w:shd w:val="clear" w:color="000000" w:fill="FF9933"/>
            <w:noWrap/>
            <w:vAlign w:val="center"/>
            <w:hideMark/>
          </w:tcPr>
          <w:p w14:paraId="07C0A684"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E</w:t>
            </w:r>
          </w:p>
        </w:tc>
        <w:tc>
          <w:tcPr>
            <w:tcW w:w="1563" w:type="dxa"/>
            <w:tcBorders>
              <w:top w:val="nil"/>
              <w:left w:val="nil"/>
              <w:bottom w:val="single" w:sz="4" w:space="0" w:color="auto"/>
              <w:right w:val="single" w:sz="4" w:space="0" w:color="auto"/>
            </w:tcBorders>
            <w:shd w:val="clear" w:color="auto" w:fill="auto"/>
            <w:vAlign w:val="center"/>
            <w:hideMark/>
          </w:tcPr>
          <w:p w14:paraId="04C0CC6E"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De uno hasta su totalidad</w:t>
            </w:r>
          </w:p>
        </w:tc>
        <w:tc>
          <w:tcPr>
            <w:tcW w:w="1460" w:type="dxa"/>
            <w:tcBorders>
              <w:top w:val="nil"/>
              <w:left w:val="nil"/>
              <w:bottom w:val="single" w:sz="4" w:space="0" w:color="auto"/>
              <w:right w:val="single" w:sz="4" w:space="0" w:color="auto"/>
            </w:tcBorders>
            <w:shd w:val="clear" w:color="auto" w:fill="auto"/>
            <w:vAlign w:val="center"/>
            <w:hideMark/>
          </w:tcPr>
          <w:p w14:paraId="736F4D75"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100% en adelante</w:t>
            </w:r>
          </w:p>
        </w:tc>
        <w:tc>
          <w:tcPr>
            <w:tcW w:w="3857" w:type="dxa"/>
            <w:tcBorders>
              <w:top w:val="nil"/>
              <w:left w:val="nil"/>
              <w:bottom w:val="single" w:sz="4" w:space="0" w:color="auto"/>
              <w:right w:val="single" w:sz="4" w:space="0" w:color="auto"/>
            </w:tcBorders>
            <w:shd w:val="clear" w:color="auto" w:fill="auto"/>
            <w:vAlign w:val="center"/>
            <w:hideMark/>
          </w:tcPr>
          <w:p w14:paraId="0FFB75DF"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Si en la matriz se detecta al menos un indicador que su resultado se aleja negativamente un </w:t>
            </w:r>
            <w:r w:rsidRPr="002C0DC3">
              <w:rPr>
                <w:rFonts w:eastAsia="Calibri"/>
                <w:b/>
                <w:bCs/>
                <w:lang w:val="es-CR" w:eastAsia="es-CR"/>
              </w:rPr>
              <w:t>100%</w:t>
            </w:r>
            <w:r w:rsidRPr="002C0DC3">
              <w:rPr>
                <w:rFonts w:eastAsia="Calibri"/>
                <w:lang w:val="es-CR" w:eastAsia="es-CR"/>
              </w:rPr>
              <w:t xml:space="preserve"> o más del rango establecido </w:t>
            </w:r>
            <w:r w:rsidRPr="002C0DC3">
              <w:rPr>
                <w:rFonts w:eastAsia="Calibri"/>
                <w:b/>
                <w:bCs/>
                <w:i/>
                <w:iCs/>
                <w:lang w:val="es-CR" w:eastAsia="es-CR"/>
              </w:rPr>
              <w:t>pero el rendimiento de al menos el 80% del personal se encuentra dentro del rango "estándar" o "medio"</w:t>
            </w:r>
            <w:r w:rsidRPr="002C0DC3">
              <w:rPr>
                <w:rFonts w:eastAsia="Calibri"/>
                <w:lang w:val="es-CR" w:eastAsia="es-CR"/>
              </w:rPr>
              <w:t xml:space="preserve"> se debe ubicar en esta categoría.</w:t>
            </w:r>
          </w:p>
        </w:tc>
      </w:tr>
    </w:tbl>
    <w:p w14:paraId="50A88A22" w14:textId="77777777" w:rsidR="002C0DC3" w:rsidRPr="002C0DC3" w:rsidRDefault="002C0DC3" w:rsidP="002C0DC3">
      <w:pPr>
        <w:suppressAutoHyphens w:val="0"/>
        <w:jc w:val="both"/>
        <w:rPr>
          <w:rFonts w:eastAsia="Calibri"/>
          <w:lang w:val="es-CR" w:eastAsia="en-US"/>
        </w:rPr>
      </w:pPr>
    </w:p>
    <w:p w14:paraId="6CC815F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Fuente:  Subproceso de Evaluación. Modelo de Sostenibilidad.</w:t>
      </w:r>
    </w:p>
    <w:p w14:paraId="53006A5E" w14:textId="77777777" w:rsidR="002C0DC3" w:rsidRPr="002C0DC3" w:rsidRDefault="002C0DC3" w:rsidP="002C0DC3">
      <w:pPr>
        <w:suppressAutoHyphens w:val="0"/>
        <w:ind w:left="851" w:right="851" w:firstLine="709"/>
        <w:jc w:val="both"/>
        <w:rPr>
          <w:rFonts w:eastAsia="Calibri"/>
          <w:lang w:val="es-CR" w:eastAsia="en-US"/>
        </w:rPr>
      </w:pPr>
    </w:p>
    <w:p w14:paraId="51FD81DF"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Cada despacho y oficina es evaluado conforme a sus propios parámetros de medición definidos en la Matriz de Indicadores de Gestión implementada.</w:t>
      </w:r>
    </w:p>
    <w:p w14:paraId="056C2D2B" w14:textId="77777777" w:rsidR="002C0DC3" w:rsidRPr="002C0DC3" w:rsidRDefault="002C0DC3" w:rsidP="002C0DC3">
      <w:pPr>
        <w:suppressAutoHyphens w:val="0"/>
        <w:ind w:left="851" w:right="851" w:firstLine="709"/>
        <w:jc w:val="both"/>
        <w:rPr>
          <w:rFonts w:eastAsia="Calibri"/>
          <w:lang w:val="es-CR" w:eastAsia="en-US"/>
        </w:rPr>
      </w:pPr>
    </w:p>
    <w:p w14:paraId="220D8657"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 el caso de las calificaciones “A” y “B” corresponde a oficinas y despachos que presentan una buena gestión general de sus áreas de trabajo y el eventual alejamiento en sus resultados con relación a los parámetros establecidos es totalmente recuperable en el corto plazo, por lo general se debe a alguna </w:t>
      </w:r>
      <w:r w:rsidRPr="002C0DC3">
        <w:rPr>
          <w:rFonts w:eastAsia="Calibri"/>
          <w:lang w:val="es-CR" w:eastAsia="en-US"/>
        </w:rPr>
        <w:lastRenderedPageBreak/>
        <w:t>situación especial, como el cierre colectivo, aumento de demanda excepcional, entre otros aspectos.</w:t>
      </w:r>
    </w:p>
    <w:p w14:paraId="7BE78886" w14:textId="77777777" w:rsidR="002C0DC3" w:rsidRPr="002C0DC3" w:rsidRDefault="002C0DC3" w:rsidP="002C0DC3">
      <w:pPr>
        <w:suppressAutoHyphens w:val="0"/>
        <w:ind w:left="851" w:right="851" w:firstLine="709"/>
        <w:jc w:val="both"/>
        <w:rPr>
          <w:rFonts w:eastAsia="Calibri"/>
          <w:lang w:val="es-CR" w:eastAsia="en-US"/>
        </w:rPr>
      </w:pPr>
    </w:p>
    <w:p w14:paraId="7C6D8379"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La calificación “C” corresponde a oficinas que presentan alejamientos negativos en sus resultados que se deben atacar de inmediato, ya que si se descuidan podrían convertirse rápidamente en una oficina “D” o “E”. Las oficinas en categoría “E” por lo general deben ocuparse en un plan de trabajo debidamente definido, por varios meses de ejecución, ya sea con el compromiso del personal propio de la oficina o bien, con un apoyo adicional como lo es personal supernumerario.</w:t>
      </w:r>
    </w:p>
    <w:p w14:paraId="1059B079" w14:textId="77777777" w:rsidR="002C0DC3" w:rsidRPr="002C0DC3" w:rsidRDefault="002C0DC3" w:rsidP="002C0DC3">
      <w:pPr>
        <w:suppressAutoHyphens w:val="0"/>
        <w:ind w:left="851" w:right="851" w:firstLine="709"/>
        <w:jc w:val="both"/>
        <w:rPr>
          <w:rFonts w:eastAsia="Calibri"/>
          <w:lang w:val="es-CR" w:eastAsia="en-US"/>
        </w:rPr>
      </w:pPr>
    </w:p>
    <w:p w14:paraId="5BD3BAA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Las calificaciones “D” y “E” presentan el mismo nivel de criticidad de una o varias áreas del despacho u oficina, sin embargo, es importante identificar las oficinas que a pesar de estar dentro de estas calificaciones, su personal presenta bajos rendimientos en el cumplimiento de las cuotas de trabajo establecidas, lo cual hace que la situación crítica cada vez empeore (calificación “D” rojo) y también se identifican o separan las oficinas que a pesar de estar en un alto nivel de criticidad, la </w:t>
      </w:r>
      <w:r w:rsidRPr="002C0DC3">
        <w:rPr>
          <w:rFonts w:eastAsia="Calibri"/>
          <w:b/>
          <w:bCs/>
          <w:lang w:val="es-CR" w:eastAsia="en-US"/>
        </w:rPr>
        <w:t>mayoría de su personal</w:t>
      </w:r>
      <w:r w:rsidRPr="002C0DC3">
        <w:rPr>
          <w:rFonts w:eastAsia="Calibri"/>
          <w:lang w:val="es-CR" w:eastAsia="en-US"/>
        </w:rPr>
        <w:t xml:space="preserve"> (al menos el 80% del personal) cumple con las cuotas de trabajo establecidas, lo que demuestra un mayor compromiso y a la vez se trabaja para mejorar esa situación (calificación “E” naranja).  Los despachos en estas calificaciones requieren atención prioritaria, formulación de planes de trabajo, valoración de asignación de personal supernumerario u otros recursos para lograr mejorar la situación o incluso impedir que el ese nivel de criticidad aumente.</w:t>
      </w:r>
    </w:p>
    <w:p w14:paraId="64AC179E" w14:textId="77777777" w:rsidR="002C0DC3" w:rsidRPr="002C0DC3" w:rsidRDefault="002C0DC3" w:rsidP="002C0DC3">
      <w:pPr>
        <w:suppressAutoHyphens w:val="0"/>
        <w:ind w:left="851" w:right="851" w:firstLine="709"/>
        <w:jc w:val="both"/>
        <w:rPr>
          <w:rFonts w:eastAsia="Calibri"/>
          <w:lang w:val="es-CR" w:eastAsia="en-US"/>
        </w:rPr>
      </w:pPr>
    </w:p>
    <w:p w14:paraId="3912F3C5"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Este modelo es aplicable a todos los circuitos judiciales por lo que no se hará referencia más adelante al sustento teórico del modelo, sino únicamente a los resultados de su aplicación por circuito. </w:t>
      </w:r>
    </w:p>
    <w:p w14:paraId="271EB192" w14:textId="77777777" w:rsidR="002C0DC3" w:rsidRPr="002C0DC3" w:rsidRDefault="002C0DC3" w:rsidP="002C0DC3">
      <w:pPr>
        <w:suppressAutoHyphens w:val="0"/>
        <w:ind w:left="851" w:right="851" w:firstLine="709"/>
        <w:jc w:val="both"/>
        <w:rPr>
          <w:rFonts w:eastAsia="Calibri"/>
          <w:lang w:val="es-CR" w:eastAsia="en-US"/>
        </w:rPr>
      </w:pPr>
    </w:p>
    <w:p w14:paraId="5F8F022F"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Las siguientes son las calificaciones para los despachos de Cobro Judicial en donde se encuentra implementado el Modelo de Sostenibilidad.</w:t>
      </w:r>
    </w:p>
    <w:p w14:paraId="0C539E3E" w14:textId="77777777" w:rsidR="002C0DC3" w:rsidRPr="002C0DC3" w:rsidRDefault="002C0DC3" w:rsidP="002C0DC3">
      <w:pPr>
        <w:suppressAutoHyphens w:val="0"/>
        <w:ind w:left="851" w:right="851" w:firstLine="709"/>
        <w:jc w:val="both"/>
        <w:rPr>
          <w:rFonts w:eastAsia="Calibri"/>
          <w:lang w:val="es-CR" w:eastAsia="en-US"/>
        </w:rPr>
      </w:pPr>
    </w:p>
    <w:p w14:paraId="7EEA69D7" w14:textId="77777777" w:rsidR="002C0DC3" w:rsidRPr="002C0DC3" w:rsidRDefault="002C0DC3" w:rsidP="002C0DC3">
      <w:pPr>
        <w:suppressAutoHyphens w:val="0"/>
        <w:ind w:left="851" w:right="851" w:firstLine="709"/>
        <w:jc w:val="center"/>
        <w:rPr>
          <w:bCs/>
          <w:lang w:val="es-CR" w:eastAsia="es-ES"/>
        </w:rPr>
      </w:pPr>
      <w:bookmarkStart w:id="37" w:name="_Toc43452889"/>
      <w:r w:rsidRPr="002C0DC3">
        <w:rPr>
          <w:bCs/>
          <w:lang w:val="es-CR" w:eastAsia="es-ES"/>
        </w:rPr>
        <w:t xml:space="preserve">Cuadro </w:t>
      </w:r>
      <w:bookmarkEnd w:id="37"/>
      <w:r w:rsidRPr="002C0DC3">
        <w:rPr>
          <w:bCs/>
          <w:lang w:val="es-CR" w:eastAsia="es-ES"/>
        </w:rPr>
        <w:t>4</w:t>
      </w:r>
    </w:p>
    <w:p w14:paraId="3D255459" w14:textId="18634CB6" w:rsidR="002C0DC3" w:rsidRPr="002C0DC3" w:rsidRDefault="002C0DC3" w:rsidP="00B31AC4">
      <w:pPr>
        <w:suppressAutoHyphens w:val="0"/>
        <w:ind w:left="851" w:right="851" w:firstLine="709"/>
        <w:jc w:val="center"/>
        <w:rPr>
          <w:rFonts w:eastAsia="Calibri"/>
          <w:bCs/>
          <w:lang w:val="es-CR" w:eastAsia="zh-CN"/>
        </w:rPr>
      </w:pPr>
      <w:bookmarkStart w:id="38" w:name="_Toc43452890"/>
      <w:r w:rsidRPr="002C0DC3">
        <w:rPr>
          <w:rFonts w:eastAsia="Calibri"/>
          <w:bCs/>
          <w:lang w:val="es-CR" w:eastAsia="zh-CN"/>
        </w:rPr>
        <w:t xml:space="preserve">Estado general de los Juzgado de Cobro Judicial </w:t>
      </w:r>
      <w:bookmarkStart w:id="39" w:name="_Toc43452891"/>
      <w:bookmarkEnd w:id="38"/>
      <w:r w:rsidRPr="002C0DC3">
        <w:rPr>
          <w:rFonts w:eastAsia="Calibri"/>
          <w:bCs/>
          <w:lang w:val="es-CR" w:eastAsia="zh-CN"/>
        </w:rPr>
        <w:t>basados en los indicadores de gestión</w:t>
      </w:r>
      <w:bookmarkEnd w:id="39"/>
      <w:r w:rsidR="00B31AC4">
        <w:rPr>
          <w:rFonts w:eastAsia="Calibri"/>
          <w:bCs/>
          <w:lang w:val="es-CR" w:eastAsia="zh-CN"/>
        </w:rPr>
        <w:t xml:space="preserve"> </w:t>
      </w:r>
      <w:r w:rsidRPr="002C0DC3">
        <w:rPr>
          <w:rFonts w:eastAsia="Calibri"/>
          <w:bCs/>
          <w:lang w:val="es-CR" w:eastAsia="zh-CN"/>
        </w:rPr>
        <w:t>Aplicación del Modelo MAIC</w:t>
      </w:r>
    </w:p>
    <w:p w14:paraId="5C219F6B" w14:textId="77777777" w:rsidR="002C0DC3" w:rsidRPr="002C0DC3" w:rsidRDefault="002C0DC3" w:rsidP="002C0DC3">
      <w:pPr>
        <w:suppressAutoHyphens w:val="0"/>
        <w:ind w:left="851" w:right="851" w:firstLine="709"/>
        <w:jc w:val="center"/>
        <w:rPr>
          <w:rFonts w:eastAsia="Calibri"/>
          <w:bCs/>
          <w:lang w:val="es-CR" w:eastAsia="zh-CN"/>
        </w:rPr>
      </w:pPr>
      <w:bookmarkStart w:id="40" w:name="_Toc43452892"/>
      <w:r w:rsidRPr="002C0DC3">
        <w:rPr>
          <w:rFonts w:eastAsia="Calibri"/>
          <w:bCs/>
          <w:lang w:val="es-CR" w:eastAsia="zh-CN"/>
        </w:rPr>
        <w:t>(enero-diciembre 2020)</w:t>
      </w:r>
      <w:bookmarkEnd w:id="40"/>
    </w:p>
    <w:p w14:paraId="10EDA87C" w14:textId="77777777" w:rsidR="002C0DC3" w:rsidRPr="002C0DC3" w:rsidRDefault="002C0DC3" w:rsidP="002C0DC3">
      <w:pPr>
        <w:suppressAutoHyphens w:val="0"/>
        <w:jc w:val="center"/>
        <w:rPr>
          <w:rFonts w:eastAsia="Calibri"/>
          <w:bCs/>
          <w:lang w:val="es-CR" w:eastAsia="zh-CN"/>
        </w:rPr>
      </w:pPr>
    </w:p>
    <w:tbl>
      <w:tblPr>
        <w:tblW w:w="5000" w:type="pct"/>
        <w:tblCellMar>
          <w:left w:w="70" w:type="dxa"/>
          <w:right w:w="70" w:type="dxa"/>
        </w:tblCellMar>
        <w:tblLook w:val="04A0" w:firstRow="1" w:lastRow="0" w:firstColumn="1" w:lastColumn="0" w:noHBand="0" w:noVBand="1"/>
      </w:tblPr>
      <w:tblGrid>
        <w:gridCol w:w="2675"/>
        <w:gridCol w:w="542"/>
        <w:gridCol w:w="540"/>
        <w:gridCol w:w="594"/>
        <w:gridCol w:w="554"/>
        <w:gridCol w:w="607"/>
        <w:gridCol w:w="527"/>
        <w:gridCol w:w="539"/>
        <w:gridCol w:w="647"/>
        <w:gridCol w:w="540"/>
        <w:gridCol w:w="540"/>
        <w:gridCol w:w="554"/>
        <w:gridCol w:w="526"/>
      </w:tblGrid>
      <w:tr w:rsidR="002C0DC3" w:rsidRPr="002C0DC3" w14:paraId="60E9F60B" w14:textId="77777777" w:rsidTr="002C0DC3">
        <w:trPr>
          <w:trHeight w:val="20"/>
        </w:trPr>
        <w:tc>
          <w:tcPr>
            <w:tcW w:w="1433"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656402" w14:textId="77777777" w:rsidR="002C0DC3" w:rsidRPr="002C0DC3" w:rsidRDefault="002C0DC3" w:rsidP="002C0DC3">
            <w:pPr>
              <w:suppressAutoHyphens w:val="0"/>
              <w:jc w:val="center"/>
              <w:rPr>
                <w:b/>
                <w:bCs/>
                <w:lang w:val="es-CR" w:eastAsia="es-CR"/>
              </w:rPr>
            </w:pPr>
            <w:r w:rsidRPr="002C0DC3">
              <w:rPr>
                <w:b/>
                <w:bCs/>
                <w:lang w:val="es-CR" w:eastAsia="es-CR"/>
              </w:rPr>
              <w:t>Despacho u Oficina</w:t>
            </w:r>
          </w:p>
        </w:tc>
        <w:tc>
          <w:tcPr>
            <w:tcW w:w="298" w:type="pct"/>
            <w:tcBorders>
              <w:top w:val="single" w:sz="8" w:space="0" w:color="auto"/>
              <w:left w:val="nil"/>
              <w:bottom w:val="single" w:sz="8" w:space="0" w:color="auto"/>
              <w:right w:val="single" w:sz="8" w:space="0" w:color="auto"/>
            </w:tcBorders>
            <w:shd w:val="clear" w:color="000000" w:fill="D9D9D9"/>
            <w:noWrap/>
            <w:vAlign w:val="center"/>
            <w:hideMark/>
          </w:tcPr>
          <w:p w14:paraId="34BA54BA" w14:textId="77777777" w:rsidR="002C0DC3" w:rsidRPr="002C0DC3" w:rsidRDefault="002C0DC3" w:rsidP="002C0DC3">
            <w:pPr>
              <w:suppressAutoHyphens w:val="0"/>
              <w:jc w:val="center"/>
              <w:rPr>
                <w:b/>
                <w:bCs/>
                <w:lang w:val="es-CR" w:eastAsia="es-CR"/>
              </w:rPr>
            </w:pPr>
            <w:r w:rsidRPr="002C0DC3">
              <w:rPr>
                <w:b/>
                <w:bCs/>
                <w:lang w:val="es-CR" w:eastAsia="es-CR"/>
              </w:rPr>
              <w:t>Ene</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6B513FA8" w14:textId="77777777" w:rsidR="002C0DC3" w:rsidRPr="002C0DC3" w:rsidRDefault="002C0DC3" w:rsidP="002C0DC3">
            <w:pPr>
              <w:suppressAutoHyphens w:val="0"/>
              <w:jc w:val="center"/>
              <w:rPr>
                <w:b/>
                <w:bCs/>
                <w:lang w:val="es-CR" w:eastAsia="es-CR"/>
              </w:rPr>
            </w:pPr>
            <w:r w:rsidRPr="002C0DC3">
              <w:rPr>
                <w:b/>
                <w:bCs/>
                <w:lang w:val="es-CR" w:eastAsia="es-CR"/>
              </w:rPr>
              <w:t>Feb</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2703F2F0" w14:textId="77777777" w:rsidR="002C0DC3" w:rsidRPr="002C0DC3" w:rsidRDefault="002C0DC3" w:rsidP="002C0DC3">
            <w:pPr>
              <w:suppressAutoHyphens w:val="0"/>
              <w:jc w:val="center"/>
              <w:rPr>
                <w:b/>
                <w:bCs/>
                <w:lang w:val="es-CR" w:eastAsia="es-CR"/>
              </w:rPr>
            </w:pPr>
            <w:r w:rsidRPr="002C0DC3">
              <w:rPr>
                <w:b/>
                <w:bCs/>
                <w:lang w:val="es-CR" w:eastAsia="es-CR"/>
              </w:rPr>
              <w:t>Mar</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5D8BB209" w14:textId="77777777" w:rsidR="002C0DC3" w:rsidRPr="002C0DC3" w:rsidRDefault="002C0DC3" w:rsidP="002C0DC3">
            <w:pPr>
              <w:suppressAutoHyphens w:val="0"/>
              <w:jc w:val="center"/>
              <w:rPr>
                <w:b/>
                <w:bCs/>
                <w:lang w:val="es-CR" w:eastAsia="es-CR"/>
              </w:rPr>
            </w:pPr>
            <w:r w:rsidRPr="002C0DC3">
              <w:rPr>
                <w:b/>
                <w:bCs/>
                <w:lang w:val="es-CR" w:eastAsia="es-CR"/>
              </w:rPr>
              <w:t>Abr</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5339DCBC" w14:textId="77777777" w:rsidR="002C0DC3" w:rsidRPr="002C0DC3" w:rsidRDefault="002C0DC3" w:rsidP="002C0DC3">
            <w:pPr>
              <w:suppressAutoHyphens w:val="0"/>
              <w:jc w:val="center"/>
              <w:rPr>
                <w:b/>
                <w:bCs/>
                <w:lang w:val="es-CR" w:eastAsia="es-CR"/>
              </w:rPr>
            </w:pPr>
            <w:r w:rsidRPr="002C0DC3">
              <w:rPr>
                <w:b/>
                <w:bCs/>
                <w:lang w:val="es-CR" w:eastAsia="es-CR"/>
              </w:rPr>
              <w:t>May</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6DD5ED7D" w14:textId="77777777" w:rsidR="002C0DC3" w:rsidRPr="002C0DC3" w:rsidRDefault="002C0DC3" w:rsidP="002C0DC3">
            <w:pPr>
              <w:suppressAutoHyphens w:val="0"/>
              <w:jc w:val="center"/>
              <w:rPr>
                <w:b/>
                <w:bCs/>
                <w:lang w:val="es-CR" w:eastAsia="es-CR"/>
              </w:rPr>
            </w:pPr>
            <w:r w:rsidRPr="002C0DC3">
              <w:rPr>
                <w:b/>
                <w:bCs/>
                <w:lang w:val="es-CR" w:eastAsia="es-CR"/>
              </w:rPr>
              <w:t>Jun</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4304C268" w14:textId="77777777" w:rsidR="002C0DC3" w:rsidRPr="002C0DC3" w:rsidRDefault="002C0DC3" w:rsidP="002C0DC3">
            <w:pPr>
              <w:suppressAutoHyphens w:val="0"/>
              <w:jc w:val="center"/>
              <w:rPr>
                <w:b/>
                <w:bCs/>
                <w:lang w:val="es-CR" w:eastAsia="es-CR"/>
              </w:rPr>
            </w:pPr>
            <w:r w:rsidRPr="002C0DC3">
              <w:rPr>
                <w:b/>
                <w:bCs/>
                <w:lang w:val="es-CR" w:eastAsia="es-CR"/>
              </w:rPr>
              <w:t>Jul</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28A2DC23" w14:textId="77777777" w:rsidR="002C0DC3" w:rsidRPr="002C0DC3" w:rsidRDefault="002C0DC3" w:rsidP="002C0DC3">
            <w:pPr>
              <w:suppressAutoHyphens w:val="0"/>
              <w:jc w:val="center"/>
              <w:rPr>
                <w:b/>
                <w:bCs/>
                <w:lang w:val="es-CR" w:eastAsia="es-CR"/>
              </w:rPr>
            </w:pPr>
            <w:r w:rsidRPr="002C0DC3">
              <w:rPr>
                <w:b/>
                <w:bCs/>
                <w:lang w:val="es-CR" w:eastAsia="es-CR"/>
              </w:rPr>
              <w:t>Agos</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0AE3E1B7" w14:textId="77777777" w:rsidR="002C0DC3" w:rsidRPr="002C0DC3" w:rsidRDefault="002C0DC3" w:rsidP="002C0DC3">
            <w:pPr>
              <w:suppressAutoHyphens w:val="0"/>
              <w:jc w:val="center"/>
              <w:rPr>
                <w:b/>
                <w:bCs/>
                <w:lang w:val="es-CR" w:eastAsia="es-CR"/>
              </w:rPr>
            </w:pPr>
            <w:r w:rsidRPr="002C0DC3">
              <w:rPr>
                <w:b/>
                <w:bCs/>
                <w:lang w:val="es-CR" w:eastAsia="es-CR"/>
              </w:rPr>
              <w:t>Set</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6356E964" w14:textId="77777777" w:rsidR="002C0DC3" w:rsidRPr="002C0DC3" w:rsidRDefault="002C0DC3" w:rsidP="002C0DC3">
            <w:pPr>
              <w:suppressAutoHyphens w:val="0"/>
              <w:jc w:val="center"/>
              <w:rPr>
                <w:b/>
                <w:bCs/>
                <w:lang w:val="es-CR" w:eastAsia="es-CR"/>
              </w:rPr>
            </w:pPr>
            <w:r w:rsidRPr="002C0DC3">
              <w:rPr>
                <w:b/>
                <w:bCs/>
                <w:lang w:val="es-CR" w:eastAsia="es-CR"/>
              </w:rPr>
              <w:t>Oct</w:t>
            </w:r>
          </w:p>
        </w:tc>
        <w:tc>
          <w:tcPr>
            <w:tcW w:w="297" w:type="pct"/>
            <w:tcBorders>
              <w:top w:val="single" w:sz="8" w:space="0" w:color="auto"/>
              <w:left w:val="nil"/>
              <w:bottom w:val="single" w:sz="8" w:space="0" w:color="auto"/>
              <w:right w:val="single" w:sz="8" w:space="0" w:color="auto"/>
            </w:tcBorders>
            <w:shd w:val="clear" w:color="000000" w:fill="D9D9D9"/>
            <w:noWrap/>
            <w:vAlign w:val="center"/>
            <w:hideMark/>
          </w:tcPr>
          <w:p w14:paraId="18449F36" w14:textId="77777777" w:rsidR="002C0DC3" w:rsidRPr="002C0DC3" w:rsidRDefault="002C0DC3" w:rsidP="002C0DC3">
            <w:pPr>
              <w:suppressAutoHyphens w:val="0"/>
              <w:jc w:val="center"/>
              <w:rPr>
                <w:b/>
                <w:bCs/>
                <w:lang w:val="es-CR" w:eastAsia="es-CR"/>
              </w:rPr>
            </w:pPr>
            <w:r w:rsidRPr="002C0DC3">
              <w:rPr>
                <w:b/>
                <w:bCs/>
                <w:lang w:val="es-CR" w:eastAsia="es-CR"/>
              </w:rPr>
              <w:t>Nov</w:t>
            </w:r>
          </w:p>
        </w:tc>
        <w:tc>
          <w:tcPr>
            <w:tcW w:w="296" w:type="pct"/>
            <w:tcBorders>
              <w:top w:val="single" w:sz="8" w:space="0" w:color="auto"/>
              <w:left w:val="nil"/>
              <w:bottom w:val="single" w:sz="8" w:space="0" w:color="auto"/>
              <w:right w:val="single" w:sz="8" w:space="0" w:color="auto"/>
            </w:tcBorders>
            <w:shd w:val="clear" w:color="000000" w:fill="D9D9D9"/>
            <w:noWrap/>
            <w:vAlign w:val="center"/>
            <w:hideMark/>
          </w:tcPr>
          <w:p w14:paraId="1B9C9417" w14:textId="77777777" w:rsidR="002C0DC3" w:rsidRPr="002C0DC3" w:rsidRDefault="002C0DC3" w:rsidP="002C0DC3">
            <w:pPr>
              <w:suppressAutoHyphens w:val="0"/>
              <w:jc w:val="center"/>
              <w:rPr>
                <w:b/>
                <w:bCs/>
                <w:lang w:val="es-CR" w:eastAsia="es-CR"/>
              </w:rPr>
            </w:pPr>
            <w:r w:rsidRPr="002C0DC3">
              <w:rPr>
                <w:b/>
                <w:bCs/>
                <w:lang w:val="es-CR" w:eastAsia="es-CR"/>
              </w:rPr>
              <w:t>Dic</w:t>
            </w:r>
          </w:p>
        </w:tc>
      </w:tr>
      <w:tr w:rsidR="002C0DC3" w:rsidRPr="002C0DC3" w14:paraId="086F83FA" w14:textId="77777777" w:rsidTr="002C0DC3">
        <w:trPr>
          <w:trHeight w:val="460"/>
        </w:trPr>
        <w:tc>
          <w:tcPr>
            <w:tcW w:w="1433" w:type="pct"/>
            <w:tcBorders>
              <w:top w:val="nil"/>
              <w:left w:val="single" w:sz="8" w:space="0" w:color="auto"/>
              <w:bottom w:val="single" w:sz="8" w:space="0" w:color="auto"/>
              <w:right w:val="single" w:sz="8" w:space="0" w:color="auto"/>
            </w:tcBorders>
            <w:shd w:val="clear" w:color="000000" w:fill="FFFFFF"/>
            <w:vAlign w:val="center"/>
            <w:hideMark/>
          </w:tcPr>
          <w:p w14:paraId="0A90ECF9" w14:textId="77777777" w:rsidR="002C0DC3" w:rsidRPr="002C0DC3" w:rsidRDefault="002C0DC3" w:rsidP="002C0DC3">
            <w:pPr>
              <w:suppressAutoHyphens w:val="0"/>
              <w:jc w:val="center"/>
              <w:rPr>
                <w:lang w:val="es-CR" w:eastAsia="es-CR"/>
              </w:rPr>
            </w:pPr>
            <w:r w:rsidRPr="002C0DC3">
              <w:rPr>
                <w:lang w:val="es-CR" w:eastAsia="es-CR"/>
              </w:rPr>
              <w:t>JUZGADO DE COBRO DE LIBERIA</w:t>
            </w:r>
          </w:p>
        </w:tc>
        <w:tc>
          <w:tcPr>
            <w:tcW w:w="298" w:type="pct"/>
            <w:tcBorders>
              <w:top w:val="nil"/>
              <w:left w:val="nil"/>
              <w:bottom w:val="single" w:sz="8" w:space="0" w:color="auto"/>
              <w:right w:val="single" w:sz="8" w:space="0" w:color="auto"/>
            </w:tcBorders>
            <w:shd w:val="clear" w:color="000000" w:fill="FF9933"/>
            <w:vAlign w:val="center"/>
            <w:hideMark/>
          </w:tcPr>
          <w:p w14:paraId="74DFD24A"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499345D0"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31EA09D1"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7A8754D0"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34CDB11D"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5210819F"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5E4993AA"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47B2D7F8"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FF00"/>
            <w:vAlign w:val="center"/>
            <w:hideMark/>
          </w:tcPr>
          <w:p w14:paraId="33141E8F" w14:textId="77777777" w:rsidR="002C0DC3" w:rsidRPr="002C0DC3" w:rsidRDefault="002C0DC3" w:rsidP="002C0DC3">
            <w:pPr>
              <w:suppressAutoHyphens w:val="0"/>
              <w:jc w:val="center"/>
              <w:rPr>
                <w:b/>
                <w:bCs/>
                <w:lang w:val="es-CR" w:eastAsia="es-CR"/>
              </w:rPr>
            </w:pPr>
            <w:r w:rsidRPr="002C0DC3">
              <w:rPr>
                <w:b/>
                <w:bCs/>
                <w:lang w:val="es-CR" w:eastAsia="es-CR"/>
              </w:rPr>
              <w:t>C</w:t>
            </w:r>
          </w:p>
        </w:tc>
        <w:tc>
          <w:tcPr>
            <w:tcW w:w="297" w:type="pct"/>
            <w:tcBorders>
              <w:top w:val="nil"/>
              <w:left w:val="nil"/>
              <w:bottom w:val="single" w:sz="8" w:space="0" w:color="auto"/>
              <w:right w:val="single" w:sz="8" w:space="0" w:color="auto"/>
            </w:tcBorders>
            <w:shd w:val="clear" w:color="000000" w:fill="FFFF00"/>
            <w:vAlign w:val="center"/>
            <w:hideMark/>
          </w:tcPr>
          <w:p w14:paraId="25E52925" w14:textId="77777777" w:rsidR="002C0DC3" w:rsidRPr="002C0DC3" w:rsidRDefault="002C0DC3" w:rsidP="002C0DC3">
            <w:pPr>
              <w:suppressAutoHyphens w:val="0"/>
              <w:jc w:val="center"/>
              <w:rPr>
                <w:b/>
                <w:bCs/>
                <w:lang w:val="es-CR" w:eastAsia="es-CR"/>
              </w:rPr>
            </w:pPr>
            <w:r w:rsidRPr="002C0DC3">
              <w:rPr>
                <w:b/>
                <w:bCs/>
                <w:lang w:val="es-CR" w:eastAsia="es-CR"/>
              </w:rPr>
              <w:t>C</w:t>
            </w:r>
          </w:p>
        </w:tc>
        <w:tc>
          <w:tcPr>
            <w:tcW w:w="297" w:type="pct"/>
            <w:tcBorders>
              <w:top w:val="nil"/>
              <w:left w:val="nil"/>
              <w:bottom w:val="single" w:sz="8" w:space="0" w:color="auto"/>
              <w:right w:val="single" w:sz="8" w:space="0" w:color="auto"/>
            </w:tcBorders>
            <w:shd w:val="clear" w:color="000000" w:fill="FFFF00"/>
            <w:vAlign w:val="center"/>
            <w:hideMark/>
          </w:tcPr>
          <w:p w14:paraId="63683812" w14:textId="77777777" w:rsidR="002C0DC3" w:rsidRPr="002C0DC3" w:rsidRDefault="002C0DC3" w:rsidP="002C0DC3">
            <w:pPr>
              <w:suppressAutoHyphens w:val="0"/>
              <w:jc w:val="center"/>
              <w:rPr>
                <w:b/>
                <w:bCs/>
                <w:lang w:val="es-CR" w:eastAsia="es-CR"/>
              </w:rPr>
            </w:pPr>
            <w:r w:rsidRPr="002C0DC3">
              <w:rPr>
                <w:b/>
                <w:bCs/>
                <w:lang w:val="es-CR" w:eastAsia="es-CR"/>
              </w:rPr>
              <w:t>C</w:t>
            </w:r>
          </w:p>
        </w:tc>
        <w:tc>
          <w:tcPr>
            <w:tcW w:w="296" w:type="pct"/>
            <w:tcBorders>
              <w:top w:val="nil"/>
              <w:left w:val="nil"/>
              <w:bottom w:val="single" w:sz="8" w:space="0" w:color="auto"/>
              <w:right w:val="single" w:sz="8" w:space="0" w:color="auto"/>
            </w:tcBorders>
            <w:shd w:val="clear" w:color="000000" w:fill="FFFF00"/>
            <w:vAlign w:val="center"/>
            <w:hideMark/>
          </w:tcPr>
          <w:p w14:paraId="303BFD41" w14:textId="77777777" w:rsidR="002C0DC3" w:rsidRPr="002C0DC3" w:rsidRDefault="002C0DC3" w:rsidP="002C0DC3">
            <w:pPr>
              <w:suppressAutoHyphens w:val="0"/>
              <w:jc w:val="center"/>
              <w:rPr>
                <w:b/>
                <w:bCs/>
                <w:lang w:val="es-CR" w:eastAsia="es-CR"/>
              </w:rPr>
            </w:pPr>
            <w:r w:rsidRPr="002C0DC3">
              <w:rPr>
                <w:b/>
                <w:bCs/>
                <w:lang w:val="es-CR" w:eastAsia="es-CR"/>
              </w:rPr>
              <w:t>C</w:t>
            </w:r>
          </w:p>
        </w:tc>
      </w:tr>
      <w:tr w:rsidR="002C0DC3" w:rsidRPr="002C0DC3" w14:paraId="3A51CCFD" w14:textId="77777777" w:rsidTr="002C0DC3">
        <w:trPr>
          <w:trHeight w:val="460"/>
        </w:trPr>
        <w:tc>
          <w:tcPr>
            <w:tcW w:w="1433" w:type="pct"/>
            <w:tcBorders>
              <w:top w:val="nil"/>
              <w:left w:val="single" w:sz="8" w:space="0" w:color="auto"/>
              <w:bottom w:val="single" w:sz="8" w:space="0" w:color="auto"/>
              <w:right w:val="single" w:sz="8" w:space="0" w:color="auto"/>
            </w:tcBorders>
            <w:shd w:val="clear" w:color="000000" w:fill="FFFFFF"/>
            <w:vAlign w:val="center"/>
            <w:hideMark/>
          </w:tcPr>
          <w:p w14:paraId="3926CDBC" w14:textId="77777777" w:rsidR="002C0DC3" w:rsidRPr="002C0DC3" w:rsidRDefault="002C0DC3" w:rsidP="002C0DC3">
            <w:pPr>
              <w:suppressAutoHyphens w:val="0"/>
              <w:jc w:val="center"/>
              <w:rPr>
                <w:lang w:val="es-CR" w:eastAsia="es-CR"/>
              </w:rPr>
            </w:pPr>
            <w:r w:rsidRPr="002C0DC3">
              <w:rPr>
                <w:lang w:val="es-CR" w:eastAsia="es-CR"/>
              </w:rPr>
              <w:lastRenderedPageBreak/>
              <w:t>JUZGADO DE COBRO DE CARTAGO</w:t>
            </w:r>
          </w:p>
        </w:tc>
        <w:tc>
          <w:tcPr>
            <w:tcW w:w="298" w:type="pct"/>
            <w:tcBorders>
              <w:top w:val="nil"/>
              <w:left w:val="nil"/>
              <w:bottom w:val="single" w:sz="8" w:space="0" w:color="auto"/>
              <w:right w:val="single" w:sz="8" w:space="0" w:color="auto"/>
            </w:tcBorders>
            <w:shd w:val="clear" w:color="000000" w:fill="FF9933"/>
            <w:vAlign w:val="center"/>
            <w:hideMark/>
          </w:tcPr>
          <w:p w14:paraId="20AF7CD1"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07541766"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401263BE"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1C895900"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5C281AD5"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099A4250"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7DEE9DDF"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462B77A9"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0C9A6DC8"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1B724DE7"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0B234BE5"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6" w:type="pct"/>
            <w:tcBorders>
              <w:top w:val="nil"/>
              <w:left w:val="nil"/>
              <w:bottom w:val="single" w:sz="8" w:space="0" w:color="auto"/>
              <w:right w:val="single" w:sz="8" w:space="0" w:color="auto"/>
            </w:tcBorders>
            <w:shd w:val="clear" w:color="000000" w:fill="FF9933"/>
            <w:vAlign w:val="center"/>
            <w:hideMark/>
          </w:tcPr>
          <w:p w14:paraId="642353C6" w14:textId="77777777" w:rsidR="002C0DC3" w:rsidRPr="002C0DC3" w:rsidRDefault="002C0DC3" w:rsidP="002C0DC3">
            <w:pPr>
              <w:suppressAutoHyphens w:val="0"/>
              <w:jc w:val="center"/>
              <w:rPr>
                <w:b/>
                <w:bCs/>
                <w:lang w:val="es-CR" w:eastAsia="es-CR"/>
              </w:rPr>
            </w:pPr>
            <w:r w:rsidRPr="002C0DC3">
              <w:rPr>
                <w:b/>
                <w:bCs/>
                <w:lang w:val="es-CR" w:eastAsia="es-CR"/>
              </w:rPr>
              <w:t>E</w:t>
            </w:r>
          </w:p>
        </w:tc>
      </w:tr>
      <w:tr w:rsidR="002C0DC3" w:rsidRPr="002C0DC3" w14:paraId="64D5323E" w14:textId="77777777" w:rsidTr="002C0DC3">
        <w:trPr>
          <w:trHeight w:val="460"/>
        </w:trPr>
        <w:tc>
          <w:tcPr>
            <w:tcW w:w="1433" w:type="pct"/>
            <w:tcBorders>
              <w:top w:val="nil"/>
              <w:left w:val="single" w:sz="8" w:space="0" w:color="auto"/>
              <w:bottom w:val="single" w:sz="8" w:space="0" w:color="auto"/>
              <w:right w:val="single" w:sz="8" w:space="0" w:color="auto"/>
            </w:tcBorders>
            <w:shd w:val="clear" w:color="auto" w:fill="auto"/>
            <w:vAlign w:val="center"/>
            <w:hideMark/>
          </w:tcPr>
          <w:p w14:paraId="6F31DBA0" w14:textId="77777777" w:rsidR="002C0DC3" w:rsidRPr="002C0DC3" w:rsidRDefault="002C0DC3" w:rsidP="002C0DC3">
            <w:pPr>
              <w:suppressAutoHyphens w:val="0"/>
              <w:jc w:val="center"/>
              <w:rPr>
                <w:lang w:val="es-CR" w:eastAsia="es-CR"/>
              </w:rPr>
            </w:pPr>
            <w:r w:rsidRPr="002C0DC3">
              <w:rPr>
                <w:lang w:val="es-CR" w:eastAsia="es-CR"/>
              </w:rPr>
              <w:t>JUZGADO DE COBRO DE LIMÓN</w:t>
            </w:r>
          </w:p>
        </w:tc>
        <w:tc>
          <w:tcPr>
            <w:tcW w:w="298" w:type="pct"/>
            <w:tcBorders>
              <w:top w:val="nil"/>
              <w:left w:val="nil"/>
              <w:bottom w:val="single" w:sz="8" w:space="0" w:color="auto"/>
              <w:right w:val="single" w:sz="8" w:space="0" w:color="auto"/>
            </w:tcBorders>
            <w:shd w:val="clear" w:color="000000" w:fill="FFFF00"/>
            <w:vAlign w:val="center"/>
            <w:hideMark/>
          </w:tcPr>
          <w:p w14:paraId="66C38188" w14:textId="77777777" w:rsidR="002C0DC3" w:rsidRPr="002C0DC3" w:rsidRDefault="002C0DC3" w:rsidP="002C0DC3">
            <w:pPr>
              <w:suppressAutoHyphens w:val="0"/>
              <w:jc w:val="center"/>
              <w:rPr>
                <w:b/>
                <w:bCs/>
                <w:lang w:val="es-CR" w:eastAsia="es-CR"/>
              </w:rPr>
            </w:pPr>
            <w:r w:rsidRPr="002C0DC3">
              <w:rPr>
                <w:b/>
                <w:bCs/>
                <w:lang w:val="es-CR" w:eastAsia="es-CR"/>
              </w:rPr>
              <w:t>C</w:t>
            </w:r>
          </w:p>
        </w:tc>
        <w:tc>
          <w:tcPr>
            <w:tcW w:w="297" w:type="pct"/>
            <w:tcBorders>
              <w:top w:val="nil"/>
              <w:left w:val="nil"/>
              <w:bottom w:val="single" w:sz="8" w:space="0" w:color="auto"/>
              <w:right w:val="single" w:sz="8" w:space="0" w:color="auto"/>
            </w:tcBorders>
            <w:shd w:val="clear" w:color="000000" w:fill="92D050"/>
            <w:vAlign w:val="center"/>
            <w:hideMark/>
          </w:tcPr>
          <w:p w14:paraId="754D3AB6" w14:textId="77777777" w:rsidR="002C0DC3" w:rsidRPr="002C0DC3" w:rsidRDefault="002C0DC3" w:rsidP="002C0DC3">
            <w:pPr>
              <w:suppressAutoHyphens w:val="0"/>
              <w:jc w:val="center"/>
              <w:rPr>
                <w:b/>
                <w:bCs/>
                <w:lang w:val="es-CR" w:eastAsia="es-CR"/>
              </w:rPr>
            </w:pPr>
            <w:r w:rsidRPr="002C0DC3">
              <w:rPr>
                <w:b/>
                <w:bCs/>
                <w:lang w:val="es-CR" w:eastAsia="es-CR"/>
              </w:rPr>
              <w:t>B</w:t>
            </w:r>
          </w:p>
        </w:tc>
        <w:tc>
          <w:tcPr>
            <w:tcW w:w="297" w:type="pct"/>
            <w:tcBorders>
              <w:top w:val="nil"/>
              <w:left w:val="nil"/>
              <w:bottom w:val="single" w:sz="8" w:space="0" w:color="auto"/>
              <w:right w:val="single" w:sz="8" w:space="0" w:color="auto"/>
            </w:tcBorders>
            <w:shd w:val="clear" w:color="000000" w:fill="FFFF00"/>
            <w:vAlign w:val="center"/>
            <w:hideMark/>
          </w:tcPr>
          <w:p w14:paraId="2ED23F12" w14:textId="77777777" w:rsidR="002C0DC3" w:rsidRPr="002C0DC3" w:rsidRDefault="002C0DC3" w:rsidP="002C0DC3">
            <w:pPr>
              <w:suppressAutoHyphens w:val="0"/>
              <w:jc w:val="center"/>
              <w:rPr>
                <w:b/>
                <w:bCs/>
                <w:lang w:val="es-CR" w:eastAsia="es-CR"/>
              </w:rPr>
            </w:pPr>
            <w:r w:rsidRPr="002C0DC3">
              <w:rPr>
                <w:b/>
                <w:bCs/>
                <w:lang w:val="es-CR" w:eastAsia="es-CR"/>
              </w:rPr>
              <w:t>C</w:t>
            </w:r>
          </w:p>
        </w:tc>
        <w:tc>
          <w:tcPr>
            <w:tcW w:w="297" w:type="pct"/>
            <w:tcBorders>
              <w:top w:val="nil"/>
              <w:left w:val="nil"/>
              <w:bottom w:val="single" w:sz="8" w:space="0" w:color="auto"/>
              <w:right w:val="single" w:sz="8" w:space="0" w:color="auto"/>
            </w:tcBorders>
            <w:shd w:val="clear" w:color="000000" w:fill="FFFF00"/>
            <w:vAlign w:val="center"/>
            <w:hideMark/>
          </w:tcPr>
          <w:p w14:paraId="52CA5F31" w14:textId="77777777" w:rsidR="002C0DC3" w:rsidRPr="002C0DC3" w:rsidRDefault="002C0DC3" w:rsidP="002C0DC3">
            <w:pPr>
              <w:suppressAutoHyphens w:val="0"/>
              <w:jc w:val="center"/>
              <w:rPr>
                <w:b/>
                <w:bCs/>
                <w:lang w:val="es-CR" w:eastAsia="es-CR"/>
              </w:rPr>
            </w:pPr>
            <w:r w:rsidRPr="002C0DC3">
              <w:rPr>
                <w:b/>
                <w:bCs/>
                <w:lang w:val="es-CR" w:eastAsia="es-CR"/>
              </w:rPr>
              <w:t>C</w:t>
            </w:r>
          </w:p>
        </w:tc>
        <w:tc>
          <w:tcPr>
            <w:tcW w:w="297" w:type="pct"/>
            <w:tcBorders>
              <w:top w:val="nil"/>
              <w:left w:val="nil"/>
              <w:bottom w:val="single" w:sz="8" w:space="0" w:color="auto"/>
              <w:right w:val="single" w:sz="8" w:space="0" w:color="auto"/>
            </w:tcBorders>
            <w:shd w:val="clear" w:color="000000" w:fill="FF9933"/>
            <w:vAlign w:val="center"/>
            <w:hideMark/>
          </w:tcPr>
          <w:p w14:paraId="38B2C9D8"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79646"/>
            <w:vAlign w:val="center"/>
            <w:hideMark/>
          </w:tcPr>
          <w:p w14:paraId="3DF644A7"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2BB484B3"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47538C30"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92D050"/>
            <w:vAlign w:val="center"/>
            <w:hideMark/>
          </w:tcPr>
          <w:p w14:paraId="6B35DA03" w14:textId="77777777" w:rsidR="002C0DC3" w:rsidRPr="002C0DC3" w:rsidRDefault="002C0DC3" w:rsidP="002C0DC3">
            <w:pPr>
              <w:suppressAutoHyphens w:val="0"/>
              <w:jc w:val="center"/>
              <w:rPr>
                <w:b/>
                <w:bCs/>
                <w:lang w:val="es-CR" w:eastAsia="es-CR"/>
              </w:rPr>
            </w:pPr>
            <w:r w:rsidRPr="002C0DC3">
              <w:rPr>
                <w:b/>
                <w:bCs/>
                <w:lang w:val="es-CR" w:eastAsia="es-CR"/>
              </w:rPr>
              <w:t>B</w:t>
            </w:r>
          </w:p>
        </w:tc>
        <w:tc>
          <w:tcPr>
            <w:tcW w:w="297" w:type="pct"/>
            <w:tcBorders>
              <w:top w:val="nil"/>
              <w:left w:val="nil"/>
              <w:bottom w:val="single" w:sz="8" w:space="0" w:color="auto"/>
              <w:right w:val="single" w:sz="8" w:space="0" w:color="auto"/>
            </w:tcBorders>
            <w:shd w:val="clear" w:color="000000" w:fill="0070C0"/>
            <w:vAlign w:val="center"/>
            <w:hideMark/>
          </w:tcPr>
          <w:p w14:paraId="0BF9975C" w14:textId="77777777" w:rsidR="002C0DC3" w:rsidRPr="002C0DC3" w:rsidRDefault="002C0DC3" w:rsidP="002C0DC3">
            <w:pPr>
              <w:suppressAutoHyphens w:val="0"/>
              <w:jc w:val="center"/>
              <w:rPr>
                <w:b/>
                <w:bCs/>
                <w:lang w:val="es-CR" w:eastAsia="es-CR"/>
              </w:rPr>
            </w:pPr>
            <w:r w:rsidRPr="002C0DC3">
              <w:rPr>
                <w:b/>
                <w:bCs/>
                <w:lang w:val="es-CR" w:eastAsia="es-CR"/>
              </w:rPr>
              <w:t>A</w:t>
            </w:r>
          </w:p>
        </w:tc>
        <w:tc>
          <w:tcPr>
            <w:tcW w:w="297" w:type="pct"/>
            <w:tcBorders>
              <w:top w:val="nil"/>
              <w:left w:val="nil"/>
              <w:bottom w:val="single" w:sz="8" w:space="0" w:color="auto"/>
              <w:right w:val="single" w:sz="8" w:space="0" w:color="auto"/>
            </w:tcBorders>
            <w:shd w:val="clear" w:color="000000" w:fill="0070C0"/>
            <w:vAlign w:val="center"/>
            <w:hideMark/>
          </w:tcPr>
          <w:p w14:paraId="0130580D" w14:textId="77777777" w:rsidR="002C0DC3" w:rsidRPr="002C0DC3" w:rsidRDefault="002C0DC3" w:rsidP="002C0DC3">
            <w:pPr>
              <w:suppressAutoHyphens w:val="0"/>
              <w:jc w:val="center"/>
              <w:rPr>
                <w:b/>
                <w:bCs/>
                <w:lang w:val="es-CR" w:eastAsia="es-CR"/>
              </w:rPr>
            </w:pPr>
            <w:r w:rsidRPr="002C0DC3">
              <w:rPr>
                <w:b/>
                <w:bCs/>
                <w:lang w:val="es-CR" w:eastAsia="es-CR"/>
              </w:rPr>
              <w:t>A</w:t>
            </w:r>
          </w:p>
        </w:tc>
        <w:tc>
          <w:tcPr>
            <w:tcW w:w="296" w:type="pct"/>
            <w:tcBorders>
              <w:top w:val="nil"/>
              <w:left w:val="nil"/>
              <w:bottom w:val="single" w:sz="8" w:space="0" w:color="auto"/>
              <w:right w:val="single" w:sz="8" w:space="0" w:color="auto"/>
            </w:tcBorders>
            <w:shd w:val="clear" w:color="000000" w:fill="0070C0"/>
            <w:vAlign w:val="center"/>
            <w:hideMark/>
          </w:tcPr>
          <w:p w14:paraId="36AEA3F8" w14:textId="77777777" w:rsidR="002C0DC3" w:rsidRPr="002C0DC3" w:rsidRDefault="002C0DC3" w:rsidP="002C0DC3">
            <w:pPr>
              <w:suppressAutoHyphens w:val="0"/>
              <w:jc w:val="center"/>
              <w:rPr>
                <w:b/>
                <w:bCs/>
                <w:lang w:val="es-CR" w:eastAsia="es-CR"/>
              </w:rPr>
            </w:pPr>
            <w:r w:rsidRPr="002C0DC3">
              <w:rPr>
                <w:b/>
                <w:bCs/>
                <w:lang w:val="es-CR" w:eastAsia="es-CR"/>
              </w:rPr>
              <w:t>A</w:t>
            </w:r>
          </w:p>
        </w:tc>
      </w:tr>
      <w:tr w:rsidR="002C0DC3" w:rsidRPr="002C0DC3" w14:paraId="2AA36ED6" w14:textId="77777777" w:rsidTr="002C0DC3">
        <w:trPr>
          <w:trHeight w:val="460"/>
        </w:trPr>
        <w:tc>
          <w:tcPr>
            <w:tcW w:w="1433" w:type="pct"/>
            <w:tcBorders>
              <w:top w:val="nil"/>
              <w:left w:val="single" w:sz="8" w:space="0" w:color="auto"/>
              <w:bottom w:val="single" w:sz="8" w:space="0" w:color="auto"/>
              <w:right w:val="single" w:sz="8" w:space="0" w:color="auto"/>
            </w:tcBorders>
            <w:shd w:val="clear" w:color="000000" w:fill="FFFFFF"/>
            <w:vAlign w:val="center"/>
            <w:hideMark/>
          </w:tcPr>
          <w:p w14:paraId="61F54EF6" w14:textId="77777777" w:rsidR="002C0DC3" w:rsidRPr="002C0DC3" w:rsidRDefault="002C0DC3" w:rsidP="002C0DC3">
            <w:pPr>
              <w:suppressAutoHyphens w:val="0"/>
              <w:jc w:val="center"/>
              <w:rPr>
                <w:lang w:val="es-CR" w:eastAsia="es-CR"/>
              </w:rPr>
            </w:pPr>
            <w:r w:rsidRPr="002C0DC3">
              <w:rPr>
                <w:lang w:val="es-CR" w:eastAsia="es-CR"/>
              </w:rPr>
              <w:t>JUZGADO DE COBRO DE ALAJUELA</w:t>
            </w:r>
          </w:p>
        </w:tc>
        <w:tc>
          <w:tcPr>
            <w:tcW w:w="298" w:type="pct"/>
            <w:tcBorders>
              <w:top w:val="nil"/>
              <w:left w:val="nil"/>
              <w:bottom w:val="single" w:sz="8" w:space="0" w:color="auto"/>
              <w:right w:val="single" w:sz="8" w:space="0" w:color="auto"/>
            </w:tcBorders>
            <w:shd w:val="clear" w:color="000000" w:fill="FFC000"/>
            <w:vAlign w:val="center"/>
            <w:hideMark/>
          </w:tcPr>
          <w:p w14:paraId="1AE3166D" w14:textId="77777777" w:rsidR="002C0DC3" w:rsidRPr="002C0DC3" w:rsidRDefault="002C0DC3" w:rsidP="002C0DC3">
            <w:pPr>
              <w:suppressAutoHyphens w:val="0"/>
              <w:jc w:val="center"/>
              <w:rPr>
                <w:lang w:val="es-CR" w:eastAsia="es-CR"/>
              </w:rPr>
            </w:pPr>
            <w:r w:rsidRPr="002C0DC3">
              <w:rPr>
                <w:lang w:val="es-CR" w:eastAsia="es-CR"/>
              </w:rPr>
              <w:t>E</w:t>
            </w:r>
          </w:p>
        </w:tc>
        <w:tc>
          <w:tcPr>
            <w:tcW w:w="297" w:type="pct"/>
            <w:tcBorders>
              <w:top w:val="nil"/>
              <w:left w:val="nil"/>
              <w:bottom w:val="single" w:sz="8" w:space="0" w:color="auto"/>
              <w:right w:val="single" w:sz="8" w:space="0" w:color="auto"/>
            </w:tcBorders>
            <w:shd w:val="clear" w:color="000000" w:fill="FFC000"/>
            <w:vAlign w:val="center"/>
            <w:hideMark/>
          </w:tcPr>
          <w:p w14:paraId="14E00C06" w14:textId="77777777" w:rsidR="002C0DC3" w:rsidRPr="002C0DC3" w:rsidRDefault="002C0DC3" w:rsidP="002C0DC3">
            <w:pPr>
              <w:suppressAutoHyphens w:val="0"/>
              <w:jc w:val="center"/>
              <w:rPr>
                <w:lang w:val="es-CR" w:eastAsia="es-CR"/>
              </w:rPr>
            </w:pPr>
            <w:r w:rsidRPr="002C0DC3">
              <w:rPr>
                <w:lang w:val="es-CR" w:eastAsia="es-CR"/>
              </w:rPr>
              <w:t>E</w:t>
            </w:r>
          </w:p>
        </w:tc>
        <w:tc>
          <w:tcPr>
            <w:tcW w:w="297" w:type="pct"/>
            <w:tcBorders>
              <w:top w:val="nil"/>
              <w:left w:val="nil"/>
              <w:bottom w:val="single" w:sz="8" w:space="0" w:color="auto"/>
              <w:right w:val="single" w:sz="8" w:space="0" w:color="auto"/>
            </w:tcBorders>
            <w:shd w:val="clear" w:color="000000" w:fill="FFC000"/>
            <w:vAlign w:val="center"/>
            <w:hideMark/>
          </w:tcPr>
          <w:p w14:paraId="7239ED09" w14:textId="77777777" w:rsidR="002C0DC3" w:rsidRPr="002C0DC3" w:rsidRDefault="002C0DC3" w:rsidP="002C0DC3">
            <w:pPr>
              <w:suppressAutoHyphens w:val="0"/>
              <w:jc w:val="center"/>
              <w:rPr>
                <w:lang w:val="es-CR" w:eastAsia="es-CR"/>
              </w:rPr>
            </w:pPr>
            <w:r w:rsidRPr="002C0DC3">
              <w:rPr>
                <w:lang w:val="es-CR" w:eastAsia="es-CR"/>
              </w:rPr>
              <w:t>E</w:t>
            </w:r>
          </w:p>
        </w:tc>
        <w:tc>
          <w:tcPr>
            <w:tcW w:w="297" w:type="pct"/>
            <w:tcBorders>
              <w:top w:val="nil"/>
              <w:left w:val="nil"/>
              <w:bottom w:val="single" w:sz="8" w:space="0" w:color="auto"/>
              <w:right w:val="single" w:sz="8" w:space="0" w:color="auto"/>
            </w:tcBorders>
            <w:shd w:val="clear" w:color="000000" w:fill="FFC000"/>
            <w:vAlign w:val="center"/>
            <w:hideMark/>
          </w:tcPr>
          <w:p w14:paraId="33476E94" w14:textId="77777777" w:rsidR="002C0DC3" w:rsidRPr="002C0DC3" w:rsidRDefault="002C0DC3" w:rsidP="002C0DC3">
            <w:pPr>
              <w:suppressAutoHyphens w:val="0"/>
              <w:jc w:val="center"/>
              <w:rPr>
                <w:lang w:val="es-CR" w:eastAsia="es-CR"/>
              </w:rPr>
            </w:pPr>
            <w:r w:rsidRPr="002C0DC3">
              <w:rPr>
                <w:lang w:val="es-CR" w:eastAsia="es-CR"/>
              </w:rPr>
              <w:t>E</w:t>
            </w:r>
          </w:p>
        </w:tc>
        <w:tc>
          <w:tcPr>
            <w:tcW w:w="297" w:type="pct"/>
            <w:tcBorders>
              <w:top w:val="nil"/>
              <w:left w:val="nil"/>
              <w:bottom w:val="single" w:sz="8" w:space="0" w:color="auto"/>
              <w:right w:val="single" w:sz="8" w:space="0" w:color="auto"/>
            </w:tcBorders>
            <w:shd w:val="clear" w:color="000000" w:fill="FFC000"/>
            <w:vAlign w:val="center"/>
            <w:hideMark/>
          </w:tcPr>
          <w:p w14:paraId="5669E46D" w14:textId="77777777" w:rsidR="002C0DC3" w:rsidRPr="002C0DC3" w:rsidRDefault="002C0DC3" w:rsidP="002C0DC3">
            <w:pPr>
              <w:suppressAutoHyphens w:val="0"/>
              <w:jc w:val="center"/>
              <w:rPr>
                <w:lang w:val="es-CR" w:eastAsia="es-CR"/>
              </w:rPr>
            </w:pPr>
            <w:r w:rsidRPr="002C0DC3">
              <w:rPr>
                <w:lang w:val="es-CR" w:eastAsia="es-CR"/>
              </w:rPr>
              <w:t>E</w:t>
            </w:r>
          </w:p>
        </w:tc>
        <w:tc>
          <w:tcPr>
            <w:tcW w:w="297" w:type="pct"/>
            <w:tcBorders>
              <w:top w:val="nil"/>
              <w:left w:val="nil"/>
              <w:bottom w:val="single" w:sz="8" w:space="0" w:color="auto"/>
              <w:right w:val="single" w:sz="8" w:space="0" w:color="auto"/>
            </w:tcBorders>
            <w:shd w:val="clear" w:color="000000" w:fill="FFC000"/>
            <w:vAlign w:val="center"/>
            <w:hideMark/>
          </w:tcPr>
          <w:p w14:paraId="376D206F" w14:textId="77777777" w:rsidR="002C0DC3" w:rsidRPr="002C0DC3" w:rsidRDefault="002C0DC3" w:rsidP="002C0DC3">
            <w:pPr>
              <w:suppressAutoHyphens w:val="0"/>
              <w:jc w:val="center"/>
              <w:rPr>
                <w:lang w:val="es-CR" w:eastAsia="es-CR"/>
              </w:rPr>
            </w:pPr>
            <w:r w:rsidRPr="002C0DC3">
              <w:rPr>
                <w:lang w:val="es-CR" w:eastAsia="es-CR"/>
              </w:rPr>
              <w:t>E</w:t>
            </w:r>
          </w:p>
        </w:tc>
        <w:tc>
          <w:tcPr>
            <w:tcW w:w="297" w:type="pct"/>
            <w:tcBorders>
              <w:top w:val="nil"/>
              <w:left w:val="nil"/>
              <w:bottom w:val="single" w:sz="8" w:space="0" w:color="auto"/>
              <w:right w:val="single" w:sz="8" w:space="0" w:color="auto"/>
            </w:tcBorders>
            <w:shd w:val="clear" w:color="000000" w:fill="FFC000"/>
            <w:vAlign w:val="center"/>
            <w:hideMark/>
          </w:tcPr>
          <w:p w14:paraId="70821F4F" w14:textId="77777777" w:rsidR="002C0DC3" w:rsidRPr="002C0DC3" w:rsidRDefault="002C0DC3" w:rsidP="002C0DC3">
            <w:pPr>
              <w:suppressAutoHyphens w:val="0"/>
              <w:jc w:val="center"/>
              <w:rPr>
                <w:lang w:val="es-CR" w:eastAsia="es-CR"/>
              </w:rPr>
            </w:pPr>
            <w:r w:rsidRPr="002C0DC3">
              <w:rPr>
                <w:lang w:val="es-CR" w:eastAsia="es-CR"/>
              </w:rPr>
              <w:t>E</w:t>
            </w:r>
          </w:p>
        </w:tc>
        <w:tc>
          <w:tcPr>
            <w:tcW w:w="297" w:type="pct"/>
            <w:tcBorders>
              <w:top w:val="nil"/>
              <w:left w:val="nil"/>
              <w:bottom w:val="single" w:sz="8" w:space="0" w:color="auto"/>
              <w:right w:val="single" w:sz="8" w:space="0" w:color="auto"/>
            </w:tcBorders>
            <w:shd w:val="clear" w:color="000000" w:fill="FFFF00"/>
            <w:vAlign w:val="center"/>
            <w:hideMark/>
          </w:tcPr>
          <w:p w14:paraId="4AF8037F" w14:textId="77777777" w:rsidR="002C0DC3" w:rsidRPr="002C0DC3" w:rsidRDefault="002C0DC3" w:rsidP="002C0DC3">
            <w:pPr>
              <w:suppressAutoHyphens w:val="0"/>
              <w:jc w:val="center"/>
              <w:rPr>
                <w:lang w:val="es-CR" w:eastAsia="es-CR"/>
              </w:rPr>
            </w:pPr>
            <w:r w:rsidRPr="002C0DC3">
              <w:rPr>
                <w:lang w:val="es-CR" w:eastAsia="es-CR"/>
              </w:rPr>
              <w:t>C</w:t>
            </w:r>
          </w:p>
        </w:tc>
        <w:tc>
          <w:tcPr>
            <w:tcW w:w="297" w:type="pct"/>
            <w:tcBorders>
              <w:top w:val="nil"/>
              <w:left w:val="nil"/>
              <w:bottom w:val="single" w:sz="8" w:space="0" w:color="auto"/>
              <w:right w:val="single" w:sz="8" w:space="0" w:color="auto"/>
            </w:tcBorders>
            <w:shd w:val="clear" w:color="000000" w:fill="FFFF00"/>
            <w:vAlign w:val="center"/>
            <w:hideMark/>
          </w:tcPr>
          <w:p w14:paraId="27AB0B43" w14:textId="77777777" w:rsidR="002C0DC3" w:rsidRPr="002C0DC3" w:rsidRDefault="002C0DC3" w:rsidP="002C0DC3">
            <w:pPr>
              <w:suppressAutoHyphens w:val="0"/>
              <w:jc w:val="center"/>
              <w:rPr>
                <w:lang w:val="es-CR" w:eastAsia="es-CR"/>
              </w:rPr>
            </w:pPr>
            <w:r w:rsidRPr="002C0DC3">
              <w:rPr>
                <w:lang w:val="es-CR" w:eastAsia="es-CR"/>
              </w:rPr>
              <w:t>C</w:t>
            </w:r>
          </w:p>
        </w:tc>
        <w:tc>
          <w:tcPr>
            <w:tcW w:w="297" w:type="pct"/>
            <w:tcBorders>
              <w:top w:val="nil"/>
              <w:left w:val="nil"/>
              <w:bottom w:val="single" w:sz="8" w:space="0" w:color="auto"/>
              <w:right w:val="single" w:sz="8" w:space="0" w:color="auto"/>
            </w:tcBorders>
            <w:shd w:val="clear" w:color="000000" w:fill="FFFF00"/>
            <w:vAlign w:val="center"/>
            <w:hideMark/>
          </w:tcPr>
          <w:p w14:paraId="67DBC0EF" w14:textId="77777777" w:rsidR="002C0DC3" w:rsidRPr="002C0DC3" w:rsidRDefault="002C0DC3" w:rsidP="002C0DC3">
            <w:pPr>
              <w:suppressAutoHyphens w:val="0"/>
              <w:jc w:val="center"/>
              <w:rPr>
                <w:lang w:val="es-CR" w:eastAsia="es-CR"/>
              </w:rPr>
            </w:pPr>
            <w:r w:rsidRPr="002C0DC3">
              <w:rPr>
                <w:lang w:val="es-CR" w:eastAsia="es-CR"/>
              </w:rPr>
              <w:t>C</w:t>
            </w:r>
          </w:p>
        </w:tc>
        <w:tc>
          <w:tcPr>
            <w:tcW w:w="297" w:type="pct"/>
            <w:tcBorders>
              <w:top w:val="nil"/>
              <w:left w:val="nil"/>
              <w:bottom w:val="single" w:sz="8" w:space="0" w:color="auto"/>
              <w:right w:val="single" w:sz="8" w:space="0" w:color="auto"/>
            </w:tcBorders>
            <w:shd w:val="clear" w:color="000000" w:fill="FFC000"/>
            <w:vAlign w:val="center"/>
            <w:hideMark/>
          </w:tcPr>
          <w:p w14:paraId="7485887B" w14:textId="77777777" w:rsidR="002C0DC3" w:rsidRPr="002C0DC3" w:rsidRDefault="002C0DC3" w:rsidP="002C0DC3">
            <w:pPr>
              <w:suppressAutoHyphens w:val="0"/>
              <w:jc w:val="center"/>
              <w:rPr>
                <w:lang w:val="es-CR" w:eastAsia="es-CR"/>
              </w:rPr>
            </w:pPr>
            <w:r w:rsidRPr="002C0DC3">
              <w:rPr>
                <w:lang w:val="es-CR" w:eastAsia="es-CR"/>
              </w:rPr>
              <w:t>E</w:t>
            </w:r>
          </w:p>
        </w:tc>
        <w:tc>
          <w:tcPr>
            <w:tcW w:w="296" w:type="pct"/>
            <w:tcBorders>
              <w:top w:val="nil"/>
              <w:left w:val="nil"/>
              <w:bottom w:val="single" w:sz="8" w:space="0" w:color="auto"/>
              <w:right w:val="single" w:sz="8" w:space="0" w:color="auto"/>
            </w:tcBorders>
            <w:shd w:val="clear" w:color="000000" w:fill="FFC000"/>
            <w:vAlign w:val="center"/>
            <w:hideMark/>
          </w:tcPr>
          <w:p w14:paraId="41D1D9F5" w14:textId="77777777" w:rsidR="002C0DC3" w:rsidRPr="002C0DC3" w:rsidRDefault="002C0DC3" w:rsidP="002C0DC3">
            <w:pPr>
              <w:suppressAutoHyphens w:val="0"/>
              <w:jc w:val="center"/>
              <w:rPr>
                <w:lang w:val="es-CR" w:eastAsia="es-CR"/>
              </w:rPr>
            </w:pPr>
            <w:r w:rsidRPr="002C0DC3">
              <w:rPr>
                <w:lang w:val="es-CR" w:eastAsia="es-CR"/>
              </w:rPr>
              <w:t>E</w:t>
            </w:r>
          </w:p>
        </w:tc>
      </w:tr>
      <w:tr w:rsidR="002C0DC3" w:rsidRPr="002C0DC3" w14:paraId="123F19C5" w14:textId="77777777" w:rsidTr="002C0DC3">
        <w:trPr>
          <w:trHeight w:val="460"/>
        </w:trPr>
        <w:tc>
          <w:tcPr>
            <w:tcW w:w="1433" w:type="pct"/>
            <w:tcBorders>
              <w:top w:val="nil"/>
              <w:left w:val="single" w:sz="8" w:space="0" w:color="auto"/>
              <w:bottom w:val="single" w:sz="8" w:space="0" w:color="auto"/>
              <w:right w:val="single" w:sz="8" w:space="0" w:color="auto"/>
            </w:tcBorders>
            <w:shd w:val="clear" w:color="000000" w:fill="FFFFFF"/>
            <w:vAlign w:val="center"/>
            <w:hideMark/>
          </w:tcPr>
          <w:p w14:paraId="5ADFD19F" w14:textId="77777777" w:rsidR="002C0DC3" w:rsidRPr="002C0DC3" w:rsidRDefault="002C0DC3" w:rsidP="002C0DC3">
            <w:pPr>
              <w:suppressAutoHyphens w:val="0"/>
              <w:jc w:val="center"/>
              <w:rPr>
                <w:lang w:val="es-CR" w:eastAsia="es-CR"/>
              </w:rPr>
            </w:pPr>
            <w:r w:rsidRPr="002C0DC3">
              <w:rPr>
                <w:lang w:val="es-CR" w:eastAsia="es-CR"/>
              </w:rPr>
              <w:t>JUZGADO DE COBRO DE II CJ DE ALAJUELA (SAN CARLOS)</w:t>
            </w:r>
          </w:p>
        </w:tc>
        <w:tc>
          <w:tcPr>
            <w:tcW w:w="298" w:type="pct"/>
            <w:tcBorders>
              <w:top w:val="nil"/>
              <w:left w:val="nil"/>
              <w:bottom w:val="single" w:sz="8" w:space="0" w:color="auto"/>
              <w:right w:val="single" w:sz="8" w:space="0" w:color="auto"/>
            </w:tcBorders>
            <w:shd w:val="clear" w:color="000000" w:fill="FF0000"/>
            <w:vAlign w:val="center"/>
            <w:hideMark/>
          </w:tcPr>
          <w:p w14:paraId="57799E59" w14:textId="77777777" w:rsidR="002C0DC3" w:rsidRPr="002C0DC3" w:rsidRDefault="002C0DC3" w:rsidP="002C0DC3">
            <w:pPr>
              <w:suppressAutoHyphens w:val="0"/>
              <w:jc w:val="center"/>
              <w:rPr>
                <w:b/>
                <w:bCs/>
                <w:lang w:val="es-CR" w:eastAsia="es-CR"/>
              </w:rPr>
            </w:pPr>
            <w:r w:rsidRPr="002C0DC3">
              <w:rPr>
                <w:b/>
                <w:bCs/>
                <w:lang w:val="es-CR" w:eastAsia="es-CR"/>
              </w:rPr>
              <w:t>D</w:t>
            </w:r>
          </w:p>
        </w:tc>
        <w:tc>
          <w:tcPr>
            <w:tcW w:w="297" w:type="pct"/>
            <w:tcBorders>
              <w:top w:val="nil"/>
              <w:left w:val="nil"/>
              <w:bottom w:val="single" w:sz="8" w:space="0" w:color="auto"/>
              <w:right w:val="single" w:sz="8" w:space="0" w:color="auto"/>
            </w:tcBorders>
            <w:shd w:val="clear" w:color="000000" w:fill="FF0000"/>
            <w:vAlign w:val="center"/>
            <w:hideMark/>
          </w:tcPr>
          <w:p w14:paraId="6FBC9126" w14:textId="77777777" w:rsidR="002C0DC3" w:rsidRPr="002C0DC3" w:rsidRDefault="002C0DC3" w:rsidP="002C0DC3">
            <w:pPr>
              <w:suppressAutoHyphens w:val="0"/>
              <w:jc w:val="center"/>
              <w:rPr>
                <w:b/>
                <w:bCs/>
                <w:lang w:val="es-CR" w:eastAsia="es-CR"/>
              </w:rPr>
            </w:pPr>
            <w:r w:rsidRPr="002C0DC3">
              <w:rPr>
                <w:b/>
                <w:bCs/>
                <w:lang w:val="es-CR" w:eastAsia="es-CR"/>
              </w:rPr>
              <w:t>D</w:t>
            </w:r>
          </w:p>
        </w:tc>
        <w:tc>
          <w:tcPr>
            <w:tcW w:w="297" w:type="pct"/>
            <w:tcBorders>
              <w:top w:val="nil"/>
              <w:left w:val="nil"/>
              <w:bottom w:val="single" w:sz="8" w:space="0" w:color="auto"/>
              <w:right w:val="single" w:sz="8" w:space="0" w:color="auto"/>
            </w:tcBorders>
            <w:shd w:val="clear" w:color="000000" w:fill="FF0000"/>
            <w:vAlign w:val="center"/>
            <w:hideMark/>
          </w:tcPr>
          <w:p w14:paraId="30195053" w14:textId="77777777" w:rsidR="002C0DC3" w:rsidRPr="002C0DC3" w:rsidRDefault="002C0DC3" w:rsidP="002C0DC3">
            <w:pPr>
              <w:suppressAutoHyphens w:val="0"/>
              <w:jc w:val="center"/>
              <w:rPr>
                <w:b/>
                <w:bCs/>
                <w:lang w:val="es-CR" w:eastAsia="es-CR"/>
              </w:rPr>
            </w:pPr>
            <w:r w:rsidRPr="002C0DC3">
              <w:rPr>
                <w:b/>
                <w:bCs/>
                <w:lang w:val="es-CR" w:eastAsia="es-CR"/>
              </w:rPr>
              <w:t>D</w:t>
            </w:r>
          </w:p>
        </w:tc>
        <w:tc>
          <w:tcPr>
            <w:tcW w:w="297" w:type="pct"/>
            <w:tcBorders>
              <w:top w:val="nil"/>
              <w:left w:val="nil"/>
              <w:bottom w:val="single" w:sz="8" w:space="0" w:color="auto"/>
              <w:right w:val="single" w:sz="8" w:space="0" w:color="auto"/>
            </w:tcBorders>
            <w:shd w:val="clear" w:color="000000" w:fill="FF0000"/>
            <w:vAlign w:val="center"/>
            <w:hideMark/>
          </w:tcPr>
          <w:p w14:paraId="562B3AD2" w14:textId="77777777" w:rsidR="002C0DC3" w:rsidRPr="002C0DC3" w:rsidRDefault="002C0DC3" w:rsidP="002C0DC3">
            <w:pPr>
              <w:suppressAutoHyphens w:val="0"/>
              <w:jc w:val="center"/>
              <w:rPr>
                <w:b/>
                <w:bCs/>
                <w:lang w:val="es-CR" w:eastAsia="es-CR"/>
              </w:rPr>
            </w:pPr>
            <w:r w:rsidRPr="002C0DC3">
              <w:rPr>
                <w:b/>
                <w:bCs/>
                <w:lang w:val="es-CR" w:eastAsia="es-CR"/>
              </w:rPr>
              <w:t>D</w:t>
            </w:r>
          </w:p>
        </w:tc>
        <w:tc>
          <w:tcPr>
            <w:tcW w:w="297" w:type="pct"/>
            <w:tcBorders>
              <w:top w:val="nil"/>
              <w:left w:val="nil"/>
              <w:bottom w:val="single" w:sz="8" w:space="0" w:color="auto"/>
              <w:right w:val="single" w:sz="8" w:space="0" w:color="auto"/>
            </w:tcBorders>
            <w:shd w:val="clear" w:color="000000" w:fill="FF0000"/>
            <w:vAlign w:val="center"/>
            <w:hideMark/>
          </w:tcPr>
          <w:p w14:paraId="537C6CBE" w14:textId="77777777" w:rsidR="002C0DC3" w:rsidRPr="002C0DC3" w:rsidRDefault="002C0DC3" w:rsidP="002C0DC3">
            <w:pPr>
              <w:suppressAutoHyphens w:val="0"/>
              <w:jc w:val="center"/>
              <w:rPr>
                <w:b/>
                <w:bCs/>
                <w:lang w:val="es-CR" w:eastAsia="es-CR"/>
              </w:rPr>
            </w:pPr>
            <w:r w:rsidRPr="002C0DC3">
              <w:rPr>
                <w:b/>
                <w:bCs/>
                <w:lang w:val="es-CR" w:eastAsia="es-CR"/>
              </w:rPr>
              <w:t>D</w:t>
            </w:r>
          </w:p>
        </w:tc>
        <w:tc>
          <w:tcPr>
            <w:tcW w:w="297" w:type="pct"/>
            <w:tcBorders>
              <w:top w:val="nil"/>
              <w:left w:val="nil"/>
              <w:bottom w:val="single" w:sz="8" w:space="0" w:color="auto"/>
              <w:right w:val="single" w:sz="8" w:space="0" w:color="auto"/>
            </w:tcBorders>
            <w:shd w:val="clear" w:color="000000" w:fill="FF9900"/>
            <w:vAlign w:val="center"/>
            <w:hideMark/>
          </w:tcPr>
          <w:p w14:paraId="6764A8C9"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00"/>
            <w:vAlign w:val="center"/>
            <w:hideMark/>
          </w:tcPr>
          <w:p w14:paraId="1BAC1936"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0000"/>
            <w:vAlign w:val="center"/>
            <w:hideMark/>
          </w:tcPr>
          <w:p w14:paraId="344FFF90" w14:textId="77777777" w:rsidR="002C0DC3" w:rsidRPr="002C0DC3" w:rsidRDefault="002C0DC3" w:rsidP="002C0DC3">
            <w:pPr>
              <w:suppressAutoHyphens w:val="0"/>
              <w:jc w:val="center"/>
              <w:rPr>
                <w:b/>
                <w:bCs/>
                <w:lang w:val="es-CR" w:eastAsia="es-CR"/>
              </w:rPr>
            </w:pPr>
            <w:r w:rsidRPr="002C0DC3">
              <w:rPr>
                <w:b/>
                <w:bCs/>
                <w:lang w:val="es-CR" w:eastAsia="es-CR"/>
              </w:rPr>
              <w:t>D</w:t>
            </w:r>
          </w:p>
        </w:tc>
        <w:tc>
          <w:tcPr>
            <w:tcW w:w="297" w:type="pct"/>
            <w:tcBorders>
              <w:top w:val="nil"/>
              <w:left w:val="nil"/>
              <w:bottom w:val="single" w:sz="8" w:space="0" w:color="auto"/>
              <w:right w:val="single" w:sz="8" w:space="0" w:color="auto"/>
            </w:tcBorders>
            <w:shd w:val="clear" w:color="000000" w:fill="FF9900"/>
            <w:vAlign w:val="center"/>
            <w:hideMark/>
          </w:tcPr>
          <w:p w14:paraId="7C0C1412"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00"/>
            <w:vAlign w:val="center"/>
            <w:hideMark/>
          </w:tcPr>
          <w:p w14:paraId="766AF1CB"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00"/>
            <w:vAlign w:val="center"/>
            <w:hideMark/>
          </w:tcPr>
          <w:p w14:paraId="7FCAF14D"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6" w:type="pct"/>
            <w:tcBorders>
              <w:top w:val="nil"/>
              <w:left w:val="nil"/>
              <w:bottom w:val="single" w:sz="8" w:space="0" w:color="auto"/>
              <w:right w:val="single" w:sz="8" w:space="0" w:color="auto"/>
            </w:tcBorders>
            <w:shd w:val="clear" w:color="000000" w:fill="FF9900"/>
            <w:vAlign w:val="center"/>
            <w:hideMark/>
          </w:tcPr>
          <w:p w14:paraId="27982138" w14:textId="77777777" w:rsidR="002C0DC3" w:rsidRPr="002C0DC3" w:rsidRDefault="002C0DC3" w:rsidP="002C0DC3">
            <w:pPr>
              <w:suppressAutoHyphens w:val="0"/>
              <w:jc w:val="center"/>
              <w:rPr>
                <w:b/>
                <w:bCs/>
                <w:lang w:val="es-CR" w:eastAsia="es-CR"/>
              </w:rPr>
            </w:pPr>
            <w:r w:rsidRPr="002C0DC3">
              <w:rPr>
                <w:b/>
                <w:bCs/>
                <w:lang w:val="es-CR" w:eastAsia="es-CR"/>
              </w:rPr>
              <w:t>E</w:t>
            </w:r>
          </w:p>
        </w:tc>
      </w:tr>
      <w:tr w:rsidR="002C0DC3" w:rsidRPr="002C0DC3" w14:paraId="162917BC" w14:textId="77777777" w:rsidTr="002C0DC3">
        <w:trPr>
          <w:trHeight w:val="460"/>
        </w:trPr>
        <w:tc>
          <w:tcPr>
            <w:tcW w:w="1433" w:type="pct"/>
            <w:tcBorders>
              <w:top w:val="nil"/>
              <w:left w:val="single" w:sz="8" w:space="0" w:color="auto"/>
              <w:bottom w:val="single" w:sz="8" w:space="0" w:color="auto"/>
              <w:right w:val="single" w:sz="8" w:space="0" w:color="auto"/>
            </w:tcBorders>
            <w:shd w:val="clear" w:color="000000" w:fill="FFFFFF"/>
            <w:vAlign w:val="center"/>
            <w:hideMark/>
          </w:tcPr>
          <w:p w14:paraId="19CC456E" w14:textId="77777777" w:rsidR="002C0DC3" w:rsidRPr="002C0DC3" w:rsidRDefault="002C0DC3" w:rsidP="002C0DC3">
            <w:pPr>
              <w:suppressAutoHyphens w:val="0"/>
              <w:jc w:val="center"/>
              <w:rPr>
                <w:lang w:val="es-CR" w:eastAsia="es-CR"/>
              </w:rPr>
            </w:pPr>
            <w:r w:rsidRPr="002C0DC3">
              <w:rPr>
                <w:lang w:val="es-CR" w:eastAsia="es-CR"/>
              </w:rPr>
              <w:t>JUZGADO DE COBRO DE PUNTARENAS</w:t>
            </w:r>
          </w:p>
        </w:tc>
        <w:tc>
          <w:tcPr>
            <w:tcW w:w="298" w:type="pct"/>
            <w:tcBorders>
              <w:top w:val="nil"/>
              <w:left w:val="nil"/>
              <w:bottom w:val="single" w:sz="8" w:space="0" w:color="auto"/>
              <w:right w:val="single" w:sz="8" w:space="0" w:color="auto"/>
            </w:tcBorders>
            <w:shd w:val="clear" w:color="000000" w:fill="ED7D31"/>
            <w:vAlign w:val="center"/>
            <w:hideMark/>
          </w:tcPr>
          <w:p w14:paraId="4C903C8A"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ED7D31"/>
            <w:vAlign w:val="center"/>
            <w:hideMark/>
          </w:tcPr>
          <w:p w14:paraId="546F6115"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4FEC527F"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3825B33F"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0000FF"/>
            <w:vAlign w:val="center"/>
            <w:hideMark/>
          </w:tcPr>
          <w:p w14:paraId="195A3AF3" w14:textId="77777777" w:rsidR="002C0DC3" w:rsidRPr="002C0DC3" w:rsidRDefault="002C0DC3" w:rsidP="002C0DC3">
            <w:pPr>
              <w:suppressAutoHyphens w:val="0"/>
              <w:jc w:val="center"/>
              <w:rPr>
                <w:b/>
                <w:bCs/>
                <w:lang w:val="es-CR" w:eastAsia="es-CR"/>
              </w:rPr>
            </w:pPr>
            <w:r w:rsidRPr="002C0DC3">
              <w:rPr>
                <w:b/>
                <w:bCs/>
                <w:lang w:val="es-CR" w:eastAsia="es-CR"/>
              </w:rPr>
              <w:t>A</w:t>
            </w:r>
          </w:p>
        </w:tc>
        <w:tc>
          <w:tcPr>
            <w:tcW w:w="297" w:type="pct"/>
            <w:tcBorders>
              <w:top w:val="nil"/>
              <w:left w:val="nil"/>
              <w:bottom w:val="single" w:sz="8" w:space="0" w:color="auto"/>
              <w:right w:val="single" w:sz="8" w:space="0" w:color="auto"/>
            </w:tcBorders>
            <w:shd w:val="clear" w:color="000000" w:fill="0000FF"/>
            <w:vAlign w:val="center"/>
            <w:hideMark/>
          </w:tcPr>
          <w:p w14:paraId="3594458F" w14:textId="77777777" w:rsidR="002C0DC3" w:rsidRPr="002C0DC3" w:rsidRDefault="002C0DC3" w:rsidP="002C0DC3">
            <w:pPr>
              <w:suppressAutoHyphens w:val="0"/>
              <w:jc w:val="center"/>
              <w:rPr>
                <w:b/>
                <w:bCs/>
                <w:lang w:val="es-CR" w:eastAsia="es-CR"/>
              </w:rPr>
            </w:pPr>
            <w:r w:rsidRPr="002C0DC3">
              <w:rPr>
                <w:b/>
                <w:bCs/>
                <w:lang w:val="es-CR" w:eastAsia="es-CR"/>
              </w:rPr>
              <w:t>A</w:t>
            </w:r>
          </w:p>
        </w:tc>
        <w:tc>
          <w:tcPr>
            <w:tcW w:w="297" w:type="pct"/>
            <w:tcBorders>
              <w:top w:val="nil"/>
              <w:left w:val="nil"/>
              <w:bottom w:val="single" w:sz="8" w:space="0" w:color="auto"/>
              <w:right w:val="single" w:sz="8" w:space="0" w:color="auto"/>
            </w:tcBorders>
            <w:shd w:val="clear" w:color="000000" w:fill="0000FF"/>
            <w:vAlign w:val="center"/>
            <w:hideMark/>
          </w:tcPr>
          <w:p w14:paraId="143D4B27" w14:textId="77777777" w:rsidR="002C0DC3" w:rsidRPr="002C0DC3" w:rsidRDefault="002C0DC3" w:rsidP="002C0DC3">
            <w:pPr>
              <w:suppressAutoHyphens w:val="0"/>
              <w:jc w:val="center"/>
              <w:rPr>
                <w:b/>
                <w:bCs/>
                <w:lang w:val="es-CR" w:eastAsia="es-CR"/>
              </w:rPr>
            </w:pPr>
            <w:r w:rsidRPr="002C0DC3">
              <w:rPr>
                <w:b/>
                <w:bCs/>
                <w:lang w:val="es-CR" w:eastAsia="es-CR"/>
              </w:rPr>
              <w:t>A</w:t>
            </w:r>
          </w:p>
        </w:tc>
        <w:tc>
          <w:tcPr>
            <w:tcW w:w="297" w:type="pct"/>
            <w:tcBorders>
              <w:top w:val="nil"/>
              <w:left w:val="nil"/>
              <w:bottom w:val="single" w:sz="8" w:space="0" w:color="auto"/>
              <w:right w:val="single" w:sz="8" w:space="0" w:color="auto"/>
            </w:tcBorders>
            <w:shd w:val="clear" w:color="000000" w:fill="0000FF"/>
            <w:vAlign w:val="center"/>
            <w:hideMark/>
          </w:tcPr>
          <w:p w14:paraId="0E78E698" w14:textId="77777777" w:rsidR="002C0DC3" w:rsidRPr="002C0DC3" w:rsidRDefault="002C0DC3" w:rsidP="002C0DC3">
            <w:pPr>
              <w:suppressAutoHyphens w:val="0"/>
              <w:jc w:val="center"/>
              <w:rPr>
                <w:b/>
                <w:bCs/>
                <w:lang w:val="es-CR" w:eastAsia="es-CR"/>
              </w:rPr>
            </w:pPr>
            <w:r w:rsidRPr="002C0DC3">
              <w:rPr>
                <w:b/>
                <w:bCs/>
                <w:lang w:val="es-CR" w:eastAsia="es-CR"/>
              </w:rPr>
              <w:t>A</w:t>
            </w:r>
          </w:p>
        </w:tc>
        <w:tc>
          <w:tcPr>
            <w:tcW w:w="297" w:type="pct"/>
            <w:tcBorders>
              <w:top w:val="nil"/>
              <w:left w:val="nil"/>
              <w:bottom w:val="single" w:sz="8" w:space="0" w:color="auto"/>
              <w:right w:val="single" w:sz="8" w:space="0" w:color="auto"/>
            </w:tcBorders>
            <w:shd w:val="clear" w:color="000000" w:fill="0000FF"/>
            <w:vAlign w:val="center"/>
            <w:hideMark/>
          </w:tcPr>
          <w:p w14:paraId="4F331D60" w14:textId="77777777" w:rsidR="002C0DC3" w:rsidRPr="002C0DC3" w:rsidRDefault="002C0DC3" w:rsidP="002C0DC3">
            <w:pPr>
              <w:suppressAutoHyphens w:val="0"/>
              <w:jc w:val="center"/>
              <w:rPr>
                <w:b/>
                <w:bCs/>
                <w:lang w:val="es-CR" w:eastAsia="es-CR"/>
              </w:rPr>
            </w:pPr>
            <w:r w:rsidRPr="002C0DC3">
              <w:rPr>
                <w:b/>
                <w:bCs/>
                <w:lang w:val="es-CR" w:eastAsia="es-CR"/>
              </w:rPr>
              <w:t>A</w:t>
            </w:r>
          </w:p>
        </w:tc>
        <w:tc>
          <w:tcPr>
            <w:tcW w:w="297" w:type="pct"/>
            <w:tcBorders>
              <w:top w:val="nil"/>
              <w:left w:val="nil"/>
              <w:bottom w:val="single" w:sz="8" w:space="0" w:color="auto"/>
              <w:right w:val="single" w:sz="8" w:space="0" w:color="auto"/>
            </w:tcBorders>
            <w:shd w:val="clear" w:color="000000" w:fill="0000FF"/>
            <w:vAlign w:val="center"/>
            <w:hideMark/>
          </w:tcPr>
          <w:p w14:paraId="76FAC2A4" w14:textId="77777777" w:rsidR="002C0DC3" w:rsidRPr="002C0DC3" w:rsidRDefault="002C0DC3" w:rsidP="002C0DC3">
            <w:pPr>
              <w:suppressAutoHyphens w:val="0"/>
              <w:jc w:val="center"/>
              <w:rPr>
                <w:b/>
                <w:bCs/>
                <w:lang w:val="es-CR" w:eastAsia="es-CR"/>
              </w:rPr>
            </w:pPr>
            <w:r w:rsidRPr="002C0DC3">
              <w:rPr>
                <w:b/>
                <w:bCs/>
                <w:lang w:val="es-CR" w:eastAsia="es-CR"/>
              </w:rPr>
              <w:t>A</w:t>
            </w:r>
          </w:p>
        </w:tc>
        <w:tc>
          <w:tcPr>
            <w:tcW w:w="297" w:type="pct"/>
            <w:tcBorders>
              <w:top w:val="nil"/>
              <w:left w:val="nil"/>
              <w:bottom w:val="single" w:sz="8" w:space="0" w:color="auto"/>
              <w:right w:val="single" w:sz="8" w:space="0" w:color="auto"/>
            </w:tcBorders>
            <w:shd w:val="clear" w:color="000000" w:fill="FF9933"/>
            <w:vAlign w:val="center"/>
            <w:hideMark/>
          </w:tcPr>
          <w:p w14:paraId="0D09F475"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6" w:type="pct"/>
            <w:tcBorders>
              <w:top w:val="nil"/>
              <w:left w:val="nil"/>
              <w:bottom w:val="single" w:sz="8" w:space="0" w:color="auto"/>
              <w:right w:val="single" w:sz="8" w:space="0" w:color="auto"/>
            </w:tcBorders>
            <w:shd w:val="clear" w:color="000000" w:fill="FF9933"/>
            <w:vAlign w:val="center"/>
            <w:hideMark/>
          </w:tcPr>
          <w:p w14:paraId="51F3EF1D" w14:textId="77777777" w:rsidR="002C0DC3" w:rsidRPr="002C0DC3" w:rsidRDefault="002C0DC3" w:rsidP="002C0DC3">
            <w:pPr>
              <w:suppressAutoHyphens w:val="0"/>
              <w:jc w:val="center"/>
              <w:rPr>
                <w:b/>
                <w:bCs/>
                <w:lang w:val="es-CR" w:eastAsia="es-CR"/>
              </w:rPr>
            </w:pPr>
            <w:r w:rsidRPr="002C0DC3">
              <w:rPr>
                <w:b/>
                <w:bCs/>
                <w:lang w:val="es-CR" w:eastAsia="es-CR"/>
              </w:rPr>
              <w:t>E</w:t>
            </w:r>
          </w:p>
        </w:tc>
      </w:tr>
      <w:tr w:rsidR="002C0DC3" w:rsidRPr="002C0DC3" w14:paraId="4C07661D" w14:textId="77777777" w:rsidTr="002C0DC3">
        <w:trPr>
          <w:trHeight w:val="460"/>
        </w:trPr>
        <w:tc>
          <w:tcPr>
            <w:tcW w:w="1433" w:type="pct"/>
            <w:tcBorders>
              <w:top w:val="nil"/>
              <w:left w:val="single" w:sz="8" w:space="0" w:color="auto"/>
              <w:bottom w:val="single" w:sz="8" w:space="0" w:color="auto"/>
              <w:right w:val="single" w:sz="8" w:space="0" w:color="auto"/>
            </w:tcBorders>
            <w:shd w:val="clear" w:color="000000" w:fill="FFFFFF"/>
            <w:vAlign w:val="center"/>
            <w:hideMark/>
          </w:tcPr>
          <w:p w14:paraId="418045DD" w14:textId="77777777" w:rsidR="002C0DC3" w:rsidRPr="002C0DC3" w:rsidRDefault="002C0DC3" w:rsidP="002C0DC3">
            <w:pPr>
              <w:suppressAutoHyphens w:val="0"/>
              <w:jc w:val="center"/>
              <w:rPr>
                <w:lang w:val="es-CR" w:eastAsia="es-CR"/>
              </w:rPr>
            </w:pPr>
            <w:r w:rsidRPr="002C0DC3">
              <w:rPr>
                <w:lang w:val="es-CR" w:eastAsia="es-CR"/>
              </w:rPr>
              <w:t>JUZGADO DE COBRO DE HEREDIA</w:t>
            </w:r>
          </w:p>
        </w:tc>
        <w:tc>
          <w:tcPr>
            <w:tcW w:w="298" w:type="pct"/>
            <w:tcBorders>
              <w:top w:val="nil"/>
              <w:left w:val="nil"/>
              <w:bottom w:val="single" w:sz="8" w:space="0" w:color="auto"/>
              <w:right w:val="single" w:sz="8" w:space="0" w:color="auto"/>
            </w:tcBorders>
            <w:shd w:val="clear" w:color="000000" w:fill="FFFF00"/>
            <w:vAlign w:val="center"/>
            <w:hideMark/>
          </w:tcPr>
          <w:p w14:paraId="7104FC75" w14:textId="77777777" w:rsidR="002C0DC3" w:rsidRPr="002C0DC3" w:rsidRDefault="002C0DC3" w:rsidP="002C0DC3">
            <w:pPr>
              <w:suppressAutoHyphens w:val="0"/>
              <w:jc w:val="center"/>
              <w:rPr>
                <w:b/>
                <w:bCs/>
                <w:lang w:val="es-CR" w:eastAsia="es-CR"/>
              </w:rPr>
            </w:pPr>
            <w:r w:rsidRPr="002C0DC3">
              <w:rPr>
                <w:b/>
                <w:bCs/>
                <w:lang w:val="es-CR" w:eastAsia="es-CR"/>
              </w:rPr>
              <w:t>C</w:t>
            </w:r>
          </w:p>
        </w:tc>
        <w:tc>
          <w:tcPr>
            <w:tcW w:w="297" w:type="pct"/>
            <w:tcBorders>
              <w:top w:val="nil"/>
              <w:left w:val="nil"/>
              <w:bottom w:val="single" w:sz="8" w:space="0" w:color="auto"/>
              <w:right w:val="single" w:sz="8" w:space="0" w:color="auto"/>
            </w:tcBorders>
            <w:shd w:val="clear" w:color="000000" w:fill="FF9933"/>
            <w:vAlign w:val="center"/>
            <w:hideMark/>
          </w:tcPr>
          <w:p w14:paraId="67561827"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6CE96F8D"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526956D4"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2E34DE5B"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3D430CA5"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5048E9A3"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1837E7F0"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33C98DDF"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565479E1"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7" w:type="pct"/>
            <w:tcBorders>
              <w:top w:val="nil"/>
              <w:left w:val="nil"/>
              <w:bottom w:val="single" w:sz="8" w:space="0" w:color="auto"/>
              <w:right w:val="single" w:sz="8" w:space="0" w:color="auto"/>
            </w:tcBorders>
            <w:shd w:val="clear" w:color="000000" w:fill="FF9933"/>
            <w:vAlign w:val="center"/>
            <w:hideMark/>
          </w:tcPr>
          <w:p w14:paraId="01D48CBA" w14:textId="77777777" w:rsidR="002C0DC3" w:rsidRPr="002C0DC3" w:rsidRDefault="002C0DC3" w:rsidP="002C0DC3">
            <w:pPr>
              <w:suppressAutoHyphens w:val="0"/>
              <w:jc w:val="center"/>
              <w:rPr>
                <w:b/>
                <w:bCs/>
                <w:lang w:val="es-CR" w:eastAsia="es-CR"/>
              </w:rPr>
            </w:pPr>
            <w:r w:rsidRPr="002C0DC3">
              <w:rPr>
                <w:b/>
                <w:bCs/>
                <w:lang w:val="es-CR" w:eastAsia="es-CR"/>
              </w:rPr>
              <w:t>E</w:t>
            </w:r>
          </w:p>
        </w:tc>
        <w:tc>
          <w:tcPr>
            <w:tcW w:w="296" w:type="pct"/>
            <w:tcBorders>
              <w:top w:val="nil"/>
              <w:left w:val="nil"/>
              <w:bottom w:val="single" w:sz="8" w:space="0" w:color="auto"/>
              <w:right w:val="single" w:sz="8" w:space="0" w:color="auto"/>
            </w:tcBorders>
            <w:shd w:val="clear" w:color="000000" w:fill="FF9933"/>
            <w:vAlign w:val="center"/>
            <w:hideMark/>
          </w:tcPr>
          <w:p w14:paraId="522762D5" w14:textId="77777777" w:rsidR="002C0DC3" w:rsidRPr="002C0DC3" w:rsidRDefault="002C0DC3" w:rsidP="002C0DC3">
            <w:pPr>
              <w:suppressAutoHyphens w:val="0"/>
              <w:jc w:val="center"/>
              <w:rPr>
                <w:b/>
                <w:bCs/>
                <w:lang w:val="es-CR" w:eastAsia="es-CR"/>
              </w:rPr>
            </w:pPr>
            <w:r w:rsidRPr="002C0DC3">
              <w:rPr>
                <w:b/>
                <w:bCs/>
                <w:lang w:val="es-CR" w:eastAsia="es-CR"/>
              </w:rPr>
              <w:t>E</w:t>
            </w:r>
          </w:p>
        </w:tc>
      </w:tr>
    </w:tbl>
    <w:p w14:paraId="52E5441F" w14:textId="77777777" w:rsidR="002C0DC3" w:rsidRPr="002C0DC3" w:rsidRDefault="002C0DC3" w:rsidP="002C0DC3">
      <w:pPr>
        <w:suppressAutoHyphens w:val="0"/>
        <w:jc w:val="both"/>
        <w:rPr>
          <w:rFonts w:eastAsia="Calibri"/>
          <w:lang w:eastAsia="zh-CN"/>
        </w:rPr>
      </w:pPr>
    </w:p>
    <w:p w14:paraId="40732E15" w14:textId="77777777" w:rsidR="002C0DC3" w:rsidRPr="002C0DC3" w:rsidRDefault="002C0DC3" w:rsidP="002C0DC3">
      <w:pPr>
        <w:suppressAutoHyphens w:val="0"/>
        <w:ind w:left="851" w:right="851" w:firstLine="709"/>
        <w:jc w:val="both"/>
        <w:rPr>
          <w:rFonts w:eastAsia="Calibri"/>
          <w:lang w:eastAsia="zh-CN"/>
        </w:rPr>
      </w:pPr>
      <w:r w:rsidRPr="002C0DC3">
        <w:rPr>
          <w:rFonts w:eastAsia="Calibri"/>
          <w:lang w:eastAsia="zh-CN"/>
        </w:rPr>
        <w:t>Fuente: Subproceso de Evaluación. Indicadores de Gestión 2020.</w:t>
      </w:r>
    </w:p>
    <w:p w14:paraId="1DBBA6C9" w14:textId="77777777" w:rsidR="002C0DC3" w:rsidRPr="002C0DC3" w:rsidRDefault="002C0DC3" w:rsidP="002C0DC3">
      <w:pPr>
        <w:suppressAutoHyphens w:val="0"/>
        <w:ind w:left="851" w:right="851" w:firstLine="709"/>
        <w:jc w:val="both"/>
        <w:rPr>
          <w:rFonts w:eastAsia="Calibri"/>
          <w:lang w:val="es-CR" w:eastAsia="en-US"/>
        </w:rPr>
      </w:pPr>
    </w:p>
    <w:p w14:paraId="42FA279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Como se desprende del cuadro anterior, durante los meses de enero a agosto 2020, el Juzgado de Cobro de Liberia se encontró clasificado en la categoría “E”  lo que significa que el despacho está crítico, pero con rendimiento del personal aceptable, lo cual quiere decir, que el rendimiento de al menos el 80% del personal se encuentra dentro del rango "estándar" o "medio”. Normalmente, los plazos para resolver demandas nuevas y los plazos para resolver escritos son los que sobrepasan los parámetros establecidos, superando la capacidad instalada del juzgado para hacer frente a esas variables dentro de los parámetros que se establecieron para este despacho.</w:t>
      </w:r>
    </w:p>
    <w:p w14:paraId="11CE8D87" w14:textId="77777777" w:rsidR="002C0DC3" w:rsidRPr="002C0DC3" w:rsidRDefault="002C0DC3" w:rsidP="002C0DC3">
      <w:pPr>
        <w:suppressAutoHyphens w:val="0"/>
        <w:ind w:left="851" w:right="851" w:firstLine="709"/>
        <w:jc w:val="both"/>
        <w:rPr>
          <w:rFonts w:eastAsia="Calibri"/>
          <w:lang w:val="es-CR" w:eastAsia="en-US"/>
        </w:rPr>
      </w:pPr>
    </w:p>
    <w:p w14:paraId="3C181F3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Para los meses de setiembre, octubre, noviembre y diciembre 2020, el despacho sube de categoría, pasando de la “E” a la “C”; es decir, con oportunidades de mejora manejables.</w:t>
      </w:r>
    </w:p>
    <w:p w14:paraId="0471D959" w14:textId="77777777" w:rsidR="002C0DC3" w:rsidRPr="002C0DC3" w:rsidRDefault="002C0DC3" w:rsidP="002C0DC3">
      <w:pPr>
        <w:suppressAutoHyphens w:val="0"/>
        <w:ind w:left="851" w:right="851" w:firstLine="709"/>
        <w:jc w:val="both"/>
        <w:rPr>
          <w:rFonts w:eastAsia="Calibri"/>
          <w:lang w:val="es-CR" w:eastAsia="en-US"/>
        </w:rPr>
      </w:pPr>
    </w:p>
    <w:p w14:paraId="1EABDB70"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Esta mejoría en la clasificación del despacho es producto del trabajo desarrollado por todo el equipo del despacho en el cumplimiento de planes remediales formulados, acompañados del profesional del Modelo de Sostenibilidad destacado en ese circuito.</w:t>
      </w:r>
    </w:p>
    <w:p w14:paraId="420E22B1" w14:textId="77777777" w:rsidR="002C0DC3" w:rsidRPr="002C0DC3" w:rsidRDefault="002C0DC3" w:rsidP="002C0DC3">
      <w:pPr>
        <w:suppressAutoHyphens w:val="0"/>
        <w:ind w:left="851" w:right="851" w:firstLine="709"/>
        <w:jc w:val="both"/>
        <w:rPr>
          <w:rFonts w:eastAsia="Calibri"/>
          <w:lang w:val="es-CR" w:eastAsia="en-US"/>
        </w:rPr>
      </w:pPr>
    </w:p>
    <w:p w14:paraId="3355B353"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Como puede apreciarse, el Juzgado de Cobro de Cartago se ha mantenido a lo largo del 2020 en la clasificación “E” que significa que el despacho se encuentra en estado </w:t>
      </w:r>
      <w:r w:rsidRPr="002C0DC3">
        <w:rPr>
          <w:rFonts w:eastAsia="Calibri"/>
          <w:b/>
          <w:bCs/>
          <w:lang w:val="es-CR" w:eastAsia="en-US"/>
        </w:rPr>
        <w:t>Crítico pero al menos el 80% del personal</w:t>
      </w:r>
      <w:r w:rsidRPr="002C0DC3">
        <w:rPr>
          <w:rFonts w:eastAsia="Calibri"/>
          <w:lang w:val="es-CR" w:eastAsia="en-US"/>
        </w:rPr>
        <w:t xml:space="preserve"> cumple con las cuotas de trabajo establecidas en las matrices de indicadores de gestión.</w:t>
      </w:r>
    </w:p>
    <w:p w14:paraId="79CD3484" w14:textId="77777777" w:rsidR="002C0DC3" w:rsidRPr="002C0DC3" w:rsidRDefault="002C0DC3" w:rsidP="002C0DC3">
      <w:pPr>
        <w:suppressAutoHyphens w:val="0"/>
        <w:ind w:left="851" w:right="851" w:firstLine="709"/>
        <w:jc w:val="both"/>
        <w:rPr>
          <w:rFonts w:eastAsia="Calibri"/>
          <w:lang w:val="es-CR" w:eastAsia="en-US"/>
        </w:rPr>
      </w:pPr>
    </w:p>
    <w:p w14:paraId="5064A317"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lastRenderedPageBreak/>
        <w:t xml:space="preserve">Las áreas más críticas de este Juzgado corresponden a los plazos para trámite de demandas nuevas y escritos, estos plazos obedecen a las altas cargas de trabajo que ingresan.  Como referencia se indica que en promedio mensualmente este despacho recibió durante el 2020, 1.643 demandas nuevas y aproximadamente 9.207 escritos cada mes. </w:t>
      </w:r>
    </w:p>
    <w:p w14:paraId="3FD17C00" w14:textId="77777777" w:rsidR="002C0DC3" w:rsidRPr="002C0DC3" w:rsidRDefault="002C0DC3" w:rsidP="002C0DC3">
      <w:pPr>
        <w:suppressAutoHyphens w:val="0"/>
        <w:ind w:left="851" w:right="851" w:firstLine="709"/>
        <w:jc w:val="both"/>
        <w:rPr>
          <w:rFonts w:eastAsia="Calibri"/>
          <w:lang w:val="es-CR" w:eastAsia="en-US"/>
        </w:rPr>
      </w:pPr>
    </w:p>
    <w:p w14:paraId="628EF340"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Durante el 2020 la profesional de la Dirección de Planificación destacada en el Circuito en conjunto con el Coordinador Judicial y jueza Coordinadora del despacho, han diseñado semanalmente planes de trabajo específicos para generar un trámite de asuntos equilibrado entre todos los trámites pendientes, igualmente de forma semanal se le da seguimiento a cada plan y se realimenta al despacho con los resultados. Asimismo, de forma permanente el despacho ha contado con colaboración de personal técnico supernumerario.</w:t>
      </w:r>
    </w:p>
    <w:p w14:paraId="2116C3A1" w14:textId="77777777" w:rsidR="002C0DC3" w:rsidRPr="002C0DC3" w:rsidRDefault="002C0DC3" w:rsidP="002C0DC3">
      <w:pPr>
        <w:suppressAutoHyphens w:val="0"/>
        <w:ind w:left="851" w:right="851" w:firstLine="709"/>
        <w:jc w:val="both"/>
        <w:rPr>
          <w:rFonts w:eastAsia="Calibri"/>
          <w:lang w:val="es-CR" w:eastAsia="en-US"/>
        </w:rPr>
      </w:pPr>
    </w:p>
    <w:p w14:paraId="015BC81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A continuación, se detalla los indicadores del Juzgado de Cobro que presentan oportunidades de mejora en ese circuito:</w:t>
      </w:r>
    </w:p>
    <w:p w14:paraId="10613D84" w14:textId="77777777" w:rsidR="00B31AC4" w:rsidRDefault="00B31AC4" w:rsidP="002C0DC3">
      <w:pPr>
        <w:suppressAutoHyphens w:val="0"/>
        <w:ind w:left="851" w:right="851" w:firstLine="709"/>
        <w:jc w:val="center"/>
        <w:rPr>
          <w:lang w:val="es-CR" w:eastAsia="zh-CN"/>
        </w:rPr>
      </w:pPr>
    </w:p>
    <w:p w14:paraId="3918C518" w14:textId="3482937F" w:rsidR="002C0DC3" w:rsidRPr="002C0DC3" w:rsidRDefault="002C0DC3" w:rsidP="002C0DC3">
      <w:pPr>
        <w:suppressAutoHyphens w:val="0"/>
        <w:ind w:left="851" w:right="851" w:firstLine="709"/>
        <w:jc w:val="center"/>
        <w:rPr>
          <w:lang w:val="es-CR" w:eastAsia="zh-CN"/>
        </w:rPr>
      </w:pPr>
      <w:r w:rsidRPr="002C0DC3">
        <w:rPr>
          <w:lang w:val="es-CR" w:eastAsia="zh-CN"/>
        </w:rPr>
        <w:t>Cuadro 5</w:t>
      </w:r>
    </w:p>
    <w:p w14:paraId="064E0B48" w14:textId="77777777" w:rsidR="002C0DC3" w:rsidRPr="002C0DC3" w:rsidRDefault="002C0DC3" w:rsidP="002C0DC3">
      <w:pPr>
        <w:suppressAutoHyphens w:val="0"/>
        <w:ind w:left="851" w:right="851" w:firstLine="709"/>
        <w:jc w:val="center"/>
        <w:rPr>
          <w:lang w:val="es-CR" w:eastAsia="zh-CN"/>
        </w:rPr>
      </w:pPr>
      <w:r w:rsidRPr="002C0DC3">
        <w:rPr>
          <w:lang w:val="es-CR" w:eastAsia="zh-CN"/>
        </w:rPr>
        <w:t xml:space="preserve">Detalle de los indicadores de Gestión con Oportunidad de Mejora </w:t>
      </w:r>
    </w:p>
    <w:p w14:paraId="7B1374C3" w14:textId="77777777" w:rsidR="002C0DC3" w:rsidRPr="002C0DC3" w:rsidRDefault="002C0DC3" w:rsidP="002C0DC3">
      <w:pPr>
        <w:suppressAutoHyphens w:val="0"/>
        <w:ind w:left="851" w:right="851" w:firstLine="709"/>
        <w:jc w:val="center"/>
        <w:rPr>
          <w:lang w:val="es-CR" w:eastAsia="zh-CN"/>
        </w:rPr>
      </w:pPr>
      <w:r w:rsidRPr="002C0DC3">
        <w:rPr>
          <w:lang w:val="es-CR" w:eastAsia="zh-CN"/>
        </w:rPr>
        <w:t xml:space="preserve">en el Juzgado de Cobro Judicial de Cartago </w:t>
      </w:r>
    </w:p>
    <w:p w14:paraId="3473521B" w14:textId="77777777" w:rsidR="002C0DC3" w:rsidRPr="002C0DC3" w:rsidRDefault="002C0DC3" w:rsidP="002C0DC3">
      <w:pPr>
        <w:suppressAutoHyphens w:val="0"/>
        <w:ind w:left="851" w:right="851" w:firstLine="709"/>
        <w:jc w:val="center"/>
        <w:rPr>
          <w:lang w:val="es-CR" w:eastAsia="zh-CN"/>
        </w:rPr>
      </w:pPr>
      <w:r w:rsidRPr="002C0DC3">
        <w:rPr>
          <w:lang w:val="es-CR" w:eastAsia="zh-CN"/>
        </w:rPr>
        <w:t>(abril-diciembre 2020)</w:t>
      </w:r>
    </w:p>
    <w:p w14:paraId="472193A0" w14:textId="77777777" w:rsidR="002C0DC3" w:rsidRPr="002C0DC3" w:rsidRDefault="002C0DC3" w:rsidP="002C0DC3">
      <w:pPr>
        <w:suppressAutoHyphens w:val="0"/>
        <w:jc w:val="both"/>
        <w:rPr>
          <w:lang w:val="es-CR" w:eastAsia="zh-CN"/>
        </w:rPr>
      </w:pPr>
    </w:p>
    <w:tbl>
      <w:tblPr>
        <w:tblW w:w="5000" w:type="pct"/>
        <w:jc w:val="center"/>
        <w:tblBorders>
          <w:top w:val="double" w:sz="4" w:space="0" w:color="2F5496"/>
          <w:left w:val="double" w:sz="4" w:space="0" w:color="2F5496"/>
          <w:bottom w:val="double" w:sz="4" w:space="0" w:color="2F5496"/>
          <w:right w:val="double" w:sz="4" w:space="0" w:color="2F5496"/>
          <w:insideH w:val="double" w:sz="4" w:space="0" w:color="2F5496"/>
          <w:insideV w:val="double" w:sz="4" w:space="0" w:color="2F5496"/>
        </w:tblBorders>
        <w:tblCellMar>
          <w:left w:w="70" w:type="dxa"/>
          <w:right w:w="70" w:type="dxa"/>
        </w:tblCellMar>
        <w:tblLook w:val="04A0" w:firstRow="1" w:lastRow="0" w:firstColumn="1" w:lastColumn="0" w:noHBand="0" w:noVBand="1"/>
      </w:tblPr>
      <w:tblGrid>
        <w:gridCol w:w="2192"/>
        <w:gridCol w:w="1873"/>
        <w:gridCol w:w="30"/>
        <w:gridCol w:w="1843"/>
        <w:gridCol w:w="1560"/>
        <w:gridCol w:w="1877"/>
      </w:tblGrid>
      <w:tr w:rsidR="002C0DC3" w:rsidRPr="002C0DC3" w14:paraId="47642E15" w14:textId="77777777" w:rsidTr="002C0DC3">
        <w:trPr>
          <w:trHeight w:val="507"/>
          <w:tblHeader/>
          <w:jc w:val="center"/>
        </w:trPr>
        <w:tc>
          <w:tcPr>
            <w:tcW w:w="2168" w:type="pct"/>
            <w:gridSpan w:val="2"/>
            <w:vAlign w:val="center"/>
          </w:tcPr>
          <w:p w14:paraId="6E293558"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 Cartago</w:t>
            </w:r>
          </w:p>
        </w:tc>
        <w:tc>
          <w:tcPr>
            <w:tcW w:w="2832" w:type="pct"/>
            <w:gridSpan w:val="4"/>
            <w:vAlign w:val="center"/>
          </w:tcPr>
          <w:p w14:paraId="3DF0511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Resultado</w:t>
            </w:r>
          </w:p>
        </w:tc>
      </w:tr>
      <w:tr w:rsidR="002C0DC3" w:rsidRPr="002C0DC3" w14:paraId="7DCA8C9F" w14:textId="77777777" w:rsidTr="002C0DC3">
        <w:trPr>
          <w:trHeight w:val="585"/>
          <w:tblHeader/>
          <w:jc w:val="center"/>
        </w:trPr>
        <w:tc>
          <w:tcPr>
            <w:tcW w:w="1169" w:type="pct"/>
            <w:vAlign w:val="center"/>
            <w:hideMark/>
          </w:tcPr>
          <w:p w14:paraId="6948BB16"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Indicador</w:t>
            </w:r>
          </w:p>
        </w:tc>
        <w:tc>
          <w:tcPr>
            <w:tcW w:w="1015" w:type="pct"/>
            <w:gridSpan w:val="2"/>
            <w:vAlign w:val="center"/>
            <w:hideMark/>
          </w:tcPr>
          <w:p w14:paraId="263E2491" w14:textId="77777777" w:rsidR="002C0DC3" w:rsidRPr="002C0DC3" w:rsidRDefault="002C0DC3" w:rsidP="002C0DC3">
            <w:pPr>
              <w:suppressAutoHyphens w:val="0"/>
              <w:jc w:val="both"/>
              <w:rPr>
                <w:rFonts w:eastAsia="Calibri"/>
                <w:b/>
                <w:bCs/>
                <w:lang w:val="es-CR" w:eastAsia="es-CR"/>
              </w:rPr>
            </w:pPr>
          </w:p>
        </w:tc>
        <w:tc>
          <w:tcPr>
            <w:tcW w:w="983" w:type="pct"/>
            <w:shd w:val="clear" w:color="000000" w:fill="D9D9D9"/>
            <w:vAlign w:val="center"/>
            <w:hideMark/>
          </w:tcPr>
          <w:p w14:paraId="390DA5E5"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A abril 2020</w:t>
            </w:r>
          </w:p>
        </w:tc>
        <w:tc>
          <w:tcPr>
            <w:tcW w:w="832" w:type="pct"/>
            <w:shd w:val="clear" w:color="000000" w:fill="D9D9D9"/>
          </w:tcPr>
          <w:p w14:paraId="5BA2062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A setiembre</w:t>
            </w:r>
          </w:p>
          <w:p w14:paraId="71D2D65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2020</w:t>
            </w:r>
          </w:p>
        </w:tc>
        <w:tc>
          <w:tcPr>
            <w:tcW w:w="1001" w:type="pct"/>
            <w:shd w:val="clear" w:color="000000" w:fill="D9D9D9"/>
          </w:tcPr>
          <w:p w14:paraId="4075AF15"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A diciembre 2020</w:t>
            </w:r>
          </w:p>
        </w:tc>
      </w:tr>
      <w:tr w:rsidR="002C0DC3" w:rsidRPr="002C0DC3" w14:paraId="43A249EB" w14:textId="77777777" w:rsidTr="002C0DC3">
        <w:trPr>
          <w:trHeight w:val="480"/>
          <w:jc w:val="center"/>
        </w:trPr>
        <w:tc>
          <w:tcPr>
            <w:tcW w:w="1169" w:type="pct"/>
            <w:vMerge w:val="restart"/>
            <w:shd w:val="clear" w:color="000000" w:fill="DDEBF7"/>
            <w:vAlign w:val="center"/>
            <w:hideMark/>
          </w:tcPr>
          <w:p w14:paraId="5E81A15A"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Plazo trámite de demandas nuevas</w:t>
            </w:r>
          </w:p>
        </w:tc>
        <w:tc>
          <w:tcPr>
            <w:tcW w:w="1015" w:type="pct"/>
            <w:gridSpan w:val="2"/>
            <w:shd w:val="clear" w:color="000000" w:fill="DDEBF7"/>
            <w:vAlign w:val="center"/>
            <w:hideMark/>
          </w:tcPr>
          <w:p w14:paraId="2E17E19F"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abr-20</w:t>
            </w:r>
          </w:p>
        </w:tc>
        <w:tc>
          <w:tcPr>
            <w:tcW w:w="983" w:type="pct"/>
            <w:shd w:val="clear" w:color="000000" w:fill="DDEBF7"/>
            <w:vAlign w:val="center"/>
            <w:hideMark/>
          </w:tcPr>
          <w:p w14:paraId="65376820"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9 meses</w:t>
            </w:r>
          </w:p>
        </w:tc>
        <w:tc>
          <w:tcPr>
            <w:tcW w:w="832" w:type="pct"/>
            <w:shd w:val="clear" w:color="000000" w:fill="DDEBF7"/>
          </w:tcPr>
          <w:p w14:paraId="19A28BE3"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10 meses</w:t>
            </w:r>
          </w:p>
        </w:tc>
        <w:tc>
          <w:tcPr>
            <w:tcW w:w="1001" w:type="pct"/>
            <w:shd w:val="clear" w:color="000000" w:fill="DDEBF7"/>
          </w:tcPr>
          <w:p w14:paraId="0BDD4B66" w14:textId="77777777" w:rsidR="002C0DC3" w:rsidRPr="002C0DC3" w:rsidRDefault="002C0DC3" w:rsidP="002C0DC3">
            <w:pPr>
              <w:tabs>
                <w:tab w:val="left" w:pos="449"/>
              </w:tabs>
              <w:suppressAutoHyphens w:val="0"/>
              <w:jc w:val="both"/>
              <w:rPr>
                <w:rFonts w:eastAsia="Calibri"/>
                <w:lang w:val="es-CR" w:eastAsia="es-CR"/>
              </w:rPr>
            </w:pPr>
            <w:r w:rsidRPr="002C0DC3">
              <w:rPr>
                <w:rFonts w:eastAsia="Calibri"/>
                <w:lang w:val="es-CR" w:eastAsia="es-CR"/>
              </w:rPr>
              <w:t>10 meses</w:t>
            </w:r>
          </w:p>
        </w:tc>
      </w:tr>
      <w:tr w:rsidR="002C0DC3" w:rsidRPr="002C0DC3" w14:paraId="0FF28ECD" w14:textId="77777777" w:rsidTr="002C0DC3">
        <w:trPr>
          <w:trHeight w:val="480"/>
          <w:jc w:val="center"/>
        </w:trPr>
        <w:tc>
          <w:tcPr>
            <w:tcW w:w="1169" w:type="pct"/>
            <w:vMerge/>
            <w:vAlign w:val="center"/>
            <w:hideMark/>
          </w:tcPr>
          <w:p w14:paraId="43FA893F" w14:textId="77777777" w:rsidR="002C0DC3" w:rsidRPr="002C0DC3" w:rsidRDefault="002C0DC3" w:rsidP="002C0DC3">
            <w:pPr>
              <w:suppressAutoHyphens w:val="0"/>
              <w:jc w:val="both"/>
              <w:rPr>
                <w:rFonts w:eastAsia="Calibri"/>
                <w:b/>
                <w:bCs/>
                <w:lang w:val="es-CR" w:eastAsia="es-CR"/>
              </w:rPr>
            </w:pPr>
          </w:p>
        </w:tc>
        <w:tc>
          <w:tcPr>
            <w:tcW w:w="1015" w:type="pct"/>
            <w:gridSpan w:val="2"/>
            <w:shd w:val="clear" w:color="000000" w:fill="DDEBF7"/>
            <w:vAlign w:val="center"/>
            <w:hideMark/>
          </w:tcPr>
          <w:p w14:paraId="7D701DA9"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Parámetro máximo</w:t>
            </w:r>
          </w:p>
        </w:tc>
        <w:tc>
          <w:tcPr>
            <w:tcW w:w="983" w:type="pct"/>
            <w:shd w:val="clear" w:color="000000" w:fill="DDEBF7"/>
            <w:vAlign w:val="center"/>
            <w:hideMark/>
          </w:tcPr>
          <w:p w14:paraId="512ECC30" w14:textId="77777777" w:rsidR="002C0DC3" w:rsidRPr="002C0DC3" w:rsidRDefault="002C0DC3" w:rsidP="002C0DC3">
            <w:pPr>
              <w:suppressAutoHyphens w:val="0"/>
              <w:jc w:val="both"/>
              <w:rPr>
                <w:rFonts w:eastAsia="Calibri"/>
                <w:lang w:val="es-CR" w:eastAsia="es-CR"/>
              </w:rPr>
            </w:pPr>
          </w:p>
          <w:p w14:paraId="0B5C2794"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5 meses</w:t>
            </w:r>
          </w:p>
        </w:tc>
        <w:tc>
          <w:tcPr>
            <w:tcW w:w="832" w:type="pct"/>
            <w:shd w:val="clear" w:color="000000" w:fill="DDEBF7"/>
          </w:tcPr>
          <w:p w14:paraId="69671FF2" w14:textId="77777777" w:rsidR="002C0DC3" w:rsidRPr="002C0DC3" w:rsidRDefault="002C0DC3" w:rsidP="002C0DC3">
            <w:pPr>
              <w:suppressAutoHyphens w:val="0"/>
              <w:jc w:val="both"/>
              <w:rPr>
                <w:rFonts w:eastAsia="Calibri"/>
                <w:lang w:val="es-CR" w:eastAsia="es-CR"/>
              </w:rPr>
            </w:pPr>
          </w:p>
          <w:p w14:paraId="3441762F"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5 meses</w:t>
            </w:r>
          </w:p>
        </w:tc>
        <w:tc>
          <w:tcPr>
            <w:tcW w:w="1001" w:type="pct"/>
            <w:shd w:val="clear" w:color="000000" w:fill="DDEBF7"/>
          </w:tcPr>
          <w:p w14:paraId="4E5FB8CC" w14:textId="77777777" w:rsidR="002C0DC3" w:rsidRPr="002C0DC3" w:rsidRDefault="002C0DC3" w:rsidP="002C0DC3">
            <w:pPr>
              <w:suppressAutoHyphens w:val="0"/>
              <w:jc w:val="both"/>
              <w:rPr>
                <w:rFonts w:eastAsia="Calibri"/>
                <w:lang w:val="es-CR" w:eastAsia="es-CR"/>
              </w:rPr>
            </w:pPr>
          </w:p>
          <w:p w14:paraId="49414E23" w14:textId="77777777" w:rsidR="002C0DC3" w:rsidRPr="002C0DC3" w:rsidRDefault="002C0DC3" w:rsidP="002C0DC3">
            <w:pPr>
              <w:tabs>
                <w:tab w:val="left" w:pos="478"/>
                <w:tab w:val="left" w:pos="798"/>
              </w:tabs>
              <w:suppressAutoHyphens w:val="0"/>
              <w:jc w:val="both"/>
              <w:rPr>
                <w:rFonts w:eastAsia="Calibri"/>
                <w:lang w:val="es-CR" w:eastAsia="es-CR"/>
              </w:rPr>
            </w:pPr>
            <w:r w:rsidRPr="002C0DC3">
              <w:rPr>
                <w:rFonts w:eastAsia="Calibri"/>
                <w:lang w:val="es-CR" w:eastAsia="es-CR"/>
              </w:rPr>
              <w:t>5 meses</w:t>
            </w:r>
            <w:r w:rsidRPr="002C0DC3">
              <w:rPr>
                <w:rFonts w:eastAsia="Calibri"/>
                <w:lang w:val="es-CR" w:eastAsia="es-CR"/>
              </w:rPr>
              <w:tab/>
            </w:r>
          </w:p>
          <w:p w14:paraId="695F815C" w14:textId="77777777" w:rsidR="002C0DC3" w:rsidRPr="002C0DC3" w:rsidRDefault="002C0DC3" w:rsidP="002C0DC3">
            <w:pPr>
              <w:tabs>
                <w:tab w:val="left" w:pos="798"/>
              </w:tabs>
              <w:suppressAutoHyphens w:val="0"/>
              <w:jc w:val="both"/>
              <w:rPr>
                <w:rFonts w:eastAsia="Calibri"/>
                <w:lang w:val="es-CR" w:eastAsia="es-CR"/>
              </w:rPr>
            </w:pPr>
          </w:p>
        </w:tc>
      </w:tr>
      <w:tr w:rsidR="002C0DC3" w:rsidRPr="002C0DC3" w14:paraId="6BD05067" w14:textId="77777777" w:rsidTr="002C0DC3">
        <w:trPr>
          <w:trHeight w:val="300"/>
          <w:jc w:val="center"/>
        </w:trPr>
        <w:tc>
          <w:tcPr>
            <w:tcW w:w="1169" w:type="pct"/>
            <w:vMerge/>
            <w:vAlign w:val="center"/>
            <w:hideMark/>
          </w:tcPr>
          <w:p w14:paraId="675D02EC" w14:textId="77777777" w:rsidR="002C0DC3" w:rsidRPr="002C0DC3" w:rsidRDefault="002C0DC3" w:rsidP="002C0DC3">
            <w:pPr>
              <w:suppressAutoHyphens w:val="0"/>
              <w:jc w:val="both"/>
              <w:rPr>
                <w:rFonts w:eastAsia="Calibri"/>
                <w:b/>
                <w:bCs/>
                <w:lang w:val="es-CR" w:eastAsia="es-CR"/>
              </w:rPr>
            </w:pPr>
          </w:p>
        </w:tc>
        <w:tc>
          <w:tcPr>
            <w:tcW w:w="1015" w:type="pct"/>
            <w:gridSpan w:val="2"/>
            <w:shd w:val="clear" w:color="000000" w:fill="DDEBF7"/>
            <w:vAlign w:val="center"/>
            <w:hideMark/>
          </w:tcPr>
          <w:p w14:paraId="7645F744"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Exceso</w:t>
            </w:r>
          </w:p>
        </w:tc>
        <w:tc>
          <w:tcPr>
            <w:tcW w:w="983" w:type="pct"/>
            <w:shd w:val="clear" w:color="000000" w:fill="DDEBF7"/>
            <w:vAlign w:val="center"/>
            <w:hideMark/>
          </w:tcPr>
          <w:p w14:paraId="752BDC3E"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80%</w:t>
            </w:r>
          </w:p>
        </w:tc>
        <w:tc>
          <w:tcPr>
            <w:tcW w:w="832" w:type="pct"/>
            <w:shd w:val="clear" w:color="000000" w:fill="DDEBF7"/>
          </w:tcPr>
          <w:p w14:paraId="2EAD3022"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100%</w:t>
            </w:r>
          </w:p>
        </w:tc>
        <w:tc>
          <w:tcPr>
            <w:tcW w:w="1001" w:type="pct"/>
            <w:shd w:val="clear" w:color="000000" w:fill="DDEBF7"/>
          </w:tcPr>
          <w:p w14:paraId="451C5AB3"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 xml:space="preserve"> 100%</w:t>
            </w:r>
          </w:p>
        </w:tc>
      </w:tr>
      <w:tr w:rsidR="002C0DC3" w:rsidRPr="002C0DC3" w14:paraId="6D92A57B" w14:textId="77777777" w:rsidTr="002C0DC3">
        <w:trPr>
          <w:trHeight w:val="261"/>
          <w:jc w:val="center"/>
        </w:trPr>
        <w:tc>
          <w:tcPr>
            <w:tcW w:w="1169" w:type="pct"/>
            <w:vMerge w:val="restart"/>
            <w:shd w:val="clear" w:color="auto" w:fill="auto"/>
            <w:vAlign w:val="center"/>
            <w:hideMark/>
          </w:tcPr>
          <w:p w14:paraId="31A97548"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Plazo trámite de escritos</w:t>
            </w:r>
          </w:p>
        </w:tc>
        <w:tc>
          <w:tcPr>
            <w:tcW w:w="1015" w:type="pct"/>
            <w:gridSpan w:val="2"/>
            <w:shd w:val="clear" w:color="auto" w:fill="auto"/>
            <w:vAlign w:val="center"/>
            <w:hideMark/>
          </w:tcPr>
          <w:p w14:paraId="4D051A5B"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abr-20</w:t>
            </w:r>
          </w:p>
        </w:tc>
        <w:tc>
          <w:tcPr>
            <w:tcW w:w="983" w:type="pct"/>
            <w:shd w:val="clear" w:color="auto" w:fill="auto"/>
            <w:noWrap/>
            <w:vAlign w:val="center"/>
            <w:hideMark/>
          </w:tcPr>
          <w:p w14:paraId="57D0EEAC"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12 meses</w:t>
            </w:r>
          </w:p>
        </w:tc>
        <w:tc>
          <w:tcPr>
            <w:tcW w:w="832" w:type="pct"/>
          </w:tcPr>
          <w:p w14:paraId="05611F9E"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14 meses</w:t>
            </w:r>
          </w:p>
        </w:tc>
        <w:tc>
          <w:tcPr>
            <w:tcW w:w="1001" w:type="pct"/>
          </w:tcPr>
          <w:p w14:paraId="7A06AFC9"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14 meses</w:t>
            </w:r>
          </w:p>
        </w:tc>
      </w:tr>
      <w:tr w:rsidR="002C0DC3" w:rsidRPr="002C0DC3" w14:paraId="603AFC68" w14:textId="77777777" w:rsidTr="002C0DC3">
        <w:trPr>
          <w:trHeight w:val="480"/>
          <w:jc w:val="center"/>
        </w:trPr>
        <w:tc>
          <w:tcPr>
            <w:tcW w:w="1169" w:type="pct"/>
            <w:vMerge/>
            <w:vAlign w:val="center"/>
            <w:hideMark/>
          </w:tcPr>
          <w:p w14:paraId="2DE35C71" w14:textId="77777777" w:rsidR="002C0DC3" w:rsidRPr="002C0DC3" w:rsidRDefault="002C0DC3" w:rsidP="002C0DC3">
            <w:pPr>
              <w:suppressAutoHyphens w:val="0"/>
              <w:jc w:val="both"/>
              <w:rPr>
                <w:rFonts w:eastAsia="Calibri"/>
                <w:b/>
                <w:bCs/>
                <w:lang w:val="es-CR" w:eastAsia="es-CR"/>
              </w:rPr>
            </w:pPr>
          </w:p>
        </w:tc>
        <w:tc>
          <w:tcPr>
            <w:tcW w:w="1015" w:type="pct"/>
            <w:gridSpan w:val="2"/>
            <w:shd w:val="clear" w:color="auto" w:fill="auto"/>
            <w:vAlign w:val="center"/>
            <w:hideMark/>
          </w:tcPr>
          <w:p w14:paraId="065E1F2A"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Parámetro máximo</w:t>
            </w:r>
          </w:p>
        </w:tc>
        <w:tc>
          <w:tcPr>
            <w:tcW w:w="983" w:type="pct"/>
            <w:shd w:val="clear" w:color="auto" w:fill="auto"/>
            <w:noWrap/>
            <w:vAlign w:val="center"/>
            <w:hideMark/>
          </w:tcPr>
          <w:p w14:paraId="63DE4601" w14:textId="77777777" w:rsidR="002C0DC3" w:rsidRPr="002C0DC3" w:rsidRDefault="002C0DC3" w:rsidP="002C0DC3">
            <w:pPr>
              <w:suppressAutoHyphens w:val="0"/>
              <w:jc w:val="both"/>
              <w:rPr>
                <w:rFonts w:eastAsia="Calibri"/>
                <w:lang w:val="es-CR" w:eastAsia="es-CR"/>
              </w:rPr>
            </w:pPr>
          </w:p>
          <w:p w14:paraId="61307398"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6 meses</w:t>
            </w:r>
          </w:p>
        </w:tc>
        <w:tc>
          <w:tcPr>
            <w:tcW w:w="832" w:type="pct"/>
          </w:tcPr>
          <w:p w14:paraId="1ACF8941" w14:textId="77777777" w:rsidR="002C0DC3" w:rsidRPr="002C0DC3" w:rsidRDefault="002C0DC3" w:rsidP="002C0DC3">
            <w:pPr>
              <w:suppressAutoHyphens w:val="0"/>
              <w:jc w:val="both"/>
              <w:rPr>
                <w:rFonts w:eastAsia="Calibri"/>
                <w:lang w:val="es-CR" w:eastAsia="es-CR"/>
              </w:rPr>
            </w:pPr>
          </w:p>
          <w:p w14:paraId="26D13FD5"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6 meses</w:t>
            </w:r>
          </w:p>
        </w:tc>
        <w:tc>
          <w:tcPr>
            <w:tcW w:w="1001" w:type="pct"/>
          </w:tcPr>
          <w:p w14:paraId="448A9137" w14:textId="77777777" w:rsidR="002C0DC3" w:rsidRPr="002C0DC3" w:rsidRDefault="002C0DC3" w:rsidP="002C0DC3">
            <w:pPr>
              <w:suppressAutoHyphens w:val="0"/>
              <w:jc w:val="both"/>
              <w:rPr>
                <w:rFonts w:eastAsia="Calibri"/>
                <w:lang w:val="es-CR" w:eastAsia="es-CR"/>
              </w:rPr>
            </w:pPr>
          </w:p>
          <w:p w14:paraId="12F1C5B9"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6 meses</w:t>
            </w:r>
          </w:p>
        </w:tc>
      </w:tr>
      <w:tr w:rsidR="002C0DC3" w:rsidRPr="002C0DC3" w14:paraId="133E3BCA" w14:textId="77777777" w:rsidTr="002C0DC3">
        <w:trPr>
          <w:trHeight w:val="301"/>
          <w:jc w:val="center"/>
        </w:trPr>
        <w:tc>
          <w:tcPr>
            <w:tcW w:w="1169" w:type="pct"/>
            <w:vMerge/>
            <w:vAlign w:val="center"/>
            <w:hideMark/>
          </w:tcPr>
          <w:p w14:paraId="51F21672" w14:textId="77777777" w:rsidR="002C0DC3" w:rsidRPr="002C0DC3" w:rsidRDefault="002C0DC3" w:rsidP="002C0DC3">
            <w:pPr>
              <w:suppressAutoHyphens w:val="0"/>
              <w:jc w:val="both"/>
              <w:rPr>
                <w:rFonts w:eastAsia="Calibri"/>
                <w:b/>
                <w:bCs/>
                <w:lang w:val="es-CR" w:eastAsia="es-CR"/>
              </w:rPr>
            </w:pPr>
          </w:p>
        </w:tc>
        <w:tc>
          <w:tcPr>
            <w:tcW w:w="1015" w:type="pct"/>
            <w:gridSpan w:val="2"/>
            <w:shd w:val="clear" w:color="auto" w:fill="auto"/>
            <w:vAlign w:val="center"/>
            <w:hideMark/>
          </w:tcPr>
          <w:p w14:paraId="4F53E622"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Exceso</w:t>
            </w:r>
          </w:p>
        </w:tc>
        <w:tc>
          <w:tcPr>
            <w:tcW w:w="983" w:type="pct"/>
            <w:shd w:val="clear" w:color="auto" w:fill="auto"/>
            <w:noWrap/>
            <w:vAlign w:val="center"/>
            <w:hideMark/>
          </w:tcPr>
          <w:p w14:paraId="60B09492"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100%</w:t>
            </w:r>
          </w:p>
        </w:tc>
        <w:tc>
          <w:tcPr>
            <w:tcW w:w="832" w:type="pct"/>
          </w:tcPr>
          <w:p w14:paraId="7140864B"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116%</w:t>
            </w:r>
          </w:p>
        </w:tc>
        <w:tc>
          <w:tcPr>
            <w:tcW w:w="1001" w:type="pct"/>
          </w:tcPr>
          <w:p w14:paraId="536CE29B"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116%</w:t>
            </w:r>
          </w:p>
        </w:tc>
      </w:tr>
    </w:tbl>
    <w:p w14:paraId="558861F0" w14:textId="77777777" w:rsidR="002C0DC3" w:rsidRPr="002C0DC3" w:rsidRDefault="002C0DC3" w:rsidP="002C0DC3">
      <w:pPr>
        <w:suppressAutoHyphens w:val="0"/>
        <w:ind w:left="851" w:right="851" w:firstLine="709"/>
        <w:jc w:val="both"/>
        <w:rPr>
          <w:rFonts w:eastAsia="Calibri"/>
          <w:lang w:val="es-CR" w:eastAsia="es-CR"/>
        </w:rPr>
      </w:pPr>
      <w:r w:rsidRPr="002C0DC3">
        <w:rPr>
          <w:rFonts w:eastAsia="Calibri"/>
          <w:lang w:val="es-CR" w:eastAsia="es-CR"/>
        </w:rPr>
        <w:t>Fuente: Informe seguimiento Modelo de Sostenibilidad Cartago, ref.1216-2020.</w:t>
      </w:r>
    </w:p>
    <w:p w14:paraId="6C221ECF" w14:textId="77777777" w:rsidR="002C0DC3" w:rsidRPr="002C0DC3" w:rsidRDefault="002C0DC3" w:rsidP="002C0DC3">
      <w:pPr>
        <w:suppressAutoHyphens w:val="0"/>
        <w:ind w:left="851" w:right="851" w:firstLine="709"/>
        <w:jc w:val="both"/>
        <w:rPr>
          <w:rFonts w:eastAsia="Calibri"/>
          <w:lang w:val="es-CR" w:eastAsia="en-US"/>
        </w:rPr>
      </w:pPr>
    </w:p>
    <w:p w14:paraId="7404D73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lastRenderedPageBreak/>
        <w:t>Importante mencionar que de acuerdo en lo indicado en el informe de Seguimiento del Modelo de Sostenibilidad (Ref.1216-2020) las áreas de mejora que se detectan responden a los seguimientos y abordajes que se han efectuado a la alta carga laboral que le ingresa de forma ordinaria a este despacho, la cual se imposibilita atender con la capacidad operativa instalada con la que cuenta actualmente ese Juzgado. Es necesario destacar, que este estado se debe principalmente a factores externos ya que el personal es muy constante con el cumplimiento de las cuotas de trabajo establecidas, incluso las sobrepasan en muchos casos.</w:t>
      </w:r>
    </w:p>
    <w:p w14:paraId="78C26306" w14:textId="77777777" w:rsidR="002C0DC3" w:rsidRPr="002C0DC3" w:rsidRDefault="002C0DC3" w:rsidP="002C0DC3">
      <w:pPr>
        <w:suppressAutoHyphens w:val="0"/>
        <w:ind w:left="851" w:right="851" w:firstLine="709"/>
        <w:jc w:val="both"/>
        <w:rPr>
          <w:rFonts w:eastAsia="Calibri"/>
          <w:lang w:val="es-CR" w:eastAsia="en-US"/>
        </w:rPr>
      </w:pPr>
    </w:p>
    <w:p w14:paraId="545DE6F9"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Por otra parte, Juzgado de Cobro del Primer Circuito Judicial de la Zona Atlántica se mantuvo durante los meses de enero, marzo y abril en la categoría “C” con oportunidades de mejora manejables; según las matrices de indicadores proporcionadas por el despacho y los planes remediales, se obtuvo que al finalizar el cuatrimestre los principales indicadores críticos fueron los plazos para resolver demandas nuevas el cual se encontró en 4 días, el plazo para resolver escritos en 5 días, cantidad de remates programados de 40 asuntos y cantidad de anotaciones mensuales de 125; dicho aumento se dio por el alto circulante de presentación de escritos y demandas nuevas; a pesar de ello, prevaleció el buen rendimiento de las personas juzgadoras y del personal técnico del despacho aun siendo uno de los juzgados con mayor carga de trabajo. Para febrero y setiembre pasó a la categoría “B” de bien y de mayo a agosto en categoría E que significa que el despacho está en un estado crítico con rendimiento de personal aceptable.</w:t>
      </w:r>
    </w:p>
    <w:p w14:paraId="3172B9CC" w14:textId="77777777" w:rsidR="002C0DC3" w:rsidRPr="002C0DC3" w:rsidRDefault="002C0DC3" w:rsidP="002C0DC3">
      <w:pPr>
        <w:suppressAutoHyphens w:val="0"/>
        <w:ind w:left="851" w:right="851" w:firstLine="709"/>
        <w:jc w:val="both"/>
        <w:rPr>
          <w:rFonts w:eastAsia="Calibri"/>
          <w:lang w:val="es-CR" w:eastAsia="en-US"/>
        </w:rPr>
      </w:pPr>
    </w:p>
    <w:p w14:paraId="194E8AB3"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Finalmente, para el último trimestre del año, se mantuvo en categoría de excelente lo cual, como se consigna en el informe de seguimiento del circuito (Ref.1220-2020) es producto del esfuerzo del personal titular del despacho, quién durante el período tuvo en promedio un 95% del rendimiento por parte de las personas juzgadoras, y un 94% para las personas técnicas judiciales, así como el apoyo de personas técnicas y persona juzgadora supernumerarias, por cuanto según oficio 889-PLA-EV-TR-2020 del 21 de julio del 2020 y 1853-PLA-EV-TR-2020 del 29 de octubre del 2020 se elaboraron planes de trabajo de forma conjunta entre la Administración Regional del Primer Circuito Judicial de la Zona Atlántica y la Profesional de la Dirección de Planificación destacada en el Circuito, lo que repercutió considerablemente en el mejoramiento de los indicadores del Juzgado.</w:t>
      </w:r>
    </w:p>
    <w:p w14:paraId="752BA25B" w14:textId="77777777" w:rsidR="002C0DC3" w:rsidRPr="002C0DC3" w:rsidRDefault="002C0DC3" w:rsidP="002C0DC3">
      <w:pPr>
        <w:suppressAutoHyphens w:val="0"/>
        <w:ind w:left="851" w:right="851" w:firstLine="709"/>
        <w:jc w:val="both"/>
        <w:rPr>
          <w:rFonts w:eastAsia="Calibri"/>
          <w:lang w:val="es-CR" w:eastAsia="en-US"/>
        </w:rPr>
      </w:pPr>
    </w:p>
    <w:p w14:paraId="26007924" w14:textId="77777777" w:rsidR="002C0DC3" w:rsidRPr="002C0DC3" w:rsidRDefault="002C0DC3" w:rsidP="002C0DC3">
      <w:pPr>
        <w:suppressAutoHyphens w:val="0"/>
        <w:ind w:left="851" w:right="851" w:firstLine="709"/>
        <w:jc w:val="both"/>
        <w:rPr>
          <w:rFonts w:eastAsia="Calibri"/>
          <w:i/>
          <w:iCs/>
          <w:lang w:val="es-CR" w:eastAsia="en-US"/>
        </w:rPr>
      </w:pPr>
      <w:r w:rsidRPr="002C0DC3">
        <w:rPr>
          <w:rFonts w:eastAsia="Calibri"/>
          <w:lang w:val="es-CR" w:eastAsia="en-US"/>
        </w:rPr>
        <w:t xml:space="preserve">Señala además este informe, que un aspecto relevante es que </w:t>
      </w:r>
      <w:r w:rsidRPr="002C0DC3">
        <w:rPr>
          <w:rFonts w:eastAsia="Calibri"/>
          <w:i/>
          <w:iCs/>
          <w:lang w:val="es-CR" w:eastAsia="en-US"/>
        </w:rPr>
        <w:t xml:space="preserve">“…el personal juzgador titular tiene una cuota de trabajo compuesta por 54 firmas diarias y mínimo 4 sentencias mensuales por cada uno; sin embargo, se detectó en las matrices de indicadores que únicamente el Juez 1 en octubre efectuó 1 </w:t>
      </w:r>
      <w:r w:rsidRPr="002C0DC3">
        <w:rPr>
          <w:rFonts w:eastAsia="Calibri"/>
          <w:i/>
          <w:iCs/>
          <w:lang w:val="es-CR" w:eastAsia="en-US"/>
        </w:rPr>
        <w:lastRenderedPageBreak/>
        <w:t>sentencia y para noviembre el Juez 2 realizó 5 sentencias, para diciembre no se dictaron sentencias, por lo que se dio un incumplimiento en cuanto a la cuota de trabajo mínima de 4 sentencias mensuales, caso contrario con la cuota de firmas diarias en dónde se evidencia que sí cumplen con las cuotas de trabajo según los días laborados. Al respecto, en la minuta de reunión de octubre justificaron que no se cumplió con la cuota del dictado de sentencia debido a que se encontraron resolviendo escritos de vieja data y de complejidad, para noviembre y diciembre señalaron que para enero y febrero del 2021 darían seguimiento para cumplir con dicha cuota y en diciembre realizaron un plan remedial.</w:t>
      </w:r>
    </w:p>
    <w:p w14:paraId="7B342C1F" w14:textId="77777777" w:rsidR="002C0DC3" w:rsidRPr="002C0DC3" w:rsidRDefault="002C0DC3" w:rsidP="002C0DC3">
      <w:pPr>
        <w:suppressAutoHyphens w:val="0"/>
        <w:ind w:left="851" w:right="851" w:firstLine="709"/>
        <w:jc w:val="both"/>
        <w:rPr>
          <w:rFonts w:eastAsia="Calibri"/>
          <w:lang w:val="es-CR" w:eastAsia="en-US"/>
        </w:rPr>
      </w:pPr>
    </w:p>
    <w:p w14:paraId="1B8D9D7F" w14:textId="77777777" w:rsidR="002C0DC3" w:rsidRPr="002C0DC3" w:rsidRDefault="002C0DC3" w:rsidP="002C0DC3">
      <w:pPr>
        <w:suppressAutoHyphens w:val="0"/>
        <w:ind w:left="851" w:right="851" w:firstLine="709"/>
        <w:jc w:val="both"/>
        <w:rPr>
          <w:rFonts w:eastAsia="Calibri"/>
          <w:i/>
          <w:iCs/>
          <w:lang w:val="es-CR" w:eastAsia="en-US"/>
        </w:rPr>
      </w:pPr>
      <w:r w:rsidRPr="002C0DC3">
        <w:rPr>
          <w:rFonts w:eastAsia="Calibri"/>
          <w:i/>
          <w:iCs/>
          <w:lang w:val="es-CR" w:eastAsia="en-US"/>
        </w:rPr>
        <w:t>Importante aclarar que en las realimentaciones realizadas al despacho por parte de la Profesional de la Dirección de Planificación, se les ha solicitado dar cumplimiento a dicha cuota y adicionalmente en abril del 2021 fue expuesto ante el Consejo de Administración de dicho Circuito en donde se le recomendó solicitarle al Juzgado Cobro realizar la cuota mínima del dictado de sentencias, aunado que recibieron apoyo en marzo del 2021 con personal juzgador para el fallo de expedientes tanto del Centro de Apoyo como de supernumerario de la Administración; a esos efectos, el Consejo de Administración en el artículo I aprobó la recomendación y solicitó comunicarlo a la oficina involucrada”.</w:t>
      </w:r>
    </w:p>
    <w:p w14:paraId="22DFCAE9" w14:textId="77777777" w:rsidR="002C0DC3" w:rsidRPr="002C0DC3" w:rsidRDefault="002C0DC3" w:rsidP="002C0DC3">
      <w:pPr>
        <w:suppressAutoHyphens w:val="0"/>
        <w:ind w:left="851" w:right="851" w:firstLine="709"/>
        <w:jc w:val="both"/>
        <w:rPr>
          <w:rFonts w:eastAsia="Calibri"/>
          <w:lang w:val="es-CR" w:eastAsia="en-US"/>
        </w:rPr>
      </w:pPr>
    </w:p>
    <w:p w14:paraId="7E7801D7"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cuanto al Juzgado de Cobro del Circuito Judicial de Alajuela, permaneció en categoría “E” a lo largo de todo el año, a excepción de los meses de agosto, setiembre y octubre, en donde se posesiona en la categoría “C” que significa con oportunidades de mejora manejables.</w:t>
      </w:r>
    </w:p>
    <w:p w14:paraId="5CEB93F5" w14:textId="77777777" w:rsidR="002C0DC3" w:rsidRPr="002C0DC3" w:rsidRDefault="002C0DC3" w:rsidP="002C0DC3">
      <w:pPr>
        <w:suppressAutoHyphens w:val="0"/>
        <w:ind w:left="851" w:right="851" w:firstLine="709"/>
        <w:jc w:val="both"/>
        <w:rPr>
          <w:rFonts w:eastAsia="Calibri"/>
          <w:lang w:val="es-CR" w:eastAsia="en-US"/>
        </w:rPr>
      </w:pPr>
    </w:p>
    <w:p w14:paraId="54980BC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El principal problema que enfrenta este despacho es la alta carga de trabajo, la cual hace imposible que con la capacidad instalada con que cuenta actualmente, se pueda mantener al despacho en una mejor categoría que las indicadas.  Sin embargo, durante el 2020 se dio apoyo a este despacho por medio de planes de trabajo que se encuentran algunos de ellos vigentes al 2021, por lo que se muestran en el apartado correspondiente de este informe.</w:t>
      </w:r>
    </w:p>
    <w:p w14:paraId="680888BD" w14:textId="77777777" w:rsidR="002C0DC3" w:rsidRPr="002C0DC3" w:rsidRDefault="002C0DC3" w:rsidP="002C0DC3">
      <w:pPr>
        <w:suppressAutoHyphens w:val="0"/>
        <w:ind w:left="851" w:right="851" w:firstLine="709"/>
        <w:jc w:val="both"/>
        <w:rPr>
          <w:rFonts w:eastAsia="Calibri"/>
          <w:lang w:val="es-CR" w:eastAsia="en-US"/>
        </w:rPr>
      </w:pPr>
    </w:p>
    <w:p w14:paraId="2A72A463" w14:textId="77777777" w:rsidR="002C0DC3" w:rsidRPr="002C0DC3" w:rsidRDefault="002C0DC3" w:rsidP="002C0DC3">
      <w:pPr>
        <w:suppressAutoHyphens w:val="0"/>
        <w:ind w:left="851" w:right="851" w:firstLine="709"/>
        <w:jc w:val="both"/>
        <w:rPr>
          <w:rFonts w:eastAsia="Calibri"/>
          <w:lang w:val="es-CR" w:eastAsia="es-CR"/>
        </w:rPr>
      </w:pPr>
      <w:r w:rsidRPr="002C0DC3">
        <w:rPr>
          <w:rFonts w:eastAsia="Calibri"/>
          <w:lang w:val="es-CR" w:eastAsia="en-US"/>
        </w:rPr>
        <w:t>En relación con el Juzgado de Cobro del II CJ de Alajuela (San Carlos) se desprende del informe de seguimiento del IICJ Alajuela (Ref.1217-2020) durante el primer cuatrimestre del 2020,</w:t>
      </w:r>
      <w:r w:rsidRPr="002C0DC3">
        <w:rPr>
          <w:rFonts w:eastAsia="Calibri"/>
          <w:lang w:val="es-CR" w:eastAsia="zh-CN"/>
        </w:rPr>
        <w:t xml:space="preserve"> “</w:t>
      </w:r>
      <w:r w:rsidRPr="002C0DC3">
        <w:rPr>
          <w:rFonts w:eastAsia="Calibri"/>
          <w:i/>
          <w:iCs/>
          <w:lang w:val="es-CR" w:eastAsia="zh-CN"/>
        </w:rPr>
        <w:t xml:space="preserve">el </w:t>
      </w:r>
      <w:r w:rsidRPr="002C0DC3">
        <w:rPr>
          <w:rFonts w:eastAsia="Calibri"/>
          <w:i/>
          <w:iCs/>
          <w:lang w:val="es-CR" w:eastAsia="es-CR"/>
        </w:rPr>
        <w:t xml:space="preserve">Juzgado de Cobro de San Carlos presenta una categoría D, lo cual refleja un estado crítico para el despacho. Esto puede explicarse en función del aumento en el circulante del 3% de enero a abril, que registró este despacho.  Por otra parte, “el tiempo promedio del proceso es de 1058 días, la antigüedad del circulante es del 2008, la cantidad de sentencias del Juez 2 es de 21 (se están contabilizando resoluciones de caducidad como sentencia), el plazo para resolver demandas nuevas es de 10 meses y el plazo </w:t>
      </w:r>
      <w:r w:rsidRPr="002C0DC3">
        <w:rPr>
          <w:rFonts w:eastAsia="Calibri"/>
          <w:i/>
          <w:iCs/>
          <w:lang w:val="es-CR" w:eastAsia="es-CR"/>
        </w:rPr>
        <w:lastRenderedPageBreak/>
        <w:t>resolver escritos es de 8 meses. Se solicitó a la Comisión Civil por correo electrónico enviado el 19 de febrero de 2020 directriz sobre asuntos que pueden clasificarse como sentencia en cobro, ya que una caducidad es una resolución a dictar por los técnicos, no es sentencia</w:t>
      </w:r>
      <w:r w:rsidRPr="002C0DC3">
        <w:rPr>
          <w:rFonts w:eastAsia="Calibri"/>
          <w:lang w:val="es-CR" w:eastAsia="es-CR"/>
        </w:rPr>
        <w:t xml:space="preserve">”. </w:t>
      </w:r>
    </w:p>
    <w:p w14:paraId="0B1928C2" w14:textId="77777777" w:rsidR="002C0DC3" w:rsidRPr="002C0DC3" w:rsidRDefault="002C0DC3" w:rsidP="002C0DC3">
      <w:pPr>
        <w:suppressAutoHyphens w:val="0"/>
        <w:ind w:left="851" w:right="851" w:firstLine="709"/>
        <w:jc w:val="both"/>
        <w:rPr>
          <w:rFonts w:eastAsia="Calibri"/>
          <w:lang w:val="es-CR" w:eastAsia="en-US"/>
        </w:rPr>
      </w:pPr>
    </w:p>
    <w:p w14:paraId="5F3D5631"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Durante los meses de mayo y agosto, el despacho mantuvo esta categoría, mientras que los meses de junio y julio y de octubre a diciembre, mostró una leve mejoría pasando a la categoría “E”, la cual a pesar de ser también crítica, presenta la diferencia de que al menos el 80% del personal cumple con las cuotas de trabajo establecidas.</w:t>
      </w:r>
    </w:p>
    <w:p w14:paraId="4F208D16" w14:textId="77777777" w:rsidR="002C0DC3" w:rsidRPr="002C0DC3" w:rsidRDefault="002C0DC3" w:rsidP="002C0DC3">
      <w:pPr>
        <w:suppressAutoHyphens w:val="0"/>
        <w:ind w:left="851" w:right="851" w:firstLine="709"/>
        <w:jc w:val="both"/>
        <w:rPr>
          <w:rFonts w:eastAsia="Calibri"/>
          <w:lang w:val="es-CR" w:eastAsia="en-US"/>
        </w:rPr>
      </w:pPr>
    </w:p>
    <w:p w14:paraId="2ED1656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El Juzgado de Cobro del Circuito Judicial de Puntarenas, presentó durante los meses de enero a abril y de noviembre a diciembre una clasificación tipo “E”, la cual indica que el despacho se encuentra en un estado crítico, pero que al menos el 80% del personal del despacho, cumple las cuotas establecidas en los indicadores de gestión. El mayor problema que presenta este despacho para ubicarse en esa categoría es que aunque el despacho ha presentado buenos rendimientos, su carga de trabajo supera su capacidad operativa, por lo que se considera difícil en el corto plazo que se logren reducir plazos y cantidades en los indicadores.</w:t>
      </w:r>
    </w:p>
    <w:p w14:paraId="322CD7AC" w14:textId="77777777" w:rsidR="002C0DC3" w:rsidRPr="002C0DC3" w:rsidRDefault="002C0DC3" w:rsidP="002C0DC3">
      <w:pPr>
        <w:suppressAutoHyphens w:val="0"/>
        <w:ind w:left="851" w:right="851" w:firstLine="709"/>
        <w:jc w:val="both"/>
        <w:rPr>
          <w:rFonts w:eastAsia="Calibri"/>
          <w:lang w:val="es-CR" w:eastAsia="en-US"/>
        </w:rPr>
      </w:pPr>
    </w:p>
    <w:p w14:paraId="7D5AA97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Para los meses de mayo a octubre, presentó un desempeño excelente, posicionándose en la categoría “A”. Es importante resaltar, que, al iniciar con este Modelo en el Circuito de Puntarenas, el Juzgado de Cobro, se encontraba en categoría “E”, sin embargo, gracias a los esfuerzos realizados por el despacho, así como los planes de trabajo propuestos por la Dirección de Planificación, en colaboración con el personal supernumerario de la Administración Regional, este despacho pasó a categoría “A”.</w:t>
      </w:r>
    </w:p>
    <w:p w14:paraId="1A250F9B" w14:textId="77777777" w:rsidR="002C0DC3" w:rsidRPr="002C0DC3" w:rsidRDefault="002C0DC3" w:rsidP="002C0DC3">
      <w:pPr>
        <w:suppressAutoHyphens w:val="0"/>
        <w:ind w:left="851" w:right="851" w:firstLine="709"/>
        <w:jc w:val="both"/>
        <w:rPr>
          <w:rFonts w:eastAsia="Calibri"/>
          <w:lang w:val="es-CR" w:eastAsia="en-US"/>
        </w:rPr>
      </w:pPr>
    </w:p>
    <w:p w14:paraId="1AD47611"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Finalmente, el Juzgado de Cobro de Heredia presentó de febrero a diciembre 2020 una clasificación “E” lo cual indica que al igual que varios de sus homólogos que se encontraron en esa categoría durante algunos meses del 2020, el despacho se encuentra en un estado crítico, pero a diferencia de la Categoría “D” que también es crítico, en este caso al menos el 80% del personal del juzgado cumple con las cuotas de trabajo establecidas.</w:t>
      </w:r>
    </w:p>
    <w:p w14:paraId="63C22BF6" w14:textId="77777777" w:rsidR="002C0DC3" w:rsidRPr="002C0DC3" w:rsidRDefault="002C0DC3" w:rsidP="002C0DC3">
      <w:pPr>
        <w:suppressAutoHyphens w:val="0"/>
        <w:ind w:left="851" w:right="851" w:firstLine="709"/>
        <w:jc w:val="both"/>
        <w:rPr>
          <w:rFonts w:eastAsia="Calibri"/>
          <w:lang w:val="es-CR" w:eastAsia="en-US"/>
        </w:rPr>
      </w:pPr>
    </w:p>
    <w:p w14:paraId="2B1D68A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Obsérvese que únicamente en el mes de enero se mantuvo en categoría “C”; es decir, con oportunidades de mejora manejables; sin embargo, este despacho al igual que la mayoría de los despachos de cobro del país, tiene cargas de trabajo que sobrepasan su capacidad instalada, por lo que se constituye en un </w:t>
      </w:r>
      <w:r w:rsidRPr="002C0DC3">
        <w:rPr>
          <w:rFonts w:eastAsia="Calibri"/>
          <w:lang w:val="es-CR" w:eastAsia="en-US"/>
        </w:rPr>
        <w:lastRenderedPageBreak/>
        <w:t>despacho idóneo para ser apoyado mediante los planes de trabajo que se realizan en el circuito.</w:t>
      </w:r>
    </w:p>
    <w:p w14:paraId="2244211D" w14:textId="77777777" w:rsidR="002C0DC3" w:rsidRPr="002C0DC3" w:rsidRDefault="002C0DC3" w:rsidP="002C0DC3">
      <w:pPr>
        <w:suppressAutoHyphens w:val="0"/>
        <w:ind w:left="851" w:right="851" w:firstLine="709"/>
        <w:jc w:val="both"/>
        <w:rPr>
          <w:rFonts w:eastAsia="Calibri"/>
          <w:lang w:val="es-CR" w:eastAsia="en-US"/>
        </w:rPr>
      </w:pPr>
    </w:p>
    <w:p w14:paraId="2AB71E98" w14:textId="77777777" w:rsidR="002C0DC3" w:rsidRPr="002C0DC3" w:rsidRDefault="002C0DC3" w:rsidP="002C0DC3">
      <w:pPr>
        <w:suppressAutoHyphens w:val="0"/>
        <w:autoSpaceDE w:val="0"/>
        <w:autoSpaceDN w:val="0"/>
        <w:adjustRightInd w:val="0"/>
        <w:ind w:left="851" w:right="851" w:firstLine="709"/>
        <w:jc w:val="both"/>
        <w:rPr>
          <w:rFonts w:eastAsia="Calibri"/>
          <w:i/>
          <w:iCs/>
          <w:lang w:val="es-CR" w:eastAsia="es-CR"/>
        </w:rPr>
      </w:pPr>
      <w:r w:rsidRPr="002C0DC3">
        <w:rPr>
          <w:rFonts w:eastAsia="Calibri"/>
          <w:lang w:val="es-CR" w:eastAsia="es-CR"/>
        </w:rPr>
        <w:t xml:space="preserve">Se indica en el informe de seguimiento al Modelo de Sostenibilidad para el Circuito Judicial de Heredia (Ref.1122-2021) que para el último trimestre 2020 </w:t>
      </w:r>
      <w:r w:rsidRPr="002C0DC3">
        <w:rPr>
          <w:rFonts w:eastAsia="Calibri"/>
          <w:i/>
          <w:iCs/>
          <w:lang w:val="es-CR" w:eastAsia="es-CR"/>
        </w:rPr>
        <w:t>“El Juzgado especializado de Cobro, en el indicador de plazo de resolución de demandas aumentó de forma negativa pasando para los dos primeros meses de 6.4 meses a 7.2 meses para el cuarto trimestre del 2020, es decir que se dio un aumento de un 11% en el tiempo de resolución. Lo anterior va en relación con la cantidad de asuntos que de igual forma ingresaron pues para esos mismos periodos se registró un promedio de entrada de 2053 asuntos mensuales y 2078, es decir existió un aumento de un 1.2%. El plazo para resolver escritos para los meses de enero y febrero del 2020 promedio 9.2 meses y para el cuarto trimestre del 2020 se registró en 8.04, traducido a una reducción de un 14% en dicho indicador. El rendimiento de los jueces paso de un 114% a un 123% respectivamente, ambos rendimientos sumamente resaltables y el de las personas técnicos judiciales se registró en un 99.57% y un 101.45% respectivamente”.</w:t>
      </w:r>
    </w:p>
    <w:p w14:paraId="4E1D6484" w14:textId="77777777" w:rsidR="002C0DC3" w:rsidRPr="002C0DC3" w:rsidRDefault="002C0DC3" w:rsidP="002C0DC3">
      <w:pPr>
        <w:suppressAutoHyphens w:val="0"/>
        <w:ind w:left="851" w:right="851" w:firstLine="709"/>
        <w:jc w:val="both"/>
        <w:rPr>
          <w:rFonts w:eastAsia="Calibri"/>
          <w:lang w:val="es-CR" w:eastAsia="en-US"/>
        </w:rPr>
      </w:pPr>
    </w:p>
    <w:p w14:paraId="58A5F7BD" w14:textId="77777777" w:rsidR="002C0DC3" w:rsidRPr="002C0DC3" w:rsidRDefault="002C0DC3" w:rsidP="002C0DC3">
      <w:pPr>
        <w:keepNext/>
        <w:keepLines/>
        <w:numPr>
          <w:ilvl w:val="1"/>
          <w:numId w:val="0"/>
        </w:numPr>
        <w:suppressAutoHyphens w:val="0"/>
        <w:ind w:left="851" w:right="851" w:firstLine="709"/>
        <w:jc w:val="both"/>
        <w:rPr>
          <w:b/>
          <w:lang w:val="es-CR" w:eastAsia="es-CR"/>
        </w:rPr>
      </w:pPr>
      <w:bookmarkStart w:id="41" w:name="_Toc76646231"/>
      <w:bookmarkStart w:id="42" w:name="_Toc78467036"/>
      <w:r w:rsidRPr="002C0DC3">
        <w:rPr>
          <w:b/>
          <w:lang w:val="es-CR" w:eastAsia="es-CR"/>
        </w:rPr>
        <w:t>Planes de trabajo realizados durante el 2020</w:t>
      </w:r>
      <w:bookmarkEnd w:id="41"/>
      <w:bookmarkEnd w:id="42"/>
      <w:r w:rsidRPr="002C0DC3">
        <w:rPr>
          <w:b/>
          <w:lang w:val="es-CR" w:eastAsia="es-CR"/>
        </w:rPr>
        <w:t xml:space="preserve"> </w:t>
      </w:r>
    </w:p>
    <w:p w14:paraId="721DFB0D" w14:textId="77777777" w:rsidR="002C0DC3" w:rsidRPr="002C0DC3" w:rsidRDefault="002C0DC3" w:rsidP="002C0DC3">
      <w:pPr>
        <w:suppressAutoHyphens w:val="0"/>
        <w:ind w:left="851" w:right="851" w:firstLine="709"/>
        <w:jc w:val="both"/>
        <w:rPr>
          <w:rFonts w:eastAsia="Calibri"/>
          <w:lang w:val="es-CR" w:eastAsia="en-US"/>
        </w:rPr>
      </w:pPr>
    </w:p>
    <w:p w14:paraId="0335296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 este apartado se contemplan, los planes de trabajo realizados durante el 2020 en los Juzgados de Cobro donde se encuentra implementado el Modelo de Sostenibilidad. </w:t>
      </w:r>
    </w:p>
    <w:p w14:paraId="2982C5EA" w14:textId="77777777" w:rsidR="002C0DC3" w:rsidRPr="002C0DC3" w:rsidRDefault="002C0DC3" w:rsidP="002C0DC3">
      <w:pPr>
        <w:suppressAutoHyphens w:val="0"/>
        <w:ind w:left="851" w:right="851" w:firstLine="709"/>
        <w:jc w:val="both"/>
        <w:rPr>
          <w:rFonts w:eastAsia="Calibri"/>
          <w:lang w:val="es-CR" w:eastAsia="en-US"/>
        </w:rPr>
      </w:pPr>
    </w:p>
    <w:p w14:paraId="18EF65E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Dentro de las ventajas adquiridas como parte de este modelo, se encuentran la cooperación por parte del Profesional de la Dirección de Planificación en formular e implantar planes de mejora generados a partir de las reuniones de los Equipos de Mejora de Procesos de los Despachos. Además, este profesional coadyuva con las administraciones regionales en la formulación de posibles planes de trabajo del recurso humano supernumerario tomando como base el comportamiento de los indicadores de gestión e informa al Consejo de Administración sobre el estado de los despachos, el avance de los planes de trabajo y su resultado final.</w:t>
      </w:r>
    </w:p>
    <w:p w14:paraId="3324E267" w14:textId="77777777" w:rsidR="002C0DC3" w:rsidRPr="002C0DC3" w:rsidRDefault="002C0DC3" w:rsidP="002C0DC3">
      <w:pPr>
        <w:suppressAutoHyphens w:val="0"/>
        <w:ind w:left="851" w:right="851" w:firstLine="709"/>
        <w:jc w:val="both"/>
        <w:rPr>
          <w:rFonts w:eastAsia="Calibri"/>
          <w:lang w:val="es-CR" w:eastAsia="en-US"/>
        </w:rPr>
      </w:pPr>
    </w:p>
    <w:p w14:paraId="290E4596" w14:textId="77777777" w:rsidR="002C0DC3" w:rsidRPr="002C0DC3" w:rsidRDefault="002C0DC3" w:rsidP="002C0DC3">
      <w:pPr>
        <w:keepNext/>
        <w:keepLines/>
        <w:numPr>
          <w:ilvl w:val="2"/>
          <w:numId w:val="0"/>
        </w:numPr>
        <w:suppressAutoHyphens w:val="0"/>
        <w:ind w:left="851" w:right="851" w:firstLine="709"/>
        <w:jc w:val="both"/>
        <w:rPr>
          <w:b/>
          <w:bCs/>
          <w:lang w:eastAsia="es-CR"/>
        </w:rPr>
      </w:pPr>
      <w:bookmarkStart w:id="43" w:name="_Toc78467037"/>
      <w:r w:rsidRPr="002C0DC3">
        <w:rPr>
          <w:b/>
          <w:bCs/>
          <w:lang w:eastAsia="es-CR"/>
        </w:rPr>
        <w:t>Primer Circuito Judicial de Guanacaste:</w:t>
      </w:r>
      <w:bookmarkEnd w:id="43"/>
    </w:p>
    <w:p w14:paraId="23905FDD" w14:textId="77777777" w:rsidR="002C0DC3" w:rsidRPr="002C0DC3" w:rsidRDefault="002C0DC3" w:rsidP="002C0DC3">
      <w:pPr>
        <w:suppressAutoHyphens w:val="0"/>
        <w:ind w:left="851" w:right="851" w:firstLine="709"/>
        <w:jc w:val="both"/>
        <w:rPr>
          <w:rFonts w:eastAsia="Calibri"/>
          <w:lang w:val="es-CR" w:eastAsia="en-US"/>
        </w:rPr>
      </w:pPr>
    </w:p>
    <w:p w14:paraId="74BA68F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 el Primer Circuito Judicial de Guanacaste los planes de trabajo propuestos por la Dirección de Planificación se han realizado en conjunto con el Juzgado de Cobro durante el último trimestre 2020 mediante el acompañamiento en las reuniones de los Equipos de Mejora de manera mensual. Este </w:t>
      </w:r>
      <w:r w:rsidRPr="002C0DC3">
        <w:rPr>
          <w:rFonts w:eastAsia="Calibri"/>
          <w:lang w:val="es-CR" w:eastAsia="en-US"/>
        </w:rPr>
        <w:lastRenderedPageBreak/>
        <w:t>acompañamiento en conjunto con la Administración Regional ha permitido pasar de categoría “E” a categoría “C.”</w:t>
      </w:r>
    </w:p>
    <w:p w14:paraId="2E5AAB9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 </w:t>
      </w:r>
    </w:p>
    <w:p w14:paraId="6775BF75"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2020, se brindó apoyo para el mes de junio al Juzgado de Cobro del Primer Circuito Judicial de Guanacaste, donde fue implementado un plan de descongestionamiento en coordinación con el Centro de Apoyo y Mejoramiento de la Función Jurisdiccional a petitoria de la Dirección de Planificación por medio de la plaza destacada en este circuito. Este plan fue establecido por un periodo de 3 meses iniciando a partir del primero de junio hasta el 31 de agosto del 2020, sin embargo, fue ampliado un mes, finalizando el 31 de setiembre del 2020. El detalle de cuotas y personal a cargo del plan de descongestionamiento se muestra a continuación:</w:t>
      </w:r>
    </w:p>
    <w:p w14:paraId="2B3ED228" w14:textId="77777777" w:rsidR="002C0DC3" w:rsidRPr="002C0DC3" w:rsidRDefault="002C0DC3" w:rsidP="002C0DC3">
      <w:pPr>
        <w:suppressAutoHyphens w:val="0"/>
        <w:jc w:val="both"/>
        <w:rPr>
          <w:rFonts w:eastAsia="Calibri"/>
          <w:lang w:val="es-CR" w:eastAsia="en-US"/>
        </w:rPr>
      </w:pPr>
    </w:p>
    <w:p w14:paraId="24111C87" w14:textId="77777777" w:rsidR="002C0DC3" w:rsidRPr="002C0DC3" w:rsidRDefault="002C0DC3" w:rsidP="002C0DC3">
      <w:pPr>
        <w:suppressAutoHyphens w:val="0"/>
        <w:contextualSpacing/>
        <w:jc w:val="center"/>
        <w:rPr>
          <w:rFonts w:eastAsia="Calibri"/>
          <w:lang w:val="es-CR" w:eastAsia="zh-CN"/>
        </w:rPr>
      </w:pPr>
      <w:r w:rsidRPr="002C0DC3">
        <w:rPr>
          <w:rFonts w:eastAsia="Calibri"/>
          <w:lang w:val="es-CR" w:eastAsia="zh-CN"/>
        </w:rPr>
        <w:object w:dxaOrig="1376" w:dyaOrig="893" w14:anchorId="0822585F">
          <v:shape id="_x0000_i1027" type="#_x0000_t75" style="width:69.5pt;height:45pt" o:ole="">
            <v:imagedata r:id="rId20" o:title=""/>
          </v:shape>
          <o:OLEObject Type="Embed" ProgID="Package" ShapeID="_x0000_i1027" DrawAspect="Icon" ObjectID="_1697525868" r:id="rId21"/>
        </w:object>
      </w:r>
    </w:p>
    <w:p w14:paraId="3F803245" w14:textId="77777777" w:rsidR="002C0DC3" w:rsidRPr="002C0DC3" w:rsidRDefault="002C0DC3" w:rsidP="002C0DC3">
      <w:pPr>
        <w:suppressAutoHyphens w:val="0"/>
        <w:jc w:val="both"/>
        <w:rPr>
          <w:rFonts w:eastAsia="Calibri"/>
          <w:lang w:val="es-CR" w:eastAsia="en-US"/>
        </w:rPr>
      </w:pPr>
    </w:p>
    <w:p w14:paraId="341568F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Se tiene como principal logró la disminución de las demandas nuevas de 8 a 4 meses y escritos nuevos de 9 a 5 meses en el Juzgado de Cobro de este circuito.</w:t>
      </w:r>
    </w:p>
    <w:p w14:paraId="3469AFA4" w14:textId="77777777" w:rsidR="002C0DC3" w:rsidRPr="002C0DC3" w:rsidRDefault="002C0DC3" w:rsidP="002C0DC3">
      <w:pPr>
        <w:suppressAutoHyphens w:val="0"/>
        <w:ind w:left="851" w:right="851" w:firstLine="709"/>
        <w:jc w:val="both"/>
        <w:rPr>
          <w:rFonts w:eastAsia="Calibri"/>
          <w:lang w:val="es-CR" w:eastAsia="en-US"/>
        </w:rPr>
      </w:pPr>
    </w:p>
    <w:p w14:paraId="5583F879"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Se pasa de tener en Enero 83% de las oficinas en estado crítico a 7% en septiembre y de 17% en estado comprometidas a 71% y 0% con oportunidades de mejora manejables a 21% en el mismo periodo, el 75% de las oficinas que integran el circuito están bajo el Modelo de Sostenibilidad, producto del acompañamiento en los despachos dentro de las reuniones que efectúan los diferentes Equipos de Mejora de manera mensual se ha logrado que en las 14 oficinas que integran el Circuito, se tenga una mejor compresión en el establecimiento y desarrollo de planes de trabajo que permitan su mejora continua. </w:t>
      </w:r>
    </w:p>
    <w:p w14:paraId="2C75077A" w14:textId="77777777" w:rsidR="002C0DC3" w:rsidRPr="002C0DC3" w:rsidRDefault="002C0DC3" w:rsidP="002C0DC3">
      <w:pPr>
        <w:suppressAutoHyphens w:val="0"/>
        <w:ind w:left="851" w:right="851" w:firstLine="709"/>
        <w:jc w:val="both"/>
        <w:rPr>
          <w:rFonts w:eastAsia="Calibri"/>
          <w:lang w:val="es-CR" w:eastAsia="en-US"/>
        </w:rPr>
      </w:pPr>
    </w:p>
    <w:p w14:paraId="20ACA033" w14:textId="77777777" w:rsidR="002C0DC3" w:rsidRPr="002C0DC3" w:rsidRDefault="002C0DC3" w:rsidP="002C0DC3">
      <w:pPr>
        <w:keepNext/>
        <w:keepLines/>
        <w:numPr>
          <w:ilvl w:val="2"/>
          <w:numId w:val="0"/>
        </w:numPr>
        <w:suppressAutoHyphens w:val="0"/>
        <w:ind w:left="851" w:right="851" w:firstLine="709"/>
        <w:jc w:val="both"/>
        <w:rPr>
          <w:b/>
          <w:lang w:eastAsia="es-CR"/>
        </w:rPr>
      </w:pPr>
      <w:bookmarkStart w:id="44" w:name="_Toc78467038"/>
      <w:r w:rsidRPr="002C0DC3">
        <w:rPr>
          <w:b/>
          <w:lang w:eastAsia="es-CR"/>
        </w:rPr>
        <w:t>Circuito Judicial de Cartago:</w:t>
      </w:r>
      <w:bookmarkEnd w:id="44"/>
    </w:p>
    <w:p w14:paraId="198A85F1" w14:textId="77777777" w:rsidR="002C0DC3" w:rsidRPr="002C0DC3" w:rsidRDefault="002C0DC3" w:rsidP="002C0DC3">
      <w:pPr>
        <w:suppressAutoHyphens w:val="0"/>
        <w:ind w:left="851" w:right="851" w:firstLine="709"/>
        <w:jc w:val="both"/>
        <w:rPr>
          <w:rFonts w:eastAsia="Calibri"/>
          <w:lang w:val="es-CR" w:eastAsia="en-US"/>
        </w:rPr>
      </w:pPr>
    </w:p>
    <w:p w14:paraId="724137FA"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Durante el 2020, se desarrollaron en este circuito los siguientes planes de trabajo:</w:t>
      </w:r>
    </w:p>
    <w:p w14:paraId="4B0D7252" w14:textId="77777777" w:rsidR="002C0DC3" w:rsidRPr="002C0DC3" w:rsidRDefault="002C0DC3" w:rsidP="002C0DC3">
      <w:pPr>
        <w:suppressAutoHyphens w:val="0"/>
        <w:ind w:left="851" w:right="851" w:firstLine="709"/>
        <w:jc w:val="both"/>
        <w:rPr>
          <w:rFonts w:eastAsia="Calibri"/>
          <w:lang w:val="es-CR" w:eastAsia="en-US"/>
        </w:rPr>
      </w:pPr>
    </w:p>
    <w:p w14:paraId="5DE7A168" w14:textId="77777777" w:rsidR="002C0DC3" w:rsidRPr="002C0DC3" w:rsidRDefault="002C0DC3" w:rsidP="002C0DC3">
      <w:pPr>
        <w:tabs>
          <w:tab w:val="left" w:pos="1283"/>
        </w:tabs>
        <w:suppressAutoHyphens w:val="0"/>
        <w:ind w:left="851" w:right="851" w:firstLine="709"/>
        <w:jc w:val="center"/>
        <w:rPr>
          <w:rFonts w:eastAsia="Calibri"/>
          <w:b/>
          <w:bCs/>
          <w:lang w:val="es-CR" w:eastAsia="zh-CN"/>
        </w:rPr>
      </w:pPr>
      <w:r w:rsidRPr="002C0DC3">
        <w:rPr>
          <w:rFonts w:eastAsia="Calibri"/>
          <w:b/>
          <w:bCs/>
          <w:lang w:val="es-CR" w:eastAsia="zh-CN"/>
        </w:rPr>
        <w:t>De enero a abril 2020</w:t>
      </w:r>
    </w:p>
    <w:p w14:paraId="1A280905" w14:textId="77777777" w:rsidR="002C0DC3" w:rsidRPr="002C0DC3" w:rsidRDefault="002C0DC3" w:rsidP="002C0DC3">
      <w:pPr>
        <w:tabs>
          <w:tab w:val="left" w:pos="1283"/>
        </w:tabs>
        <w:suppressAutoHyphens w:val="0"/>
        <w:jc w:val="center"/>
        <w:rPr>
          <w:rFonts w:eastAsia="Calibri"/>
          <w:b/>
          <w:bCs/>
          <w:lang w:val="es-CR" w:eastAsia="zh-CN"/>
        </w:rPr>
      </w:pPr>
    </w:p>
    <w:tbl>
      <w:tblPr>
        <w:tblStyle w:val="Tablaconcuadrcula12"/>
        <w:tblW w:w="5000" w:type="pct"/>
        <w:tblLook w:val="04A0" w:firstRow="1" w:lastRow="0" w:firstColumn="1" w:lastColumn="0" w:noHBand="0" w:noVBand="1"/>
      </w:tblPr>
      <w:tblGrid>
        <w:gridCol w:w="1377"/>
        <w:gridCol w:w="2131"/>
        <w:gridCol w:w="1293"/>
        <w:gridCol w:w="1193"/>
        <w:gridCol w:w="1563"/>
        <w:gridCol w:w="1838"/>
      </w:tblGrid>
      <w:tr w:rsidR="002C0DC3" w:rsidRPr="00B31AC4" w14:paraId="37F0A94E" w14:textId="77777777" w:rsidTr="002C0DC3">
        <w:trPr>
          <w:trHeight w:val="243"/>
          <w:tblHeader/>
        </w:trPr>
        <w:tc>
          <w:tcPr>
            <w:tcW w:w="733" w:type="pct"/>
            <w:vAlign w:val="center"/>
          </w:tcPr>
          <w:p w14:paraId="0CEED06C"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lastRenderedPageBreak/>
              <w:t>Despacho</w:t>
            </w:r>
          </w:p>
        </w:tc>
        <w:tc>
          <w:tcPr>
            <w:tcW w:w="1134" w:type="pct"/>
            <w:vAlign w:val="center"/>
          </w:tcPr>
          <w:p w14:paraId="40BE7D46"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Detalle del Plan</w:t>
            </w:r>
          </w:p>
        </w:tc>
        <w:tc>
          <w:tcPr>
            <w:tcW w:w="688" w:type="pct"/>
            <w:vAlign w:val="center"/>
          </w:tcPr>
          <w:p w14:paraId="66D8CF8D"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Fecha inicio</w:t>
            </w:r>
          </w:p>
        </w:tc>
        <w:tc>
          <w:tcPr>
            <w:tcW w:w="635" w:type="pct"/>
            <w:vAlign w:val="center"/>
          </w:tcPr>
          <w:p w14:paraId="269F4E5C"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Fecha fin</w:t>
            </w:r>
          </w:p>
        </w:tc>
        <w:tc>
          <w:tcPr>
            <w:tcW w:w="832" w:type="pct"/>
            <w:vAlign w:val="center"/>
          </w:tcPr>
          <w:p w14:paraId="488DD5BF"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Responsable</w:t>
            </w:r>
          </w:p>
        </w:tc>
        <w:tc>
          <w:tcPr>
            <w:tcW w:w="978" w:type="pct"/>
            <w:vAlign w:val="center"/>
          </w:tcPr>
          <w:p w14:paraId="044DCE51"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Resultado</w:t>
            </w:r>
          </w:p>
        </w:tc>
      </w:tr>
      <w:tr w:rsidR="002C0DC3" w:rsidRPr="00B31AC4" w14:paraId="32313348" w14:textId="77777777" w:rsidTr="002C0DC3">
        <w:trPr>
          <w:trHeight w:val="5391"/>
          <w:tblHeader/>
        </w:trPr>
        <w:tc>
          <w:tcPr>
            <w:tcW w:w="733" w:type="pct"/>
            <w:vAlign w:val="center"/>
          </w:tcPr>
          <w:p w14:paraId="269BF1CD" w14:textId="77777777" w:rsidR="002C0DC3" w:rsidRPr="00B31AC4" w:rsidRDefault="002C0DC3" w:rsidP="002C0DC3">
            <w:pPr>
              <w:widowControl w:val="0"/>
              <w:suppressAutoHyphens w:val="0"/>
              <w:rPr>
                <w:rFonts w:ascii="Times New Roman" w:hAnsi="Times New Roman"/>
                <w:i/>
                <w:iCs/>
                <w:sz w:val="22"/>
                <w:szCs w:val="22"/>
                <w:lang w:val="es-ES" w:eastAsia="zh-CN"/>
              </w:rPr>
            </w:pPr>
            <w:r w:rsidRPr="00B31AC4">
              <w:rPr>
                <w:rFonts w:ascii="Times New Roman" w:hAnsi="Times New Roman"/>
                <w:i/>
                <w:iCs/>
                <w:sz w:val="22"/>
                <w:szCs w:val="22"/>
                <w:lang w:val="es-ES" w:eastAsia="zh-CN"/>
              </w:rPr>
              <w:t>Juzgado de Cobro de Cartago</w:t>
            </w:r>
          </w:p>
        </w:tc>
        <w:tc>
          <w:tcPr>
            <w:tcW w:w="1134" w:type="pct"/>
            <w:vAlign w:val="center"/>
          </w:tcPr>
          <w:p w14:paraId="4797FE7E"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Se diseñan y proponen planes de trabajo semanales para las personas técnicas judiciales de trámite y personas juzgadoras de trámite, basados en el estado al momento de cada trámite pendiente, como: curso a asuntos nuevos, resolución de escritos, aprobación de liquidaciones, aprobaciones de remates, expedientes en espera de cumplimiento de prevención, entre otros. Los planes son integrales con el fin de equilibrar los plazos de todos los asuntos pendientes.</w:t>
            </w:r>
          </w:p>
          <w:p w14:paraId="2D0B0A61"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i/>
                <w:iCs/>
                <w:sz w:val="22"/>
                <w:szCs w:val="22"/>
                <w:lang w:val="es-ES" w:eastAsia="zh-CN"/>
              </w:rPr>
              <w:t>En el primer cuatrimestre 2020 se han propuesto 14 planes de este tipo (uno cada semana).</w:t>
            </w:r>
          </w:p>
        </w:tc>
        <w:tc>
          <w:tcPr>
            <w:tcW w:w="688" w:type="pct"/>
            <w:vAlign w:val="center"/>
          </w:tcPr>
          <w:p w14:paraId="1B9A0694"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Enero 2020</w:t>
            </w:r>
          </w:p>
        </w:tc>
        <w:tc>
          <w:tcPr>
            <w:tcW w:w="635" w:type="pct"/>
            <w:vAlign w:val="center"/>
          </w:tcPr>
          <w:p w14:paraId="7EFB1F59"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Abril 2020</w:t>
            </w:r>
          </w:p>
        </w:tc>
        <w:tc>
          <w:tcPr>
            <w:tcW w:w="832" w:type="pct"/>
            <w:vAlign w:val="center"/>
          </w:tcPr>
          <w:p w14:paraId="02EE9365"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Personal del Juzgado.</w:t>
            </w:r>
          </w:p>
        </w:tc>
        <w:tc>
          <w:tcPr>
            <w:tcW w:w="978" w:type="pct"/>
            <w:vAlign w:val="center"/>
          </w:tcPr>
          <w:p w14:paraId="15993920"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 xml:space="preserve">Desde que se inició con los planes de trabajo en setiembre 2019 a abril 2020, el plazo de espera para resolver asuntos nuevos pasó de 15 meses a 8 meses y el plazo para tramitar escritos pasó de 15 meses a 10 meses. </w:t>
            </w:r>
          </w:p>
        </w:tc>
      </w:tr>
    </w:tbl>
    <w:p w14:paraId="2489138B" w14:textId="77777777" w:rsidR="002C0DC3" w:rsidRPr="00B31AC4" w:rsidRDefault="002C0DC3" w:rsidP="002C0DC3">
      <w:pPr>
        <w:suppressAutoHyphens w:val="0"/>
        <w:jc w:val="both"/>
        <w:rPr>
          <w:rFonts w:eastAsia="Calibri"/>
          <w:sz w:val="22"/>
          <w:szCs w:val="22"/>
          <w:lang w:val="es-CR" w:eastAsia="en-US"/>
        </w:rPr>
      </w:pPr>
    </w:p>
    <w:p w14:paraId="39BF92CA" w14:textId="77777777" w:rsidR="002C0DC3" w:rsidRPr="00B31AC4" w:rsidRDefault="002C0DC3" w:rsidP="002C0DC3">
      <w:pPr>
        <w:suppressAutoHyphens w:val="0"/>
        <w:jc w:val="both"/>
        <w:rPr>
          <w:rFonts w:eastAsia="Calibri"/>
          <w:sz w:val="22"/>
          <w:szCs w:val="22"/>
          <w:lang w:val="es-CR" w:eastAsia="en-US"/>
        </w:rPr>
      </w:pPr>
    </w:p>
    <w:p w14:paraId="056F1A51" w14:textId="77777777" w:rsidR="002C0DC3" w:rsidRPr="00B31AC4" w:rsidRDefault="002C0DC3" w:rsidP="002C0DC3">
      <w:pPr>
        <w:suppressAutoHyphens w:val="0"/>
        <w:jc w:val="both"/>
        <w:rPr>
          <w:rFonts w:eastAsia="Calibri"/>
          <w:sz w:val="22"/>
          <w:szCs w:val="22"/>
          <w:lang w:val="es-CR" w:eastAsia="en-US"/>
        </w:rPr>
      </w:pPr>
    </w:p>
    <w:p w14:paraId="12513B1E" w14:textId="77777777" w:rsidR="002C0DC3" w:rsidRPr="00B31AC4" w:rsidRDefault="002C0DC3" w:rsidP="002C0DC3">
      <w:pPr>
        <w:suppressAutoHyphens w:val="0"/>
        <w:ind w:left="720"/>
        <w:contextualSpacing/>
        <w:jc w:val="both"/>
        <w:rPr>
          <w:rFonts w:eastAsia="Calibri"/>
          <w:b/>
          <w:bCs/>
          <w:sz w:val="22"/>
          <w:szCs w:val="22"/>
          <w:lang w:val="es-CR" w:eastAsia="zh-CN"/>
        </w:rPr>
      </w:pPr>
      <w:r w:rsidRPr="00B31AC4">
        <w:rPr>
          <w:rFonts w:eastAsia="Calibri"/>
          <w:b/>
          <w:bCs/>
          <w:sz w:val="22"/>
          <w:szCs w:val="22"/>
          <w:lang w:val="es-CR" w:eastAsia="zh-CN"/>
        </w:rPr>
        <w:t xml:space="preserve">                                          De mayo a setiembre 2020</w:t>
      </w:r>
    </w:p>
    <w:p w14:paraId="5155AF63" w14:textId="77777777" w:rsidR="002C0DC3" w:rsidRPr="00B31AC4" w:rsidRDefault="002C0DC3" w:rsidP="002C0DC3">
      <w:pPr>
        <w:suppressAutoHyphens w:val="0"/>
        <w:ind w:left="720"/>
        <w:contextualSpacing/>
        <w:jc w:val="center"/>
        <w:rPr>
          <w:rFonts w:eastAsia="Calibri"/>
          <w:sz w:val="22"/>
          <w:szCs w:val="22"/>
          <w:lang w:val="es-CR" w:eastAsia="zh-CN"/>
        </w:rPr>
      </w:pPr>
    </w:p>
    <w:tbl>
      <w:tblPr>
        <w:tblStyle w:val="Tablaconcuadrcula12"/>
        <w:tblW w:w="5000" w:type="pct"/>
        <w:tblLook w:val="04A0" w:firstRow="1" w:lastRow="0" w:firstColumn="1" w:lastColumn="0" w:noHBand="0" w:noVBand="1"/>
      </w:tblPr>
      <w:tblGrid>
        <w:gridCol w:w="1756"/>
        <w:gridCol w:w="1755"/>
        <w:gridCol w:w="1377"/>
        <w:gridCol w:w="1127"/>
        <w:gridCol w:w="1503"/>
        <w:gridCol w:w="1877"/>
      </w:tblGrid>
      <w:tr w:rsidR="002C0DC3" w:rsidRPr="00B31AC4" w14:paraId="57365AE6" w14:textId="77777777" w:rsidTr="002C0DC3">
        <w:trPr>
          <w:trHeight w:val="234"/>
          <w:tblHeader/>
        </w:trPr>
        <w:tc>
          <w:tcPr>
            <w:tcW w:w="934" w:type="pct"/>
            <w:vAlign w:val="center"/>
          </w:tcPr>
          <w:p w14:paraId="5F36395C" w14:textId="77777777" w:rsidR="002C0DC3" w:rsidRPr="00B31AC4" w:rsidRDefault="002C0DC3" w:rsidP="002C0DC3">
            <w:pPr>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lastRenderedPageBreak/>
              <w:t>Despacho</w:t>
            </w:r>
          </w:p>
        </w:tc>
        <w:tc>
          <w:tcPr>
            <w:tcW w:w="934" w:type="pct"/>
            <w:vAlign w:val="center"/>
          </w:tcPr>
          <w:p w14:paraId="3E437ACE" w14:textId="77777777" w:rsidR="002C0DC3" w:rsidRPr="00B31AC4" w:rsidRDefault="002C0DC3" w:rsidP="002C0DC3">
            <w:pPr>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Detalle del Plan</w:t>
            </w:r>
          </w:p>
        </w:tc>
        <w:tc>
          <w:tcPr>
            <w:tcW w:w="733" w:type="pct"/>
            <w:vAlign w:val="center"/>
          </w:tcPr>
          <w:p w14:paraId="3DCAF865" w14:textId="77777777" w:rsidR="002C0DC3" w:rsidRPr="00B31AC4" w:rsidRDefault="002C0DC3" w:rsidP="002C0DC3">
            <w:pPr>
              <w:widowControl w:val="0"/>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Fecha inicio</w:t>
            </w:r>
          </w:p>
        </w:tc>
        <w:tc>
          <w:tcPr>
            <w:tcW w:w="600" w:type="pct"/>
            <w:vAlign w:val="center"/>
          </w:tcPr>
          <w:p w14:paraId="2EA80014" w14:textId="77777777" w:rsidR="002C0DC3" w:rsidRPr="00B31AC4" w:rsidRDefault="002C0DC3" w:rsidP="002C0DC3">
            <w:pPr>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Fecha fin</w:t>
            </w:r>
          </w:p>
        </w:tc>
        <w:tc>
          <w:tcPr>
            <w:tcW w:w="800" w:type="pct"/>
            <w:vAlign w:val="center"/>
          </w:tcPr>
          <w:p w14:paraId="7E17BA61" w14:textId="77777777" w:rsidR="002C0DC3" w:rsidRPr="00B31AC4" w:rsidRDefault="002C0DC3" w:rsidP="002C0DC3">
            <w:pPr>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Responsable</w:t>
            </w:r>
          </w:p>
        </w:tc>
        <w:tc>
          <w:tcPr>
            <w:tcW w:w="1000" w:type="pct"/>
            <w:vAlign w:val="center"/>
          </w:tcPr>
          <w:p w14:paraId="6F562780" w14:textId="77777777" w:rsidR="002C0DC3" w:rsidRPr="00B31AC4" w:rsidRDefault="002C0DC3" w:rsidP="002C0DC3">
            <w:pPr>
              <w:suppressAutoHyphens w:val="0"/>
              <w:rPr>
                <w:rFonts w:ascii="Times New Roman" w:hAnsi="Times New Roman"/>
                <w:sz w:val="22"/>
                <w:szCs w:val="22"/>
                <w:lang w:val="es-ES" w:eastAsia="zh-CN"/>
              </w:rPr>
            </w:pPr>
            <w:r w:rsidRPr="00B31AC4">
              <w:rPr>
                <w:rFonts w:ascii="Times New Roman" w:hAnsi="Times New Roman"/>
                <w:sz w:val="22"/>
                <w:szCs w:val="22"/>
                <w:lang w:val="es-ES" w:eastAsia="zh-CN"/>
              </w:rPr>
              <w:t>Resultado</w:t>
            </w:r>
          </w:p>
        </w:tc>
      </w:tr>
      <w:tr w:rsidR="002C0DC3" w:rsidRPr="00B31AC4" w14:paraId="31E79485" w14:textId="77777777" w:rsidTr="00B31AC4">
        <w:trPr>
          <w:trHeight w:val="2423"/>
        </w:trPr>
        <w:tc>
          <w:tcPr>
            <w:tcW w:w="934" w:type="pct"/>
            <w:vAlign w:val="center"/>
          </w:tcPr>
          <w:p w14:paraId="5B4A1E11" w14:textId="77777777" w:rsidR="002C0DC3" w:rsidRPr="00B31AC4" w:rsidRDefault="002C0DC3" w:rsidP="002C0DC3">
            <w:pPr>
              <w:suppressAutoHyphens w:val="0"/>
              <w:jc w:val="both"/>
              <w:rPr>
                <w:rFonts w:ascii="Times New Roman" w:hAnsi="Times New Roman"/>
                <w:i/>
                <w:iCs/>
                <w:sz w:val="22"/>
                <w:szCs w:val="22"/>
                <w:lang w:val="es-ES" w:eastAsia="zh-CN"/>
              </w:rPr>
            </w:pPr>
            <w:r w:rsidRPr="00B31AC4">
              <w:rPr>
                <w:rFonts w:ascii="Times New Roman" w:hAnsi="Times New Roman"/>
                <w:i/>
                <w:iCs/>
                <w:sz w:val="22"/>
                <w:szCs w:val="22"/>
                <w:lang w:val="es-ES" w:eastAsia="zh-CN"/>
              </w:rPr>
              <w:t>Juzgado de Cobros de Cartago</w:t>
            </w:r>
          </w:p>
        </w:tc>
        <w:tc>
          <w:tcPr>
            <w:tcW w:w="934" w:type="pct"/>
            <w:vAlign w:val="center"/>
          </w:tcPr>
          <w:p w14:paraId="45705D53" w14:textId="77777777" w:rsidR="002C0DC3" w:rsidRPr="00B31AC4" w:rsidRDefault="002C0DC3" w:rsidP="002C0DC3">
            <w:pPr>
              <w:suppressAutoHyphens w:val="0"/>
              <w:jc w:val="both"/>
              <w:rPr>
                <w:rFonts w:ascii="Times New Roman" w:hAnsi="Times New Roman"/>
                <w:sz w:val="22"/>
                <w:szCs w:val="22"/>
                <w:lang w:val="es-ES" w:eastAsia="zh-CN"/>
              </w:rPr>
            </w:pPr>
            <w:r w:rsidRPr="00B31AC4">
              <w:rPr>
                <w:rFonts w:ascii="Times New Roman" w:hAnsi="Times New Roman"/>
                <w:sz w:val="22"/>
                <w:szCs w:val="22"/>
                <w:lang w:val="es-ES" w:eastAsia="zh-CN"/>
              </w:rPr>
              <w:t>Se diseñan y proponen planes de trabajo semanales para las personas técnicas judiciales de trámite y personas juzgadoras de trámite, basados en el estado al momento de cada trámite pendiente, como: curso a asuntos nuevos, resolución de escritos, aprobación de liquidaciones, aprobaciones de remates, expedientes en espera de cumplimiento de prevención, entre otros. Los planes son integrales con el fin de equilibrar los plazos de todos los asuntos pendientes.</w:t>
            </w:r>
          </w:p>
          <w:p w14:paraId="02B90941" w14:textId="77777777" w:rsidR="002C0DC3" w:rsidRPr="00B31AC4" w:rsidRDefault="002C0DC3" w:rsidP="002C0DC3">
            <w:pPr>
              <w:suppressAutoHyphens w:val="0"/>
              <w:jc w:val="both"/>
              <w:rPr>
                <w:rFonts w:ascii="Times New Roman" w:hAnsi="Times New Roman"/>
                <w:sz w:val="22"/>
                <w:szCs w:val="22"/>
                <w:lang w:val="es-ES" w:eastAsia="zh-CN"/>
              </w:rPr>
            </w:pPr>
            <w:r w:rsidRPr="00B31AC4">
              <w:rPr>
                <w:rFonts w:ascii="Times New Roman" w:hAnsi="Times New Roman"/>
                <w:i/>
                <w:iCs/>
                <w:sz w:val="22"/>
                <w:szCs w:val="22"/>
                <w:lang w:val="es-ES" w:eastAsia="zh-CN"/>
              </w:rPr>
              <w:t>De mayo a setiembre 2020 se han propuesto 21 planes de este tipo (uno cada semana).</w:t>
            </w:r>
          </w:p>
        </w:tc>
        <w:tc>
          <w:tcPr>
            <w:tcW w:w="733" w:type="pct"/>
            <w:vAlign w:val="center"/>
          </w:tcPr>
          <w:p w14:paraId="0FA4BCC3" w14:textId="77777777" w:rsidR="002C0DC3" w:rsidRPr="00B31AC4" w:rsidRDefault="002C0DC3" w:rsidP="002C0DC3">
            <w:pPr>
              <w:widowControl w:val="0"/>
              <w:suppressAutoHyphens w:val="0"/>
              <w:jc w:val="both"/>
              <w:rPr>
                <w:rFonts w:ascii="Times New Roman" w:hAnsi="Times New Roman"/>
                <w:sz w:val="22"/>
                <w:szCs w:val="22"/>
                <w:lang w:val="es-ES" w:eastAsia="zh-CN"/>
              </w:rPr>
            </w:pPr>
            <w:r w:rsidRPr="00B31AC4">
              <w:rPr>
                <w:rFonts w:ascii="Times New Roman" w:hAnsi="Times New Roman"/>
                <w:sz w:val="22"/>
                <w:szCs w:val="22"/>
                <w:lang w:val="es-ES" w:eastAsia="zh-CN"/>
              </w:rPr>
              <w:t>Mayo 2020</w:t>
            </w:r>
          </w:p>
        </w:tc>
        <w:tc>
          <w:tcPr>
            <w:tcW w:w="600" w:type="pct"/>
            <w:vAlign w:val="center"/>
          </w:tcPr>
          <w:p w14:paraId="3DEA3685" w14:textId="77777777" w:rsidR="002C0DC3" w:rsidRPr="00B31AC4" w:rsidRDefault="002C0DC3" w:rsidP="002C0DC3">
            <w:pPr>
              <w:suppressAutoHyphens w:val="0"/>
              <w:jc w:val="both"/>
              <w:rPr>
                <w:rFonts w:ascii="Times New Roman" w:hAnsi="Times New Roman"/>
                <w:sz w:val="22"/>
                <w:szCs w:val="22"/>
                <w:lang w:val="es-ES" w:eastAsia="zh-CN"/>
              </w:rPr>
            </w:pPr>
            <w:r w:rsidRPr="00B31AC4">
              <w:rPr>
                <w:rFonts w:ascii="Times New Roman" w:hAnsi="Times New Roman"/>
                <w:sz w:val="22"/>
                <w:szCs w:val="22"/>
                <w:lang w:val="es-ES" w:eastAsia="zh-CN"/>
              </w:rPr>
              <w:t>Setiembre 2020</w:t>
            </w:r>
          </w:p>
        </w:tc>
        <w:tc>
          <w:tcPr>
            <w:tcW w:w="800" w:type="pct"/>
            <w:vAlign w:val="center"/>
          </w:tcPr>
          <w:p w14:paraId="5D3A6734" w14:textId="77777777" w:rsidR="002C0DC3" w:rsidRPr="00B31AC4" w:rsidRDefault="002C0DC3" w:rsidP="002C0DC3">
            <w:pPr>
              <w:suppressAutoHyphens w:val="0"/>
              <w:jc w:val="both"/>
              <w:rPr>
                <w:rFonts w:ascii="Times New Roman" w:hAnsi="Times New Roman"/>
                <w:sz w:val="22"/>
                <w:szCs w:val="22"/>
                <w:lang w:val="es-ES" w:eastAsia="zh-CN"/>
              </w:rPr>
            </w:pPr>
            <w:r w:rsidRPr="00B31AC4">
              <w:rPr>
                <w:rFonts w:ascii="Times New Roman" w:hAnsi="Times New Roman"/>
                <w:sz w:val="22"/>
                <w:szCs w:val="22"/>
                <w:lang w:val="es-ES" w:eastAsia="zh-CN"/>
              </w:rPr>
              <w:t>Personal del Juzgado.</w:t>
            </w:r>
          </w:p>
        </w:tc>
        <w:tc>
          <w:tcPr>
            <w:tcW w:w="1000" w:type="pct"/>
            <w:vAlign w:val="center"/>
          </w:tcPr>
          <w:p w14:paraId="24961C65" w14:textId="77777777" w:rsidR="002C0DC3" w:rsidRPr="00B31AC4" w:rsidRDefault="002C0DC3" w:rsidP="002C0DC3">
            <w:pPr>
              <w:suppressAutoHyphens w:val="0"/>
              <w:jc w:val="both"/>
              <w:rPr>
                <w:rFonts w:ascii="Times New Roman" w:hAnsi="Times New Roman"/>
                <w:sz w:val="22"/>
                <w:szCs w:val="22"/>
                <w:lang w:val="es-ES" w:eastAsia="zh-CN"/>
              </w:rPr>
            </w:pPr>
            <w:r w:rsidRPr="00B31AC4">
              <w:rPr>
                <w:rFonts w:ascii="Times New Roman" w:hAnsi="Times New Roman"/>
                <w:sz w:val="22"/>
                <w:szCs w:val="22"/>
                <w:lang w:val="es-ES" w:eastAsia="zh-CN"/>
              </w:rPr>
              <w:t xml:space="preserve">Desde que se inició con los planes de trabajo en setiembre 2019 a abril 2020, el plazo de espera para resolver asuntos nuevos pasó de 15 meses a 8 meses y el plazo para tramitar escritos pasó de 15 meses a 13 meses. </w:t>
            </w:r>
          </w:p>
          <w:p w14:paraId="2DCC14C0" w14:textId="77777777" w:rsidR="002C0DC3" w:rsidRPr="00B31AC4" w:rsidRDefault="002C0DC3" w:rsidP="002C0DC3">
            <w:pPr>
              <w:suppressAutoHyphens w:val="0"/>
              <w:jc w:val="both"/>
              <w:rPr>
                <w:rFonts w:ascii="Times New Roman" w:hAnsi="Times New Roman"/>
                <w:sz w:val="22"/>
                <w:szCs w:val="22"/>
                <w:lang w:val="es-ES" w:eastAsia="zh-CN"/>
              </w:rPr>
            </w:pPr>
            <w:r w:rsidRPr="00B31AC4">
              <w:rPr>
                <w:rFonts w:ascii="Times New Roman" w:hAnsi="Times New Roman"/>
                <w:sz w:val="22"/>
                <w:szCs w:val="22"/>
                <w:lang w:val="es-ES" w:eastAsia="zh-CN"/>
              </w:rPr>
              <w:t>Específicamente en mayo 2020 el plazo para tramitar asuntos nuevos era de 10 meses y para setiembre se mantuvo en ese mismo plazo y con relación al plazo para trámite de escritos, en mayo era de 12 meses y para setiembre era de 14 meses, esto según la cantidad de escritos que hayan ingresado en los meses que se esté tramitando ya que por lo general se detectan meses con un aumento importante en la entrada de escritos al despacho.</w:t>
            </w:r>
          </w:p>
          <w:p w14:paraId="0944DD39" w14:textId="77777777" w:rsidR="002C0DC3" w:rsidRPr="00B31AC4" w:rsidRDefault="002C0DC3" w:rsidP="002C0DC3">
            <w:pPr>
              <w:suppressAutoHyphens w:val="0"/>
              <w:jc w:val="both"/>
              <w:rPr>
                <w:rFonts w:ascii="Times New Roman" w:hAnsi="Times New Roman"/>
                <w:sz w:val="22"/>
                <w:szCs w:val="22"/>
                <w:lang w:val="es-ES" w:eastAsia="zh-CN"/>
              </w:rPr>
            </w:pPr>
            <w:r w:rsidRPr="00B31AC4">
              <w:rPr>
                <w:rFonts w:ascii="Times New Roman" w:hAnsi="Times New Roman"/>
                <w:sz w:val="22"/>
                <w:szCs w:val="22"/>
                <w:lang w:val="es-ES" w:eastAsia="zh-CN"/>
              </w:rPr>
              <w:t xml:space="preserve">Asimismo, se mantiene equilibrio e igualdad en los </w:t>
            </w:r>
            <w:r w:rsidRPr="00B31AC4">
              <w:rPr>
                <w:rFonts w:ascii="Times New Roman" w:hAnsi="Times New Roman"/>
                <w:sz w:val="22"/>
                <w:szCs w:val="22"/>
                <w:lang w:val="es-ES" w:eastAsia="zh-CN"/>
              </w:rPr>
              <w:lastRenderedPageBreak/>
              <w:t>tiempos de respuesta de todos los escritorios.</w:t>
            </w:r>
          </w:p>
        </w:tc>
      </w:tr>
    </w:tbl>
    <w:p w14:paraId="1C3990BB" w14:textId="77777777" w:rsidR="002C0DC3" w:rsidRPr="002C0DC3" w:rsidRDefault="002C0DC3" w:rsidP="002C0DC3">
      <w:pPr>
        <w:suppressAutoHyphens w:val="0"/>
        <w:jc w:val="both"/>
        <w:rPr>
          <w:rFonts w:eastAsia="Calibri"/>
          <w:lang w:val="es-CR" w:eastAsia="en-US"/>
        </w:rPr>
      </w:pPr>
    </w:p>
    <w:p w14:paraId="170FB9B8" w14:textId="66732E70" w:rsidR="00B31AC4" w:rsidRDefault="002C0DC3" w:rsidP="00B31AC4">
      <w:pPr>
        <w:suppressAutoHyphens w:val="0"/>
        <w:ind w:left="720"/>
        <w:contextualSpacing/>
        <w:jc w:val="both"/>
        <w:rPr>
          <w:rFonts w:eastAsia="Calibri"/>
          <w:b/>
          <w:bCs/>
          <w:lang w:val="es-CR" w:eastAsia="zh-CN"/>
        </w:rPr>
      </w:pPr>
      <w:r w:rsidRPr="002C0DC3">
        <w:rPr>
          <w:rFonts w:eastAsia="Calibri"/>
          <w:b/>
          <w:bCs/>
          <w:lang w:val="es-CR" w:eastAsia="zh-CN"/>
        </w:rPr>
        <w:t xml:space="preserve">                                       </w:t>
      </w:r>
    </w:p>
    <w:p w14:paraId="67720450" w14:textId="1D55EA71" w:rsidR="002C0DC3" w:rsidRPr="002C0DC3" w:rsidRDefault="002C0DC3" w:rsidP="00B31AC4">
      <w:pPr>
        <w:suppressAutoHyphens w:val="0"/>
        <w:contextualSpacing/>
        <w:jc w:val="both"/>
        <w:rPr>
          <w:rFonts w:eastAsia="Calibri"/>
          <w:b/>
          <w:bCs/>
          <w:lang w:val="es-CR" w:eastAsia="zh-CN"/>
        </w:rPr>
      </w:pPr>
      <w:r w:rsidRPr="002C0DC3">
        <w:rPr>
          <w:rFonts w:eastAsia="Calibri"/>
          <w:b/>
          <w:bCs/>
          <w:lang w:val="es-CR" w:eastAsia="zh-CN"/>
        </w:rPr>
        <w:t>De octubre a diciembre 2020</w:t>
      </w:r>
    </w:p>
    <w:p w14:paraId="39F9437F" w14:textId="77777777" w:rsidR="00B31AC4" w:rsidRPr="002C0DC3" w:rsidRDefault="00B31AC4" w:rsidP="002C0DC3">
      <w:pPr>
        <w:suppressAutoHyphens w:val="0"/>
        <w:jc w:val="both"/>
        <w:rPr>
          <w:rFonts w:eastAsia="Calibri"/>
          <w:lang w:val="es-CR" w:eastAsia="en-US"/>
        </w:rPr>
      </w:pPr>
    </w:p>
    <w:tbl>
      <w:tblPr>
        <w:tblW w:w="88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1866"/>
        <w:gridCol w:w="1276"/>
        <w:gridCol w:w="1275"/>
        <w:gridCol w:w="1359"/>
        <w:gridCol w:w="1797"/>
      </w:tblGrid>
      <w:tr w:rsidR="002C0DC3" w:rsidRPr="002C0DC3" w14:paraId="151410FE" w14:textId="77777777" w:rsidTr="002C0DC3">
        <w:trPr>
          <w:trHeight w:val="20"/>
          <w:tblHeader/>
        </w:trPr>
        <w:tc>
          <w:tcPr>
            <w:tcW w:w="1253" w:type="dxa"/>
            <w:vAlign w:val="center"/>
          </w:tcPr>
          <w:p w14:paraId="06F354C1" w14:textId="77777777" w:rsidR="002C0DC3" w:rsidRPr="00B31AC4" w:rsidRDefault="002C0DC3" w:rsidP="002C0DC3">
            <w:pPr>
              <w:suppressAutoHyphens w:val="0"/>
              <w:autoSpaceDE w:val="0"/>
              <w:autoSpaceDN w:val="0"/>
              <w:adjustRightInd w:val="0"/>
              <w:jc w:val="center"/>
              <w:rPr>
                <w:rFonts w:eastAsia="Calibri"/>
                <w:b/>
                <w:bCs/>
                <w:sz w:val="22"/>
                <w:szCs w:val="22"/>
                <w:lang w:val="es-CR" w:eastAsia="es-CR"/>
              </w:rPr>
            </w:pPr>
            <w:r w:rsidRPr="00B31AC4">
              <w:rPr>
                <w:rFonts w:eastAsia="Calibri"/>
                <w:b/>
                <w:bCs/>
                <w:sz w:val="22"/>
                <w:szCs w:val="22"/>
                <w:lang w:eastAsia="zh-CN"/>
              </w:rPr>
              <w:lastRenderedPageBreak/>
              <w:t>Despacho</w:t>
            </w:r>
          </w:p>
        </w:tc>
        <w:tc>
          <w:tcPr>
            <w:tcW w:w="1866" w:type="dxa"/>
            <w:vAlign w:val="center"/>
          </w:tcPr>
          <w:p w14:paraId="400724DD" w14:textId="77777777" w:rsidR="002C0DC3" w:rsidRPr="00B31AC4" w:rsidRDefault="002C0DC3" w:rsidP="002C0DC3">
            <w:pPr>
              <w:suppressAutoHyphens w:val="0"/>
              <w:autoSpaceDE w:val="0"/>
              <w:autoSpaceDN w:val="0"/>
              <w:adjustRightInd w:val="0"/>
              <w:jc w:val="center"/>
              <w:rPr>
                <w:rFonts w:eastAsia="Calibri"/>
                <w:b/>
                <w:bCs/>
                <w:sz w:val="22"/>
                <w:szCs w:val="22"/>
                <w:lang w:val="es-CR" w:eastAsia="es-CR"/>
              </w:rPr>
            </w:pPr>
            <w:r w:rsidRPr="00B31AC4">
              <w:rPr>
                <w:rFonts w:eastAsia="Calibri"/>
                <w:b/>
                <w:bCs/>
                <w:sz w:val="22"/>
                <w:szCs w:val="22"/>
                <w:lang w:eastAsia="zh-CN"/>
              </w:rPr>
              <w:t>Detalle del Plan</w:t>
            </w:r>
          </w:p>
        </w:tc>
        <w:tc>
          <w:tcPr>
            <w:tcW w:w="1276" w:type="dxa"/>
            <w:vAlign w:val="center"/>
          </w:tcPr>
          <w:p w14:paraId="6D1E0754" w14:textId="77777777" w:rsidR="002C0DC3" w:rsidRPr="002C0DC3" w:rsidRDefault="002C0DC3" w:rsidP="002C0DC3">
            <w:pPr>
              <w:suppressAutoHyphens w:val="0"/>
              <w:autoSpaceDE w:val="0"/>
              <w:autoSpaceDN w:val="0"/>
              <w:adjustRightInd w:val="0"/>
              <w:jc w:val="center"/>
              <w:rPr>
                <w:rFonts w:eastAsia="Calibri"/>
                <w:b/>
                <w:bCs/>
                <w:lang w:val="es-CR" w:eastAsia="es-CR"/>
              </w:rPr>
            </w:pPr>
            <w:r w:rsidRPr="002C0DC3">
              <w:rPr>
                <w:rFonts w:eastAsia="Calibri"/>
                <w:b/>
                <w:bCs/>
                <w:lang w:eastAsia="zh-CN"/>
              </w:rPr>
              <w:t>Fecha inicio</w:t>
            </w:r>
          </w:p>
        </w:tc>
        <w:tc>
          <w:tcPr>
            <w:tcW w:w="1275" w:type="dxa"/>
            <w:vAlign w:val="center"/>
          </w:tcPr>
          <w:p w14:paraId="340C0193" w14:textId="77777777" w:rsidR="002C0DC3" w:rsidRPr="002C0DC3" w:rsidRDefault="002C0DC3" w:rsidP="002C0DC3">
            <w:pPr>
              <w:suppressAutoHyphens w:val="0"/>
              <w:autoSpaceDE w:val="0"/>
              <w:autoSpaceDN w:val="0"/>
              <w:adjustRightInd w:val="0"/>
              <w:jc w:val="center"/>
              <w:rPr>
                <w:rFonts w:eastAsia="Calibri"/>
                <w:b/>
                <w:bCs/>
                <w:lang w:val="es-CR" w:eastAsia="es-CR"/>
              </w:rPr>
            </w:pPr>
            <w:r w:rsidRPr="002C0DC3">
              <w:rPr>
                <w:rFonts w:eastAsia="Calibri"/>
                <w:b/>
                <w:bCs/>
                <w:lang w:eastAsia="zh-CN"/>
              </w:rPr>
              <w:t>Fecha fin</w:t>
            </w:r>
          </w:p>
        </w:tc>
        <w:tc>
          <w:tcPr>
            <w:tcW w:w="1359" w:type="dxa"/>
            <w:vAlign w:val="center"/>
          </w:tcPr>
          <w:p w14:paraId="4BA53925" w14:textId="77777777" w:rsidR="002C0DC3" w:rsidRPr="002C0DC3" w:rsidRDefault="002C0DC3" w:rsidP="002C0DC3">
            <w:pPr>
              <w:suppressAutoHyphens w:val="0"/>
              <w:autoSpaceDE w:val="0"/>
              <w:autoSpaceDN w:val="0"/>
              <w:adjustRightInd w:val="0"/>
              <w:jc w:val="center"/>
              <w:rPr>
                <w:rFonts w:eastAsia="Calibri"/>
                <w:b/>
                <w:bCs/>
                <w:lang w:val="es-CR" w:eastAsia="es-CR"/>
              </w:rPr>
            </w:pPr>
            <w:r w:rsidRPr="002C0DC3">
              <w:rPr>
                <w:rFonts w:eastAsia="Calibri"/>
                <w:b/>
                <w:bCs/>
                <w:lang w:eastAsia="zh-CN"/>
              </w:rPr>
              <w:t>Responsable</w:t>
            </w:r>
          </w:p>
        </w:tc>
        <w:tc>
          <w:tcPr>
            <w:tcW w:w="1797" w:type="dxa"/>
            <w:vAlign w:val="center"/>
          </w:tcPr>
          <w:p w14:paraId="1C8E2AFE" w14:textId="77777777" w:rsidR="002C0DC3" w:rsidRPr="002C0DC3" w:rsidRDefault="002C0DC3" w:rsidP="002C0DC3">
            <w:pPr>
              <w:suppressAutoHyphens w:val="0"/>
              <w:autoSpaceDE w:val="0"/>
              <w:autoSpaceDN w:val="0"/>
              <w:adjustRightInd w:val="0"/>
              <w:jc w:val="center"/>
              <w:rPr>
                <w:rFonts w:eastAsia="Calibri"/>
                <w:b/>
                <w:bCs/>
                <w:lang w:val="es-CR" w:eastAsia="es-CR"/>
              </w:rPr>
            </w:pPr>
            <w:r w:rsidRPr="002C0DC3">
              <w:rPr>
                <w:rFonts w:eastAsia="Calibri"/>
                <w:b/>
                <w:bCs/>
                <w:lang w:eastAsia="zh-CN"/>
              </w:rPr>
              <w:t>Resultado</w:t>
            </w:r>
          </w:p>
        </w:tc>
      </w:tr>
      <w:tr w:rsidR="002C0DC3" w:rsidRPr="002C0DC3" w14:paraId="1AAB07DA" w14:textId="77777777" w:rsidTr="002C0DC3">
        <w:trPr>
          <w:trHeight w:val="20"/>
          <w:tblHeader/>
        </w:trPr>
        <w:tc>
          <w:tcPr>
            <w:tcW w:w="1253" w:type="dxa"/>
          </w:tcPr>
          <w:p w14:paraId="3DDC9506" w14:textId="77777777" w:rsidR="002C0DC3" w:rsidRPr="00B31AC4" w:rsidRDefault="002C0DC3" w:rsidP="002C0DC3">
            <w:pPr>
              <w:suppressAutoHyphens w:val="0"/>
              <w:autoSpaceDE w:val="0"/>
              <w:autoSpaceDN w:val="0"/>
              <w:adjustRightInd w:val="0"/>
              <w:jc w:val="both"/>
              <w:rPr>
                <w:rFonts w:eastAsia="Calibri"/>
                <w:sz w:val="22"/>
                <w:szCs w:val="22"/>
                <w:lang w:val="es-CR" w:eastAsia="es-CR"/>
              </w:rPr>
            </w:pPr>
            <w:r w:rsidRPr="00B31AC4">
              <w:rPr>
                <w:rFonts w:eastAsia="Calibri"/>
                <w:b/>
                <w:bCs/>
                <w:i/>
                <w:iCs/>
                <w:sz w:val="22"/>
                <w:szCs w:val="22"/>
                <w:lang w:val="es-CR" w:eastAsia="es-CR"/>
              </w:rPr>
              <w:t xml:space="preserve">Juzgado de Cobros de Cartago </w:t>
            </w:r>
          </w:p>
        </w:tc>
        <w:tc>
          <w:tcPr>
            <w:tcW w:w="1866" w:type="dxa"/>
          </w:tcPr>
          <w:p w14:paraId="524DDC39" w14:textId="77777777" w:rsidR="002C0DC3" w:rsidRPr="00B31AC4" w:rsidRDefault="002C0DC3" w:rsidP="002C0DC3">
            <w:pPr>
              <w:suppressAutoHyphens w:val="0"/>
              <w:autoSpaceDE w:val="0"/>
              <w:autoSpaceDN w:val="0"/>
              <w:adjustRightInd w:val="0"/>
              <w:jc w:val="both"/>
              <w:rPr>
                <w:rFonts w:eastAsia="Calibri"/>
                <w:sz w:val="22"/>
                <w:szCs w:val="22"/>
                <w:lang w:val="es-CR" w:eastAsia="es-CR"/>
              </w:rPr>
            </w:pPr>
            <w:r w:rsidRPr="00B31AC4">
              <w:rPr>
                <w:rFonts w:eastAsia="Calibri"/>
                <w:sz w:val="22"/>
                <w:szCs w:val="22"/>
                <w:lang w:val="es-CR" w:eastAsia="es-CR"/>
              </w:rPr>
              <w:t xml:space="preserve">Se diseñan y proponen planes de trabajo </w:t>
            </w:r>
            <w:r w:rsidRPr="00B31AC4">
              <w:rPr>
                <w:rFonts w:eastAsia="Calibri"/>
                <w:b/>
                <w:bCs/>
                <w:sz w:val="22"/>
                <w:szCs w:val="22"/>
                <w:lang w:val="es-CR" w:eastAsia="es-CR"/>
              </w:rPr>
              <w:t xml:space="preserve">semanales </w:t>
            </w:r>
            <w:r w:rsidRPr="00B31AC4">
              <w:rPr>
                <w:rFonts w:eastAsia="Calibri"/>
                <w:sz w:val="22"/>
                <w:szCs w:val="22"/>
                <w:lang w:val="es-CR" w:eastAsia="es-CR"/>
              </w:rPr>
              <w:t xml:space="preserve">para las personas técnicas judiciales de trámite y personas juzgadoras de trámite, basados en el estado al momento de cada trámite pendiente, como: curso a asuntos nuevos, resolución de escritos, aprobación de liquidaciones, aprobaciones de remates, expedientes en espera de cumplimiento de prevención, entre otros. Los planes son integrales con el fin de equilibrar los plazos de todos los asuntos pendientes. Se da seguimiento a cada plan de trabajo semanalmente. </w:t>
            </w:r>
          </w:p>
          <w:p w14:paraId="100656C5" w14:textId="77777777" w:rsidR="002C0DC3" w:rsidRPr="00B31AC4" w:rsidRDefault="002C0DC3" w:rsidP="002C0DC3">
            <w:pPr>
              <w:suppressAutoHyphens w:val="0"/>
              <w:autoSpaceDE w:val="0"/>
              <w:autoSpaceDN w:val="0"/>
              <w:adjustRightInd w:val="0"/>
              <w:jc w:val="both"/>
              <w:rPr>
                <w:rFonts w:eastAsia="Calibri"/>
                <w:sz w:val="22"/>
                <w:szCs w:val="22"/>
                <w:lang w:val="es-CR" w:eastAsia="es-CR"/>
              </w:rPr>
            </w:pPr>
            <w:r w:rsidRPr="00B31AC4">
              <w:rPr>
                <w:rFonts w:eastAsia="Calibri"/>
                <w:b/>
                <w:bCs/>
                <w:i/>
                <w:iCs/>
                <w:sz w:val="22"/>
                <w:szCs w:val="22"/>
                <w:lang w:val="es-CR" w:eastAsia="es-CR"/>
              </w:rPr>
              <w:t xml:space="preserve">Durante el cuarto trimestre del 2020 se realizaron 11 planes de trabajo (uno cada semana). </w:t>
            </w:r>
          </w:p>
        </w:tc>
        <w:tc>
          <w:tcPr>
            <w:tcW w:w="1276" w:type="dxa"/>
          </w:tcPr>
          <w:p w14:paraId="5E3B71CC" w14:textId="77777777" w:rsidR="002C0DC3" w:rsidRPr="002C0DC3" w:rsidRDefault="002C0DC3" w:rsidP="002C0DC3">
            <w:pPr>
              <w:suppressAutoHyphens w:val="0"/>
              <w:autoSpaceDE w:val="0"/>
              <w:autoSpaceDN w:val="0"/>
              <w:adjustRightInd w:val="0"/>
              <w:jc w:val="both"/>
              <w:rPr>
                <w:rFonts w:eastAsia="Calibri"/>
                <w:lang w:val="es-CR" w:eastAsia="es-CR"/>
              </w:rPr>
            </w:pPr>
            <w:r w:rsidRPr="002C0DC3">
              <w:rPr>
                <w:rFonts w:eastAsia="Calibri"/>
                <w:lang w:val="es-CR" w:eastAsia="es-CR"/>
              </w:rPr>
              <w:t xml:space="preserve">Octubre 2020 </w:t>
            </w:r>
          </w:p>
        </w:tc>
        <w:tc>
          <w:tcPr>
            <w:tcW w:w="1275" w:type="dxa"/>
          </w:tcPr>
          <w:p w14:paraId="29897BB9" w14:textId="77777777" w:rsidR="002C0DC3" w:rsidRPr="002C0DC3" w:rsidRDefault="002C0DC3" w:rsidP="002C0DC3">
            <w:pPr>
              <w:suppressAutoHyphens w:val="0"/>
              <w:autoSpaceDE w:val="0"/>
              <w:autoSpaceDN w:val="0"/>
              <w:adjustRightInd w:val="0"/>
              <w:jc w:val="both"/>
              <w:rPr>
                <w:rFonts w:eastAsia="Calibri"/>
                <w:lang w:val="es-CR" w:eastAsia="es-CR"/>
              </w:rPr>
            </w:pPr>
            <w:r w:rsidRPr="002C0DC3">
              <w:rPr>
                <w:rFonts w:eastAsia="Calibri"/>
                <w:lang w:val="es-CR" w:eastAsia="es-CR"/>
              </w:rPr>
              <w:t xml:space="preserve">Diciembre 2020 </w:t>
            </w:r>
          </w:p>
        </w:tc>
        <w:tc>
          <w:tcPr>
            <w:tcW w:w="1359" w:type="dxa"/>
          </w:tcPr>
          <w:p w14:paraId="1A5C2F2B" w14:textId="77777777" w:rsidR="002C0DC3" w:rsidRPr="002C0DC3" w:rsidRDefault="002C0DC3" w:rsidP="002C0DC3">
            <w:pPr>
              <w:suppressAutoHyphens w:val="0"/>
              <w:autoSpaceDE w:val="0"/>
              <w:autoSpaceDN w:val="0"/>
              <w:adjustRightInd w:val="0"/>
              <w:jc w:val="both"/>
              <w:rPr>
                <w:rFonts w:eastAsia="Calibri"/>
                <w:lang w:val="es-CR" w:eastAsia="es-CR"/>
              </w:rPr>
            </w:pPr>
            <w:r w:rsidRPr="002C0DC3">
              <w:rPr>
                <w:rFonts w:eastAsia="Calibri"/>
                <w:lang w:val="es-CR" w:eastAsia="es-CR"/>
              </w:rPr>
              <w:t xml:space="preserve">Personal del Juzgado. </w:t>
            </w:r>
          </w:p>
        </w:tc>
        <w:tc>
          <w:tcPr>
            <w:tcW w:w="1797" w:type="dxa"/>
          </w:tcPr>
          <w:p w14:paraId="5D8A389F" w14:textId="77777777" w:rsidR="002C0DC3" w:rsidRPr="002C0DC3" w:rsidRDefault="002C0DC3" w:rsidP="002C0DC3">
            <w:pPr>
              <w:suppressAutoHyphens w:val="0"/>
              <w:autoSpaceDE w:val="0"/>
              <w:autoSpaceDN w:val="0"/>
              <w:adjustRightInd w:val="0"/>
              <w:jc w:val="both"/>
              <w:rPr>
                <w:rFonts w:eastAsia="Calibri"/>
                <w:lang w:val="es-CR" w:eastAsia="es-CR"/>
              </w:rPr>
            </w:pPr>
            <w:r w:rsidRPr="002C0DC3">
              <w:rPr>
                <w:rFonts w:eastAsia="Calibri"/>
                <w:lang w:val="es-CR" w:eastAsia="es-CR"/>
              </w:rPr>
              <w:t xml:space="preserve">Los escritorios de los técnicos judiciales del despacho brindan tiempos de respuesta de forma homogénea, los plazos de espera son iguales para cualquier escritorio. Los plazos de espera a diciembre 2020 se mantienen al trimestre anterior, </w:t>
            </w:r>
            <w:r w:rsidRPr="002C0DC3">
              <w:rPr>
                <w:rFonts w:eastAsia="Calibri"/>
                <w:b/>
                <w:bCs/>
                <w:lang w:val="es-CR" w:eastAsia="es-CR"/>
              </w:rPr>
              <w:t>plazo trámite de asuntos nuevos 10 meses y plazo trámite de escritos 14 meses</w:t>
            </w:r>
            <w:r w:rsidRPr="002C0DC3">
              <w:rPr>
                <w:rFonts w:eastAsia="Calibri"/>
                <w:lang w:val="es-CR" w:eastAsia="es-CR"/>
              </w:rPr>
              <w:t xml:space="preserve">, se busca que a pesar de alta carga laboral los plazos no aumenten </w:t>
            </w:r>
          </w:p>
        </w:tc>
      </w:tr>
    </w:tbl>
    <w:p w14:paraId="2E58F2BD" w14:textId="77777777" w:rsidR="002C0DC3" w:rsidRPr="002C0DC3" w:rsidRDefault="002C0DC3" w:rsidP="002C0DC3">
      <w:pPr>
        <w:suppressAutoHyphens w:val="0"/>
        <w:ind w:left="851" w:right="851" w:firstLine="709"/>
        <w:jc w:val="both"/>
        <w:rPr>
          <w:rFonts w:eastAsia="Calibri"/>
          <w:lang w:val="es-CR" w:eastAsia="en-US"/>
        </w:rPr>
      </w:pPr>
    </w:p>
    <w:p w14:paraId="25650D8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lastRenderedPageBreak/>
        <w:t>En síntesis, se ha logrado disminuir los plazos de espera para trámite de demandas nuevas, en agosto 2019 era de 15 meses, a setiembre 2020 era de 10 meses. Plazo trámite de escritos: en agosto 2019 era de 15 meses ahora 13 meses. Todos los escritorios se encuentran debidamente equilibrados en plazos de respuesta. Plazo para aprobación de remates: marzo 107 días, setiembre 13 días. Plazo de espera para firma de resoluciones, en abril 31 días de espera, en agosto el resultado fue 5 días de espera en promedio.</w:t>
      </w:r>
    </w:p>
    <w:p w14:paraId="30C40DB1" w14:textId="77777777" w:rsidR="002C0DC3" w:rsidRPr="002C0DC3" w:rsidRDefault="002C0DC3" w:rsidP="002C0DC3">
      <w:pPr>
        <w:suppressAutoHyphens w:val="0"/>
        <w:ind w:left="851" w:right="851" w:firstLine="709"/>
        <w:jc w:val="both"/>
        <w:rPr>
          <w:rFonts w:eastAsia="Calibri"/>
          <w:lang w:val="es-CR" w:eastAsia="en-US"/>
        </w:rPr>
      </w:pPr>
    </w:p>
    <w:p w14:paraId="6C4E147E" w14:textId="77777777" w:rsidR="002C0DC3" w:rsidRPr="002C0DC3" w:rsidRDefault="002C0DC3" w:rsidP="002C0DC3">
      <w:pPr>
        <w:keepNext/>
        <w:keepLines/>
        <w:numPr>
          <w:ilvl w:val="2"/>
          <w:numId w:val="0"/>
        </w:numPr>
        <w:suppressAutoHyphens w:val="0"/>
        <w:ind w:left="851" w:right="851" w:firstLine="709"/>
        <w:jc w:val="both"/>
        <w:rPr>
          <w:b/>
          <w:lang w:eastAsia="es-CR"/>
        </w:rPr>
      </w:pPr>
      <w:bookmarkStart w:id="45" w:name="_Toc78467039"/>
      <w:r w:rsidRPr="002C0DC3">
        <w:rPr>
          <w:b/>
          <w:bCs/>
          <w:lang w:eastAsia="es-CR"/>
        </w:rPr>
        <w:t>Primer</w:t>
      </w:r>
      <w:r w:rsidRPr="002C0DC3">
        <w:rPr>
          <w:b/>
          <w:lang w:eastAsia="es-CR"/>
        </w:rPr>
        <w:t xml:space="preserve"> Circuito Judicial de la Zona Atlántica:</w:t>
      </w:r>
      <w:bookmarkEnd w:id="45"/>
    </w:p>
    <w:p w14:paraId="0A7513C6" w14:textId="77777777" w:rsidR="002C0DC3" w:rsidRPr="002C0DC3" w:rsidRDefault="002C0DC3" w:rsidP="002C0DC3">
      <w:pPr>
        <w:suppressAutoHyphens w:val="0"/>
        <w:ind w:left="851" w:right="851" w:firstLine="709"/>
        <w:jc w:val="both"/>
        <w:rPr>
          <w:rFonts w:eastAsia="Calibri"/>
          <w:lang w:val="es-CR" w:eastAsia="en-US"/>
        </w:rPr>
      </w:pPr>
    </w:p>
    <w:p w14:paraId="488438EB"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De acuerdo con la información extraída del informe de seguimiento del circuito (ref. 1220-2020), para el primer cuatrimestre no fue posible coordinar con la Administración Regional del Primer Circuito Judicial de la Zona Atlántica, para colaborar en la formulación de los planes de trabajo del recurso humano supernumerario sustentado en el comportamiento de los indicadores de gestión; lo anterior, debido a la carga de trabajo tuvo la Administración con el tema de las medidas sanitarias interpuestas por la Corte Plena por la pandemia del COVID-19. A pesar de ello, la profesional destacada en el Circuito sí mantuvo mensualmente el seguimiento, revisión, análisis y asesorías para las matrices de indicadores, planes remediales, minutas de los diversos despachos;  de la misma manera, se realizaron las presentaciones mensuales que eventualmente se utilizarían para la exposición ante el Consejo de Administración en caso que este cuerpo colegiado sesionara.</w:t>
      </w:r>
    </w:p>
    <w:p w14:paraId="13886CBC" w14:textId="77777777" w:rsidR="002C0DC3" w:rsidRPr="002C0DC3" w:rsidRDefault="002C0DC3" w:rsidP="002C0DC3">
      <w:pPr>
        <w:suppressAutoHyphens w:val="0"/>
        <w:ind w:left="851" w:right="851" w:firstLine="709"/>
        <w:jc w:val="both"/>
        <w:rPr>
          <w:rFonts w:eastAsia="Calibri"/>
          <w:lang w:val="es-CR" w:eastAsia="en-US"/>
        </w:rPr>
      </w:pPr>
    </w:p>
    <w:p w14:paraId="73C02835"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Los siguientes son los planes remediales revisados en el circuito durante 2020 en materia de cobro:</w:t>
      </w:r>
    </w:p>
    <w:p w14:paraId="2DD37723" w14:textId="77777777" w:rsidR="002C0DC3" w:rsidRPr="002C0DC3" w:rsidRDefault="002C0DC3" w:rsidP="002C0DC3">
      <w:pPr>
        <w:suppressAutoHyphens w:val="0"/>
        <w:jc w:val="both"/>
        <w:rPr>
          <w:rFonts w:eastAsia="Calibri"/>
          <w:lang w:val="es-CR" w:eastAsia="en-US"/>
        </w:rPr>
      </w:pPr>
    </w:p>
    <w:p w14:paraId="248E3330" w14:textId="77777777" w:rsidR="002C0DC3" w:rsidRPr="002C0DC3" w:rsidRDefault="002C0DC3" w:rsidP="002C0DC3">
      <w:pPr>
        <w:suppressAutoHyphens w:val="0"/>
        <w:jc w:val="center"/>
        <w:rPr>
          <w:rFonts w:eastAsia="Calibri"/>
          <w:b/>
          <w:bCs/>
          <w:lang w:val="es-CR" w:eastAsia="zh-CN"/>
        </w:rPr>
      </w:pPr>
      <w:r w:rsidRPr="002C0DC3">
        <w:rPr>
          <w:rFonts w:eastAsia="Calibri"/>
          <w:b/>
          <w:bCs/>
          <w:lang w:val="es-CR" w:eastAsia="zh-CN"/>
        </w:rPr>
        <w:t>Enero-abril</w:t>
      </w:r>
    </w:p>
    <w:p w14:paraId="7E4E7820" w14:textId="77777777" w:rsidR="002C0DC3" w:rsidRPr="002C0DC3" w:rsidRDefault="002C0DC3" w:rsidP="002C0DC3">
      <w:pPr>
        <w:suppressAutoHyphens w:val="0"/>
        <w:jc w:val="both"/>
        <w:rPr>
          <w:rFonts w:eastAsia="Calibri"/>
          <w:lang w:val="es-CR" w:eastAsia="zh-CN"/>
        </w:rPr>
      </w:pPr>
    </w:p>
    <w:tbl>
      <w:tblPr>
        <w:tblW w:w="9047" w:type="dxa"/>
        <w:tblLayout w:type="fixed"/>
        <w:tblCellMar>
          <w:left w:w="70" w:type="dxa"/>
          <w:right w:w="70" w:type="dxa"/>
        </w:tblCellMar>
        <w:tblLook w:val="04A0" w:firstRow="1" w:lastRow="0" w:firstColumn="1" w:lastColumn="0" w:noHBand="0" w:noVBand="1"/>
      </w:tblPr>
      <w:tblGrid>
        <w:gridCol w:w="1560"/>
        <w:gridCol w:w="1334"/>
        <w:gridCol w:w="1077"/>
        <w:gridCol w:w="1077"/>
        <w:gridCol w:w="1687"/>
        <w:gridCol w:w="2312"/>
      </w:tblGrid>
      <w:tr w:rsidR="002C0DC3" w:rsidRPr="002C0DC3" w14:paraId="6C0D9AF9" w14:textId="77777777" w:rsidTr="002C0DC3">
        <w:trPr>
          <w:trHeight w:val="20"/>
          <w:tblHeader/>
        </w:trPr>
        <w:tc>
          <w:tcPr>
            <w:tcW w:w="156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23634C9A" w14:textId="77777777" w:rsidR="002C0DC3" w:rsidRPr="002C0DC3" w:rsidRDefault="002C0DC3" w:rsidP="002C0DC3">
            <w:pPr>
              <w:suppressAutoHyphens w:val="0"/>
              <w:jc w:val="center"/>
              <w:rPr>
                <w:b/>
                <w:bCs/>
                <w:lang w:val="es-CR" w:eastAsia="es-CR"/>
              </w:rPr>
            </w:pPr>
            <w:r w:rsidRPr="002C0DC3">
              <w:rPr>
                <w:b/>
                <w:bCs/>
                <w:lang w:val="es-CR" w:eastAsia="es-CR"/>
              </w:rPr>
              <w:t>Despacho</w:t>
            </w:r>
          </w:p>
        </w:tc>
        <w:tc>
          <w:tcPr>
            <w:tcW w:w="1334" w:type="dxa"/>
            <w:tcBorders>
              <w:top w:val="single" w:sz="8" w:space="0" w:color="auto"/>
              <w:left w:val="nil"/>
              <w:bottom w:val="single" w:sz="8" w:space="0" w:color="auto"/>
              <w:right w:val="single" w:sz="8" w:space="0" w:color="auto"/>
            </w:tcBorders>
            <w:shd w:val="clear" w:color="000000" w:fill="B4C6E7"/>
            <w:vAlign w:val="center"/>
            <w:hideMark/>
          </w:tcPr>
          <w:p w14:paraId="337E75DB" w14:textId="77777777" w:rsidR="002C0DC3" w:rsidRPr="002C0DC3" w:rsidRDefault="002C0DC3" w:rsidP="002C0DC3">
            <w:pPr>
              <w:suppressAutoHyphens w:val="0"/>
              <w:jc w:val="center"/>
              <w:rPr>
                <w:b/>
                <w:bCs/>
                <w:lang w:val="es-CR" w:eastAsia="es-CR"/>
              </w:rPr>
            </w:pPr>
            <w:r w:rsidRPr="002C0DC3">
              <w:rPr>
                <w:b/>
                <w:bCs/>
                <w:lang w:val="es-CR" w:eastAsia="es-CR"/>
              </w:rPr>
              <w:t>Detalle de Plan</w:t>
            </w:r>
          </w:p>
        </w:tc>
        <w:tc>
          <w:tcPr>
            <w:tcW w:w="1077" w:type="dxa"/>
            <w:tcBorders>
              <w:top w:val="single" w:sz="8" w:space="0" w:color="auto"/>
              <w:left w:val="nil"/>
              <w:bottom w:val="single" w:sz="8" w:space="0" w:color="auto"/>
              <w:right w:val="single" w:sz="8" w:space="0" w:color="auto"/>
            </w:tcBorders>
            <w:shd w:val="clear" w:color="000000" w:fill="B4C6E7"/>
            <w:vAlign w:val="center"/>
            <w:hideMark/>
          </w:tcPr>
          <w:p w14:paraId="157C1818" w14:textId="77777777" w:rsidR="002C0DC3" w:rsidRPr="002C0DC3" w:rsidRDefault="002C0DC3" w:rsidP="002C0DC3">
            <w:pPr>
              <w:suppressAutoHyphens w:val="0"/>
              <w:jc w:val="center"/>
              <w:rPr>
                <w:b/>
                <w:bCs/>
                <w:lang w:val="es-CR" w:eastAsia="es-CR"/>
              </w:rPr>
            </w:pPr>
            <w:r w:rsidRPr="002C0DC3">
              <w:rPr>
                <w:b/>
                <w:bCs/>
                <w:lang w:val="es-CR" w:eastAsia="es-CR"/>
              </w:rPr>
              <w:t>Fecha inicio</w:t>
            </w:r>
          </w:p>
        </w:tc>
        <w:tc>
          <w:tcPr>
            <w:tcW w:w="1077" w:type="dxa"/>
            <w:tcBorders>
              <w:top w:val="single" w:sz="8" w:space="0" w:color="auto"/>
              <w:left w:val="nil"/>
              <w:bottom w:val="single" w:sz="8" w:space="0" w:color="auto"/>
              <w:right w:val="single" w:sz="8" w:space="0" w:color="auto"/>
            </w:tcBorders>
            <w:shd w:val="clear" w:color="000000" w:fill="B4C6E7"/>
            <w:vAlign w:val="center"/>
            <w:hideMark/>
          </w:tcPr>
          <w:p w14:paraId="54B519C6" w14:textId="77777777" w:rsidR="002C0DC3" w:rsidRPr="002C0DC3" w:rsidRDefault="002C0DC3" w:rsidP="002C0DC3">
            <w:pPr>
              <w:suppressAutoHyphens w:val="0"/>
              <w:jc w:val="center"/>
              <w:rPr>
                <w:b/>
                <w:bCs/>
                <w:lang w:val="es-CR" w:eastAsia="es-CR"/>
              </w:rPr>
            </w:pPr>
            <w:r w:rsidRPr="002C0DC3">
              <w:rPr>
                <w:b/>
                <w:bCs/>
                <w:lang w:val="es-CR" w:eastAsia="es-CR"/>
              </w:rPr>
              <w:t>Fecha fin</w:t>
            </w:r>
          </w:p>
        </w:tc>
        <w:tc>
          <w:tcPr>
            <w:tcW w:w="1687" w:type="dxa"/>
            <w:tcBorders>
              <w:top w:val="single" w:sz="8" w:space="0" w:color="auto"/>
              <w:left w:val="nil"/>
              <w:bottom w:val="single" w:sz="8" w:space="0" w:color="auto"/>
              <w:right w:val="single" w:sz="8" w:space="0" w:color="auto"/>
            </w:tcBorders>
            <w:shd w:val="clear" w:color="000000" w:fill="B4C6E7"/>
            <w:vAlign w:val="center"/>
            <w:hideMark/>
          </w:tcPr>
          <w:p w14:paraId="42AA9E97" w14:textId="77777777" w:rsidR="002C0DC3" w:rsidRPr="002C0DC3" w:rsidRDefault="002C0DC3" w:rsidP="002C0DC3">
            <w:pPr>
              <w:suppressAutoHyphens w:val="0"/>
              <w:jc w:val="center"/>
              <w:rPr>
                <w:b/>
                <w:bCs/>
                <w:lang w:val="es-CR" w:eastAsia="es-CR"/>
              </w:rPr>
            </w:pPr>
            <w:r w:rsidRPr="002C0DC3">
              <w:rPr>
                <w:b/>
                <w:bCs/>
                <w:lang w:val="es-CR" w:eastAsia="es-CR"/>
              </w:rPr>
              <w:t>Responsable</w:t>
            </w:r>
          </w:p>
        </w:tc>
        <w:tc>
          <w:tcPr>
            <w:tcW w:w="2312" w:type="dxa"/>
            <w:tcBorders>
              <w:top w:val="single" w:sz="8" w:space="0" w:color="auto"/>
              <w:left w:val="nil"/>
              <w:bottom w:val="single" w:sz="8" w:space="0" w:color="auto"/>
              <w:right w:val="single" w:sz="8" w:space="0" w:color="auto"/>
            </w:tcBorders>
            <w:shd w:val="clear" w:color="000000" w:fill="B4C6E7"/>
            <w:vAlign w:val="center"/>
            <w:hideMark/>
          </w:tcPr>
          <w:p w14:paraId="2692E2A5" w14:textId="77777777" w:rsidR="002C0DC3" w:rsidRPr="002C0DC3" w:rsidRDefault="002C0DC3" w:rsidP="002C0DC3">
            <w:pPr>
              <w:suppressAutoHyphens w:val="0"/>
              <w:jc w:val="center"/>
              <w:rPr>
                <w:b/>
                <w:bCs/>
                <w:lang w:val="es-CR" w:eastAsia="es-CR"/>
              </w:rPr>
            </w:pPr>
            <w:r w:rsidRPr="002C0DC3">
              <w:rPr>
                <w:b/>
                <w:bCs/>
                <w:lang w:val="es-CR" w:eastAsia="es-CR"/>
              </w:rPr>
              <w:t>Resultado</w:t>
            </w:r>
          </w:p>
        </w:tc>
      </w:tr>
      <w:tr w:rsidR="002C0DC3" w:rsidRPr="002C0DC3" w14:paraId="0F2A5652" w14:textId="77777777" w:rsidTr="002C0DC3">
        <w:trPr>
          <w:trHeight w:val="20"/>
        </w:trPr>
        <w:tc>
          <w:tcPr>
            <w:tcW w:w="1560" w:type="dxa"/>
            <w:vMerge w:val="restart"/>
            <w:tcBorders>
              <w:top w:val="nil"/>
              <w:left w:val="single" w:sz="8" w:space="0" w:color="auto"/>
              <w:bottom w:val="single" w:sz="8" w:space="0" w:color="auto"/>
              <w:right w:val="single" w:sz="8" w:space="0" w:color="auto"/>
            </w:tcBorders>
            <w:shd w:val="clear" w:color="auto" w:fill="auto"/>
            <w:vAlign w:val="center"/>
            <w:hideMark/>
          </w:tcPr>
          <w:p w14:paraId="60FF23CA" w14:textId="77777777" w:rsidR="002C0DC3" w:rsidRPr="002C0DC3" w:rsidRDefault="002C0DC3" w:rsidP="002C0DC3">
            <w:pPr>
              <w:suppressAutoHyphens w:val="0"/>
              <w:jc w:val="both"/>
              <w:rPr>
                <w:lang w:val="es-CR" w:eastAsia="es-CR"/>
              </w:rPr>
            </w:pPr>
            <w:r w:rsidRPr="002C0DC3">
              <w:rPr>
                <w:rFonts w:eastAsia="Calibri"/>
                <w:lang w:val="es-CR" w:eastAsia="zh-CN"/>
              </w:rPr>
              <w:t>Juzgado de Cobro del Primer Circuito Judicial de la Zona Atlántica</w:t>
            </w:r>
          </w:p>
        </w:tc>
        <w:tc>
          <w:tcPr>
            <w:tcW w:w="1334" w:type="dxa"/>
            <w:tcBorders>
              <w:top w:val="nil"/>
              <w:left w:val="nil"/>
              <w:bottom w:val="single" w:sz="8" w:space="0" w:color="auto"/>
              <w:right w:val="single" w:sz="8" w:space="0" w:color="auto"/>
            </w:tcBorders>
            <w:shd w:val="clear" w:color="auto" w:fill="auto"/>
            <w:vAlign w:val="center"/>
            <w:hideMark/>
          </w:tcPr>
          <w:p w14:paraId="370CD46D" w14:textId="77777777" w:rsidR="002C0DC3" w:rsidRPr="002C0DC3" w:rsidRDefault="002C0DC3" w:rsidP="002C0DC3">
            <w:pPr>
              <w:suppressAutoHyphens w:val="0"/>
              <w:jc w:val="both"/>
              <w:rPr>
                <w:lang w:val="es-CR" w:eastAsia="es-CR"/>
              </w:rPr>
            </w:pPr>
            <w:r w:rsidRPr="002C0DC3">
              <w:rPr>
                <w:rFonts w:eastAsia="Calibri"/>
                <w:lang w:val="es-CR" w:eastAsia="zh-CN"/>
              </w:rPr>
              <w:t>1.Disminuir el plazo de espera de escritos.</w:t>
            </w:r>
          </w:p>
        </w:tc>
        <w:tc>
          <w:tcPr>
            <w:tcW w:w="1077" w:type="dxa"/>
            <w:tcBorders>
              <w:top w:val="nil"/>
              <w:left w:val="nil"/>
              <w:bottom w:val="single" w:sz="8" w:space="0" w:color="auto"/>
              <w:right w:val="single" w:sz="8" w:space="0" w:color="auto"/>
            </w:tcBorders>
            <w:shd w:val="clear" w:color="auto" w:fill="auto"/>
            <w:vAlign w:val="center"/>
            <w:hideMark/>
          </w:tcPr>
          <w:p w14:paraId="023E1D7D" w14:textId="77777777" w:rsidR="002C0DC3" w:rsidRPr="002C0DC3" w:rsidRDefault="002C0DC3" w:rsidP="002C0DC3">
            <w:pPr>
              <w:suppressAutoHyphens w:val="0"/>
              <w:jc w:val="both"/>
              <w:rPr>
                <w:lang w:val="es-CR" w:eastAsia="es-CR"/>
              </w:rPr>
            </w:pPr>
            <w:r w:rsidRPr="002C0DC3">
              <w:rPr>
                <w:rFonts w:eastAsia="Calibri"/>
                <w:lang w:val="es-CR" w:eastAsia="zh-CN"/>
              </w:rPr>
              <w:t>1/3/2020</w:t>
            </w:r>
          </w:p>
        </w:tc>
        <w:tc>
          <w:tcPr>
            <w:tcW w:w="1077" w:type="dxa"/>
            <w:tcBorders>
              <w:top w:val="nil"/>
              <w:left w:val="nil"/>
              <w:bottom w:val="single" w:sz="8" w:space="0" w:color="auto"/>
              <w:right w:val="single" w:sz="8" w:space="0" w:color="auto"/>
            </w:tcBorders>
            <w:shd w:val="clear" w:color="auto" w:fill="auto"/>
            <w:vAlign w:val="center"/>
            <w:hideMark/>
          </w:tcPr>
          <w:p w14:paraId="23FDE741" w14:textId="77777777" w:rsidR="002C0DC3" w:rsidRPr="002C0DC3" w:rsidRDefault="002C0DC3" w:rsidP="002C0DC3">
            <w:pPr>
              <w:suppressAutoHyphens w:val="0"/>
              <w:jc w:val="both"/>
              <w:rPr>
                <w:lang w:val="es-CR" w:eastAsia="es-CR"/>
              </w:rPr>
            </w:pPr>
            <w:r w:rsidRPr="002C0DC3">
              <w:rPr>
                <w:rFonts w:eastAsia="Calibri"/>
                <w:lang w:val="es-CR" w:eastAsia="zh-CN"/>
              </w:rPr>
              <w:t>31/06/2020</w:t>
            </w:r>
          </w:p>
        </w:tc>
        <w:tc>
          <w:tcPr>
            <w:tcW w:w="1687" w:type="dxa"/>
            <w:tcBorders>
              <w:top w:val="nil"/>
              <w:left w:val="nil"/>
              <w:bottom w:val="single" w:sz="8" w:space="0" w:color="auto"/>
              <w:right w:val="single" w:sz="8" w:space="0" w:color="auto"/>
            </w:tcBorders>
            <w:shd w:val="clear" w:color="auto" w:fill="auto"/>
            <w:vAlign w:val="center"/>
            <w:hideMark/>
          </w:tcPr>
          <w:p w14:paraId="5E9D6DD9" w14:textId="77777777" w:rsidR="002C0DC3" w:rsidRPr="002C0DC3" w:rsidRDefault="002C0DC3" w:rsidP="002C0DC3">
            <w:pPr>
              <w:suppressAutoHyphens w:val="0"/>
              <w:jc w:val="both"/>
              <w:rPr>
                <w:lang w:val="es-CR" w:eastAsia="es-CR"/>
              </w:rPr>
            </w:pPr>
            <w:r w:rsidRPr="002C0DC3">
              <w:rPr>
                <w:rFonts w:eastAsia="Calibri"/>
                <w:lang w:val="es-CR" w:eastAsia="zh-CN"/>
              </w:rPr>
              <w:t>Personal Técnico de Cobro, personal técnico supernumerario.</w:t>
            </w:r>
          </w:p>
        </w:tc>
        <w:tc>
          <w:tcPr>
            <w:tcW w:w="2312" w:type="dxa"/>
            <w:tcBorders>
              <w:top w:val="nil"/>
              <w:left w:val="nil"/>
              <w:bottom w:val="single" w:sz="8" w:space="0" w:color="auto"/>
              <w:right w:val="single" w:sz="8" w:space="0" w:color="auto"/>
            </w:tcBorders>
            <w:shd w:val="clear" w:color="auto" w:fill="auto"/>
            <w:vAlign w:val="center"/>
            <w:hideMark/>
          </w:tcPr>
          <w:p w14:paraId="588C0861" w14:textId="77777777" w:rsidR="002C0DC3" w:rsidRPr="002C0DC3" w:rsidRDefault="002C0DC3" w:rsidP="002C0DC3">
            <w:pPr>
              <w:suppressAutoHyphens w:val="0"/>
              <w:jc w:val="both"/>
              <w:rPr>
                <w:lang w:val="es-CR" w:eastAsia="es-CR"/>
              </w:rPr>
            </w:pPr>
            <w:r w:rsidRPr="002C0DC3">
              <w:rPr>
                <w:rFonts w:eastAsia="Calibri"/>
                <w:lang w:val="es-CR" w:eastAsia="zh-CN"/>
              </w:rPr>
              <w:t xml:space="preserve">Para el mes de abril el despacho mantuvo pendientes 7 escritos del mes de noviembre 2019, 29 escritos del mes de diciembre 2019 y 133 del mes de enero 2020, por lo que </w:t>
            </w:r>
            <w:r w:rsidRPr="002C0DC3">
              <w:rPr>
                <w:rFonts w:eastAsia="Calibri"/>
                <w:lang w:val="es-CR" w:eastAsia="zh-CN"/>
              </w:rPr>
              <w:lastRenderedPageBreak/>
              <w:t xml:space="preserve">el plan tuvo muy bueno resultados. </w:t>
            </w:r>
          </w:p>
        </w:tc>
      </w:tr>
      <w:tr w:rsidR="002C0DC3" w:rsidRPr="002C0DC3" w14:paraId="53A1DEF5" w14:textId="77777777" w:rsidTr="002C0DC3">
        <w:trPr>
          <w:trHeight w:val="20"/>
        </w:trPr>
        <w:tc>
          <w:tcPr>
            <w:tcW w:w="1560" w:type="dxa"/>
            <w:vMerge/>
            <w:tcBorders>
              <w:top w:val="nil"/>
              <w:left w:val="single" w:sz="8" w:space="0" w:color="auto"/>
              <w:bottom w:val="single" w:sz="8" w:space="0" w:color="auto"/>
              <w:right w:val="single" w:sz="8" w:space="0" w:color="auto"/>
            </w:tcBorders>
            <w:vAlign w:val="center"/>
            <w:hideMark/>
          </w:tcPr>
          <w:p w14:paraId="663E3C89" w14:textId="77777777" w:rsidR="002C0DC3" w:rsidRPr="002C0DC3" w:rsidRDefault="002C0DC3" w:rsidP="002C0DC3">
            <w:pPr>
              <w:suppressAutoHyphens w:val="0"/>
              <w:rPr>
                <w:lang w:val="es-CR" w:eastAsia="es-CR"/>
              </w:rPr>
            </w:pPr>
          </w:p>
        </w:tc>
        <w:tc>
          <w:tcPr>
            <w:tcW w:w="1334" w:type="dxa"/>
            <w:tcBorders>
              <w:top w:val="nil"/>
              <w:left w:val="nil"/>
              <w:bottom w:val="single" w:sz="8" w:space="0" w:color="auto"/>
              <w:right w:val="single" w:sz="8" w:space="0" w:color="auto"/>
            </w:tcBorders>
            <w:shd w:val="clear" w:color="auto" w:fill="auto"/>
            <w:vAlign w:val="center"/>
            <w:hideMark/>
          </w:tcPr>
          <w:p w14:paraId="7CA54F2C" w14:textId="77777777" w:rsidR="002C0DC3" w:rsidRPr="002C0DC3" w:rsidRDefault="002C0DC3" w:rsidP="002C0DC3">
            <w:pPr>
              <w:suppressAutoHyphens w:val="0"/>
              <w:jc w:val="both"/>
              <w:rPr>
                <w:lang w:val="es-CR" w:eastAsia="es-CR"/>
              </w:rPr>
            </w:pPr>
            <w:r w:rsidRPr="002C0DC3">
              <w:rPr>
                <w:rFonts w:eastAsia="Calibri"/>
                <w:lang w:val="es-CR" w:eastAsia="zh-CN"/>
              </w:rPr>
              <w:t>2.Disminuir el plazo para resolver procesos nuevos.</w:t>
            </w:r>
          </w:p>
        </w:tc>
        <w:tc>
          <w:tcPr>
            <w:tcW w:w="1077" w:type="dxa"/>
            <w:tcBorders>
              <w:top w:val="nil"/>
              <w:left w:val="nil"/>
              <w:bottom w:val="single" w:sz="8" w:space="0" w:color="auto"/>
              <w:right w:val="single" w:sz="8" w:space="0" w:color="auto"/>
            </w:tcBorders>
            <w:shd w:val="clear" w:color="auto" w:fill="auto"/>
            <w:vAlign w:val="center"/>
            <w:hideMark/>
          </w:tcPr>
          <w:p w14:paraId="6CDB5167" w14:textId="77777777" w:rsidR="002C0DC3" w:rsidRPr="002C0DC3" w:rsidRDefault="002C0DC3" w:rsidP="002C0DC3">
            <w:pPr>
              <w:suppressAutoHyphens w:val="0"/>
              <w:jc w:val="both"/>
              <w:rPr>
                <w:lang w:val="es-CR" w:eastAsia="es-CR"/>
              </w:rPr>
            </w:pPr>
            <w:r w:rsidRPr="002C0DC3">
              <w:rPr>
                <w:rFonts w:eastAsia="Calibri"/>
                <w:lang w:val="es-CR" w:eastAsia="zh-CN"/>
              </w:rPr>
              <w:t> </w:t>
            </w:r>
          </w:p>
        </w:tc>
        <w:tc>
          <w:tcPr>
            <w:tcW w:w="1077" w:type="dxa"/>
            <w:tcBorders>
              <w:top w:val="nil"/>
              <w:left w:val="nil"/>
              <w:bottom w:val="single" w:sz="8" w:space="0" w:color="auto"/>
              <w:right w:val="single" w:sz="8" w:space="0" w:color="auto"/>
            </w:tcBorders>
            <w:shd w:val="clear" w:color="auto" w:fill="auto"/>
            <w:vAlign w:val="center"/>
            <w:hideMark/>
          </w:tcPr>
          <w:p w14:paraId="34CED787" w14:textId="77777777" w:rsidR="002C0DC3" w:rsidRPr="002C0DC3" w:rsidRDefault="002C0DC3" w:rsidP="002C0DC3">
            <w:pPr>
              <w:suppressAutoHyphens w:val="0"/>
              <w:jc w:val="both"/>
              <w:rPr>
                <w:lang w:val="es-CR" w:eastAsia="es-CR"/>
              </w:rPr>
            </w:pPr>
            <w:r w:rsidRPr="002C0DC3">
              <w:rPr>
                <w:rFonts w:eastAsia="Calibri"/>
                <w:lang w:val="es-CR" w:eastAsia="zh-CN"/>
              </w:rPr>
              <w:t> </w:t>
            </w:r>
          </w:p>
        </w:tc>
        <w:tc>
          <w:tcPr>
            <w:tcW w:w="1687" w:type="dxa"/>
            <w:tcBorders>
              <w:top w:val="nil"/>
              <w:left w:val="nil"/>
              <w:bottom w:val="single" w:sz="8" w:space="0" w:color="auto"/>
              <w:right w:val="single" w:sz="8" w:space="0" w:color="auto"/>
            </w:tcBorders>
            <w:shd w:val="clear" w:color="auto" w:fill="auto"/>
            <w:vAlign w:val="center"/>
            <w:hideMark/>
          </w:tcPr>
          <w:p w14:paraId="7E2F1A4D" w14:textId="77777777" w:rsidR="002C0DC3" w:rsidRPr="002C0DC3" w:rsidRDefault="002C0DC3" w:rsidP="002C0DC3">
            <w:pPr>
              <w:suppressAutoHyphens w:val="0"/>
              <w:jc w:val="both"/>
              <w:rPr>
                <w:lang w:val="es-CR" w:eastAsia="es-CR"/>
              </w:rPr>
            </w:pPr>
            <w:r w:rsidRPr="002C0DC3">
              <w:rPr>
                <w:rFonts w:eastAsia="Calibri"/>
                <w:lang w:val="es-CR" w:eastAsia="zh-CN"/>
              </w:rPr>
              <w:t> </w:t>
            </w:r>
          </w:p>
        </w:tc>
        <w:tc>
          <w:tcPr>
            <w:tcW w:w="2312" w:type="dxa"/>
            <w:tcBorders>
              <w:top w:val="nil"/>
              <w:left w:val="nil"/>
              <w:bottom w:val="single" w:sz="8" w:space="0" w:color="auto"/>
              <w:right w:val="single" w:sz="8" w:space="0" w:color="auto"/>
            </w:tcBorders>
            <w:shd w:val="clear" w:color="auto" w:fill="auto"/>
            <w:vAlign w:val="center"/>
            <w:hideMark/>
          </w:tcPr>
          <w:p w14:paraId="7010E804" w14:textId="77777777" w:rsidR="002C0DC3" w:rsidRPr="002C0DC3" w:rsidRDefault="002C0DC3" w:rsidP="002C0DC3">
            <w:pPr>
              <w:suppressAutoHyphens w:val="0"/>
              <w:jc w:val="both"/>
              <w:rPr>
                <w:lang w:val="es-CR" w:eastAsia="es-CR"/>
              </w:rPr>
            </w:pPr>
            <w:r w:rsidRPr="002C0DC3">
              <w:rPr>
                <w:rFonts w:eastAsia="Calibri"/>
                <w:lang w:val="es-CR" w:eastAsia="zh-CN"/>
              </w:rPr>
              <w:t>Se terminaron las demandas nuevas comprendidas de diciembre 2019 y enero 2020, por lo que los planes remediales surgieron efecto.</w:t>
            </w:r>
          </w:p>
        </w:tc>
      </w:tr>
      <w:tr w:rsidR="002C0DC3" w:rsidRPr="002C0DC3" w14:paraId="53BAF71C" w14:textId="77777777" w:rsidTr="002C0DC3">
        <w:trPr>
          <w:trHeight w:val="20"/>
        </w:trPr>
        <w:tc>
          <w:tcPr>
            <w:tcW w:w="1560" w:type="dxa"/>
            <w:tcBorders>
              <w:top w:val="nil"/>
              <w:left w:val="single" w:sz="8" w:space="0" w:color="auto"/>
              <w:bottom w:val="single" w:sz="8" w:space="0" w:color="auto"/>
              <w:right w:val="single" w:sz="8" w:space="0" w:color="auto"/>
            </w:tcBorders>
            <w:shd w:val="clear" w:color="auto" w:fill="auto"/>
            <w:vAlign w:val="center"/>
            <w:hideMark/>
          </w:tcPr>
          <w:p w14:paraId="03F34070" w14:textId="77777777" w:rsidR="002C0DC3" w:rsidRPr="002C0DC3" w:rsidRDefault="002C0DC3" w:rsidP="002C0DC3">
            <w:pPr>
              <w:suppressAutoHyphens w:val="0"/>
              <w:jc w:val="both"/>
              <w:rPr>
                <w:lang w:val="es-CR" w:eastAsia="es-CR"/>
              </w:rPr>
            </w:pPr>
            <w:r w:rsidRPr="002C0DC3">
              <w:rPr>
                <w:rFonts w:eastAsia="Calibri"/>
                <w:lang w:val="es-CR" w:eastAsia="zh-CN"/>
              </w:rPr>
              <w:t>Juzgado de Pensiones Alimentarias del Primer Circuito Judicial de la Zona Atlántica.</w:t>
            </w:r>
          </w:p>
        </w:tc>
        <w:tc>
          <w:tcPr>
            <w:tcW w:w="1334" w:type="dxa"/>
            <w:tcBorders>
              <w:top w:val="nil"/>
              <w:left w:val="nil"/>
              <w:bottom w:val="single" w:sz="8" w:space="0" w:color="auto"/>
              <w:right w:val="single" w:sz="8" w:space="0" w:color="auto"/>
            </w:tcBorders>
            <w:shd w:val="clear" w:color="auto" w:fill="auto"/>
            <w:vAlign w:val="center"/>
            <w:hideMark/>
          </w:tcPr>
          <w:p w14:paraId="25FBBD97" w14:textId="77777777" w:rsidR="002C0DC3" w:rsidRPr="002C0DC3" w:rsidRDefault="002C0DC3" w:rsidP="002C0DC3">
            <w:pPr>
              <w:suppressAutoHyphens w:val="0"/>
              <w:jc w:val="both"/>
              <w:rPr>
                <w:lang w:val="es-CR" w:eastAsia="es-CR"/>
              </w:rPr>
            </w:pPr>
            <w:r w:rsidRPr="002C0DC3">
              <w:rPr>
                <w:rFonts w:eastAsia="Calibri"/>
                <w:lang w:val="es-CR" w:eastAsia="zh-CN"/>
              </w:rPr>
              <w:t>1. Disminuir el plazo de espera de dictado de sentencia.</w:t>
            </w:r>
          </w:p>
        </w:tc>
        <w:tc>
          <w:tcPr>
            <w:tcW w:w="1077" w:type="dxa"/>
            <w:tcBorders>
              <w:top w:val="nil"/>
              <w:left w:val="nil"/>
              <w:bottom w:val="single" w:sz="8" w:space="0" w:color="auto"/>
              <w:right w:val="single" w:sz="8" w:space="0" w:color="auto"/>
            </w:tcBorders>
            <w:shd w:val="clear" w:color="auto" w:fill="auto"/>
            <w:vAlign w:val="center"/>
            <w:hideMark/>
          </w:tcPr>
          <w:p w14:paraId="45A50679" w14:textId="77777777" w:rsidR="002C0DC3" w:rsidRPr="002C0DC3" w:rsidRDefault="002C0DC3" w:rsidP="002C0DC3">
            <w:pPr>
              <w:suppressAutoHyphens w:val="0"/>
              <w:jc w:val="both"/>
              <w:rPr>
                <w:lang w:val="es-CR" w:eastAsia="es-CR"/>
              </w:rPr>
            </w:pPr>
            <w:r w:rsidRPr="002C0DC3">
              <w:rPr>
                <w:rFonts w:eastAsia="Calibri"/>
                <w:lang w:val="es-CR" w:eastAsia="zh-CN"/>
              </w:rPr>
              <w:t>4/3/2020</w:t>
            </w:r>
          </w:p>
        </w:tc>
        <w:tc>
          <w:tcPr>
            <w:tcW w:w="1077" w:type="dxa"/>
            <w:tcBorders>
              <w:top w:val="nil"/>
              <w:left w:val="nil"/>
              <w:bottom w:val="single" w:sz="8" w:space="0" w:color="auto"/>
              <w:right w:val="single" w:sz="8" w:space="0" w:color="auto"/>
            </w:tcBorders>
            <w:shd w:val="clear" w:color="auto" w:fill="auto"/>
            <w:vAlign w:val="center"/>
            <w:hideMark/>
          </w:tcPr>
          <w:p w14:paraId="66F627C5" w14:textId="77777777" w:rsidR="002C0DC3" w:rsidRPr="002C0DC3" w:rsidRDefault="002C0DC3" w:rsidP="002C0DC3">
            <w:pPr>
              <w:suppressAutoHyphens w:val="0"/>
              <w:jc w:val="both"/>
              <w:rPr>
                <w:lang w:val="es-CR" w:eastAsia="es-CR"/>
              </w:rPr>
            </w:pPr>
            <w:r w:rsidRPr="002C0DC3">
              <w:rPr>
                <w:rFonts w:eastAsia="Calibri"/>
                <w:lang w:val="es-CR" w:eastAsia="zh-CN"/>
              </w:rPr>
              <w:t>30/3/2020</w:t>
            </w:r>
          </w:p>
        </w:tc>
        <w:tc>
          <w:tcPr>
            <w:tcW w:w="1687" w:type="dxa"/>
            <w:tcBorders>
              <w:top w:val="nil"/>
              <w:left w:val="nil"/>
              <w:bottom w:val="single" w:sz="8" w:space="0" w:color="auto"/>
              <w:right w:val="single" w:sz="8" w:space="0" w:color="auto"/>
            </w:tcBorders>
            <w:shd w:val="clear" w:color="auto" w:fill="auto"/>
            <w:vAlign w:val="center"/>
            <w:hideMark/>
          </w:tcPr>
          <w:p w14:paraId="0C60AC47" w14:textId="77777777" w:rsidR="002C0DC3" w:rsidRPr="002C0DC3" w:rsidRDefault="002C0DC3" w:rsidP="002C0DC3">
            <w:pPr>
              <w:suppressAutoHyphens w:val="0"/>
              <w:jc w:val="both"/>
              <w:rPr>
                <w:lang w:val="es-CR" w:eastAsia="es-CR"/>
              </w:rPr>
            </w:pPr>
            <w:r w:rsidRPr="002C0DC3">
              <w:rPr>
                <w:rFonts w:eastAsia="Calibri"/>
                <w:lang w:val="es-CR" w:eastAsia="zh-CN"/>
              </w:rPr>
              <w:t>Persona Juzgadora de Trámite y Coordinadora</w:t>
            </w:r>
          </w:p>
        </w:tc>
        <w:tc>
          <w:tcPr>
            <w:tcW w:w="2312" w:type="dxa"/>
            <w:tcBorders>
              <w:top w:val="nil"/>
              <w:left w:val="nil"/>
              <w:bottom w:val="single" w:sz="8" w:space="0" w:color="auto"/>
              <w:right w:val="single" w:sz="8" w:space="0" w:color="auto"/>
            </w:tcBorders>
            <w:shd w:val="clear" w:color="auto" w:fill="auto"/>
            <w:vAlign w:val="center"/>
            <w:hideMark/>
          </w:tcPr>
          <w:p w14:paraId="73BDCEFF" w14:textId="77777777" w:rsidR="002C0DC3" w:rsidRPr="002C0DC3" w:rsidRDefault="002C0DC3" w:rsidP="002C0DC3">
            <w:pPr>
              <w:suppressAutoHyphens w:val="0"/>
              <w:jc w:val="both"/>
              <w:rPr>
                <w:lang w:val="es-CR" w:eastAsia="es-CR"/>
              </w:rPr>
            </w:pPr>
            <w:r w:rsidRPr="002C0DC3">
              <w:rPr>
                <w:rFonts w:eastAsia="Calibri"/>
                <w:lang w:val="es-CR" w:eastAsia="zh-CN"/>
              </w:rPr>
              <w:t>El plan remedial implementado fue exitoso; para inicios de enero el plazo era de 76 y para finalizar abril llegaron a 9 colocándose dentro de los rangos muy buenos.</w:t>
            </w:r>
          </w:p>
        </w:tc>
      </w:tr>
    </w:tbl>
    <w:p w14:paraId="46A6CB5B" w14:textId="77777777" w:rsidR="002C0DC3" w:rsidRPr="002C0DC3" w:rsidRDefault="002C0DC3" w:rsidP="002C0DC3">
      <w:pPr>
        <w:suppressAutoHyphens w:val="0"/>
        <w:jc w:val="both"/>
        <w:rPr>
          <w:rFonts w:eastAsia="Calibri"/>
          <w:lang w:val="es-CR" w:eastAsia="zh-CN"/>
        </w:rPr>
      </w:pPr>
    </w:p>
    <w:p w14:paraId="07D44844" w14:textId="77777777" w:rsidR="002C0DC3" w:rsidRPr="002C0DC3" w:rsidRDefault="002C0DC3" w:rsidP="002C0DC3">
      <w:pPr>
        <w:suppressAutoHyphens w:val="0"/>
        <w:jc w:val="both"/>
        <w:rPr>
          <w:rFonts w:eastAsia="Calibri"/>
          <w:lang w:val="es-CR" w:eastAsia="en-US"/>
        </w:rPr>
      </w:pPr>
    </w:p>
    <w:p w14:paraId="75E502E3" w14:textId="77777777" w:rsidR="002C0DC3" w:rsidRPr="002C0DC3" w:rsidRDefault="002C0DC3" w:rsidP="002C0DC3">
      <w:pPr>
        <w:suppressAutoHyphens w:val="0"/>
        <w:jc w:val="center"/>
        <w:rPr>
          <w:rFonts w:eastAsia="Calibri"/>
          <w:b/>
          <w:bCs/>
          <w:lang w:val="es-CR" w:eastAsia="zh-CN"/>
        </w:rPr>
      </w:pPr>
      <w:r w:rsidRPr="002C0DC3">
        <w:rPr>
          <w:rFonts w:eastAsia="Calibri"/>
          <w:b/>
          <w:bCs/>
          <w:lang w:val="es-CR" w:eastAsia="zh-CN"/>
        </w:rPr>
        <w:t>De mayo a setiembre</w:t>
      </w:r>
    </w:p>
    <w:p w14:paraId="6DACA26B" w14:textId="77777777" w:rsidR="002C0DC3" w:rsidRPr="002C0DC3" w:rsidRDefault="002C0DC3" w:rsidP="002C0DC3">
      <w:pPr>
        <w:suppressAutoHyphens w:val="0"/>
        <w:jc w:val="both"/>
        <w:rPr>
          <w:rFonts w:eastAsia="Calibri"/>
          <w:lang w:val="es-CR" w:eastAsia="zh-CN"/>
        </w:rPr>
      </w:pPr>
    </w:p>
    <w:tbl>
      <w:tblPr>
        <w:tblW w:w="8859" w:type="dxa"/>
        <w:tblCellMar>
          <w:left w:w="70" w:type="dxa"/>
          <w:right w:w="70" w:type="dxa"/>
        </w:tblCellMar>
        <w:tblLook w:val="04A0" w:firstRow="1" w:lastRow="0" w:firstColumn="1" w:lastColumn="0" w:noHBand="0" w:noVBand="1"/>
      </w:tblPr>
      <w:tblGrid>
        <w:gridCol w:w="1464"/>
        <w:gridCol w:w="1727"/>
        <w:gridCol w:w="878"/>
        <w:gridCol w:w="897"/>
        <w:gridCol w:w="1914"/>
        <w:gridCol w:w="1979"/>
      </w:tblGrid>
      <w:tr w:rsidR="002C0DC3" w:rsidRPr="002C0DC3" w14:paraId="14ECB1A4" w14:textId="77777777" w:rsidTr="002C0DC3">
        <w:trPr>
          <w:trHeight w:val="20"/>
        </w:trPr>
        <w:tc>
          <w:tcPr>
            <w:tcW w:w="155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12DFC8B4" w14:textId="77777777" w:rsidR="002C0DC3" w:rsidRPr="002C0DC3" w:rsidRDefault="002C0DC3" w:rsidP="002C0DC3">
            <w:pPr>
              <w:suppressAutoHyphens w:val="0"/>
              <w:jc w:val="center"/>
              <w:rPr>
                <w:b/>
                <w:bCs/>
                <w:lang w:val="es-CR" w:eastAsia="es-CR"/>
              </w:rPr>
            </w:pPr>
            <w:r w:rsidRPr="002C0DC3">
              <w:rPr>
                <w:b/>
                <w:bCs/>
                <w:lang w:val="es-CR" w:eastAsia="es-CR"/>
              </w:rPr>
              <w:t>Despacho</w:t>
            </w:r>
          </w:p>
        </w:tc>
        <w:tc>
          <w:tcPr>
            <w:tcW w:w="1462" w:type="dxa"/>
            <w:tcBorders>
              <w:top w:val="single" w:sz="8" w:space="0" w:color="auto"/>
              <w:left w:val="nil"/>
              <w:bottom w:val="single" w:sz="8" w:space="0" w:color="auto"/>
              <w:right w:val="single" w:sz="8" w:space="0" w:color="auto"/>
            </w:tcBorders>
            <w:shd w:val="clear" w:color="000000" w:fill="B4C6E7"/>
            <w:vAlign w:val="center"/>
            <w:hideMark/>
          </w:tcPr>
          <w:p w14:paraId="2E234F2C" w14:textId="77777777" w:rsidR="002C0DC3" w:rsidRPr="002C0DC3" w:rsidRDefault="002C0DC3" w:rsidP="002C0DC3">
            <w:pPr>
              <w:suppressAutoHyphens w:val="0"/>
              <w:jc w:val="center"/>
              <w:rPr>
                <w:b/>
                <w:bCs/>
                <w:lang w:val="es-CR" w:eastAsia="es-CR"/>
              </w:rPr>
            </w:pPr>
            <w:r w:rsidRPr="002C0DC3">
              <w:rPr>
                <w:b/>
                <w:bCs/>
                <w:lang w:val="es-CR" w:eastAsia="es-CR"/>
              </w:rPr>
              <w:t>Detalle de Plan</w:t>
            </w:r>
          </w:p>
        </w:tc>
        <w:tc>
          <w:tcPr>
            <w:tcW w:w="907" w:type="dxa"/>
            <w:tcBorders>
              <w:top w:val="single" w:sz="8" w:space="0" w:color="auto"/>
              <w:left w:val="nil"/>
              <w:bottom w:val="single" w:sz="8" w:space="0" w:color="auto"/>
              <w:right w:val="single" w:sz="8" w:space="0" w:color="auto"/>
            </w:tcBorders>
            <w:shd w:val="clear" w:color="000000" w:fill="B4C6E7"/>
            <w:vAlign w:val="center"/>
            <w:hideMark/>
          </w:tcPr>
          <w:p w14:paraId="1BA12427" w14:textId="77777777" w:rsidR="002C0DC3" w:rsidRPr="002C0DC3" w:rsidRDefault="002C0DC3" w:rsidP="002C0DC3">
            <w:pPr>
              <w:suppressAutoHyphens w:val="0"/>
              <w:jc w:val="center"/>
              <w:rPr>
                <w:b/>
                <w:bCs/>
                <w:lang w:val="es-CR" w:eastAsia="es-CR"/>
              </w:rPr>
            </w:pPr>
            <w:r w:rsidRPr="002C0DC3">
              <w:rPr>
                <w:b/>
                <w:bCs/>
                <w:lang w:val="es-CR" w:eastAsia="es-CR"/>
              </w:rPr>
              <w:t>Fecha inicio</w:t>
            </w:r>
          </w:p>
        </w:tc>
        <w:tc>
          <w:tcPr>
            <w:tcW w:w="907" w:type="dxa"/>
            <w:tcBorders>
              <w:top w:val="single" w:sz="8" w:space="0" w:color="auto"/>
              <w:left w:val="nil"/>
              <w:bottom w:val="single" w:sz="8" w:space="0" w:color="auto"/>
              <w:right w:val="single" w:sz="8" w:space="0" w:color="auto"/>
            </w:tcBorders>
            <w:shd w:val="clear" w:color="000000" w:fill="B4C6E7"/>
            <w:vAlign w:val="center"/>
            <w:hideMark/>
          </w:tcPr>
          <w:p w14:paraId="0FF4A57E" w14:textId="77777777" w:rsidR="002C0DC3" w:rsidRPr="002C0DC3" w:rsidRDefault="002C0DC3" w:rsidP="002C0DC3">
            <w:pPr>
              <w:suppressAutoHyphens w:val="0"/>
              <w:jc w:val="center"/>
              <w:rPr>
                <w:b/>
                <w:bCs/>
                <w:lang w:val="es-CR" w:eastAsia="es-CR"/>
              </w:rPr>
            </w:pPr>
            <w:r w:rsidRPr="002C0DC3">
              <w:rPr>
                <w:b/>
                <w:bCs/>
                <w:lang w:val="es-CR" w:eastAsia="es-CR"/>
              </w:rPr>
              <w:t>Fecha fin</w:t>
            </w:r>
          </w:p>
        </w:tc>
        <w:tc>
          <w:tcPr>
            <w:tcW w:w="1968" w:type="dxa"/>
            <w:tcBorders>
              <w:top w:val="single" w:sz="8" w:space="0" w:color="auto"/>
              <w:left w:val="nil"/>
              <w:bottom w:val="single" w:sz="8" w:space="0" w:color="auto"/>
              <w:right w:val="single" w:sz="8" w:space="0" w:color="auto"/>
            </w:tcBorders>
            <w:shd w:val="clear" w:color="000000" w:fill="B4C6E7"/>
            <w:vAlign w:val="center"/>
            <w:hideMark/>
          </w:tcPr>
          <w:p w14:paraId="377D8487" w14:textId="77777777" w:rsidR="002C0DC3" w:rsidRPr="002C0DC3" w:rsidRDefault="002C0DC3" w:rsidP="002C0DC3">
            <w:pPr>
              <w:suppressAutoHyphens w:val="0"/>
              <w:jc w:val="center"/>
              <w:rPr>
                <w:b/>
                <w:bCs/>
                <w:lang w:val="es-CR" w:eastAsia="es-CR"/>
              </w:rPr>
            </w:pPr>
            <w:r w:rsidRPr="002C0DC3">
              <w:rPr>
                <w:b/>
                <w:bCs/>
                <w:lang w:val="es-CR" w:eastAsia="es-CR"/>
              </w:rPr>
              <w:t>Responsable</w:t>
            </w:r>
          </w:p>
        </w:tc>
        <w:tc>
          <w:tcPr>
            <w:tcW w:w="2065" w:type="dxa"/>
            <w:tcBorders>
              <w:top w:val="single" w:sz="8" w:space="0" w:color="auto"/>
              <w:left w:val="nil"/>
              <w:bottom w:val="single" w:sz="8" w:space="0" w:color="auto"/>
              <w:right w:val="single" w:sz="8" w:space="0" w:color="auto"/>
            </w:tcBorders>
            <w:shd w:val="clear" w:color="000000" w:fill="B4C6E7"/>
            <w:vAlign w:val="center"/>
            <w:hideMark/>
          </w:tcPr>
          <w:p w14:paraId="6551F9E5" w14:textId="77777777" w:rsidR="002C0DC3" w:rsidRPr="002C0DC3" w:rsidRDefault="002C0DC3" w:rsidP="002C0DC3">
            <w:pPr>
              <w:suppressAutoHyphens w:val="0"/>
              <w:jc w:val="center"/>
              <w:rPr>
                <w:b/>
                <w:bCs/>
                <w:lang w:val="es-CR" w:eastAsia="es-CR"/>
              </w:rPr>
            </w:pPr>
            <w:r w:rsidRPr="002C0DC3">
              <w:rPr>
                <w:b/>
                <w:bCs/>
                <w:lang w:val="es-CR" w:eastAsia="es-CR"/>
              </w:rPr>
              <w:t>Resultado</w:t>
            </w:r>
          </w:p>
        </w:tc>
      </w:tr>
      <w:tr w:rsidR="002C0DC3" w:rsidRPr="002C0DC3" w14:paraId="4A1F82FE" w14:textId="77777777" w:rsidTr="002C0DC3">
        <w:trPr>
          <w:trHeight w:val="20"/>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5767A62F" w14:textId="77777777" w:rsidR="002C0DC3" w:rsidRPr="002C0DC3" w:rsidRDefault="002C0DC3" w:rsidP="002C0DC3">
            <w:pPr>
              <w:suppressAutoHyphens w:val="0"/>
              <w:rPr>
                <w:lang w:val="es-CR" w:eastAsia="es-CR"/>
              </w:rPr>
            </w:pPr>
            <w:r w:rsidRPr="002C0DC3">
              <w:rPr>
                <w:lang w:val="es-CR" w:eastAsia="es-CR"/>
              </w:rPr>
              <w:t>Juzgado de Cobro del Primer Circuito Judicial de la Zona Atlántica</w:t>
            </w:r>
          </w:p>
        </w:tc>
        <w:tc>
          <w:tcPr>
            <w:tcW w:w="1462" w:type="dxa"/>
            <w:tcBorders>
              <w:top w:val="nil"/>
              <w:left w:val="nil"/>
              <w:bottom w:val="single" w:sz="8" w:space="0" w:color="auto"/>
              <w:right w:val="single" w:sz="8" w:space="0" w:color="auto"/>
            </w:tcBorders>
            <w:shd w:val="clear" w:color="auto" w:fill="auto"/>
            <w:vAlign w:val="center"/>
            <w:hideMark/>
          </w:tcPr>
          <w:p w14:paraId="3E5F4F76" w14:textId="77777777" w:rsidR="002C0DC3" w:rsidRPr="002C0DC3" w:rsidRDefault="002C0DC3" w:rsidP="002C0DC3">
            <w:pPr>
              <w:suppressAutoHyphens w:val="0"/>
              <w:rPr>
                <w:lang w:val="es-CR" w:eastAsia="es-CR"/>
              </w:rPr>
            </w:pPr>
            <w:r w:rsidRPr="002C0DC3">
              <w:rPr>
                <w:lang w:val="es-CR" w:eastAsia="es-CR"/>
              </w:rPr>
              <w:t xml:space="preserve">Se le otorgó una persona juzgadora supernumeraria para realizar demandas nuevas con una cuota diaria de 40 asuntos y se le asignó dos personas técnicas supernumerarias para tramitar </w:t>
            </w:r>
            <w:r w:rsidRPr="002C0DC3">
              <w:rPr>
                <w:lang w:val="es-CR" w:eastAsia="es-CR"/>
              </w:rPr>
              <w:lastRenderedPageBreak/>
              <w:t>demandas nuevas con una cuota diaria de 20 asuntos por cada uno.</w:t>
            </w:r>
          </w:p>
        </w:tc>
        <w:tc>
          <w:tcPr>
            <w:tcW w:w="907" w:type="dxa"/>
            <w:tcBorders>
              <w:top w:val="nil"/>
              <w:left w:val="nil"/>
              <w:bottom w:val="single" w:sz="8" w:space="0" w:color="auto"/>
              <w:right w:val="single" w:sz="8" w:space="0" w:color="auto"/>
            </w:tcBorders>
            <w:shd w:val="clear" w:color="auto" w:fill="auto"/>
            <w:vAlign w:val="center"/>
            <w:hideMark/>
          </w:tcPr>
          <w:p w14:paraId="69783B67" w14:textId="77777777" w:rsidR="002C0DC3" w:rsidRPr="002C0DC3" w:rsidRDefault="002C0DC3" w:rsidP="002C0DC3">
            <w:pPr>
              <w:suppressAutoHyphens w:val="0"/>
              <w:rPr>
                <w:lang w:val="es-CR" w:eastAsia="es-CR"/>
              </w:rPr>
            </w:pPr>
            <w:r w:rsidRPr="002C0DC3">
              <w:rPr>
                <w:lang w:val="es-CR" w:eastAsia="es-CR"/>
              </w:rPr>
              <w:lastRenderedPageBreak/>
              <w:t>1° de agosto del 2020</w:t>
            </w:r>
          </w:p>
        </w:tc>
        <w:tc>
          <w:tcPr>
            <w:tcW w:w="907" w:type="dxa"/>
            <w:tcBorders>
              <w:top w:val="nil"/>
              <w:left w:val="nil"/>
              <w:bottom w:val="single" w:sz="8" w:space="0" w:color="auto"/>
              <w:right w:val="single" w:sz="8" w:space="0" w:color="auto"/>
            </w:tcBorders>
            <w:shd w:val="clear" w:color="auto" w:fill="auto"/>
            <w:vAlign w:val="center"/>
            <w:hideMark/>
          </w:tcPr>
          <w:p w14:paraId="448BE0F1" w14:textId="77777777" w:rsidR="002C0DC3" w:rsidRPr="002C0DC3" w:rsidRDefault="002C0DC3" w:rsidP="002C0DC3">
            <w:pPr>
              <w:suppressAutoHyphens w:val="0"/>
              <w:rPr>
                <w:lang w:val="es-CR" w:eastAsia="es-CR"/>
              </w:rPr>
            </w:pPr>
            <w:r w:rsidRPr="002C0DC3">
              <w:rPr>
                <w:lang w:val="es-CR" w:eastAsia="es-CR"/>
              </w:rPr>
              <w:t>21 de octubre del 2020</w:t>
            </w:r>
          </w:p>
        </w:tc>
        <w:tc>
          <w:tcPr>
            <w:tcW w:w="1968" w:type="dxa"/>
            <w:tcBorders>
              <w:top w:val="nil"/>
              <w:left w:val="nil"/>
              <w:bottom w:val="single" w:sz="8" w:space="0" w:color="auto"/>
              <w:right w:val="single" w:sz="8" w:space="0" w:color="auto"/>
            </w:tcBorders>
            <w:shd w:val="clear" w:color="auto" w:fill="auto"/>
            <w:vAlign w:val="center"/>
            <w:hideMark/>
          </w:tcPr>
          <w:p w14:paraId="4541676D" w14:textId="77777777" w:rsidR="002C0DC3" w:rsidRPr="002C0DC3" w:rsidRDefault="002C0DC3" w:rsidP="002C0DC3">
            <w:pPr>
              <w:suppressAutoHyphens w:val="0"/>
              <w:jc w:val="both"/>
              <w:rPr>
                <w:lang w:val="es-CR" w:eastAsia="es-CR"/>
              </w:rPr>
            </w:pPr>
            <w:r w:rsidRPr="002C0DC3">
              <w:rPr>
                <w:lang w:val="es-CR" w:eastAsia="es-CR"/>
              </w:rPr>
              <w:t>Juzgado de Cobro del Primer Circuito Judicial de la Zona Atlántica</w:t>
            </w:r>
            <w:r w:rsidRPr="002C0DC3">
              <w:rPr>
                <w:lang w:val="es-CR" w:eastAsia="es-CR"/>
              </w:rPr>
              <w:br/>
              <w:t>Personal Juzgador Supernumerario y personal técnico supernumerario.</w:t>
            </w:r>
            <w:r w:rsidRPr="002C0DC3">
              <w:rPr>
                <w:lang w:val="es-CR" w:eastAsia="es-CR"/>
              </w:rPr>
              <w:br/>
              <w:t xml:space="preserve">Administración Regional del Primer Circuito Judicial de la Zona Atlántica </w:t>
            </w:r>
          </w:p>
        </w:tc>
        <w:tc>
          <w:tcPr>
            <w:tcW w:w="2065" w:type="dxa"/>
            <w:tcBorders>
              <w:top w:val="nil"/>
              <w:left w:val="nil"/>
              <w:bottom w:val="single" w:sz="8" w:space="0" w:color="auto"/>
              <w:right w:val="single" w:sz="8" w:space="0" w:color="auto"/>
            </w:tcBorders>
            <w:shd w:val="clear" w:color="auto" w:fill="auto"/>
            <w:vAlign w:val="center"/>
            <w:hideMark/>
          </w:tcPr>
          <w:p w14:paraId="79298D52" w14:textId="77777777" w:rsidR="002C0DC3" w:rsidRPr="002C0DC3" w:rsidRDefault="002C0DC3" w:rsidP="002C0DC3">
            <w:pPr>
              <w:suppressAutoHyphens w:val="0"/>
              <w:rPr>
                <w:lang w:val="es-CR" w:eastAsia="es-CR"/>
              </w:rPr>
            </w:pPr>
            <w:r w:rsidRPr="002C0DC3">
              <w:rPr>
                <w:lang w:val="es-CR" w:eastAsia="es-CR"/>
              </w:rPr>
              <w:t xml:space="preserve">El plazo de espera para resolver demandas nuevas disminuyó de 4 meses a un mes, por lo que el plan de trabajo dio resultados positivos. Según la proyección del plan de trabajo tuvieron que tramitar un total de 2240 de demandas </w:t>
            </w:r>
            <w:r w:rsidRPr="002C0DC3">
              <w:rPr>
                <w:lang w:val="es-CR" w:eastAsia="es-CR"/>
              </w:rPr>
              <w:lastRenderedPageBreak/>
              <w:t xml:space="preserve">nuevas; sin embargo, tramitaron un total de 1245 a causa de la capacitación que primeramente tuvieron que recibir el personal supernumerario en Cobro. A pesar de lo anterior, se obtuvo resultados positivos con el plan de trabajo. </w:t>
            </w:r>
          </w:p>
        </w:tc>
      </w:tr>
    </w:tbl>
    <w:p w14:paraId="35F11C05" w14:textId="77777777" w:rsidR="002C0DC3" w:rsidRPr="002C0DC3" w:rsidRDefault="002C0DC3" w:rsidP="002C0DC3">
      <w:pPr>
        <w:suppressAutoHyphens w:val="0"/>
        <w:jc w:val="both"/>
        <w:rPr>
          <w:rFonts w:eastAsia="Calibri"/>
          <w:lang w:val="es-CR" w:eastAsia="en-US"/>
        </w:rPr>
      </w:pPr>
    </w:p>
    <w:p w14:paraId="7DCCCC2C" w14:textId="77777777" w:rsidR="002C0DC3" w:rsidRPr="002C0DC3" w:rsidRDefault="002C0DC3" w:rsidP="002C0DC3">
      <w:pPr>
        <w:suppressAutoHyphens w:val="0"/>
        <w:jc w:val="center"/>
        <w:rPr>
          <w:rFonts w:eastAsia="Calibri"/>
          <w:b/>
          <w:bCs/>
          <w:lang w:val="es-CR" w:eastAsia="zh-CN"/>
        </w:rPr>
      </w:pPr>
      <w:r w:rsidRPr="002C0DC3">
        <w:rPr>
          <w:rFonts w:eastAsia="Calibri"/>
          <w:b/>
          <w:bCs/>
          <w:lang w:val="es-CR" w:eastAsia="zh-CN"/>
        </w:rPr>
        <w:t>De octubre a diciembre</w:t>
      </w:r>
    </w:p>
    <w:p w14:paraId="34C1A474" w14:textId="77777777" w:rsidR="002C0DC3" w:rsidRPr="002C0DC3" w:rsidRDefault="002C0DC3" w:rsidP="002C0DC3">
      <w:pPr>
        <w:suppressAutoHyphens w:val="0"/>
        <w:jc w:val="both"/>
        <w:rPr>
          <w:rFonts w:eastAsia="Calibri"/>
          <w:b/>
          <w:bCs/>
          <w:lang w:val="es-CR" w:eastAsia="zh-CN"/>
        </w:rPr>
      </w:pPr>
    </w:p>
    <w:tbl>
      <w:tblPr>
        <w:tblW w:w="9528" w:type="dxa"/>
        <w:tblInd w:w="-23" w:type="dxa"/>
        <w:tblCellMar>
          <w:left w:w="70" w:type="dxa"/>
          <w:right w:w="70" w:type="dxa"/>
        </w:tblCellMar>
        <w:tblLook w:val="04A0" w:firstRow="1" w:lastRow="0" w:firstColumn="1" w:lastColumn="0" w:noHBand="0" w:noVBand="1"/>
      </w:tblPr>
      <w:tblGrid>
        <w:gridCol w:w="1159"/>
        <w:gridCol w:w="1251"/>
        <w:gridCol w:w="1843"/>
        <w:gridCol w:w="1074"/>
        <w:gridCol w:w="1074"/>
        <w:gridCol w:w="1821"/>
        <w:gridCol w:w="1306"/>
      </w:tblGrid>
      <w:tr w:rsidR="002C0DC3" w:rsidRPr="002C0DC3" w14:paraId="4F70C1FE" w14:textId="77777777" w:rsidTr="002C0DC3">
        <w:trPr>
          <w:trHeight w:val="20"/>
          <w:tblHeader/>
        </w:trPr>
        <w:tc>
          <w:tcPr>
            <w:tcW w:w="1159" w:type="dxa"/>
            <w:tcBorders>
              <w:top w:val="double" w:sz="6" w:space="0" w:color="203764"/>
              <w:left w:val="double" w:sz="6" w:space="0" w:color="203764"/>
              <w:bottom w:val="double" w:sz="6" w:space="0" w:color="203764"/>
              <w:right w:val="double" w:sz="6" w:space="0" w:color="203764"/>
            </w:tcBorders>
            <w:shd w:val="clear" w:color="000000" w:fill="203764"/>
            <w:vAlign w:val="center"/>
            <w:hideMark/>
          </w:tcPr>
          <w:p w14:paraId="03CEC259"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Número de plan de trabajo u oficio</w:t>
            </w:r>
          </w:p>
        </w:tc>
        <w:tc>
          <w:tcPr>
            <w:tcW w:w="1251" w:type="dxa"/>
            <w:tcBorders>
              <w:top w:val="double" w:sz="6" w:space="0" w:color="203764"/>
              <w:left w:val="nil"/>
              <w:bottom w:val="double" w:sz="6" w:space="0" w:color="203764"/>
              <w:right w:val="double" w:sz="6" w:space="0" w:color="203764"/>
            </w:tcBorders>
            <w:shd w:val="clear" w:color="000000" w:fill="203764"/>
            <w:vAlign w:val="center"/>
            <w:hideMark/>
          </w:tcPr>
          <w:p w14:paraId="2E027965"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Despacho u oficina</w:t>
            </w:r>
          </w:p>
        </w:tc>
        <w:tc>
          <w:tcPr>
            <w:tcW w:w="1843" w:type="dxa"/>
            <w:tcBorders>
              <w:top w:val="double" w:sz="6" w:space="0" w:color="203764"/>
              <w:left w:val="nil"/>
              <w:bottom w:val="double" w:sz="6" w:space="0" w:color="203764"/>
              <w:right w:val="double" w:sz="6" w:space="0" w:color="203764"/>
            </w:tcBorders>
            <w:shd w:val="clear" w:color="000000" w:fill="203764"/>
            <w:vAlign w:val="center"/>
            <w:hideMark/>
          </w:tcPr>
          <w:p w14:paraId="2FF7DFD9"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Detalle del Plan</w:t>
            </w:r>
          </w:p>
        </w:tc>
        <w:tc>
          <w:tcPr>
            <w:tcW w:w="1074" w:type="dxa"/>
            <w:tcBorders>
              <w:top w:val="double" w:sz="6" w:space="0" w:color="203764"/>
              <w:left w:val="nil"/>
              <w:bottom w:val="double" w:sz="6" w:space="0" w:color="203764"/>
              <w:right w:val="double" w:sz="6" w:space="0" w:color="203764"/>
            </w:tcBorders>
            <w:shd w:val="clear" w:color="000000" w:fill="203764"/>
            <w:vAlign w:val="center"/>
            <w:hideMark/>
          </w:tcPr>
          <w:p w14:paraId="53535E99"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Fecha inicio</w:t>
            </w:r>
          </w:p>
        </w:tc>
        <w:tc>
          <w:tcPr>
            <w:tcW w:w="1074" w:type="dxa"/>
            <w:tcBorders>
              <w:top w:val="double" w:sz="6" w:space="0" w:color="203764"/>
              <w:left w:val="nil"/>
              <w:bottom w:val="double" w:sz="6" w:space="0" w:color="203764"/>
              <w:right w:val="double" w:sz="6" w:space="0" w:color="203764"/>
            </w:tcBorders>
            <w:shd w:val="clear" w:color="000000" w:fill="203764"/>
            <w:vAlign w:val="center"/>
            <w:hideMark/>
          </w:tcPr>
          <w:p w14:paraId="4060FA75"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Fecha fin</w:t>
            </w:r>
          </w:p>
        </w:tc>
        <w:tc>
          <w:tcPr>
            <w:tcW w:w="1821" w:type="dxa"/>
            <w:tcBorders>
              <w:top w:val="double" w:sz="6" w:space="0" w:color="203764"/>
              <w:left w:val="nil"/>
              <w:bottom w:val="double" w:sz="6" w:space="0" w:color="203764"/>
              <w:right w:val="double" w:sz="6" w:space="0" w:color="203764"/>
            </w:tcBorders>
            <w:shd w:val="clear" w:color="000000" w:fill="203764"/>
            <w:vAlign w:val="center"/>
            <w:hideMark/>
          </w:tcPr>
          <w:p w14:paraId="63754367"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Responsable</w:t>
            </w:r>
          </w:p>
        </w:tc>
        <w:tc>
          <w:tcPr>
            <w:tcW w:w="1306" w:type="dxa"/>
            <w:tcBorders>
              <w:top w:val="double" w:sz="6" w:space="0" w:color="203764"/>
              <w:left w:val="nil"/>
              <w:bottom w:val="double" w:sz="6" w:space="0" w:color="203764"/>
              <w:right w:val="double" w:sz="6" w:space="0" w:color="203764"/>
            </w:tcBorders>
            <w:shd w:val="clear" w:color="000000" w:fill="203764"/>
            <w:vAlign w:val="center"/>
            <w:hideMark/>
          </w:tcPr>
          <w:p w14:paraId="24A7ABA6" w14:textId="77777777" w:rsidR="002C0DC3" w:rsidRPr="002C0DC3" w:rsidRDefault="002C0DC3" w:rsidP="002C0DC3">
            <w:pPr>
              <w:tabs>
                <w:tab w:val="left" w:pos="0"/>
              </w:tabs>
              <w:suppressAutoHyphens w:val="0"/>
              <w:jc w:val="center"/>
              <w:rPr>
                <w:rFonts w:eastAsia="Calibri"/>
                <w:b/>
                <w:bCs/>
                <w:lang w:val="es-CR" w:eastAsia="es-CR"/>
              </w:rPr>
            </w:pPr>
            <w:r w:rsidRPr="002C0DC3">
              <w:rPr>
                <w:rFonts w:eastAsia="Calibri"/>
                <w:b/>
                <w:bCs/>
                <w:lang w:val="es-CR" w:eastAsia="es-CR"/>
              </w:rPr>
              <w:t>Resultado</w:t>
            </w:r>
          </w:p>
        </w:tc>
      </w:tr>
      <w:tr w:rsidR="002C0DC3" w:rsidRPr="002C0DC3" w14:paraId="2BF62D2B" w14:textId="77777777" w:rsidTr="002C0DC3">
        <w:trPr>
          <w:trHeight w:val="20"/>
        </w:trPr>
        <w:tc>
          <w:tcPr>
            <w:tcW w:w="1159" w:type="dxa"/>
            <w:tcBorders>
              <w:top w:val="double" w:sz="6" w:space="0" w:color="203764"/>
              <w:left w:val="double" w:sz="6" w:space="0" w:color="203764"/>
              <w:bottom w:val="single" w:sz="4" w:space="0" w:color="auto"/>
              <w:right w:val="double" w:sz="6" w:space="0" w:color="203764"/>
            </w:tcBorders>
          </w:tcPr>
          <w:p w14:paraId="33CEFA13"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889-PLA-EV-TR-2020</w:t>
            </w:r>
          </w:p>
        </w:tc>
        <w:tc>
          <w:tcPr>
            <w:tcW w:w="1251" w:type="dxa"/>
            <w:tcBorders>
              <w:top w:val="nil"/>
              <w:left w:val="double" w:sz="6" w:space="0" w:color="203764"/>
              <w:bottom w:val="double" w:sz="6" w:space="0" w:color="203764"/>
              <w:right w:val="double" w:sz="6" w:space="0" w:color="203764"/>
            </w:tcBorders>
            <w:shd w:val="clear" w:color="auto" w:fill="auto"/>
            <w:hideMark/>
          </w:tcPr>
          <w:p w14:paraId="265C8BB6"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del Primer Circuito Judicial de la Zona Atlántica</w:t>
            </w:r>
          </w:p>
        </w:tc>
        <w:tc>
          <w:tcPr>
            <w:tcW w:w="1843" w:type="dxa"/>
            <w:tcBorders>
              <w:top w:val="nil"/>
              <w:left w:val="double" w:sz="6" w:space="0" w:color="203764"/>
              <w:bottom w:val="double" w:sz="6" w:space="0" w:color="203764"/>
              <w:right w:val="double" w:sz="6" w:space="0" w:color="203764"/>
            </w:tcBorders>
            <w:shd w:val="clear" w:color="auto" w:fill="auto"/>
            <w:hideMark/>
          </w:tcPr>
          <w:p w14:paraId="476892AB"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Se le otorgó una persona juzgadora supernumeraria para realizar demandas nuevas con una cuota diaria de 40 asuntos y se le asignó dos personas técnicas supernumerarias para tramitar demandas nuevas con una cuota diaria de 20 asuntos por cada uno.</w:t>
            </w:r>
          </w:p>
        </w:tc>
        <w:tc>
          <w:tcPr>
            <w:tcW w:w="1074" w:type="dxa"/>
            <w:tcBorders>
              <w:top w:val="nil"/>
              <w:left w:val="double" w:sz="6" w:space="0" w:color="203764"/>
              <w:bottom w:val="double" w:sz="6" w:space="0" w:color="203764"/>
              <w:right w:val="double" w:sz="6" w:space="0" w:color="203764"/>
            </w:tcBorders>
            <w:shd w:val="clear" w:color="auto" w:fill="auto"/>
            <w:hideMark/>
          </w:tcPr>
          <w:p w14:paraId="11CF83E3"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22 de octubre del 2020</w:t>
            </w:r>
          </w:p>
        </w:tc>
        <w:tc>
          <w:tcPr>
            <w:tcW w:w="1074" w:type="dxa"/>
            <w:tcBorders>
              <w:top w:val="nil"/>
              <w:left w:val="double" w:sz="6" w:space="0" w:color="203764"/>
              <w:bottom w:val="double" w:sz="6" w:space="0" w:color="203764"/>
              <w:right w:val="double" w:sz="6" w:space="0" w:color="203764"/>
            </w:tcBorders>
            <w:shd w:val="clear" w:color="auto" w:fill="auto"/>
            <w:hideMark/>
          </w:tcPr>
          <w:p w14:paraId="6103662B"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Último día laboral del 2020</w:t>
            </w:r>
          </w:p>
        </w:tc>
        <w:tc>
          <w:tcPr>
            <w:tcW w:w="1821" w:type="dxa"/>
            <w:tcBorders>
              <w:top w:val="nil"/>
              <w:left w:val="double" w:sz="6" w:space="0" w:color="203764"/>
              <w:bottom w:val="double" w:sz="6" w:space="0" w:color="203764"/>
              <w:right w:val="double" w:sz="6" w:space="0" w:color="203764"/>
            </w:tcBorders>
            <w:shd w:val="clear" w:color="auto" w:fill="auto"/>
            <w:hideMark/>
          </w:tcPr>
          <w:p w14:paraId="5A735D21"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del Primer Circuito Judicial de la Zona Atlántica</w:t>
            </w:r>
            <w:r w:rsidRPr="002C0DC3">
              <w:rPr>
                <w:rFonts w:eastAsia="Calibri"/>
                <w:lang w:val="es-CR" w:eastAsia="es-CR"/>
              </w:rPr>
              <w:br/>
            </w:r>
            <w:r w:rsidRPr="002C0DC3">
              <w:rPr>
                <w:rFonts w:eastAsia="Calibri"/>
                <w:lang w:val="es-CR" w:eastAsia="es-CR"/>
              </w:rPr>
              <w:br/>
              <w:t>Personal Juzgador Supernumerario y personal técnico supernumerario.</w:t>
            </w:r>
            <w:r w:rsidRPr="002C0DC3">
              <w:rPr>
                <w:rFonts w:eastAsia="Calibri"/>
                <w:lang w:val="es-CR" w:eastAsia="es-CR"/>
              </w:rPr>
              <w:br/>
            </w:r>
            <w:r w:rsidRPr="002C0DC3">
              <w:rPr>
                <w:rFonts w:eastAsia="Calibri"/>
                <w:lang w:val="es-CR" w:eastAsia="es-CR"/>
              </w:rPr>
              <w:br/>
              <w:t>Administración Regional del Primer Circuito Judicial de la Zona Atlántica</w:t>
            </w:r>
          </w:p>
        </w:tc>
        <w:tc>
          <w:tcPr>
            <w:tcW w:w="1306" w:type="dxa"/>
            <w:tcBorders>
              <w:top w:val="nil"/>
              <w:left w:val="double" w:sz="6" w:space="0" w:color="203764"/>
              <w:bottom w:val="double" w:sz="6" w:space="0" w:color="203764"/>
              <w:right w:val="double" w:sz="6" w:space="0" w:color="203764"/>
            </w:tcBorders>
            <w:shd w:val="clear" w:color="auto" w:fill="auto"/>
            <w:hideMark/>
          </w:tcPr>
          <w:p w14:paraId="16C8AF34"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El plazo para resolver demandas nuevas pasó de 4 meses a 1 mes, obteniendo resultados muy positivos.</w:t>
            </w:r>
          </w:p>
        </w:tc>
      </w:tr>
    </w:tbl>
    <w:p w14:paraId="1E2F84D8" w14:textId="77777777" w:rsidR="002C0DC3" w:rsidRPr="002C0DC3" w:rsidRDefault="002C0DC3" w:rsidP="002C0DC3">
      <w:pPr>
        <w:suppressAutoHyphens w:val="0"/>
        <w:jc w:val="both"/>
        <w:rPr>
          <w:rFonts w:eastAsia="Calibri"/>
          <w:lang w:val="es-CR" w:eastAsia="en-US"/>
        </w:rPr>
      </w:pPr>
    </w:p>
    <w:p w14:paraId="20080B1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Dentro de los resultados obtenidos se encuentra la disminución en el plazo de demandas nuevas de 4 meses pasaron a 1 mes igual en el plazo para resolver escritos de 6 meses redujeron a 3 meses.</w:t>
      </w:r>
    </w:p>
    <w:p w14:paraId="6F9F3DA9" w14:textId="77777777" w:rsidR="002C0DC3" w:rsidRPr="002C0DC3" w:rsidRDefault="002C0DC3" w:rsidP="002C0DC3">
      <w:pPr>
        <w:suppressAutoHyphens w:val="0"/>
        <w:ind w:left="851" w:right="851" w:firstLine="709"/>
        <w:jc w:val="both"/>
        <w:rPr>
          <w:rFonts w:eastAsia="Calibri"/>
          <w:lang w:val="es-CR" w:eastAsia="en-US"/>
        </w:rPr>
      </w:pPr>
    </w:p>
    <w:p w14:paraId="4B0D6C5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Dado que actualmente el despacho recibe apoyo con un juez y dos técnicos judiciales para demandas nuevas, esto a raíz de un plan de trabajo realizado por la Dirección de Planificación, se estimó realizar un plan remedial que iniciará el 16 de noviembre y hasta el último día laboral, para que la cuota de trabajo del personal técnico tramitador se modifique temporalmente. Dentro de los hallazgos encontrados en la matriz de indicadores de setiembre es que el despacho cuenta con una entrada de escritos de 3803 (rango estándar), un plazo para resolver escritos de 3 meses (rango estándar) y un circulante en trámite de 15531 (rango a mejorar). Por lo anterior, la nueva cuota de trabajo para los técnicos de trámite será de 27 proyectos de resolución, segmentado en 27 asuntos de trámite relacionado con escritos y resoluciones oficiosas. Los 27, se segmentan conforme a lo siguiente: Cuota de dos resoluciones que convoquen a remate, Mínimo cuatro proyectos de resolución sobre liquidaciones de intereses diarias, Atención de mínimo 21 escritos diarios de trámite. El anterior plan remedial empezó el 16 de noviembre y hasta el último día laboral del presente año.</w:t>
      </w:r>
    </w:p>
    <w:p w14:paraId="5D020777" w14:textId="77777777" w:rsidR="002C0DC3" w:rsidRPr="002C0DC3" w:rsidRDefault="002C0DC3" w:rsidP="002C0DC3">
      <w:pPr>
        <w:suppressAutoHyphens w:val="0"/>
        <w:ind w:left="851" w:right="851" w:firstLine="709"/>
        <w:jc w:val="both"/>
        <w:rPr>
          <w:rFonts w:eastAsia="Calibri"/>
          <w:lang w:val="es-CR" w:eastAsia="en-US"/>
        </w:rPr>
      </w:pPr>
    </w:p>
    <w:p w14:paraId="31E55379" w14:textId="77777777" w:rsidR="002C0DC3" w:rsidRPr="002C0DC3" w:rsidRDefault="002C0DC3" w:rsidP="002C0DC3">
      <w:pPr>
        <w:keepNext/>
        <w:keepLines/>
        <w:numPr>
          <w:ilvl w:val="2"/>
          <w:numId w:val="0"/>
        </w:numPr>
        <w:suppressAutoHyphens w:val="0"/>
        <w:ind w:left="851" w:right="851" w:firstLine="709"/>
        <w:jc w:val="both"/>
        <w:rPr>
          <w:b/>
          <w:lang w:eastAsia="es-CR"/>
        </w:rPr>
      </w:pPr>
      <w:bookmarkStart w:id="46" w:name="_Toc78467040"/>
      <w:r w:rsidRPr="002C0DC3">
        <w:rPr>
          <w:b/>
          <w:bCs/>
          <w:lang w:eastAsia="es-CR"/>
        </w:rPr>
        <w:t>Primer</w:t>
      </w:r>
      <w:r w:rsidRPr="002C0DC3">
        <w:rPr>
          <w:b/>
          <w:lang w:eastAsia="es-CR"/>
        </w:rPr>
        <w:t xml:space="preserve"> Circuito Judicial de Alajuela</w:t>
      </w:r>
      <w:bookmarkEnd w:id="46"/>
    </w:p>
    <w:p w14:paraId="45C00A5F" w14:textId="77777777" w:rsidR="002C0DC3" w:rsidRPr="002C0DC3" w:rsidRDefault="002C0DC3" w:rsidP="002C0DC3">
      <w:pPr>
        <w:suppressAutoHyphens w:val="0"/>
        <w:ind w:left="851" w:right="851" w:firstLine="709"/>
        <w:jc w:val="both"/>
        <w:rPr>
          <w:rFonts w:eastAsia="Calibri"/>
          <w:lang w:val="es-CR" w:eastAsia="en-US"/>
        </w:rPr>
      </w:pPr>
    </w:p>
    <w:p w14:paraId="735AA7F0"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circuito Judicial de Alajuela se pusieron en práctica los siguientes planes de trabajo:</w:t>
      </w:r>
    </w:p>
    <w:p w14:paraId="77E9A2B0" w14:textId="77777777" w:rsidR="002C0DC3" w:rsidRPr="002C0DC3" w:rsidRDefault="002C0DC3" w:rsidP="002C0DC3">
      <w:pPr>
        <w:suppressAutoHyphens w:val="0"/>
        <w:ind w:left="851" w:right="851" w:firstLine="709"/>
        <w:jc w:val="both"/>
        <w:rPr>
          <w:rFonts w:eastAsia="Calibri"/>
          <w:lang w:val="es-CR" w:eastAsia="en-US"/>
        </w:rPr>
      </w:pPr>
    </w:p>
    <w:tbl>
      <w:tblPr>
        <w:tblStyle w:val="Tablaconcuadrcula12"/>
        <w:tblW w:w="5000" w:type="pct"/>
        <w:tblLook w:val="04A0" w:firstRow="1" w:lastRow="0" w:firstColumn="1" w:lastColumn="0" w:noHBand="0" w:noVBand="1"/>
      </w:tblPr>
      <w:tblGrid>
        <w:gridCol w:w="2093"/>
        <w:gridCol w:w="1445"/>
        <w:gridCol w:w="3683"/>
        <w:gridCol w:w="2174"/>
      </w:tblGrid>
      <w:tr w:rsidR="002C0DC3" w:rsidRPr="002C0DC3" w14:paraId="6366EEC7" w14:textId="77777777" w:rsidTr="002C0DC3">
        <w:trPr>
          <w:trHeight w:val="227"/>
        </w:trPr>
        <w:tc>
          <w:tcPr>
            <w:tcW w:w="1114" w:type="pct"/>
            <w:shd w:val="clear" w:color="auto" w:fill="B4C6E7"/>
          </w:tcPr>
          <w:p w14:paraId="5913278E"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Tipo de Plan</w:t>
            </w:r>
          </w:p>
        </w:tc>
        <w:tc>
          <w:tcPr>
            <w:tcW w:w="769" w:type="pct"/>
            <w:shd w:val="clear" w:color="auto" w:fill="B4C6E7"/>
          </w:tcPr>
          <w:p w14:paraId="4EE168E6"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Plazo</w:t>
            </w:r>
          </w:p>
        </w:tc>
        <w:tc>
          <w:tcPr>
            <w:tcW w:w="1960" w:type="pct"/>
            <w:shd w:val="clear" w:color="auto" w:fill="B4C6E7"/>
          </w:tcPr>
          <w:p w14:paraId="38821220"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Resultado</w:t>
            </w:r>
          </w:p>
        </w:tc>
        <w:tc>
          <w:tcPr>
            <w:tcW w:w="1158" w:type="pct"/>
            <w:shd w:val="clear" w:color="auto" w:fill="B4C6E7"/>
          </w:tcPr>
          <w:p w14:paraId="70FE35E8"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Responsables</w:t>
            </w:r>
          </w:p>
        </w:tc>
      </w:tr>
      <w:tr w:rsidR="002C0DC3" w:rsidRPr="002C0DC3" w14:paraId="1F1AF7A3" w14:textId="77777777" w:rsidTr="002C0DC3">
        <w:trPr>
          <w:trHeight w:val="227"/>
        </w:trPr>
        <w:tc>
          <w:tcPr>
            <w:tcW w:w="1114" w:type="pct"/>
          </w:tcPr>
          <w:p w14:paraId="7EE33EE7"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Reducir el plazo para resolver demandas nuevas (monitorias) con el apoyo del personal Técnico Supernumerario de la Administración Regional.</w:t>
            </w:r>
          </w:p>
        </w:tc>
        <w:tc>
          <w:tcPr>
            <w:tcW w:w="769" w:type="pct"/>
          </w:tcPr>
          <w:p w14:paraId="6EF1125C"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Terminado</w:t>
            </w:r>
          </w:p>
        </w:tc>
        <w:tc>
          <w:tcPr>
            <w:tcW w:w="1960" w:type="pct"/>
          </w:tcPr>
          <w:p w14:paraId="315A49BC"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En atención al Plan de Trabajo 143-PLA-EV-PRE-2020 se asigna dos personas técnicas supernumerarias a partir del 20 de abril hasta el 17 de julio para el apoyo en la resolución de las demandas nuevas y prevenciones de cumplimiento, de lo más antiguo a lo más nuevo; de manera, que se dé el traslado o el archivo según corresponda. Cuota de 27 asuntos diarios por cada plaza de técnico supernumerario.</w:t>
            </w:r>
          </w:p>
          <w:p w14:paraId="6FCB83F1"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eastAsia="zh-CN"/>
              </w:rPr>
              <w:lastRenderedPageBreak/>
              <w:t xml:space="preserve"> Además, se asigna por el mismo plazo una persona Jueza Supernumeraria a tiempo completo, para el firmado de las resoluciones de esas dos plazas de técnico supernumerario; así como, de las aprobaciones en el SDJ, en el SREM y la atención de consultas de las personas técnicas del plan.</w:t>
            </w:r>
          </w:p>
        </w:tc>
        <w:tc>
          <w:tcPr>
            <w:tcW w:w="1158" w:type="pct"/>
          </w:tcPr>
          <w:p w14:paraId="6D919BCD"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lastRenderedPageBreak/>
              <w:t>Equipo de Mejora de Procesos del Juzgado de Cobro del Primer</w:t>
            </w:r>
            <w:r w:rsidRPr="002C0DC3" w:rsidDel="00F57098">
              <w:rPr>
                <w:rFonts w:ascii="Times New Roman" w:hAnsi="Times New Roman"/>
                <w:lang w:val="es-ES" w:eastAsia="zh-CN"/>
              </w:rPr>
              <w:t xml:space="preserve"> </w:t>
            </w:r>
            <w:r w:rsidRPr="002C0DC3">
              <w:rPr>
                <w:rFonts w:ascii="Times New Roman" w:hAnsi="Times New Roman"/>
                <w:lang w:val="es-ES" w:eastAsia="zh-CN"/>
              </w:rPr>
              <w:t>Circuito Judicial de Alajuela</w:t>
            </w:r>
          </w:p>
          <w:p w14:paraId="0612ED01"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Administración Regional de Alajuela.</w:t>
            </w:r>
          </w:p>
        </w:tc>
      </w:tr>
      <w:tr w:rsidR="002C0DC3" w:rsidRPr="002C0DC3" w14:paraId="5DA67946" w14:textId="77777777" w:rsidTr="002C0DC3">
        <w:trPr>
          <w:trHeight w:val="227"/>
        </w:trPr>
        <w:tc>
          <w:tcPr>
            <w:tcW w:w="1114" w:type="pct"/>
          </w:tcPr>
          <w:p w14:paraId="689AEB80"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 xml:space="preserve">Dictado de sentencias </w:t>
            </w:r>
          </w:p>
        </w:tc>
        <w:tc>
          <w:tcPr>
            <w:tcW w:w="769" w:type="pct"/>
          </w:tcPr>
          <w:p w14:paraId="1A496BB0"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Terminado</w:t>
            </w:r>
          </w:p>
        </w:tc>
        <w:tc>
          <w:tcPr>
            <w:tcW w:w="1960" w:type="pct"/>
          </w:tcPr>
          <w:p w14:paraId="0DB4FEC8"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 xml:space="preserve">En coordinación con la Administración Regional de Alajuela, se establece un plan de trabajo, para asignar una persona Jueza Supernumeraria del 16 al 19 de junio del 2020 en el Juzgado de Cobro del I.C.J. de Alajuela para el dictado de 8 sentencias. </w:t>
            </w:r>
          </w:p>
        </w:tc>
        <w:tc>
          <w:tcPr>
            <w:tcW w:w="1158" w:type="pct"/>
          </w:tcPr>
          <w:p w14:paraId="739EE8D7"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Equipo de Mejora de Procesos del Juzgado de Cobro del Primer</w:t>
            </w:r>
            <w:r w:rsidRPr="002C0DC3" w:rsidDel="00F57098">
              <w:rPr>
                <w:rFonts w:ascii="Times New Roman" w:hAnsi="Times New Roman"/>
                <w:lang w:val="es-ES" w:eastAsia="zh-CN"/>
              </w:rPr>
              <w:t xml:space="preserve"> </w:t>
            </w:r>
            <w:r w:rsidRPr="002C0DC3">
              <w:rPr>
                <w:rFonts w:ascii="Times New Roman" w:hAnsi="Times New Roman"/>
                <w:lang w:val="es-ES" w:eastAsia="zh-CN"/>
              </w:rPr>
              <w:t>Circuito Judicial de Alajuela</w:t>
            </w:r>
          </w:p>
          <w:p w14:paraId="32576410"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Administración Regional de Alajuela.</w:t>
            </w:r>
          </w:p>
        </w:tc>
      </w:tr>
      <w:tr w:rsidR="002C0DC3" w:rsidRPr="002C0DC3" w14:paraId="16ECABE9" w14:textId="77777777" w:rsidTr="002C0DC3">
        <w:trPr>
          <w:trHeight w:val="227"/>
        </w:trPr>
        <w:tc>
          <w:tcPr>
            <w:tcW w:w="1114" w:type="pct"/>
          </w:tcPr>
          <w:p w14:paraId="56876CDD"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Reducir el plazo para resolver demandas nuevas (monitorias) y prevenciones (5días) con el apoyo del personal Técnico Judicial del Juzgado Civil del Primer Circuito Judicial de Alajuela.</w:t>
            </w:r>
          </w:p>
        </w:tc>
        <w:tc>
          <w:tcPr>
            <w:tcW w:w="769" w:type="pct"/>
          </w:tcPr>
          <w:p w14:paraId="24682C7C"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3 de agosto de 2020 al 26 de febrero de 2021</w:t>
            </w:r>
          </w:p>
        </w:tc>
        <w:tc>
          <w:tcPr>
            <w:tcW w:w="1960" w:type="pct"/>
          </w:tcPr>
          <w:p w14:paraId="4B7F4E7D"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En el contenido del informe 963-PLA-EV-2020, se establece como propuesta que las plazas de personas técnicas judiciales del Juzgado Civil del Primer Circuito Judicial de Alajuela apoyara en la resolución de las demandas nuevas en procesos monitorios (incluidos asuntos nuevos con prevenciones de cumplimiento a las que no se le ha dado traslado), de lo más antiguo a lo más nuevo; de manera, que se dé el traslado o el archivo según corresponda del Juzgado de Cobro del Primer Circuito Judicial de Alajuela.</w:t>
            </w:r>
          </w:p>
          <w:p w14:paraId="6DF2E926"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 xml:space="preserve">Informe 963-PLA-EV-2020 aprobado en sesión 71-2020, artículo XXXVI del Consejo Superior celebrada el 29 de junio de 2020. </w:t>
            </w:r>
          </w:p>
          <w:p w14:paraId="1AE74B8C" w14:textId="77777777" w:rsidR="002C0DC3" w:rsidRPr="002C0DC3" w:rsidRDefault="002C0DC3" w:rsidP="002C0DC3">
            <w:pPr>
              <w:suppressAutoHyphens w:val="0"/>
              <w:jc w:val="both"/>
              <w:rPr>
                <w:rFonts w:ascii="Times New Roman" w:hAnsi="Times New Roman"/>
                <w:lang w:val="es-ES" w:eastAsia="zh-CN"/>
              </w:rPr>
            </w:pPr>
          </w:p>
        </w:tc>
        <w:tc>
          <w:tcPr>
            <w:tcW w:w="1158" w:type="pct"/>
          </w:tcPr>
          <w:p w14:paraId="3649ED56"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Juzgado Cobro del Primer</w:t>
            </w:r>
            <w:r w:rsidRPr="002C0DC3" w:rsidDel="00F57098">
              <w:rPr>
                <w:rFonts w:ascii="Times New Roman" w:hAnsi="Times New Roman"/>
                <w:lang w:val="es-ES" w:eastAsia="zh-CN"/>
              </w:rPr>
              <w:t xml:space="preserve"> </w:t>
            </w:r>
            <w:r w:rsidRPr="002C0DC3">
              <w:rPr>
                <w:rFonts w:ascii="Times New Roman" w:hAnsi="Times New Roman"/>
                <w:lang w:val="es-ES" w:eastAsia="zh-CN"/>
              </w:rPr>
              <w:t>Circuito Judicial</w:t>
            </w:r>
            <w:r w:rsidRPr="002C0DC3" w:rsidDel="00681689">
              <w:rPr>
                <w:rFonts w:ascii="Times New Roman" w:hAnsi="Times New Roman"/>
                <w:lang w:val="es-ES" w:eastAsia="zh-CN"/>
              </w:rPr>
              <w:t xml:space="preserve"> </w:t>
            </w:r>
            <w:r w:rsidRPr="002C0DC3">
              <w:rPr>
                <w:rFonts w:ascii="Times New Roman" w:hAnsi="Times New Roman"/>
                <w:lang w:val="es-ES" w:eastAsia="zh-CN"/>
              </w:rPr>
              <w:t>de Alajuela</w:t>
            </w:r>
          </w:p>
          <w:p w14:paraId="4D22CDEA"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Juzgado Civil del Primer</w:t>
            </w:r>
            <w:r w:rsidRPr="002C0DC3" w:rsidDel="00F57098">
              <w:rPr>
                <w:rFonts w:ascii="Times New Roman" w:hAnsi="Times New Roman"/>
                <w:lang w:val="es-ES" w:eastAsia="zh-CN"/>
              </w:rPr>
              <w:t xml:space="preserve"> </w:t>
            </w:r>
            <w:r w:rsidRPr="002C0DC3">
              <w:rPr>
                <w:rFonts w:ascii="Times New Roman" w:hAnsi="Times New Roman"/>
                <w:lang w:val="es-ES" w:eastAsia="zh-CN"/>
              </w:rPr>
              <w:t>Circuito Judicial</w:t>
            </w:r>
            <w:r w:rsidRPr="002C0DC3" w:rsidDel="00681689">
              <w:rPr>
                <w:rFonts w:ascii="Times New Roman" w:hAnsi="Times New Roman"/>
                <w:lang w:val="es-ES" w:eastAsia="zh-CN"/>
              </w:rPr>
              <w:t xml:space="preserve"> </w:t>
            </w:r>
            <w:r w:rsidRPr="002C0DC3">
              <w:rPr>
                <w:rFonts w:ascii="Times New Roman" w:hAnsi="Times New Roman"/>
                <w:lang w:val="es-ES" w:eastAsia="zh-CN"/>
              </w:rPr>
              <w:t>de Alajuela</w:t>
            </w:r>
          </w:p>
          <w:p w14:paraId="4B426366" w14:textId="77777777" w:rsidR="002C0DC3" w:rsidRPr="002C0DC3" w:rsidRDefault="002C0DC3" w:rsidP="002C0DC3">
            <w:pPr>
              <w:suppressAutoHyphens w:val="0"/>
              <w:jc w:val="both"/>
              <w:rPr>
                <w:rFonts w:ascii="Times New Roman" w:hAnsi="Times New Roman"/>
                <w:lang w:eastAsia="en-US"/>
              </w:rPr>
            </w:pPr>
            <w:r w:rsidRPr="002C0DC3">
              <w:rPr>
                <w:rFonts w:ascii="Times New Roman" w:hAnsi="Times New Roman"/>
                <w:lang w:eastAsia="en-US"/>
              </w:rPr>
              <w:t>Centro de Apoyo, Coordinación y Mejoramiento de la Función Jurisdiccional (CACMFJ)</w:t>
            </w:r>
          </w:p>
          <w:p w14:paraId="4CEC0E48"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eastAsia="en-US"/>
              </w:rPr>
              <w:t>Administración Regional de Alajuela</w:t>
            </w:r>
          </w:p>
        </w:tc>
      </w:tr>
    </w:tbl>
    <w:p w14:paraId="108BD5A0" w14:textId="77777777" w:rsidR="002C0DC3" w:rsidRPr="002C0DC3" w:rsidRDefault="002C0DC3" w:rsidP="002C0DC3">
      <w:pPr>
        <w:suppressAutoHyphens w:val="0"/>
        <w:ind w:left="851" w:right="851" w:firstLine="709"/>
        <w:jc w:val="both"/>
        <w:rPr>
          <w:rFonts w:eastAsia="Calibri"/>
          <w:lang w:eastAsia="zh-CN"/>
        </w:rPr>
      </w:pPr>
      <w:r w:rsidRPr="002C0DC3">
        <w:rPr>
          <w:rFonts w:eastAsia="Calibri"/>
          <w:b/>
          <w:bCs/>
          <w:lang w:eastAsia="zh-CN"/>
        </w:rPr>
        <w:t>Fuente:</w:t>
      </w:r>
      <w:r w:rsidRPr="002C0DC3">
        <w:rPr>
          <w:rFonts w:eastAsia="Calibri"/>
          <w:lang w:eastAsia="zh-CN"/>
        </w:rPr>
        <w:t xml:space="preserve"> Subproceso de Evaluación de la Dirección de Planificación</w:t>
      </w:r>
    </w:p>
    <w:p w14:paraId="5F8F15A4" w14:textId="77777777" w:rsidR="002C0DC3" w:rsidRPr="002C0DC3" w:rsidRDefault="002C0DC3" w:rsidP="002C0DC3">
      <w:pPr>
        <w:suppressAutoHyphens w:val="0"/>
        <w:ind w:left="851" w:right="851" w:firstLine="709"/>
        <w:jc w:val="both"/>
        <w:rPr>
          <w:rFonts w:eastAsia="Calibri"/>
          <w:lang w:val="es-CR" w:eastAsia="en-US"/>
        </w:rPr>
      </w:pPr>
    </w:p>
    <w:p w14:paraId="0F3E2F77"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Se diseñó un plan de trabajo en el cual los técnicos del Juzgado Civil le dieron soporte a las técnicas y técnicos judiciales de los Juzgados de Cobro.</w:t>
      </w:r>
    </w:p>
    <w:p w14:paraId="5FAF9782" w14:textId="77777777" w:rsidR="002C0DC3" w:rsidRPr="002C0DC3" w:rsidRDefault="002C0DC3" w:rsidP="002C0DC3">
      <w:pPr>
        <w:suppressAutoHyphens w:val="0"/>
        <w:ind w:left="851" w:right="851" w:firstLine="709"/>
        <w:jc w:val="both"/>
        <w:rPr>
          <w:rFonts w:eastAsia="Calibri"/>
          <w:lang w:val="es-CR" w:eastAsia="en-US"/>
        </w:rPr>
      </w:pPr>
    </w:p>
    <w:p w14:paraId="6E5447AA" w14:textId="77777777" w:rsidR="002C0DC3" w:rsidRPr="002C0DC3" w:rsidRDefault="002C0DC3" w:rsidP="002C0DC3">
      <w:pPr>
        <w:suppressAutoHyphens w:val="0"/>
        <w:ind w:left="851" w:right="851" w:firstLine="709"/>
        <w:jc w:val="both"/>
        <w:rPr>
          <w:rFonts w:eastAsia="Calibri"/>
          <w:lang w:val="es-CR" w:eastAsia="en-US"/>
        </w:rPr>
      </w:pPr>
    </w:p>
    <w:p w14:paraId="324E451C" w14:textId="77777777" w:rsidR="002C0DC3" w:rsidRPr="002C0DC3" w:rsidRDefault="002C0DC3" w:rsidP="002C0DC3">
      <w:pPr>
        <w:keepNext/>
        <w:keepLines/>
        <w:numPr>
          <w:ilvl w:val="2"/>
          <w:numId w:val="0"/>
        </w:numPr>
        <w:suppressAutoHyphens w:val="0"/>
        <w:ind w:left="851" w:right="851" w:firstLine="709"/>
        <w:jc w:val="both"/>
        <w:rPr>
          <w:b/>
          <w:lang w:eastAsia="es-CR"/>
        </w:rPr>
      </w:pPr>
      <w:bookmarkStart w:id="47" w:name="_Toc78467041"/>
      <w:r w:rsidRPr="002C0DC3">
        <w:rPr>
          <w:b/>
          <w:lang w:eastAsia="es-CR"/>
        </w:rPr>
        <w:t>Segundo Circuito Judicial de Alajuela</w:t>
      </w:r>
      <w:bookmarkEnd w:id="47"/>
    </w:p>
    <w:p w14:paraId="7FBE22DA" w14:textId="77777777" w:rsidR="002C0DC3" w:rsidRPr="002C0DC3" w:rsidRDefault="002C0DC3" w:rsidP="002C0DC3">
      <w:pPr>
        <w:suppressAutoHyphens w:val="0"/>
        <w:ind w:left="851" w:right="851" w:firstLine="709"/>
        <w:jc w:val="both"/>
        <w:rPr>
          <w:rFonts w:eastAsia="Calibri"/>
          <w:lang w:val="es-CR" w:eastAsia="en-US"/>
        </w:rPr>
      </w:pPr>
    </w:p>
    <w:p w14:paraId="4B35CEB3" w14:textId="2BEAA471" w:rsidR="002C0DC3" w:rsidRDefault="002C0DC3" w:rsidP="00B31AC4">
      <w:pPr>
        <w:suppressAutoHyphens w:val="0"/>
        <w:ind w:left="851" w:right="851" w:firstLine="709"/>
        <w:jc w:val="both"/>
        <w:rPr>
          <w:rFonts w:eastAsia="Calibri"/>
          <w:lang w:val="es-CR" w:eastAsia="en-US"/>
        </w:rPr>
      </w:pPr>
      <w:bookmarkStart w:id="48" w:name="_Hlk64980863"/>
      <w:r w:rsidRPr="002C0DC3">
        <w:rPr>
          <w:rFonts w:eastAsia="Calibri"/>
          <w:lang w:val="es-CR" w:eastAsia="en-US"/>
        </w:rPr>
        <w:t>Durante el período de análisis se ha revisado y analizado los planes remediales propuestos por los equipos de mejora de cada despacho judicial; por otro lado, mensualmente se le ha brindado asesoría y acompañamiento para que reformulen correctamente los planes remediales. A continuación, se muestra un copilado de los planes remediales revisados y analizados para el Juzgado de Cobro:</w:t>
      </w:r>
    </w:p>
    <w:p w14:paraId="63B34D9A" w14:textId="77777777" w:rsidR="00B31AC4" w:rsidRPr="002C0DC3" w:rsidRDefault="00B31AC4" w:rsidP="00B31AC4">
      <w:pPr>
        <w:suppressAutoHyphens w:val="0"/>
        <w:ind w:left="851" w:right="851" w:firstLine="709"/>
        <w:jc w:val="both"/>
        <w:rPr>
          <w:rFonts w:eastAsia="Calibri"/>
          <w:lang w:val="es-CR" w:eastAsia="en-US"/>
        </w:rPr>
      </w:pPr>
    </w:p>
    <w:p w14:paraId="6A479479" w14:textId="77777777" w:rsidR="002C0DC3" w:rsidRPr="002C0DC3" w:rsidRDefault="002C0DC3" w:rsidP="002C0DC3">
      <w:pPr>
        <w:suppressAutoHyphens w:val="0"/>
        <w:ind w:right="-1"/>
        <w:jc w:val="center"/>
        <w:rPr>
          <w:rFonts w:eastAsia="Calibri"/>
          <w:b/>
          <w:bCs/>
          <w:lang w:eastAsia="zh-CN"/>
        </w:rPr>
      </w:pPr>
      <w:r w:rsidRPr="002C0DC3">
        <w:rPr>
          <w:rFonts w:eastAsia="Calibri"/>
          <w:b/>
          <w:bCs/>
          <w:lang w:eastAsia="zh-CN"/>
        </w:rPr>
        <w:t>De enero a abril 2020</w:t>
      </w:r>
    </w:p>
    <w:p w14:paraId="5717D1ED" w14:textId="77777777" w:rsidR="002C0DC3" w:rsidRPr="002C0DC3" w:rsidRDefault="002C0DC3" w:rsidP="002C0DC3">
      <w:pPr>
        <w:suppressAutoHyphens w:val="0"/>
        <w:ind w:right="-1"/>
        <w:jc w:val="both"/>
        <w:rPr>
          <w:rFonts w:eastAsia="Calibri"/>
          <w:lang w:eastAsia="zh-CN"/>
        </w:rPr>
      </w:pPr>
    </w:p>
    <w:tbl>
      <w:tblPr>
        <w:tblW w:w="5000" w:type="pct"/>
        <w:jc w:val="center"/>
        <w:tblCellMar>
          <w:left w:w="70" w:type="dxa"/>
          <w:right w:w="70" w:type="dxa"/>
        </w:tblCellMar>
        <w:tblLook w:val="04A0" w:firstRow="1" w:lastRow="0" w:firstColumn="1" w:lastColumn="0" w:noHBand="0" w:noVBand="1"/>
      </w:tblPr>
      <w:tblGrid>
        <w:gridCol w:w="1624"/>
        <w:gridCol w:w="1535"/>
        <w:gridCol w:w="1199"/>
        <w:gridCol w:w="1257"/>
        <w:gridCol w:w="1580"/>
        <w:gridCol w:w="2200"/>
      </w:tblGrid>
      <w:tr w:rsidR="002C0DC3" w:rsidRPr="002C0DC3" w14:paraId="59E45488" w14:textId="77777777" w:rsidTr="002C0DC3">
        <w:trPr>
          <w:trHeight w:val="20"/>
          <w:jc w:val="center"/>
        </w:trPr>
        <w:tc>
          <w:tcPr>
            <w:tcW w:w="8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D677C"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Despacho</w:t>
            </w:r>
          </w:p>
        </w:tc>
        <w:tc>
          <w:tcPr>
            <w:tcW w:w="8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D7D997"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Tipo de Plan</w:t>
            </w:r>
          </w:p>
        </w:tc>
        <w:tc>
          <w:tcPr>
            <w:tcW w:w="63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C32BA7"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Fecha inicio</w:t>
            </w:r>
          </w:p>
        </w:tc>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6E8F8C"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Fecha fin</w:t>
            </w:r>
          </w:p>
        </w:tc>
        <w:tc>
          <w:tcPr>
            <w:tcW w:w="8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85943A"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Responsable</w:t>
            </w:r>
          </w:p>
        </w:tc>
        <w:tc>
          <w:tcPr>
            <w:tcW w:w="11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94288D"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Resultado</w:t>
            </w:r>
          </w:p>
        </w:tc>
      </w:tr>
      <w:tr w:rsidR="002C0DC3" w:rsidRPr="002C0DC3" w14:paraId="411A6479" w14:textId="77777777" w:rsidTr="002C0DC3">
        <w:trPr>
          <w:trHeight w:val="20"/>
          <w:jc w:val="center"/>
        </w:trPr>
        <w:tc>
          <w:tcPr>
            <w:tcW w:w="8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8BBECC"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Juzgado de Cobro de San Carlos</w:t>
            </w:r>
          </w:p>
        </w:tc>
        <w:tc>
          <w:tcPr>
            <w:tcW w:w="8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236656"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Bajar plazos de respuesta en expedientes nuevos y escritos.</w:t>
            </w:r>
          </w:p>
        </w:tc>
        <w:tc>
          <w:tcPr>
            <w:tcW w:w="63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19BCFE"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6/1/2020</w:t>
            </w:r>
          </w:p>
        </w:tc>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744E9D"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31/3/2020</w:t>
            </w:r>
          </w:p>
        </w:tc>
        <w:tc>
          <w:tcPr>
            <w:tcW w:w="8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F8BDEA"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Coordinador judicial Jueza Coordinadora</w:t>
            </w:r>
          </w:p>
        </w:tc>
        <w:tc>
          <w:tcPr>
            <w:tcW w:w="11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9AB4E3"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Se ha logrado sacar gran cantidad de expedientes nuevos y escritos atrasados del mes de abril del año pasado que son los de más vieja data.</w:t>
            </w:r>
          </w:p>
        </w:tc>
      </w:tr>
      <w:tr w:rsidR="002C0DC3" w:rsidRPr="002C0DC3" w14:paraId="2479B4BE" w14:textId="77777777" w:rsidTr="002C0DC3">
        <w:trPr>
          <w:trHeight w:val="20"/>
          <w:jc w:val="center"/>
        </w:trPr>
        <w:tc>
          <w:tcPr>
            <w:tcW w:w="864" w:type="pct"/>
            <w:vMerge/>
            <w:tcBorders>
              <w:top w:val="single" w:sz="4" w:space="0" w:color="000000"/>
              <w:left w:val="single" w:sz="4" w:space="0" w:color="000000"/>
              <w:bottom w:val="single" w:sz="4" w:space="0" w:color="000000"/>
              <w:right w:val="single" w:sz="4" w:space="0" w:color="000000"/>
            </w:tcBorders>
            <w:vAlign w:val="center"/>
          </w:tcPr>
          <w:p w14:paraId="2C8D4109" w14:textId="77777777" w:rsidR="002C0DC3" w:rsidRPr="002C0DC3" w:rsidRDefault="002C0DC3" w:rsidP="002C0DC3">
            <w:pPr>
              <w:suppressAutoHyphens w:val="0"/>
              <w:jc w:val="both"/>
              <w:rPr>
                <w:rFonts w:eastAsia="Calibri"/>
                <w:lang w:val="es-CR" w:eastAsia="es-CR"/>
              </w:rPr>
            </w:pPr>
          </w:p>
        </w:tc>
        <w:tc>
          <w:tcPr>
            <w:tcW w:w="8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04D042"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Disminuir el circulante del Despacho, bajar plazos de respuesta en expedientes nuevos y escritos.</w:t>
            </w:r>
          </w:p>
        </w:tc>
        <w:tc>
          <w:tcPr>
            <w:tcW w:w="63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B65396"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06/01/20</w:t>
            </w:r>
          </w:p>
        </w:tc>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B172A3"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31/03/20</w:t>
            </w:r>
          </w:p>
        </w:tc>
        <w:tc>
          <w:tcPr>
            <w:tcW w:w="8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87CC8E"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Coordinador judicial Jueza Coordinadora</w:t>
            </w:r>
          </w:p>
        </w:tc>
        <w:tc>
          <w:tcPr>
            <w:tcW w:w="11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BF284C" w14:textId="77777777" w:rsidR="002C0DC3" w:rsidRPr="002C0DC3" w:rsidRDefault="002C0DC3" w:rsidP="002C0DC3">
            <w:pPr>
              <w:suppressAutoHyphens w:val="0"/>
              <w:jc w:val="both"/>
              <w:rPr>
                <w:rFonts w:eastAsia="Calibri"/>
                <w:lang w:val="es-CR" w:eastAsia="es-CR"/>
              </w:rPr>
            </w:pPr>
            <w:r w:rsidRPr="002C0DC3">
              <w:rPr>
                <w:rFonts w:eastAsia="Calibri"/>
                <w:lang w:eastAsia="zh-CN"/>
              </w:rPr>
              <w:t>Los planes remediales no surgieron efecto, la cifra para el primer cuatrimestre aumentó mes a mes a excepción de los escritos, los cuales presentaron una disminución ya que enero se encontraban en 9 meses y en marzo en 8 meses.</w:t>
            </w:r>
          </w:p>
        </w:tc>
      </w:tr>
      <w:tr w:rsidR="002C0DC3" w:rsidRPr="002C0DC3" w14:paraId="1782BD82" w14:textId="77777777" w:rsidTr="002C0DC3">
        <w:trPr>
          <w:trHeight w:val="20"/>
          <w:jc w:val="center"/>
        </w:trPr>
        <w:tc>
          <w:tcPr>
            <w:tcW w:w="864" w:type="pct"/>
            <w:vMerge/>
            <w:tcBorders>
              <w:top w:val="single" w:sz="4" w:space="0" w:color="000000"/>
              <w:left w:val="single" w:sz="4" w:space="0" w:color="000000"/>
              <w:bottom w:val="single" w:sz="4" w:space="0" w:color="000000"/>
              <w:right w:val="single" w:sz="4" w:space="0" w:color="000000"/>
            </w:tcBorders>
            <w:vAlign w:val="center"/>
          </w:tcPr>
          <w:p w14:paraId="6C179B49" w14:textId="77777777" w:rsidR="002C0DC3" w:rsidRPr="002C0DC3" w:rsidRDefault="002C0DC3" w:rsidP="002C0DC3">
            <w:pPr>
              <w:suppressAutoHyphens w:val="0"/>
              <w:jc w:val="both"/>
              <w:rPr>
                <w:rFonts w:eastAsia="Calibri"/>
                <w:lang w:val="es-CR" w:eastAsia="es-CR"/>
              </w:rPr>
            </w:pPr>
          </w:p>
        </w:tc>
        <w:tc>
          <w:tcPr>
            <w:tcW w:w="8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AD3D8C"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Depuración de buzones para </w:t>
            </w:r>
            <w:r w:rsidRPr="002C0DC3">
              <w:rPr>
                <w:rFonts w:eastAsia="Calibri"/>
                <w:lang w:val="es-CR" w:eastAsia="es-CR"/>
              </w:rPr>
              <w:lastRenderedPageBreak/>
              <w:t>detectar los expedientes con posibles caducidades, o que se encuentren inactivos.  Bajar circulante.</w:t>
            </w:r>
          </w:p>
        </w:tc>
        <w:tc>
          <w:tcPr>
            <w:tcW w:w="63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1F11C7"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lastRenderedPageBreak/>
              <w:t>1/3/2020</w:t>
            </w:r>
          </w:p>
        </w:tc>
        <w:tc>
          <w:tcPr>
            <w:tcW w:w="6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F9EB0A"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31/3/2020</w:t>
            </w:r>
          </w:p>
        </w:tc>
        <w:tc>
          <w:tcPr>
            <w:tcW w:w="8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BAC044"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Lic. Giovanni Vargas, </w:t>
            </w:r>
            <w:r w:rsidRPr="002C0DC3">
              <w:rPr>
                <w:rFonts w:eastAsia="Calibri"/>
                <w:lang w:val="es-CR" w:eastAsia="es-CR"/>
              </w:rPr>
              <w:lastRenderedPageBreak/>
              <w:t>licenciada Shirley Montoya y Lilliam Álvarez.</w:t>
            </w:r>
          </w:p>
        </w:tc>
        <w:tc>
          <w:tcPr>
            <w:tcW w:w="11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6EBE2E"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lastRenderedPageBreak/>
              <w:t xml:space="preserve">Durante la revisión se logró dictar 90 </w:t>
            </w:r>
            <w:r w:rsidRPr="002C0DC3">
              <w:rPr>
                <w:rFonts w:eastAsia="Calibri"/>
                <w:lang w:val="es-CR" w:eastAsia="es-CR"/>
              </w:rPr>
              <w:lastRenderedPageBreak/>
              <w:t>resoluciones de caducidad en el mes de marzo y además se sacaron 450 expedientes inactivos.</w:t>
            </w:r>
          </w:p>
        </w:tc>
      </w:tr>
    </w:tbl>
    <w:p w14:paraId="0DACF30E" w14:textId="77777777" w:rsidR="002C0DC3" w:rsidRPr="002C0DC3" w:rsidRDefault="002C0DC3" w:rsidP="002C0DC3">
      <w:pPr>
        <w:suppressAutoHyphens w:val="0"/>
        <w:jc w:val="both"/>
        <w:rPr>
          <w:rFonts w:eastAsia="Calibri"/>
          <w:lang w:val="es-CR" w:eastAsia="en-US"/>
        </w:rPr>
      </w:pPr>
    </w:p>
    <w:bookmarkEnd w:id="48"/>
    <w:p w14:paraId="3EF516D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Se diseñó un plan de trabajo en el cual los técnicos del Juzgado Civil le dieron soporte a las técnicas y técnicos judiciales de los Juzgados de Cobro.</w:t>
      </w:r>
    </w:p>
    <w:p w14:paraId="5B7AC74B" w14:textId="77777777" w:rsidR="002C0DC3" w:rsidRPr="002C0DC3" w:rsidRDefault="002C0DC3" w:rsidP="002C0DC3">
      <w:pPr>
        <w:suppressAutoHyphens w:val="0"/>
        <w:ind w:left="851" w:right="851" w:firstLine="709"/>
        <w:jc w:val="both"/>
        <w:rPr>
          <w:rFonts w:eastAsia="Calibri"/>
          <w:lang w:val="es-CR" w:eastAsia="en-US"/>
        </w:rPr>
      </w:pPr>
    </w:p>
    <w:p w14:paraId="103C6C21" w14:textId="70B502E1" w:rsidR="002C0DC3" w:rsidRDefault="002C0DC3" w:rsidP="002C0DC3">
      <w:pPr>
        <w:suppressAutoHyphens w:val="0"/>
        <w:ind w:left="851" w:right="851" w:firstLine="709"/>
        <w:jc w:val="center"/>
        <w:rPr>
          <w:rFonts w:eastAsia="Calibri"/>
          <w:b/>
          <w:bCs/>
          <w:lang w:eastAsia="zh-CN"/>
        </w:rPr>
      </w:pPr>
      <w:r w:rsidRPr="002C0DC3">
        <w:rPr>
          <w:rFonts w:eastAsia="Calibri"/>
          <w:b/>
          <w:bCs/>
          <w:lang w:eastAsia="zh-CN"/>
        </w:rPr>
        <w:t>A setiembre 2020</w:t>
      </w:r>
    </w:p>
    <w:p w14:paraId="6B3C6E31" w14:textId="77777777" w:rsidR="00B31AC4" w:rsidRPr="002C0DC3" w:rsidRDefault="00B31AC4" w:rsidP="002C0DC3">
      <w:pPr>
        <w:suppressAutoHyphens w:val="0"/>
        <w:ind w:left="851" w:right="851" w:firstLine="709"/>
        <w:jc w:val="center"/>
        <w:rPr>
          <w:rFonts w:eastAsia="Calibri"/>
          <w:b/>
          <w:bCs/>
          <w:lang w:eastAsia="zh-CN"/>
        </w:rPr>
      </w:pPr>
    </w:p>
    <w:tbl>
      <w:tblPr>
        <w:tblW w:w="5000" w:type="pct"/>
        <w:jc w:val="center"/>
        <w:tblCellMar>
          <w:left w:w="70" w:type="dxa"/>
          <w:right w:w="70" w:type="dxa"/>
        </w:tblCellMar>
        <w:tblLook w:val="04A0" w:firstRow="1" w:lastRow="0" w:firstColumn="1" w:lastColumn="0" w:noHBand="0" w:noVBand="1"/>
      </w:tblPr>
      <w:tblGrid>
        <w:gridCol w:w="1252"/>
        <w:gridCol w:w="1561"/>
        <w:gridCol w:w="1158"/>
        <w:gridCol w:w="1259"/>
        <w:gridCol w:w="1531"/>
        <w:gridCol w:w="2634"/>
      </w:tblGrid>
      <w:tr w:rsidR="002C0DC3" w:rsidRPr="002C0DC3" w14:paraId="24912F60" w14:textId="77777777" w:rsidTr="002C0DC3">
        <w:trPr>
          <w:trHeight w:val="20"/>
          <w:tblHeader/>
          <w:jc w:val="center"/>
        </w:trPr>
        <w:tc>
          <w:tcPr>
            <w:tcW w:w="666" w:type="pct"/>
            <w:tcBorders>
              <w:top w:val="single" w:sz="4" w:space="0" w:color="auto"/>
              <w:left w:val="single" w:sz="4" w:space="0" w:color="auto"/>
              <w:bottom w:val="single" w:sz="4" w:space="0" w:color="auto"/>
              <w:right w:val="single" w:sz="4" w:space="0" w:color="auto"/>
            </w:tcBorders>
            <w:shd w:val="clear" w:color="auto" w:fill="003366"/>
            <w:vAlign w:val="center"/>
            <w:hideMark/>
          </w:tcPr>
          <w:p w14:paraId="790CE655"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Despacho</w:t>
            </w:r>
          </w:p>
        </w:tc>
        <w:tc>
          <w:tcPr>
            <w:tcW w:w="830" w:type="pct"/>
            <w:tcBorders>
              <w:top w:val="single" w:sz="4" w:space="0" w:color="auto"/>
              <w:left w:val="nil"/>
              <w:bottom w:val="single" w:sz="4" w:space="0" w:color="auto"/>
              <w:right w:val="single" w:sz="4" w:space="0" w:color="auto"/>
            </w:tcBorders>
            <w:shd w:val="clear" w:color="auto" w:fill="003366"/>
            <w:vAlign w:val="center"/>
            <w:hideMark/>
          </w:tcPr>
          <w:p w14:paraId="7EED3B7E"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Tipo de Plan</w:t>
            </w:r>
          </w:p>
        </w:tc>
        <w:tc>
          <w:tcPr>
            <w:tcW w:w="616" w:type="pct"/>
            <w:tcBorders>
              <w:top w:val="single" w:sz="4" w:space="0" w:color="auto"/>
              <w:left w:val="nil"/>
              <w:bottom w:val="single" w:sz="4" w:space="0" w:color="auto"/>
              <w:right w:val="single" w:sz="4" w:space="0" w:color="auto"/>
            </w:tcBorders>
            <w:shd w:val="clear" w:color="auto" w:fill="003366"/>
            <w:vAlign w:val="center"/>
            <w:hideMark/>
          </w:tcPr>
          <w:p w14:paraId="6E105146"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Fecha inicio</w:t>
            </w:r>
          </w:p>
        </w:tc>
        <w:tc>
          <w:tcPr>
            <w:tcW w:w="670" w:type="pct"/>
            <w:tcBorders>
              <w:top w:val="single" w:sz="4" w:space="0" w:color="auto"/>
              <w:left w:val="nil"/>
              <w:bottom w:val="single" w:sz="4" w:space="0" w:color="auto"/>
              <w:right w:val="single" w:sz="4" w:space="0" w:color="auto"/>
            </w:tcBorders>
            <w:shd w:val="clear" w:color="auto" w:fill="003366"/>
            <w:vAlign w:val="center"/>
            <w:hideMark/>
          </w:tcPr>
          <w:p w14:paraId="030AD80E"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Fecha fin</w:t>
            </w:r>
          </w:p>
        </w:tc>
        <w:tc>
          <w:tcPr>
            <w:tcW w:w="815" w:type="pct"/>
            <w:tcBorders>
              <w:top w:val="single" w:sz="4" w:space="0" w:color="auto"/>
              <w:left w:val="nil"/>
              <w:bottom w:val="single" w:sz="4" w:space="0" w:color="auto"/>
              <w:right w:val="single" w:sz="4" w:space="0" w:color="auto"/>
            </w:tcBorders>
            <w:shd w:val="clear" w:color="auto" w:fill="003366"/>
            <w:vAlign w:val="center"/>
            <w:hideMark/>
          </w:tcPr>
          <w:p w14:paraId="520F3AAC"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Responsable</w:t>
            </w:r>
          </w:p>
        </w:tc>
        <w:tc>
          <w:tcPr>
            <w:tcW w:w="1402" w:type="pct"/>
            <w:tcBorders>
              <w:top w:val="single" w:sz="4" w:space="0" w:color="auto"/>
              <w:left w:val="nil"/>
              <w:bottom w:val="single" w:sz="4" w:space="0" w:color="auto"/>
              <w:right w:val="single" w:sz="4" w:space="0" w:color="auto"/>
            </w:tcBorders>
            <w:shd w:val="clear" w:color="auto" w:fill="003366"/>
            <w:vAlign w:val="center"/>
            <w:hideMark/>
          </w:tcPr>
          <w:p w14:paraId="2D4AAB0F" w14:textId="77777777" w:rsidR="002C0DC3" w:rsidRPr="002C0DC3" w:rsidRDefault="002C0DC3" w:rsidP="002C0DC3">
            <w:pPr>
              <w:suppressAutoHyphens w:val="0"/>
              <w:jc w:val="center"/>
              <w:rPr>
                <w:rFonts w:eastAsia="Calibri"/>
                <w:b/>
                <w:bCs/>
                <w:lang w:val="es-CR" w:eastAsia="es-CR"/>
              </w:rPr>
            </w:pPr>
            <w:r w:rsidRPr="002C0DC3">
              <w:rPr>
                <w:rFonts w:eastAsia="Calibri"/>
                <w:b/>
                <w:bCs/>
                <w:lang w:val="es-CR" w:eastAsia="es-CR"/>
              </w:rPr>
              <w:t>Resultado</w:t>
            </w:r>
          </w:p>
        </w:tc>
      </w:tr>
      <w:tr w:rsidR="002C0DC3" w:rsidRPr="002C0DC3" w14:paraId="7D2C45B2" w14:textId="77777777" w:rsidTr="002C0DC3">
        <w:trPr>
          <w:trHeight w:val="20"/>
          <w:jc w:val="center"/>
        </w:trPr>
        <w:tc>
          <w:tcPr>
            <w:tcW w:w="666" w:type="pct"/>
            <w:tcBorders>
              <w:top w:val="nil"/>
              <w:left w:val="single" w:sz="4" w:space="0" w:color="auto"/>
              <w:bottom w:val="single" w:sz="4" w:space="0" w:color="auto"/>
              <w:right w:val="single" w:sz="4" w:space="0" w:color="auto"/>
            </w:tcBorders>
            <w:shd w:val="clear" w:color="auto" w:fill="auto"/>
            <w:vAlign w:val="center"/>
            <w:hideMark/>
          </w:tcPr>
          <w:p w14:paraId="70D32FF1" w14:textId="77777777" w:rsidR="002C0DC3" w:rsidRPr="002C0DC3" w:rsidRDefault="002C0DC3" w:rsidP="002C0DC3">
            <w:pPr>
              <w:tabs>
                <w:tab w:val="right" w:pos="8504"/>
              </w:tabs>
              <w:suppressAutoHyphens w:val="0"/>
              <w:jc w:val="both"/>
              <w:rPr>
                <w:lang w:val="es-CR" w:eastAsia="es-CR"/>
              </w:rPr>
            </w:pPr>
            <w:r w:rsidRPr="002C0DC3">
              <w:rPr>
                <w:lang w:val="es-CR" w:eastAsia="es-CR"/>
              </w:rPr>
              <w:t>Juzgado de Cobro del II Circuito Judicial de Alajuela</w:t>
            </w:r>
          </w:p>
        </w:tc>
        <w:tc>
          <w:tcPr>
            <w:tcW w:w="830" w:type="pct"/>
            <w:tcBorders>
              <w:top w:val="nil"/>
              <w:left w:val="nil"/>
              <w:bottom w:val="single" w:sz="4" w:space="0" w:color="auto"/>
              <w:right w:val="single" w:sz="4" w:space="0" w:color="auto"/>
            </w:tcBorders>
            <w:shd w:val="clear" w:color="000000" w:fill="FFFFFF"/>
            <w:vAlign w:val="center"/>
            <w:hideMark/>
          </w:tcPr>
          <w:p w14:paraId="70E327FC"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Reducir el plazo de resolver demandas nuevas ya que se encontraba a 11 meses y un total de 6361 demanda pendientes</w:t>
            </w:r>
          </w:p>
        </w:tc>
        <w:tc>
          <w:tcPr>
            <w:tcW w:w="616" w:type="pct"/>
            <w:tcBorders>
              <w:top w:val="nil"/>
              <w:left w:val="nil"/>
              <w:bottom w:val="single" w:sz="4" w:space="0" w:color="auto"/>
              <w:right w:val="single" w:sz="4" w:space="0" w:color="auto"/>
            </w:tcBorders>
            <w:shd w:val="clear" w:color="000000" w:fill="FFFFFF"/>
            <w:vAlign w:val="center"/>
            <w:hideMark/>
          </w:tcPr>
          <w:p w14:paraId="5581DD11"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25/7/2020</w:t>
            </w:r>
          </w:p>
        </w:tc>
        <w:tc>
          <w:tcPr>
            <w:tcW w:w="670" w:type="pct"/>
            <w:tcBorders>
              <w:top w:val="nil"/>
              <w:left w:val="nil"/>
              <w:bottom w:val="single" w:sz="4" w:space="0" w:color="auto"/>
              <w:right w:val="single" w:sz="4" w:space="0" w:color="auto"/>
            </w:tcBorders>
            <w:shd w:val="clear" w:color="000000" w:fill="FFFFFF"/>
            <w:vAlign w:val="center"/>
            <w:hideMark/>
          </w:tcPr>
          <w:p w14:paraId="720AAC04"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31/12/2020</w:t>
            </w:r>
          </w:p>
        </w:tc>
        <w:tc>
          <w:tcPr>
            <w:tcW w:w="815" w:type="pct"/>
            <w:tcBorders>
              <w:top w:val="nil"/>
              <w:left w:val="nil"/>
              <w:bottom w:val="single" w:sz="4" w:space="0" w:color="auto"/>
              <w:right w:val="single" w:sz="4" w:space="0" w:color="auto"/>
            </w:tcBorders>
            <w:shd w:val="clear" w:color="000000" w:fill="FFFFFF"/>
            <w:vAlign w:val="center"/>
            <w:hideMark/>
          </w:tcPr>
          <w:p w14:paraId="1E76034D"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Personal técnico del Juzgado Civil y Juzgado de Cobro</w:t>
            </w:r>
          </w:p>
        </w:tc>
        <w:tc>
          <w:tcPr>
            <w:tcW w:w="1402" w:type="pct"/>
            <w:tcBorders>
              <w:top w:val="nil"/>
              <w:left w:val="nil"/>
              <w:bottom w:val="single" w:sz="4" w:space="0" w:color="auto"/>
              <w:right w:val="single" w:sz="4" w:space="0" w:color="auto"/>
            </w:tcBorders>
            <w:shd w:val="clear" w:color="000000" w:fill="FFFFFF"/>
            <w:vAlign w:val="center"/>
            <w:hideMark/>
          </w:tcPr>
          <w:p w14:paraId="30695F8A" w14:textId="77777777" w:rsidR="002C0DC3" w:rsidRPr="002C0DC3" w:rsidRDefault="002C0DC3" w:rsidP="002C0DC3">
            <w:pPr>
              <w:suppressAutoHyphens w:val="0"/>
              <w:jc w:val="both"/>
              <w:rPr>
                <w:rFonts w:eastAsia="Calibri"/>
                <w:lang w:eastAsia="zh-CN"/>
              </w:rPr>
            </w:pPr>
            <w:r w:rsidRPr="002C0DC3">
              <w:rPr>
                <w:rFonts w:eastAsia="Calibri"/>
                <w:lang w:val="es-CR" w:eastAsia="es-CR"/>
              </w:rPr>
              <w:t>Disminución en las demandas nuevas en dos meses y un 49% en la cantidad pendiente (3260)</w:t>
            </w:r>
            <w:r w:rsidRPr="002C0DC3">
              <w:rPr>
                <w:rFonts w:eastAsia="Calibri"/>
                <w:lang w:eastAsia="zh-CN"/>
              </w:rPr>
              <w:t xml:space="preserve"> </w:t>
            </w:r>
          </w:p>
          <w:p w14:paraId="5582FE4F" w14:textId="77777777" w:rsidR="002C0DC3" w:rsidRPr="002C0DC3" w:rsidRDefault="002C0DC3" w:rsidP="002C0DC3">
            <w:pPr>
              <w:suppressAutoHyphens w:val="0"/>
              <w:jc w:val="both"/>
              <w:rPr>
                <w:rFonts w:eastAsia="Calibri"/>
                <w:lang w:eastAsia="zh-CN"/>
              </w:rPr>
            </w:pPr>
          </w:p>
          <w:p w14:paraId="1D62F9FD" w14:textId="77777777" w:rsidR="002C0DC3" w:rsidRPr="002C0DC3" w:rsidRDefault="002C0DC3" w:rsidP="002C0DC3">
            <w:pPr>
              <w:suppressAutoHyphens w:val="0"/>
              <w:jc w:val="both"/>
              <w:rPr>
                <w:rFonts w:eastAsia="Calibri"/>
                <w:lang w:eastAsia="zh-CN"/>
              </w:rPr>
            </w:pPr>
            <w:r w:rsidRPr="002C0DC3">
              <w:rPr>
                <w:rFonts w:eastAsia="Calibri"/>
                <w:lang w:eastAsia="zh-CN"/>
              </w:rPr>
              <w:t xml:space="preserve">En el contenido del informe </w:t>
            </w:r>
            <w:r w:rsidRPr="002C0DC3">
              <w:rPr>
                <w:rFonts w:eastAsia="Calibri"/>
                <w:b/>
                <w:bCs/>
                <w:lang w:eastAsia="zh-CN"/>
              </w:rPr>
              <w:t>963-PLA-EV-2020</w:t>
            </w:r>
            <w:r w:rsidRPr="002C0DC3">
              <w:rPr>
                <w:rFonts w:eastAsia="Calibri"/>
                <w:lang w:eastAsia="zh-CN"/>
              </w:rPr>
              <w:t xml:space="preserve"> se propone que del total de las nueve plazas las personas Técnicas Judiciales del Juzgado Civil del II Circuito Judicial de Alajuela, colaboren con el 50% de la cuota establecida en materia de Cobro; es decir, que realicen diez asuntos diarios. En tanto, en materia Civil estas mismas plazas asumirán únicamente siete asuntos; siendo que, mantengan una cuota compuesta de </w:t>
            </w:r>
            <w:r w:rsidRPr="002C0DC3">
              <w:rPr>
                <w:rFonts w:eastAsia="Calibri"/>
                <w:lang w:eastAsia="zh-CN"/>
              </w:rPr>
              <w:lastRenderedPageBreak/>
              <w:t>17 asuntos diarios (10 asuntos de Cobro y 7 asuntos de Civil).</w:t>
            </w:r>
          </w:p>
          <w:p w14:paraId="791D17DA" w14:textId="77777777" w:rsidR="002C0DC3" w:rsidRPr="002C0DC3" w:rsidRDefault="002C0DC3" w:rsidP="002C0DC3">
            <w:pPr>
              <w:suppressAutoHyphens w:val="0"/>
              <w:jc w:val="both"/>
              <w:rPr>
                <w:rFonts w:eastAsia="Calibri"/>
                <w:lang w:eastAsia="zh-CN"/>
              </w:rPr>
            </w:pPr>
            <w:r w:rsidRPr="002C0DC3">
              <w:rPr>
                <w:rFonts w:eastAsia="Calibri"/>
                <w:lang w:eastAsia="zh-CN"/>
              </w:rPr>
              <w:t>Las plazas de personas técnicas judiciales del Juzgado Civil apoyarían en la resolución de las demandas nuevas en procesos monitorios (incluidos asuntos nuevos con prevenciones de cumplimiento a las que no se le ha dado traslado), de lo más antiguo a lo más nuevo; de manera, que se dé el traslado o el archivo según corresponda.</w:t>
            </w:r>
          </w:p>
          <w:p w14:paraId="6C290832" w14:textId="77777777" w:rsidR="002C0DC3" w:rsidRPr="002C0DC3" w:rsidRDefault="002C0DC3" w:rsidP="002C0DC3">
            <w:pPr>
              <w:suppressAutoHyphens w:val="0"/>
              <w:jc w:val="both"/>
              <w:rPr>
                <w:rFonts w:eastAsia="Calibri"/>
                <w:lang w:val="es-CR" w:eastAsia="es-CR"/>
              </w:rPr>
            </w:pPr>
            <w:r w:rsidRPr="002C0DC3">
              <w:rPr>
                <w:rFonts w:eastAsia="Calibri"/>
                <w:lang w:eastAsia="zh-CN"/>
              </w:rPr>
              <w:t xml:space="preserve">Informe </w:t>
            </w:r>
            <w:r w:rsidRPr="002C0DC3">
              <w:rPr>
                <w:rFonts w:eastAsia="Calibri"/>
                <w:b/>
                <w:bCs/>
                <w:lang w:eastAsia="zh-CN"/>
              </w:rPr>
              <w:t>963-PLA-EV-2020</w:t>
            </w:r>
            <w:r w:rsidRPr="002C0DC3">
              <w:rPr>
                <w:rFonts w:eastAsia="Calibri"/>
                <w:lang w:eastAsia="zh-CN"/>
              </w:rPr>
              <w:t xml:space="preserve"> aprobado en sesión 71-2020, artículo XXXVI del Consejo Superior celebrada el 29 de junio de 2020. </w:t>
            </w:r>
          </w:p>
        </w:tc>
      </w:tr>
    </w:tbl>
    <w:p w14:paraId="267AAE48" w14:textId="77777777" w:rsidR="002C0DC3" w:rsidRPr="002C0DC3" w:rsidRDefault="002C0DC3" w:rsidP="002C0DC3">
      <w:pPr>
        <w:suppressAutoHyphens w:val="0"/>
        <w:ind w:right="-1"/>
        <w:jc w:val="both"/>
        <w:rPr>
          <w:rFonts w:eastAsia="Calibri"/>
          <w:lang w:eastAsia="zh-CN"/>
        </w:rPr>
      </w:pPr>
    </w:p>
    <w:p w14:paraId="4B7CDA4B" w14:textId="77777777" w:rsidR="002C0DC3" w:rsidRPr="002C0DC3" w:rsidRDefault="002C0DC3" w:rsidP="002C0DC3">
      <w:pPr>
        <w:suppressAutoHyphens w:val="0"/>
        <w:ind w:right="-1"/>
        <w:jc w:val="both"/>
        <w:rPr>
          <w:rFonts w:eastAsia="Calibri"/>
          <w:lang w:eastAsia="zh-CN"/>
        </w:rPr>
      </w:pPr>
    </w:p>
    <w:p w14:paraId="0FCF5CCB" w14:textId="77777777" w:rsidR="002C0DC3" w:rsidRPr="002C0DC3" w:rsidRDefault="002C0DC3" w:rsidP="002C0DC3">
      <w:pPr>
        <w:suppressAutoHyphens w:val="0"/>
        <w:ind w:left="851" w:right="851" w:firstLine="709"/>
        <w:jc w:val="center"/>
        <w:rPr>
          <w:rFonts w:eastAsia="Calibri"/>
          <w:b/>
          <w:bCs/>
          <w:lang w:eastAsia="zh-CN"/>
        </w:rPr>
      </w:pPr>
      <w:r w:rsidRPr="002C0DC3">
        <w:rPr>
          <w:rFonts w:eastAsia="Calibri"/>
          <w:b/>
          <w:bCs/>
          <w:lang w:eastAsia="zh-CN"/>
        </w:rPr>
        <w:t>A diciembre 2020</w:t>
      </w:r>
    </w:p>
    <w:p w14:paraId="2127A0A7" w14:textId="77777777" w:rsidR="002C0DC3" w:rsidRPr="002C0DC3" w:rsidRDefault="002C0DC3" w:rsidP="002C0DC3">
      <w:pPr>
        <w:suppressAutoHyphens w:val="0"/>
        <w:jc w:val="both"/>
        <w:rPr>
          <w:rFonts w:eastAsia="Calibri"/>
          <w:lang w:eastAsia="zh-CN"/>
        </w:rPr>
      </w:pPr>
    </w:p>
    <w:tbl>
      <w:tblPr>
        <w:tblW w:w="0" w:type="auto"/>
        <w:jc w:val="center"/>
        <w:tblCellMar>
          <w:left w:w="70" w:type="dxa"/>
          <w:right w:w="70" w:type="dxa"/>
        </w:tblCellMar>
        <w:tblLook w:val="04A0" w:firstRow="1" w:lastRow="0" w:firstColumn="1" w:lastColumn="0" w:noHBand="0" w:noVBand="1"/>
      </w:tblPr>
      <w:tblGrid>
        <w:gridCol w:w="1242"/>
        <w:gridCol w:w="1950"/>
        <w:gridCol w:w="1121"/>
        <w:gridCol w:w="1234"/>
        <w:gridCol w:w="1533"/>
        <w:gridCol w:w="2315"/>
      </w:tblGrid>
      <w:tr w:rsidR="002C0DC3" w:rsidRPr="002C0DC3" w14:paraId="4D6EC9FB" w14:textId="77777777" w:rsidTr="002C0DC3">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003366"/>
            <w:vAlign w:val="center"/>
            <w:hideMark/>
          </w:tcPr>
          <w:p w14:paraId="084AF665"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Despacho</w:t>
            </w:r>
          </w:p>
        </w:tc>
        <w:tc>
          <w:tcPr>
            <w:tcW w:w="0" w:type="auto"/>
            <w:tcBorders>
              <w:top w:val="single" w:sz="4" w:space="0" w:color="auto"/>
              <w:left w:val="nil"/>
              <w:bottom w:val="single" w:sz="4" w:space="0" w:color="auto"/>
              <w:right w:val="single" w:sz="4" w:space="0" w:color="auto"/>
            </w:tcBorders>
            <w:shd w:val="clear" w:color="auto" w:fill="003366"/>
            <w:vAlign w:val="center"/>
            <w:hideMark/>
          </w:tcPr>
          <w:p w14:paraId="3EDB3E5C"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Tipo de Plan</w:t>
            </w:r>
          </w:p>
        </w:tc>
        <w:tc>
          <w:tcPr>
            <w:tcW w:w="0" w:type="auto"/>
            <w:tcBorders>
              <w:top w:val="single" w:sz="4" w:space="0" w:color="auto"/>
              <w:left w:val="nil"/>
              <w:bottom w:val="single" w:sz="4" w:space="0" w:color="auto"/>
              <w:right w:val="single" w:sz="4" w:space="0" w:color="auto"/>
            </w:tcBorders>
            <w:shd w:val="clear" w:color="auto" w:fill="003366"/>
            <w:vAlign w:val="center"/>
            <w:hideMark/>
          </w:tcPr>
          <w:p w14:paraId="7BF415B4"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Fecha inicio</w:t>
            </w:r>
          </w:p>
        </w:tc>
        <w:tc>
          <w:tcPr>
            <w:tcW w:w="0" w:type="auto"/>
            <w:tcBorders>
              <w:top w:val="single" w:sz="4" w:space="0" w:color="auto"/>
              <w:left w:val="nil"/>
              <w:bottom w:val="single" w:sz="4" w:space="0" w:color="auto"/>
              <w:right w:val="single" w:sz="4" w:space="0" w:color="auto"/>
            </w:tcBorders>
            <w:shd w:val="clear" w:color="auto" w:fill="003366"/>
            <w:vAlign w:val="center"/>
            <w:hideMark/>
          </w:tcPr>
          <w:p w14:paraId="5DF182C4"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Fecha fin</w:t>
            </w:r>
          </w:p>
        </w:tc>
        <w:tc>
          <w:tcPr>
            <w:tcW w:w="0" w:type="auto"/>
            <w:tcBorders>
              <w:top w:val="single" w:sz="4" w:space="0" w:color="auto"/>
              <w:left w:val="nil"/>
              <w:bottom w:val="single" w:sz="4" w:space="0" w:color="auto"/>
              <w:right w:val="single" w:sz="4" w:space="0" w:color="auto"/>
            </w:tcBorders>
            <w:shd w:val="clear" w:color="auto" w:fill="003366"/>
            <w:vAlign w:val="center"/>
            <w:hideMark/>
          </w:tcPr>
          <w:p w14:paraId="15327418"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Responsable</w:t>
            </w:r>
          </w:p>
        </w:tc>
        <w:tc>
          <w:tcPr>
            <w:tcW w:w="0" w:type="auto"/>
            <w:tcBorders>
              <w:top w:val="single" w:sz="4" w:space="0" w:color="auto"/>
              <w:left w:val="nil"/>
              <w:bottom w:val="single" w:sz="4" w:space="0" w:color="auto"/>
              <w:right w:val="single" w:sz="4" w:space="0" w:color="auto"/>
            </w:tcBorders>
            <w:shd w:val="clear" w:color="auto" w:fill="003366"/>
            <w:vAlign w:val="center"/>
            <w:hideMark/>
          </w:tcPr>
          <w:p w14:paraId="4B9C7CDB"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Resultado</w:t>
            </w:r>
          </w:p>
        </w:tc>
      </w:tr>
      <w:tr w:rsidR="002C0DC3" w:rsidRPr="002C0DC3" w14:paraId="4E436242" w14:textId="77777777" w:rsidTr="002C0DC3">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4775A8" w14:textId="77777777" w:rsidR="002C0DC3" w:rsidRPr="002C0DC3" w:rsidRDefault="002C0DC3" w:rsidP="002C0DC3">
            <w:pPr>
              <w:tabs>
                <w:tab w:val="right" w:pos="8504"/>
              </w:tabs>
              <w:suppressAutoHyphens w:val="0"/>
              <w:jc w:val="both"/>
              <w:rPr>
                <w:lang w:val="es-CR" w:eastAsia="es-CR"/>
              </w:rPr>
            </w:pPr>
            <w:r w:rsidRPr="002C0DC3">
              <w:rPr>
                <w:lang w:val="es-CR" w:eastAsia="es-CR"/>
              </w:rPr>
              <w:t>Juzgado de Cobro del II Circuito Judicial de Alajuela</w:t>
            </w:r>
          </w:p>
        </w:tc>
        <w:tc>
          <w:tcPr>
            <w:tcW w:w="0" w:type="auto"/>
            <w:tcBorders>
              <w:top w:val="nil"/>
              <w:left w:val="nil"/>
              <w:bottom w:val="single" w:sz="4" w:space="0" w:color="auto"/>
              <w:right w:val="single" w:sz="4" w:space="0" w:color="auto"/>
            </w:tcBorders>
            <w:shd w:val="clear" w:color="000000" w:fill="FFFFFF"/>
            <w:vAlign w:val="center"/>
            <w:hideMark/>
          </w:tcPr>
          <w:p w14:paraId="06796ED9" w14:textId="77777777" w:rsidR="002C0DC3" w:rsidRPr="002C0DC3" w:rsidRDefault="002C0DC3" w:rsidP="002C0DC3">
            <w:pPr>
              <w:suppressAutoHyphens w:val="0"/>
              <w:jc w:val="both"/>
              <w:rPr>
                <w:rFonts w:eastAsia="Calibri"/>
                <w:lang w:val="es-CR" w:eastAsia="es-CR"/>
              </w:rPr>
            </w:pPr>
            <w:r w:rsidRPr="002C0DC3">
              <w:rPr>
                <w:rFonts w:eastAsia="Calibri"/>
                <w:lang w:eastAsia="zh-CN"/>
              </w:rPr>
              <w:t xml:space="preserve">Optimizar el recurso a nivel institucional; de manera que, se permita colaborar con la carga de trabajo de Cobro y a su vez se logre estabilizar el </w:t>
            </w:r>
            <w:r w:rsidRPr="002C0DC3">
              <w:rPr>
                <w:rFonts w:eastAsia="Calibri"/>
                <w:lang w:eastAsia="zh-CN"/>
              </w:rPr>
              <w:lastRenderedPageBreak/>
              <w:t xml:space="preserve">porcentaje de rendimiento de las personas técnicas judiciales </w:t>
            </w:r>
            <w:r w:rsidRPr="002C0DC3">
              <w:rPr>
                <w:rFonts w:eastAsia="Calibri"/>
                <w:b/>
                <w:bCs/>
                <w:lang w:eastAsia="zh-CN"/>
              </w:rPr>
              <w:t>(95% - 100%)</w:t>
            </w:r>
          </w:p>
        </w:tc>
        <w:tc>
          <w:tcPr>
            <w:tcW w:w="0" w:type="auto"/>
            <w:tcBorders>
              <w:top w:val="nil"/>
              <w:left w:val="nil"/>
              <w:bottom w:val="single" w:sz="4" w:space="0" w:color="auto"/>
              <w:right w:val="single" w:sz="4" w:space="0" w:color="auto"/>
            </w:tcBorders>
            <w:shd w:val="clear" w:color="000000" w:fill="FFFFFF"/>
            <w:vAlign w:val="center"/>
            <w:hideMark/>
          </w:tcPr>
          <w:p w14:paraId="7B9E32E0"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lastRenderedPageBreak/>
              <w:t>25/7/2020</w:t>
            </w:r>
          </w:p>
        </w:tc>
        <w:tc>
          <w:tcPr>
            <w:tcW w:w="0" w:type="auto"/>
            <w:tcBorders>
              <w:top w:val="nil"/>
              <w:left w:val="nil"/>
              <w:bottom w:val="single" w:sz="4" w:space="0" w:color="auto"/>
              <w:right w:val="single" w:sz="4" w:space="0" w:color="auto"/>
            </w:tcBorders>
            <w:shd w:val="clear" w:color="000000" w:fill="FFFFFF"/>
            <w:vAlign w:val="center"/>
            <w:hideMark/>
          </w:tcPr>
          <w:p w14:paraId="7F12B67B"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31/12/2020</w:t>
            </w:r>
          </w:p>
        </w:tc>
        <w:tc>
          <w:tcPr>
            <w:tcW w:w="0" w:type="auto"/>
            <w:tcBorders>
              <w:top w:val="nil"/>
              <w:left w:val="nil"/>
              <w:bottom w:val="single" w:sz="4" w:space="0" w:color="auto"/>
              <w:right w:val="single" w:sz="4" w:space="0" w:color="auto"/>
            </w:tcBorders>
            <w:shd w:val="clear" w:color="000000" w:fill="FFFFFF"/>
            <w:vAlign w:val="center"/>
            <w:hideMark/>
          </w:tcPr>
          <w:p w14:paraId="0BEF774F"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Personal técnico del Juzgado Civil y Juzgado de Cobro</w:t>
            </w:r>
          </w:p>
        </w:tc>
        <w:tc>
          <w:tcPr>
            <w:tcW w:w="0" w:type="auto"/>
            <w:tcBorders>
              <w:top w:val="nil"/>
              <w:left w:val="nil"/>
              <w:bottom w:val="single" w:sz="4" w:space="0" w:color="auto"/>
              <w:right w:val="single" w:sz="4" w:space="0" w:color="auto"/>
            </w:tcBorders>
            <w:shd w:val="clear" w:color="000000" w:fill="FFFFFF"/>
            <w:vAlign w:val="center"/>
            <w:hideMark/>
          </w:tcPr>
          <w:p w14:paraId="7CC0D774" w14:textId="77777777" w:rsidR="002C0DC3" w:rsidRPr="002C0DC3" w:rsidRDefault="002C0DC3" w:rsidP="002C0DC3">
            <w:pPr>
              <w:suppressAutoHyphens w:val="0"/>
              <w:jc w:val="both"/>
              <w:rPr>
                <w:rFonts w:eastAsia="Calibri"/>
                <w:lang w:eastAsia="zh-CN"/>
              </w:rPr>
            </w:pPr>
            <w:r w:rsidRPr="002C0DC3">
              <w:rPr>
                <w:rFonts w:eastAsia="Calibri"/>
                <w:lang w:eastAsia="zh-CN"/>
              </w:rPr>
              <w:t xml:space="preserve">En el contenido del informe </w:t>
            </w:r>
            <w:r w:rsidRPr="002C0DC3">
              <w:rPr>
                <w:rFonts w:eastAsia="Calibri"/>
                <w:b/>
                <w:bCs/>
                <w:lang w:eastAsia="zh-CN"/>
              </w:rPr>
              <w:t>963-PLA-EV-2020</w:t>
            </w:r>
            <w:r w:rsidRPr="002C0DC3">
              <w:rPr>
                <w:rFonts w:eastAsia="Calibri"/>
                <w:lang w:eastAsia="zh-CN"/>
              </w:rPr>
              <w:t xml:space="preserve"> se propone que del total de las nueve plazas las personas Técnicas Judiciales del Juzgado Civil del II Circuito Judicial de Alajuela, </w:t>
            </w:r>
            <w:r w:rsidRPr="002C0DC3">
              <w:rPr>
                <w:rFonts w:eastAsia="Calibri"/>
                <w:lang w:eastAsia="zh-CN"/>
              </w:rPr>
              <w:lastRenderedPageBreak/>
              <w:t>colaboren con el 50% de la cuota establecida en materia de Cobro; es decir, que realicen diez asuntos diarios. En tanto, en materia Civil estas mismas plazas asumirán únicamente siete asuntos; siendo que, mantengan una cuota compuesta de 17 asuntos diarios (10 asuntos de Cobro y 7 asuntos de Civil).</w:t>
            </w:r>
          </w:p>
          <w:p w14:paraId="0D168178" w14:textId="77777777" w:rsidR="002C0DC3" w:rsidRPr="002C0DC3" w:rsidRDefault="002C0DC3" w:rsidP="002C0DC3">
            <w:pPr>
              <w:suppressAutoHyphens w:val="0"/>
              <w:jc w:val="both"/>
              <w:rPr>
                <w:rFonts w:eastAsia="Calibri"/>
                <w:lang w:eastAsia="zh-CN"/>
              </w:rPr>
            </w:pPr>
          </w:p>
          <w:p w14:paraId="337183AE" w14:textId="77777777" w:rsidR="002C0DC3" w:rsidRPr="002C0DC3" w:rsidRDefault="002C0DC3" w:rsidP="002C0DC3">
            <w:pPr>
              <w:suppressAutoHyphens w:val="0"/>
              <w:jc w:val="both"/>
              <w:rPr>
                <w:rFonts w:eastAsia="Calibri"/>
                <w:lang w:eastAsia="zh-CN"/>
              </w:rPr>
            </w:pPr>
            <w:r w:rsidRPr="002C0DC3">
              <w:rPr>
                <w:rFonts w:eastAsia="Calibri"/>
                <w:lang w:eastAsia="zh-CN"/>
              </w:rPr>
              <w:t>Las plazas de personas técnicas judiciales del Juzgado Civil apoyarían en la resolución de las demandas nuevas en procesos monitorios (incluidos asuntos nuevos con prevenciones de cumplimiento a las que no se le ha dado traslado), de lo más antiguo a lo más nuevo; de manera, que se dé el traslado o el archivo según corresponda.</w:t>
            </w:r>
          </w:p>
          <w:p w14:paraId="24D56EB3" w14:textId="77777777" w:rsidR="002C0DC3" w:rsidRPr="002C0DC3" w:rsidRDefault="002C0DC3" w:rsidP="002C0DC3">
            <w:pPr>
              <w:suppressAutoHyphens w:val="0"/>
              <w:jc w:val="both"/>
              <w:rPr>
                <w:rFonts w:eastAsia="Calibri"/>
                <w:lang w:eastAsia="zh-CN"/>
              </w:rPr>
            </w:pPr>
          </w:p>
          <w:p w14:paraId="2B047D41" w14:textId="77777777" w:rsidR="002C0DC3" w:rsidRPr="002C0DC3" w:rsidRDefault="002C0DC3" w:rsidP="002C0DC3">
            <w:pPr>
              <w:suppressAutoHyphens w:val="0"/>
              <w:jc w:val="both"/>
              <w:rPr>
                <w:rFonts w:eastAsia="Calibri"/>
                <w:lang w:eastAsia="zh-CN"/>
              </w:rPr>
            </w:pPr>
            <w:r w:rsidRPr="002C0DC3">
              <w:rPr>
                <w:rFonts w:eastAsia="Calibri"/>
                <w:lang w:eastAsia="zh-CN"/>
              </w:rPr>
              <w:t xml:space="preserve">Informe </w:t>
            </w:r>
            <w:r w:rsidRPr="002C0DC3">
              <w:rPr>
                <w:rFonts w:eastAsia="Calibri"/>
                <w:b/>
                <w:bCs/>
                <w:lang w:eastAsia="zh-CN"/>
              </w:rPr>
              <w:t>963-PLA-EV-2020</w:t>
            </w:r>
            <w:r w:rsidRPr="002C0DC3">
              <w:rPr>
                <w:rFonts w:eastAsia="Calibri"/>
                <w:lang w:eastAsia="zh-CN"/>
              </w:rPr>
              <w:t xml:space="preserve"> aprobado en sesión 71-2020, artículo XXXVI del </w:t>
            </w:r>
            <w:r w:rsidRPr="002C0DC3">
              <w:rPr>
                <w:rFonts w:eastAsia="Calibri"/>
                <w:lang w:eastAsia="zh-CN"/>
              </w:rPr>
              <w:lastRenderedPageBreak/>
              <w:t xml:space="preserve">Consejo Superior celebrada el 29 de junio de 2020. </w:t>
            </w:r>
          </w:p>
          <w:p w14:paraId="6645F13D" w14:textId="77777777" w:rsidR="002C0DC3" w:rsidRPr="002C0DC3" w:rsidRDefault="002C0DC3" w:rsidP="002C0DC3">
            <w:pPr>
              <w:suppressAutoHyphens w:val="0"/>
              <w:jc w:val="both"/>
              <w:rPr>
                <w:rFonts w:eastAsia="Calibri"/>
                <w:lang w:eastAsia="zh-CN"/>
              </w:rPr>
            </w:pPr>
          </w:p>
          <w:p w14:paraId="2444AE11" w14:textId="77777777" w:rsidR="002C0DC3" w:rsidRPr="002C0DC3" w:rsidRDefault="002C0DC3" w:rsidP="002C0DC3">
            <w:pPr>
              <w:suppressAutoHyphens w:val="0"/>
              <w:jc w:val="both"/>
              <w:rPr>
                <w:rFonts w:eastAsia="Calibri"/>
                <w:lang w:val="es-CR" w:eastAsia="zh-CN"/>
              </w:rPr>
            </w:pPr>
            <w:r w:rsidRPr="002C0DC3">
              <w:rPr>
                <w:rFonts w:eastAsia="Calibri"/>
                <w:lang w:val="es-CR" w:eastAsia="zh-CN"/>
              </w:rPr>
              <w:t xml:space="preserve">Como parte del Plan de trabajo 963-PLA-EV-2020 donde se brinda colaboración del personal técnico judicial del Juzgado Civil al Juzgado de Cobro de San Carlos se atendieron un total de 2911 demandas nuevas del Juzgado de Cobro del 1 de agosto a diciembre de 2020 logrando una reducción en el plazo de 3 meses en el plazo para resolver demandas. </w:t>
            </w:r>
          </w:p>
          <w:p w14:paraId="79D69425" w14:textId="77777777" w:rsidR="002C0DC3" w:rsidRPr="002C0DC3" w:rsidRDefault="002C0DC3" w:rsidP="002C0DC3">
            <w:pPr>
              <w:suppressAutoHyphens w:val="0"/>
              <w:jc w:val="both"/>
              <w:rPr>
                <w:rFonts w:eastAsia="Calibri"/>
                <w:lang w:val="es-CR" w:eastAsia="zh-CN"/>
              </w:rPr>
            </w:pPr>
          </w:p>
          <w:p w14:paraId="37FE44B4" w14:textId="77777777" w:rsidR="002C0DC3" w:rsidRPr="002C0DC3" w:rsidRDefault="002C0DC3" w:rsidP="002C0DC3">
            <w:pPr>
              <w:suppressAutoHyphens w:val="0"/>
              <w:jc w:val="both"/>
              <w:rPr>
                <w:rFonts w:eastAsia="Calibri"/>
                <w:lang w:eastAsia="zh-CN"/>
              </w:rPr>
            </w:pPr>
            <w:r w:rsidRPr="002C0DC3">
              <w:rPr>
                <w:rFonts w:eastAsia="Calibri"/>
                <w:lang w:val="es-CR" w:eastAsia="zh-CN"/>
              </w:rPr>
              <w:t>Para el mes de enero de 2021, se establecerá un plan de trabajo enfocado en la reducción de demandas pendientes de resolver asignadas al personal técnico del Juzgado Civil.</w:t>
            </w:r>
          </w:p>
          <w:p w14:paraId="309E9192" w14:textId="77777777" w:rsidR="002C0DC3" w:rsidRPr="002C0DC3" w:rsidRDefault="002C0DC3" w:rsidP="002C0DC3">
            <w:pPr>
              <w:suppressAutoHyphens w:val="0"/>
              <w:jc w:val="both"/>
              <w:rPr>
                <w:rFonts w:eastAsia="Calibri"/>
                <w:lang w:val="es-CR" w:eastAsia="es-CR"/>
              </w:rPr>
            </w:pPr>
          </w:p>
        </w:tc>
      </w:tr>
    </w:tbl>
    <w:p w14:paraId="0A1D5E1D" w14:textId="77777777" w:rsidR="002C0DC3" w:rsidRPr="002C0DC3" w:rsidRDefault="002C0DC3" w:rsidP="002C0DC3">
      <w:pPr>
        <w:suppressAutoHyphens w:val="0"/>
        <w:jc w:val="both"/>
        <w:rPr>
          <w:rFonts w:eastAsia="Calibri"/>
          <w:lang w:val="es-CR" w:eastAsia="en-US"/>
        </w:rPr>
      </w:pPr>
    </w:p>
    <w:p w14:paraId="23B033BC" w14:textId="77777777" w:rsidR="002C0DC3" w:rsidRPr="002C0DC3" w:rsidRDefault="002C0DC3" w:rsidP="002C0DC3">
      <w:pPr>
        <w:suppressAutoHyphens w:val="0"/>
        <w:jc w:val="both"/>
        <w:rPr>
          <w:rFonts w:eastAsia="Calibri"/>
          <w:lang w:val="es-CR" w:eastAsia="en-US"/>
        </w:rPr>
      </w:pPr>
    </w:p>
    <w:p w14:paraId="39BD8BCA" w14:textId="77777777" w:rsidR="002C0DC3" w:rsidRPr="002C0DC3" w:rsidRDefault="002C0DC3" w:rsidP="002C0DC3">
      <w:pPr>
        <w:keepNext/>
        <w:keepLines/>
        <w:numPr>
          <w:ilvl w:val="2"/>
          <w:numId w:val="0"/>
        </w:numPr>
        <w:suppressAutoHyphens w:val="0"/>
        <w:ind w:left="851" w:right="851" w:firstLine="709"/>
        <w:jc w:val="both"/>
        <w:rPr>
          <w:b/>
          <w:lang w:eastAsia="es-CR"/>
        </w:rPr>
      </w:pPr>
      <w:bookmarkStart w:id="49" w:name="_Toc78467042"/>
      <w:r w:rsidRPr="002C0DC3">
        <w:rPr>
          <w:b/>
          <w:bCs/>
          <w:lang w:eastAsia="es-CR"/>
        </w:rPr>
        <w:t>Circuito</w:t>
      </w:r>
      <w:r w:rsidRPr="002C0DC3">
        <w:rPr>
          <w:b/>
          <w:lang w:eastAsia="es-CR"/>
        </w:rPr>
        <w:t xml:space="preserve"> Judicial de Puntarenas:</w:t>
      </w:r>
      <w:bookmarkEnd w:id="49"/>
    </w:p>
    <w:p w14:paraId="37A88BB7" w14:textId="77777777" w:rsidR="002C0DC3" w:rsidRPr="002C0DC3" w:rsidRDefault="002C0DC3" w:rsidP="002C0DC3">
      <w:pPr>
        <w:suppressAutoHyphens w:val="0"/>
        <w:ind w:left="851" w:right="851" w:firstLine="709"/>
        <w:jc w:val="both"/>
        <w:rPr>
          <w:rFonts w:eastAsia="Calibri"/>
          <w:lang w:val="es-CR" w:eastAsia="en-US"/>
        </w:rPr>
      </w:pPr>
    </w:p>
    <w:p w14:paraId="5804C25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circuito Judicial de Puntarenas se llevaron a cabo durante el 2020 los siguientes planes de trabajo dirigidos a apoyar la labor del Juzgado de Cobro:</w:t>
      </w:r>
    </w:p>
    <w:p w14:paraId="499FB1A2" w14:textId="77777777" w:rsidR="002C0DC3" w:rsidRPr="002C0DC3" w:rsidRDefault="002C0DC3" w:rsidP="002C0DC3">
      <w:pPr>
        <w:suppressAutoHyphens w:val="0"/>
        <w:ind w:left="851" w:right="851" w:firstLine="709"/>
        <w:jc w:val="both"/>
        <w:rPr>
          <w:rFonts w:eastAsia="Calibri"/>
          <w:lang w:val="es-CR" w:eastAsia="en-US"/>
        </w:rPr>
      </w:pPr>
    </w:p>
    <w:p w14:paraId="0E6E78A2" w14:textId="77777777" w:rsidR="002C0DC3" w:rsidRPr="002C0DC3" w:rsidRDefault="002C0DC3" w:rsidP="002C0DC3">
      <w:pPr>
        <w:suppressAutoHyphens w:val="0"/>
        <w:ind w:left="851" w:right="851" w:firstLine="709"/>
        <w:jc w:val="both"/>
        <w:rPr>
          <w:rFonts w:eastAsia="Calibri"/>
          <w:lang w:val="es-CR" w:eastAsia="en-US"/>
        </w:rPr>
      </w:pPr>
    </w:p>
    <w:p w14:paraId="3F169E17" w14:textId="77777777" w:rsidR="002C0DC3" w:rsidRPr="002C0DC3" w:rsidRDefault="002C0DC3" w:rsidP="002C0DC3">
      <w:pPr>
        <w:suppressAutoHyphens w:val="0"/>
        <w:ind w:left="851" w:right="851" w:firstLine="709"/>
        <w:jc w:val="center"/>
        <w:rPr>
          <w:rFonts w:eastAsia="Calibri"/>
          <w:b/>
          <w:bCs/>
          <w:lang w:eastAsia="zh-CN"/>
        </w:rPr>
      </w:pPr>
      <w:r w:rsidRPr="002C0DC3">
        <w:rPr>
          <w:rFonts w:eastAsia="Calibri"/>
          <w:b/>
          <w:bCs/>
          <w:lang w:eastAsia="zh-CN"/>
        </w:rPr>
        <w:t>Febrero-Abril 2020</w:t>
      </w:r>
    </w:p>
    <w:p w14:paraId="61BBBDE2" w14:textId="77777777" w:rsidR="002C0DC3" w:rsidRPr="002C0DC3" w:rsidRDefault="002C0DC3" w:rsidP="002C0DC3">
      <w:pPr>
        <w:suppressAutoHyphens w:val="0"/>
        <w:ind w:left="851" w:right="851" w:firstLine="709"/>
        <w:jc w:val="center"/>
        <w:rPr>
          <w:rFonts w:eastAsia="Calibri"/>
          <w:b/>
          <w:bCs/>
          <w:lang w:eastAsia="zh-CN"/>
        </w:rPr>
      </w:pPr>
    </w:p>
    <w:tbl>
      <w:tblPr>
        <w:tblStyle w:val="Tablaconcuadrcula12"/>
        <w:tblW w:w="5000" w:type="pct"/>
        <w:jc w:val="center"/>
        <w:tblLayout w:type="fixed"/>
        <w:tblLook w:val="04A0" w:firstRow="1" w:lastRow="0" w:firstColumn="1" w:lastColumn="0" w:noHBand="0" w:noVBand="1"/>
      </w:tblPr>
      <w:tblGrid>
        <w:gridCol w:w="1233"/>
        <w:gridCol w:w="1789"/>
        <w:gridCol w:w="900"/>
        <w:gridCol w:w="887"/>
        <w:gridCol w:w="2854"/>
        <w:gridCol w:w="1732"/>
      </w:tblGrid>
      <w:tr w:rsidR="002C0DC3" w:rsidRPr="002C0DC3" w14:paraId="298170E2" w14:textId="77777777" w:rsidTr="002C0DC3">
        <w:trPr>
          <w:jc w:val="center"/>
        </w:trPr>
        <w:tc>
          <w:tcPr>
            <w:tcW w:w="656" w:type="pct"/>
            <w:shd w:val="clear" w:color="auto" w:fill="B4C6E7"/>
          </w:tcPr>
          <w:p w14:paraId="7A7065A8" w14:textId="77777777" w:rsidR="002C0DC3" w:rsidRPr="002C0DC3" w:rsidRDefault="002C0DC3" w:rsidP="002C0DC3">
            <w:pPr>
              <w:suppressAutoHyphens w:val="0"/>
              <w:rPr>
                <w:rFonts w:ascii="Times New Roman" w:hAnsi="Times New Roman"/>
                <w:lang w:eastAsia="zh-CN"/>
              </w:rPr>
            </w:pPr>
            <w:r w:rsidRPr="002C0DC3">
              <w:rPr>
                <w:rFonts w:ascii="Times New Roman" w:hAnsi="Times New Roman"/>
                <w:lang w:eastAsia="zh-CN"/>
              </w:rPr>
              <w:t>Despacho</w:t>
            </w:r>
          </w:p>
        </w:tc>
        <w:tc>
          <w:tcPr>
            <w:tcW w:w="952" w:type="pct"/>
            <w:shd w:val="clear" w:color="auto" w:fill="B4C6E7"/>
          </w:tcPr>
          <w:p w14:paraId="44F8E713" w14:textId="77777777" w:rsidR="002C0DC3" w:rsidRPr="002C0DC3" w:rsidRDefault="002C0DC3" w:rsidP="002C0DC3">
            <w:pPr>
              <w:suppressAutoHyphens w:val="0"/>
              <w:rPr>
                <w:rFonts w:ascii="Times New Roman" w:hAnsi="Times New Roman"/>
                <w:lang w:eastAsia="zh-CN"/>
              </w:rPr>
            </w:pPr>
            <w:r w:rsidRPr="002C0DC3">
              <w:rPr>
                <w:rFonts w:ascii="Times New Roman" w:hAnsi="Times New Roman"/>
                <w:lang w:eastAsia="zh-CN"/>
              </w:rPr>
              <w:t>Tipo de Plan</w:t>
            </w:r>
          </w:p>
        </w:tc>
        <w:tc>
          <w:tcPr>
            <w:tcW w:w="479" w:type="pct"/>
            <w:shd w:val="clear" w:color="auto" w:fill="B4C6E7"/>
          </w:tcPr>
          <w:p w14:paraId="1BC5A649" w14:textId="77777777" w:rsidR="002C0DC3" w:rsidRPr="002C0DC3" w:rsidRDefault="002C0DC3" w:rsidP="002C0DC3">
            <w:pPr>
              <w:suppressAutoHyphens w:val="0"/>
              <w:rPr>
                <w:rFonts w:ascii="Times New Roman" w:hAnsi="Times New Roman"/>
                <w:lang w:eastAsia="zh-CN"/>
              </w:rPr>
            </w:pPr>
            <w:r w:rsidRPr="002C0DC3">
              <w:rPr>
                <w:rFonts w:ascii="Times New Roman" w:hAnsi="Times New Roman"/>
                <w:lang w:eastAsia="zh-CN"/>
              </w:rPr>
              <w:t>Fecha inicio</w:t>
            </w:r>
          </w:p>
        </w:tc>
        <w:tc>
          <w:tcPr>
            <w:tcW w:w="472" w:type="pct"/>
            <w:shd w:val="clear" w:color="auto" w:fill="B4C6E7"/>
          </w:tcPr>
          <w:p w14:paraId="088904F5" w14:textId="77777777" w:rsidR="002C0DC3" w:rsidRPr="002C0DC3" w:rsidRDefault="002C0DC3" w:rsidP="002C0DC3">
            <w:pPr>
              <w:suppressAutoHyphens w:val="0"/>
              <w:rPr>
                <w:rFonts w:ascii="Times New Roman" w:hAnsi="Times New Roman"/>
                <w:lang w:eastAsia="zh-CN"/>
              </w:rPr>
            </w:pPr>
            <w:r w:rsidRPr="002C0DC3">
              <w:rPr>
                <w:rFonts w:ascii="Times New Roman" w:hAnsi="Times New Roman"/>
                <w:lang w:eastAsia="zh-CN"/>
              </w:rPr>
              <w:t>Fecha fin</w:t>
            </w:r>
          </w:p>
        </w:tc>
        <w:tc>
          <w:tcPr>
            <w:tcW w:w="1519" w:type="pct"/>
            <w:shd w:val="clear" w:color="auto" w:fill="B4C6E7"/>
          </w:tcPr>
          <w:p w14:paraId="0B8FD498" w14:textId="77777777" w:rsidR="002C0DC3" w:rsidRPr="002C0DC3" w:rsidRDefault="002C0DC3" w:rsidP="002C0DC3">
            <w:pPr>
              <w:suppressAutoHyphens w:val="0"/>
              <w:rPr>
                <w:rFonts w:ascii="Times New Roman" w:hAnsi="Times New Roman"/>
                <w:lang w:eastAsia="zh-CN"/>
              </w:rPr>
            </w:pPr>
            <w:r w:rsidRPr="002C0DC3">
              <w:rPr>
                <w:rFonts w:ascii="Times New Roman" w:hAnsi="Times New Roman"/>
                <w:lang w:eastAsia="zh-CN"/>
              </w:rPr>
              <w:t>Responsable</w:t>
            </w:r>
          </w:p>
        </w:tc>
        <w:tc>
          <w:tcPr>
            <w:tcW w:w="922" w:type="pct"/>
            <w:shd w:val="clear" w:color="auto" w:fill="B4C6E7"/>
          </w:tcPr>
          <w:p w14:paraId="27DB776E" w14:textId="77777777" w:rsidR="002C0DC3" w:rsidRPr="002C0DC3" w:rsidRDefault="002C0DC3" w:rsidP="002C0DC3">
            <w:pPr>
              <w:suppressAutoHyphens w:val="0"/>
              <w:rPr>
                <w:rFonts w:ascii="Times New Roman" w:hAnsi="Times New Roman"/>
                <w:lang w:eastAsia="zh-CN"/>
              </w:rPr>
            </w:pPr>
            <w:r w:rsidRPr="002C0DC3">
              <w:rPr>
                <w:rFonts w:ascii="Times New Roman" w:hAnsi="Times New Roman"/>
                <w:lang w:eastAsia="zh-CN"/>
              </w:rPr>
              <w:t>Resultado</w:t>
            </w:r>
          </w:p>
        </w:tc>
      </w:tr>
      <w:tr w:rsidR="002C0DC3" w:rsidRPr="002C0DC3" w14:paraId="7A654758" w14:textId="77777777" w:rsidTr="002C0DC3">
        <w:trPr>
          <w:jc w:val="center"/>
        </w:trPr>
        <w:tc>
          <w:tcPr>
            <w:tcW w:w="656" w:type="pct"/>
          </w:tcPr>
          <w:p w14:paraId="65D4513C" w14:textId="77777777" w:rsidR="002C0DC3" w:rsidRPr="002C0DC3" w:rsidRDefault="002C0DC3" w:rsidP="002C0DC3">
            <w:pPr>
              <w:suppressAutoHyphens w:val="0"/>
              <w:jc w:val="both"/>
              <w:rPr>
                <w:rFonts w:ascii="Times New Roman" w:hAnsi="Times New Roman"/>
                <w:i/>
                <w:lang w:eastAsia="zh-CN"/>
              </w:rPr>
            </w:pPr>
            <w:r w:rsidRPr="002C0DC3">
              <w:rPr>
                <w:rFonts w:ascii="Times New Roman" w:hAnsi="Times New Roman"/>
                <w:i/>
                <w:lang w:eastAsia="zh-CN"/>
              </w:rPr>
              <w:t>Juzgado de Cobro de Puntarenas</w:t>
            </w:r>
          </w:p>
        </w:tc>
        <w:tc>
          <w:tcPr>
            <w:tcW w:w="952" w:type="pct"/>
          </w:tcPr>
          <w:p w14:paraId="1D3D6169"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Disminución en el atraso en escritos</w:t>
            </w:r>
          </w:p>
        </w:tc>
        <w:tc>
          <w:tcPr>
            <w:tcW w:w="479" w:type="pct"/>
          </w:tcPr>
          <w:p w14:paraId="56CEC139"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04/05/20</w:t>
            </w:r>
          </w:p>
        </w:tc>
        <w:tc>
          <w:tcPr>
            <w:tcW w:w="472" w:type="pct"/>
          </w:tcPr>
          <w:p w14:paraId="54D79DDE"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31/05/20</w:t>
            </w:r>
          </w:p>
        </w:tc>
        <w:tc>
          <w:tcPr>
            <w:tcW w:w="1519" w:type="pct"/>
          </w:tcPr>
          <w:p w14:paraId="6ED038A5"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 xml:space="preserve">Personal Supernumerario. </w:t>
            </w:r>
          </w:p>
        </w:tc>
        <w:tc>
          <w:tcPr>
            <w:tcW w:w="922" w:type="pct"/>
          </w:tcPr>
          <w:p w14:paraId="4519FA77"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Finalizado. Al mes de mayo se atendieron 1012 expedientes.</w:t>
            </w:r>
          </w:p>
          <w:p w14:paraId="10AA900F"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Los escritos pasaron de 8 meses en el me de enero a 6 meses en el mes de abril.</w:t>
            </w:r>
          </w:p>
        </w:tc>
      </w:tr>
      <w:tr w:rsidR="002C0DC3" w:rsidRPr="002C0DC3" w14:paraId="681489B3" w14:textId="77777777" w:rsidTr="002C0DC3">
        <w:trPr>
          <w:jc w:val="center"/>
        </w:trPr>
        <w:tc>
          <w:tcPr>
            <w:tcW w:w="656" w:type="pct"/>
          </w:tcPr>
          <w:p w14:paraId="1A6EE824" w14:textId="77777777" w:rsidR="002C0DC3" w:rsidRPr="002C0DC3" w:rsidRDefault="002C0DC3" w:rsidP="002C0DC3">
            <w:pPr>
              <w:suppressAutoHyphens w:val="0"/>
              <w:jc w:val="both"/>
              <w:rPr>
                <w:rFonts w:ascii="Times New Roman" w:hAnsi="Times New Roman"/>
                <w:i/>
                <w:lang w:eastAsia="zh-CN"/>
              </w:rPr>
            </w:pPr>
            <w:r w:rsidRPr="002C0DC3">
              <w:rPr>
                <w:rFonts w:ascii="Times New Roman" w:hAnsi="Times New Roman"/>
                <w:i/>
                <w:lang w:eastAsia="zh-CN"/>
              </w:rPr>
              <w:t>Juzgado de Cobro de Puntarenas</w:t>
            </w:r>
          </w:p>
        </w:tc>
        <w:tc>
          <w:tcPr>
            <w:tcW w:w="952" w:type="pct"/>
          </w:tcPr>
          <w:p w14:paraId="2BCC7995"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Disminución en el atraso de demandas nuevas.</w:t>
            </w:r>
          </w:p>
        </w:tc>
        <w:tc>
          <w:tcPr>
            <w:tcW w:w="479" w:type="pct"/>
          </w:tcPr>
          <w:p w14:paraId="5E610E10"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01/06/20</w:t>
            </w:r>
          </w:p>
        </w:tc>
        <w:tc>
          <w:tcPr>
            <w:tcW w:w="472" w:type="pct"/>
          </w:tcPr>
          <w:p w14:paraId="4C6559D9"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31/08/20</w:t>
            </w:r>
          </w:p>
        </w:tc>
        <w:tc>
          <w:tcPr>
            <w:tcW w:w="1519" w:type="pct"/>
          </w:tcPr>
          <w:p w14:paraId="6734B218"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Personal Supernumerario.</w:t>
            </w:r>
          </w:p>
        </w:tc>
        <w:tc>
          <w:tcPr>
            <w:tcW w:w="922" w:type="pct"/>
          </w:tcPr>
          <w:p w14:paraId="6BA141DF"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Finalizado. Las demandas nuevas pasaron de 3,5 meses en enero a 1 mes en abril.</w:t>
            </w:r>
          </w:p>
          <w:p w14:paraId="2468EB38" w14:textId="77777777" w:rsidR="002C0DC3" w:rsidRPr="002C0DC3" w:rsidRDefault="002C0DC3" w:rsidP="002C0DC3">
            <w:pPr>
              <w:suppressAutoHyphens w:val="0"/>
              <w:jc w:val="both"/>
              <w:rPr>
                <w:rFonts w:ascii="Times New Roman" w:hAnsi="Times New Roman"/>
                <w:lang w:eastAsia="zh-CN"/>
              </w:rPr>
            </w:pPr>
          </w:p>
        </w:tc>
      </w:tr>
    </w:tbl>
    <w:p w14:paraId="76F3875E" w14:textId="77777777" w:rsidR="002C0DC3" w:rsidRPr="002C0DC3" w:rsidRDefault="002C0DC3" w:rsidP="002C0DC3">
      <w:pPr>
        <w:suppressAutoHyphens w:val="0"/>
        <w:jc w:val="both"/>
        <w:rPr>
          <w:rFonts w:eastAsia="Calibri"/>
          <w:lang w:eastAsia="zh-CN"/>
        </w:rPr>
      </w:pPr>
    </w:p>
    <w:p w14:paraId="779D1E33" w14:textId="77777777" w:rsidR="002C0DC3" w:rsidRPr="002C0DC3" w:rsidRDefault="002C0DC3" w:rsidP="002C0DC3">
      <w:pPr>
        <w:suppressAutoHyphens w:val="0"/>
        <w:jc w:val="center"/>
        <w:rPr>
          <w:rFonts w:eastAsia="Calibri"/>
          <w:b/>
          <w:bCs/>
          <w:lang w:eastAsia="zh-CN"/>
        </w:rPr>
      </w:pPr>
      <w:r w:rsidRPr="002C0DC3">
        <w:rPr>
          <w:rFonts w:eastAsia="Calibri"/>
          <w:b/>
          <w:bCs/>
          <w:lang w:eastAsia="zh-CN"/>
        </w:rPr>
        <w:t>De mayo a setiembre</w:t>
      </w:r>
    </w:p>
    <w:p w14:paraId="619C90DF" w14:textId="77777777" w:rsidR="002C0DC3" w:rsidRPr="002C0DC3" w:rsidRDefault="002C0DC3" w:rsidP="002C0DC3">
      <w:pPr>
        <w:suppressAutoHyphens w:val="0"/>
        <w:jc w:val="both"/>
        <w:rPr>
          <w:rFonts w:eastAsia="Calibri"/>
          <w:lang w:val="es-CR" w:eastAsia="zh-CN"/>
        </w:rPr>
      </w:pPr>
    </w:p>
    <w:tbl>
      <w:tblPr>
        <w:tblStyle w:val="Tablaconcuadrcula12"/>
        <w:tblW w:w="5000" w:type="pct"/>
        <w:jc w:val="center"/>
        <w:tblLook w:val="04A0" w:firstRow="1" w:lastRow="0" w:firstColumn="1" w:lastColumn="0" w:noHBand="0" w:noVBand="1"/>
      </w:tblPr>
      <w:tblGrid>
        <w:gridCol w:w="1444"/>
        <w:gridCol w:w="1588"/>
        <w:gridCol w:w="1227"/>
        <w:gridCol w:w="1227"/>
        <w:gridCol w:w="2368"/>
        <w:gridCol w:w="1541"/>
      </w:tblGrid>
      <w:tr w:rsidR="002C0DC3" w:rsidRPr="002C0DC3" w14:paraId="01316799" w14:textId="77777777" w:rsidTr="002C0DC3">
        <w:trPr>
          <w:jc w:val="center"/>
        </w:trPr>
        <w:tc>
          <w:tcPr>
            <w:tcW w:w="769" w:type="pct"/>
            <w:shd w:val="clear" w:color="auto" w:fill="B4C6E7"/>
          </w:tcPr>
          <w:p w14:paraId="4E6EAF13"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Despacho</w:t>
            </w:r>
          </w:p>
        </w:tc>
        <w:tc>
          <w:tcPr>
            <w:tcW w:w="845" w:type="pct"/>
            <w:shd w:val="clear" w:color="auto" w:fill="B4C6E7"/>
          </w:tcPr>
          <w:p w14:paraId="073F539B"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Tipo de Plan</w:t>
            </w:r>
          </w:p>
        </w:tc>
        <w:tc>
          <w:tcPr>
            <w:tcW w:w="653" w:type="pct"/>
            <w:shd w:val="clear" w:color="auto" w:fill="B4C6E7"/>
          </w:tcPr>
          <w:p w14:paraId="237723C6"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Fecha inicio</w:t>
            </w:r>
          </w:p>
        </w:tc>
        <w:tc>
          <w:tcPr>
            <w:tcW w:w="653" w:type="pct"/>
            <w:shd w:val="clear" w:color="auto" w:fill="B4C6E7"/>
          </w:tcPr>
          <w:p w14:paraId="2CA41AD4"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Fecha fin</w:t>
            </w:r>
          </w:p>
        </w:tc>
        <w:tc>
          <w:tcPr>
            <w:tcW w:w="1260" w:type="pct"/>
            <w:shd w:val="clear" w:color="auto" w:fill="B4C6E7"/>
          </w:tcPr>
          <w:p w14:paraId="2EA5FDD3"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Responsable</w:t>
            </w:r>
          </w:p>
        </w:tc>
        <w:tc>
          <w:tcPr>
            <w:tcW w:w="820" w:type="pct"/>
            <w:shd w:val="clear" w:color="auto" w:fill="B4C6E7"/>
          </w:tcPr>
          <w:p w14:paraId="31075415"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Resultado</w:t>
            </w:r>
          </w:p>
        </w:tc>
      </w:tr>
      <w:tr w:rsidR="002C0DC3" w:rsidRPr="002C0DC3" w14:paraId="0FF3C2CA" w14:textId="77777777" w:rsidTr="002C0DC3">
        <w:trPr>
          <w:jc w:val="center"/>
        </w:trPr>
        <w:tc>
          <w:tcPr>
            <w:tcW w:w="769" w:type="pct"/>
          </w:tcPr>
          <w:p w14:paraId="5F601460" w14:textId="77777777" w:rsidR="002C0DC3" w:rsidRPr="002C0DC3" w:rsidRDefault="002C0DC3" w:rsidP="002C0DC3">
            <w:pPr>
              <w:suppressAutoHyphens w:val="0"/>
              <w:jc w:val="both"/>
              <w:rPr>
                <w:rFonts w:ascii="Times New Roman" w:hAnsi="Times New Roman"/>
                <w:i/>
                <w:lang w:eastAsia="zh-CN"/>
              </w:rPr>
            </w:pPr>
            <w:r w:rsidRPr="002C0DC3">
              <w:rPr>
                <w:rFonts w:ascii="Times New Roman" w:hAnsi="Times New Roman"/>
                <w:i/>
                <w:lang w:eastAsia="zh-CN"/>
              </w:rPr>
              <w:t>Juzgado de Cobro de Puntarenas</w:t>
            </w:r>
          </w:p>
        </w:tc>
        <w:tc>
          <w:tcPr>
            <w:tcW w:w="845" w:type="pct"/>
          </w:tcPr>
          <w:p w14:paraId="03FA7EC5"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Disminución en el atraso en escritos</w:t>
            </w:r>
          </w:p>
        </w:tc>
        <w:tc>
          <w:tcPr>
            <w:tcW w:w="653" w:type="pct"/>
          </w:tcPr>
          <w:p w14:paraId="3BDE0CFB"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01/06/20</w:t>
            </w:r>
          </w:p>
        </w:tc>
        <w:tc>
          <w:tcPr>
            <w:tcW w:w="653" w:type="pct"/>
          </w:tcPr>
          <w:p w14:paraId="50A4C29D"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30/09/20</w:t>
            </w:r>
          </w:p>
        </w:tc>
        <w:tc>
          <w:tcPr>
            <w:tcW w:w="1260" w:type="pct"/>
          </w:tcPr>
          <w:p w14:paraId="5BCADB2C"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 xml:space="preserve">Personal Supernumerario. </w:t>
            </w:r>
          </w:p>
        </w:tc>
        <w:tc>
          <w:tcPr>
            <w:tcW w:w="820" w:type="pct"/>
          </w:tcPr>
          <w:p w14:paraId="10471488"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 xml:space="preserve">Finalizado. </w:t>
            </w:r>
          </w:p>
          <w:p w14:paraId="11EB6E51"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 xml:space="preserve">Los escritos pasaron de 8 meses en el mes de enero a 5 meses en el mes de setiembre. Se encuentra dentro del </w:t>
            </w:r>
            <w:r w:rsidRPr="002C0DC3">
              <w:rPr>
                <w:rFonts w:ascii="Times New Roman" w:hAnsi="Times New Roman"/>
                <w:lang w:eastAsia="zh-CN"/>
              </w:rPr>
              <w:lastRenderedPageBreak/>
              <w:t xml:space="preserve">parámetro estándar. </w:t>
            </w:r>
          </w:p>
        </w:tc>
      </w:tr>
      <w:tr w:rsidR="002C0DC3" w:rsidRPr="002C0DC3" w14:paraId="75D9C508" w14:textId="77777777" w:rsidTr="002C0DC3">
        <w:trPr>
          <w:jc w:val="center"/>
        </w:trPr>
        <w:tc>
          <w:tcPr>
            <w:tcW w:w="769" w:type="pct"/>
          </w:tcPr>
          <w:p w14:paraId="15847D0D" w14:textId="77777777" w:rsidR="002C0DC3" w:rsidRPr="002C0DC3" w:rsidRDefault="002C0DC3" w:rsidP="002C0DC3">
            <w:pPr>
              <w:suppressAutoHyphens w:val="0"/>
              <w:jc w:val="both"/>
              <w:rPr>
                <w:rFonts w:ascii="Times New Roman" w:hAnsi="Times New Roman"/>
                <w:i/>
                <w:lang w:eastAsia="zh-CN"/>
              </w:rPr>
            </w:pPr>
            <w:r w:rsidRPr="002C0DC3">
              <w:rPr>
                <w:rFonts w:ascii="Times New Roman" w:hAnsi="Times New Roman"/>
                <w:i/>
                <w:lang w:eastAsia="zh-CN"/>
              </w:rPr>
              <w:lastRenderedPageBreak/>
              <w:t>Juzgado de Cobro de Puntarenas</w:t>
            </w:r>
          </w:p>
        </w:tc>
        <w:tc>
          <w:tcPr>
            <w:tcW w:w="845" w:type="pct"/>
          </w:tcPr>
          <w:p w14:paraId="16BE2202"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Disminución en el atraso de demandas nuevas.</w:t>
            </w:r>
          </w:p>
        </w:tc>
        <w:tc>
          <w:tcPr>
            <w:tcW w:w="653" w:type="pct"/>
          </w:tcPr>
          <w:p w14:paraId="172B68BE"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01/06/20</w:t>
            </w:r>
          </w:p>
        </w:tc>
        <w:tc>
          <w:tcPr>
            <w:tcW w:w="653" w:type="pct"/>
          </w:tcPr>
          <w:p w14:paraId="775DF578"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30/09/20</w:t>
            </w:r>
          </w:p>
        </w:tc>
        <w:tc>
          <w:tcPr>
            <w:tcW w:w="1260" w:type="pct"/>
          </w:tcPr>
          <w:p w14:paraId="6A9F027D"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Personal Supernumerario.</w:t>
            </w:r>
          </w:p>
        </w:tc>
        <w:tc>
          <w:tcPr>
            <w:tcW w:w="820" w:type="pct"/>
          </w:tcPr>
          <w:p w14:paraId="712F6606" w14:textId="77777777" w:rsidR="002C0DC3" w:rsidRPr="002C0DC3" w:rsidRDefault="002C0DC3" w:rsidP="002C0DC3">
            <w:pPr>
              <w:suppressAutoHyphens w:val="0"/>
              <w:jc w:val="both"/>
              <w:rPr>
                <w:rFonts w:ascii="Times New Roman" w:hAnsi="Times New Roman"/>
                <w:lang w:eastAsia="zh-CN"/>
              </w:rPr>
            </w:pPr>
            <w:r w:rsidRPr="002C0DC3">
              <w:rPr>
                <w:rFonts w:ascii="Times New Roman" w:hAnsi="Times New Roman"/>
                <w:lang w:eastAsia="zh-CN"/>
              </w:rPr>
              <w:t>Finalizado. Las demandas nuevas pasaron de 3,5 meses en enero a 12 días en el mes de setiembre.</w:t>
            </w:r>
          </w:p>
          <w:p w14:paraId="4269F49B" w14:textId="77777777" w:rsidR="002C0DC3" w:rsidRPr="002C0DC3" w:rsidRDefault="002C0DC3" w:rsidP="002C0DC3">
            <w:pPr>
              <w:suppressAutoHyphens w:val="0"/>
              <w:jc w:val="both"/>
              <w:rPr>
                <w:rFonts w:ascii="Times New Roman" w:hAnsi="Times New Roman"/>
                <w:lang w:eastAsia="zh-CN"/>
              </w:rPr>
            </w:pPr>
          </w:p>
        </w:tc>
      </w:tr>
    </w:tbl>
    <w:p w14:paraId="3E68C53C" w14:textId="77777777" w:rsidR="002C0DC3" w:rsidRPr="002C0DC3" w:rsidRDefault="002C0DC3" w:rsidP="002C0DC3">
      <w:pPr>
        <w:suppressAutoHyphens w:val="0"/>
        <w:ind w:left="851" w:right="851" w:firstLine="709"/>
        <w:jc w:val="both"/>
        <w:rPr>
          <w:rFonts w:eastAsia="Calibri"/>
          <w:i/>
          <w:iCs/>
          <w:lang w:val="es-CR" w:eastAsia="zh-CN"/>
        </w:rPr>
      </w:pPr>
      <w:r w:rsidRPr="002C0DC3">
        <w:rPr>
          <w:rFonts w:eastAsia="Calibri"/>
          <w:i/>
          <w:iCs/>
          <w:lang w:val="es-CR" w:eastAsia="zh-CN"/>
        </w:rPr>
        <w:t>Fuente: Elaboración propia.</w:t>
      </w:r>
    </w:p>
    <w:p w14:paraId="5463560E" w14:textId="77777777" w:rsidR="002C0DC3" w:rsidRPr="002C0DC3" w:rsidRDefault="002C0DC3" w:rsidP="002C0DC3">
      <w:pPr>
        <w:suppressAutoHyphens w:val="0"/>
        <w:ind w:left="851" w:right="851" w:firstLine="709"/>
        <w:jc w:val="both"/>
        <w:rPr>
          <w:rFonts w:eastAsia="Calibri"/>
          <w:lang w:val="es-CR" w:eastAsia="en-US"/>
        </w:rPr>
      </w:pPr>
    </w:p>
    <w:p w14:paraId="01E926F7"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Finalmente, para los meses de octubre a diciembre 2020 se realizó el siguiente plan de trabajo en el Juzgado de Cobro:</w:t>
      </w:r>
    </w:p>
    <w:p w14:paraId="688876F8" w14:textId="77777777" w:rsidR="002C0DC3" w:rsidRPr="002C0DC3" w:rsidRDefault="002C0DC3" w:rsidP="002C0DC3">
      <w:pPr>
        <w:suppressAutoHyphens w:val="0"/>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1037"/>
        <w:gridCol w:w="1104"/>
        <w:gridCol w:w="1070"/>
        <w:gridCol w:w="1070"/>
        <w:gridCol w:w="912"/>
        <w:gridCol w:w="1104"/>
        <w:gridCol w:w="1562"/>
        <w:gridCol w:w="1526"/>
      </w:tblGrid>
      <w:tr w:rsidR="002C0DC3" w:rsidRPr="002C0DC3" w14:paraId="1FDCC4D3" w14:textId="77777777" w:rsidTr="002C0DC3">
        <w:trPr>
          <w:trHeight w:val="20"/>
          <w:tblHeader/>
        </w:trPr>
        <w:tc>
          <w:tcPr>
            <w:tcW w:w="566" w:type="pct"/>
            <w:tcBorders>
              <w:top w:val="single" w:sz="8" w:space="0" w:color="auto"/>
              <w:left w:val="single" w:sz="8" w:space="0" w:color="auto"/>
              <w:bottom w:val="single" w:sz="8" w:space="0" w:color="auto"/>
              <w:right w:val="single" w:sz="8" w:space="0" w:color="auto"/>
            </w:tcBorders>
            <w:shd w:val="clear" w:color="000000" w:fill="003366"/>
            <w:vAlign w:val="center"/>
            <w:hideMark/>
          </w:tcPr>
          <w:p w14:paraId="5648EC80" w14:textId="77777777" w:rsidR="002C0DC3" w:rsidRPr="00B31AC4" w:rsidRDefault="002C0DC3" w:rsidP="002C0DC3">
            <w:pPr>
              <w:suppressAutoHyphens w:val="0"/>
              <w:jc w:val="both"/>
              <w:rPr>
                <w:rFonts w:eastAsia="Calibri"/>
                <w:b/>
                <w:bCs/>
                <w:sz w:val="22"/>
                <w:szCs w:val="22"/>
                <w:lang w:val="es-CR" w:eastAsia="es-CR"/>
              </w:rPr>
            </w:pPr>
            <w:r w:rsidRPr="00B31AC4">
              <w:rPr>
                <w:rFonts w:eastAsia="Calibri"/>
                <w:b/>
                <w:bCs/>
                <w:sz w:val="22"/>
                <w:szCs w:val="22"/>
                <w:lang w:val="es-CR" w:eastAsia="es-CR"/>
              </w:rPr>
              <w:lastRenderedPageBreak/>
              <w:t>Despacho</w:t>
            </w:r>
          </w:p>
        </w:tc>
        <w:tc>
          <w:tcPr>
            <w:tcW w:w="603" w:type="pct"/>
            <w:tcBorders>
              <w:top w:val="single" w:sz="8" w:space="0" w:color="auto"/>
              <w:left w:val="nil"/>
              <w:bottom w:val="single" w:sz="8" w:space="0" w:color="auto"/>
              <w:right w:val="single" w:sz="8" w:space="0" w:color="auto"/>
            </w:tcBorders>
            <w:shd w:val="clear" w:color="000000" w:fill="003366"/>
            <w:vAlign w:val="center"/>
            <w:hideMark/>
          </w:tcPr>
          <w:p w14:paraId="46A5C444" w14:textId="77777777" w:rsidR="002C0DC3" w:rsidRPr="00B31AC4" w:rsidRDefault="002C0DC3" w:rsidP="002C0DC3">
            <w:pPr>
              <w:suppressAutoHyphens w:val="0"/>
              <w:jc w:val="both"/>
              <w:rPr>
                <w:rFonts w:eastAsia="Calibri"/>
                <w:b/>
                <w:bCs/>
                <w:sz w:val="22"/>
                <w:szCs w:val="22"/>
                <w:lang w:val="es-CR" w:eastAsia="es-CR"/>
              </w:rPr>
            </w:pPr>
            <w:r w:rsidRPr="00B31AC4">
              <w:rPr>
                <w:rFonts w:eastAsia="Calibri"/>
                <w:b/>
                <w:bCs/>
                <w:sz w:val="22"/>
                <w:szCs w:val="22"/>
                <w:lang w:val="es-CR" w:eastAsia="es-CR"/>
              </w:rPr>
              <w:t>Tipo de Plan</w:t>
            </w:r>
          </w:p>
        </w:tc>
        <w:tc>
          <w:tcPr>
            <w:tcW w:w="585" w:type="pct"/>
            <w:tcBorders>
              <w:top w:val="single" w:sz="8" w:space="0" w:color="auto"/>
              <w:left w:val="nil"/>
              <w:bottom w:val="single" w:sz="8" w:space="0" w:color="auto"/>
              <w:right w:val="single" w:sz="8" w:space="0" w:color="auto"/>
            </w:tcBorders>
            <w:shd w:val="clear" w:color="000000" w:fill="003366"/>
            <w:vAlign w:val="center"/>
            <w:hideMark/>
          </w:tcPr>
          <w:p w14:paraId="60672F68" w14:textId="77777777" w:rsidR="002C0DC3" w:rsidRPr="00B31AC4" w:rsidRDefault="002C0DC3" w:rsidP="002C0DC3">
            <w:pPr>
              <w:suppressAutoHyphens w:val="0"/>
              <w:jc w:val="both"/>
              <w:rPr>
                <w:rFonts w:eastAsia="Calibri"/>
                <w:b/>
                <w:bCs/>
                <w:sz w:val="22"/>
                <w:szCs w:val="22"/>
                <w:lang w:val="es-CR" w:eastAsia="es-CR"/>
              </w:rPr>
            </w:pPr>
            <w:r w:rsidRPr="00B31AC4">
              <w:rPr>
                <w:rFonts w:eastAsia="Calibri"/>
                <w:b/>
                <w:bCs/>
                <w:sz w:val="22"/>
                <w:szCs w:val="22"/>
                <w:lang w:val="es-CR" w:eastAsia="es-CR"/>
              </w:rPr>
              <w:t>Fecha inicio</w:t>
            </w:r>
          </w:p>
        </w:tc>
        <w:tc>
          <w:tcPr>
            <w:tcW w:w="585" w:type="pct"/>
            <w:tcBorders>
              <w:top w:val="single" w:sz="8" w:space="0" w:color="auto"/>
              <w:left w:val="nil"/>
              <w:bottom w:val="single" w:sz="8" w:space="0" w:color="auto"/>
              <w:right w:val="single" w:sz="8" w:space="0" w:color="auto"/>
            </w:tcBorders>
            <w:shd w:val="clear" w:color="000000" w:fill="003366"/>
            <w:vAlign w:val="center"/>
            <w:hideMark/>
          </w:tcPr>
          <w:p w14:paraId="7192864A" w14:textId="77777777" w:rsidR="002C0DC3" w:rsidRPr="00B31AC4" w:rsidRDefault="002C0DC3" w:rsidP="002C0DC3">
            <w:pPr>
              <w:suppressAutoHyphens w:val="0"/>
              <w:jc w:val="both"/>
              <w:rPr>
                <w:rFonts w:eastAsia="Calibri"/>
                <w:b/>
                <w:bCs/>
                <w:sz w:val="22"/>
                <w:szCs w:val="22"/>
                <w:lang w:val="es-CR" w:eastAsia="es-CR"/>
              </w:rPr>
            </w:pPr>
            <w:r w:rsidRPr="00B31AC4">
              <w:rPr>
                <w:rFonts w:eastAsia="Calibri"/>
                <w:b/>
                <w:bCs/>
                <w:sz w:val="22"/>
                <w:szCs w:val="22"/>
                <w:lang w:val="es-CR" w:eastAsia="es-CR"/>
              </w:rPr>
              <w:t>Fecha fin</w:t>
            </w:r>
          </w:p>
        </w:tc>
        <w:tc>
          <w:tcPr>
            <w:tcW w:w="499" w:type="pct"/>
            <w:tcBorders>
              <w:top w:val="single" w:sz="8" w:space="0" w:color="auto"/>
              <w:left w:val="nil"/>
              <w:bottom w:val="single" w:sz="8" w:space="0" w:color="auto"/>
              <w:right w:val="single" w:sz="8" w:space="0" w:color="auto"/>
            </w:tcBorders>
            <w:shd w:val="clear" w:color="000000" w:fill="003366"/>
            <w:vAlign w:val="center"/>
            <w:hideMark/>
          </w:tcPr>
          <w:p w14:paraId="1D36B919" w14:textId="77777777" w:rsidR="002C0DC3" w:rsidRPr="00B31AC4" w:rsidRDefault="002C0DC3" w:rsidP="002C0DC3">
            <w:pPr>
              <w:suppressAutoHyphens w:val="0"/>
              <w:jc w:val="both"/>
              <w:rPr>
                <w:rFonts w:eastAsia="Calibri"/>
                <w:b/>
                <w:bCs/>
                <w:sz w:val="22"/>
                <w:szCs w:val="22"/>
                <w:lang w:val="es-CR" w:eastAsia="es-CR"/>
              </w:rPr>
            </w:pPr>
            <w:r w:rsidRPr="00B31AC4">
              <w:rPr>
                <w:rFonts w:eastAsia="Calibri"/>
                <w:b/>
                <w:bCs/>
                <w:sz w:val="22"/>
                <w:szCs w:val="22"/>
                <w:lang w:val="es-CR" w:eastAsia="es-CR"/>
              </w:rPr>
              <w:t xml:space="preserve">Cuota asignada </w:t>
            </w:r>
          </w:p>
        </w:tc>
        <w:tc>
          <w:tcPr>
            <w:tcW w:w="603" w:type="pct"/>
            <w:tcBorders>
              <w:top w:val="single" w:sz="8" w:space="0" w:color="auto"/>
              <w:left w:val="nil"/>
              <w:bottom w:val="single" w:sz="8" w:space="0" w:color="auto"/>
              <w:right w:val="single" w:sz="8" w:space="0" w:color="auto"/>
            </w:tcBorders>
            <w:shd w:val="clear" w:color="000000" w:fill="003366"/>
            <w:vAlign w:val="center"/>
            <w:hideMark/>
          </w:tcPr>
          <w:p w14:paraId="5767C36E" w14:textId="77777777" w:rsidR="002C0DC3" w:rsidRPr="00B31AC4" w:rsidRDefault="002C0DC3" w:rsidP="002C0DC3">
            <w:pPr>
              <w:suppressAutoHyphens w:val="0"/>
              <w:jc w:val="both"/>
              <w:rPr>
                <w:rFonts w:eastAsia="Calibri"/>
                <w:b/>
                <w:bCs/>
                <w:sz w:val="22"/>
                <w:szCs w:val="22"/>
                <w:lang w:val="es-CR" w:eastAsia="es-CR"/>
              </w:rPr>
            </w:pPr>
            <w:r w:rsidRPr="00B31AC4">
              <w:rPr>
                <w:rFonts w:eastAsia="Calibri"/>
                <w:b/>
                <w:bCs/>
                <w:sz w:val="22"/>
                <w:szCs w:val="22"/>
                <w:lang w:val="es-CR" w:eastAsia="es-CR"/>
              </w:rPr>
              <w:t xml:space="preserve">Resultado </w:t>
            </w:r>
          </w:p>
        </w:tc>
        <w:tc>
          <w:tcPr>
            <w:tcW w:w="788" w:type="pct"/>
            <w:tcBorders>
              <w:top w:val="single" w:sz="8" w:space="0" w:color="auto"/>
              <w:left w:val="nil"/>
              <w:bottom w:val="single" w:sz="8" w:space="0" w:color="auto"/>
              <w:right w:val="single" w:sz="8" w:space="0" w:color="auto"/>
            </w:tcBorders>
            <w:shd w:val="clear" w:color="000000" w:fill="003366"/>
            <w:vAlign w:val="center"/>
            <w:hideMark/>
          </w:tcPr>
          <w:p w14:paraId="42C13A83"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Responsable</w:t>
            </w:r>
          </w:p>
        </w:tc>
        <w:tc>
          <w:tcPr>
            <w:tcW w:w="770" w:type="pct"/>
            <w:tcBorders>
              <w:top w:val="single" w:sz="8" w:space="0" w:color="auto"/>
              <w:left w:val="nil"/>
              <w:bottom w:val="single" w:sz="8" w:space="0" w:color="auto"/>
              <w:right w:val="single" w:sz="8" w:space="0" w:color="auto"/>
            </w:tcBorders>
            <w:shd w:val="clear" w:color="000000" w:fill="003366"/>
            <w:vAlign w:val="center"/>
            <w:hideMark/>
          </w:tcPr>
          <w:p w14:paraId="09EE8E7B" w14:textId="77777777" w:rsidR="002C0DC3" w:rsidRPr="002C0DC3" w:rsidRDefault="002C0DC3" w:rsidP="002C0DC3">
            <w:pPr>
              <w:suppressAutoHyphens w:val="0"/>
              <w:jc w:val="both"/>
              <w:rPr>
                <w:rFonts w:eastAsia="Calibri"/>
                <w:b/>
                <w:bCs/>
                <w:lang w:val="es-CR" w:eastAsia="es-CR"/>
              </w:rPr>
            </w:pPr>
            <w:r w:rsidRPr="002C0DC3">
              <w:rPr>
                <w:rFonts w:eastAsia="Calibri"/>
                <w:b/>
                <w:bCs/>
                <w:lang w:val="es-CR" w:eastAsia="es-CR"/>
              </w:rPr>
              <w:t>Observaciones</w:t>
            </w:r>
          </w:p>
        </w:tc>
      </w:tr>
      <w:tr w:rsidR="002C0DC3" w:rsidRPr="002C0DC3" w14:paraId="1603155A" w14:textId="77777777" w:rsidTr="002C0DC3">
        <w:trPr>
          <w:trHeight w:val="20"/>
          <w:tblHeader/>
        </w:trPr>
        <w:tc>
          <w:tcPr>
            <w:tcW w:w="566" w:type="pct"/>
            <w:vMerge w:val="restart"/>
            <w:tcBorders>
              <w:top w:val="nil"/>
              <w:left w:val="single" w:sz="8" w:space="0" w:color="auto"/>
              <w:bottom w:val="single" w:sz="8" w:space="0" w:color="auto"/>
              <w:right w:val="single" w:sz="8" w:space="0" w:color="auto"/>
            </w:tcBorders>
            <w:shd w:val="clear" w:color="auto" w:fill="auto"/>
            <w:vAlign w:val="center"/>
            <w:hideMark/>
          </w:tcPr>
          <w:p w14:paraId="737798B5"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Juzgado de Cobro de Puntarenas</w:t>
            </w:r>
          </w:p>
        </w:tc>
        <w:tc>
          <w:tcPr>
            <w:tcW w:w="603" w:type="pct"/>
            <w:tcBorders>
              <w:top w:val="nil"/>
              <w:left w:val="nil"/>
              <w:bottom w:val="single" w:sz="8" w:space="0" w:color="auto"/>
              <w:right w:val="single" w:sz="8" w:space="0" w:color="auto"/>
            </w:tcBorders>
            <w:shd w:val="clear" w:color="auto" w:fill="auto"/>
            <w:vAlign w:val="center"/>
            <w:hideMark/>
          </w:tcPr>
          <w:p w14:paraId="4E2A5196"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Reducción del plazo para resolver escritos y demandas nuevas, al mes de octubre el plazo de estos indicadores se encuentra en 4 meses</w:t>
            </w:r>
          </w:p>
        </w:tc>
        <w:tc>
          <w:tcPr>
            <w:tcW w:w="585" w:type="pct"/>
            <w:tcBorders>
              <w:top w:val="nil"/>
              <w:left w:val="nil"/>
              <w:bottom w:val="single" w:sz="8" w:space="0" w:color="auto"/>
              <w:right w:val="single" w:sz="8" w:space="0" w:color="auto"/>
            </w:tcBorders>
            <w:shd w:val="clear" w:color="auto" w:fill="auto"/>
            <w:vAlign w:val="center"/>
            <w:hideMark/>
          </w:tcPr>
          <w:p w14:paraId="4888CED1"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01/10/2020</w:t>
            </w:r>
          </w:p>
        </w:tc>
        <w:tc>
          <w:tcPr>
            <w:tcW w:w="585" w:type="pct"/>
            <w:tcBorders>
              <w:top w:val="nil"/>
              <w:left w:val="nil"/>
              <w:bottom w:val="single" w:sz="8" w:space="0" w:color="auto"/>
              <w:right w:val="single" w:sz="8" w:space="0" w:color="auto"/>
            </w:tcBorders>
            <w:shd w:val="clear" w:color="auto" w:fill="auto"/>
            <w:vAlign w:val="center"/>
            <w:hideMark/>
          </w:tcPr>
          <w:p w14:paraId="43731446"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18/12/2020</w:t>
            </w:r>
          </w:p>
        </w:tc>
        <w:tc>
          <w:tcPr>
            <w:tcW w:w="499" w:type="pct"/>
            <w:tcBorders>
              <w:top w:val="nil"/>
              <w:left w:val="nil"/>
              <w:bottom w:val="single" w:sz="8" w:space="0" w:color="auto"/>
              <w:right w:val="single" w:sz="8" w:space="0" w:color="auto"/>
            </w:tcBorders>
            <w:shd w:val="clear" w:color="auto" w:fill="auto"/>
            <w:vAlign w:val="center"/>
            <w:hideMark/>
          </w:tcPr>
          <w:p w14:paraId="30DD8DEF"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20 diarios</w:t>
            </w:r>
          </w:p>
        </w:tc>
        <w:tc>
          <w:tcPr>
            <w:tcW w:w="603" w:type="pct"/>
            <w:tcBorders>
              <w:top w:val="nil"/>
              <w:left w:val="nil"/>
              <w:bottom w:val="single" w:sz="8" w:space="0" w:color="auto"/>
              <w:right w:val="single" w:sz="8" w:space="0" w:color="auto"/>
            </w:tcBorders>
            <w:shd w:val="clear" w:color="auto" w:fill="auto"/>
            <w:vAlign w:val="center"/>
            <w:hideMark/>
          </w:tcPr>
          <w:p w14:paraId="3E9ACEC2"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 xml:space="preserve">1450 expedientes tramitados </w:t>
            </w:r>
          </w:p>
        </w:tc>
        <w:tc>
          <w:tcPr>
            <w:tcW w:w="788" w:type="pct"/>
            <w:tcBorders>
              <w:top w:val="nil"/>
              <w:left w:val="nil"/>
              <w:bottom w:val="single" w:sz="8" w:space="0" w:color="auto"/>
              <w:right w:val="single" w:sz="8" w:space="0" w:color="auto"/>
            </w:tcBorders>
            <w:shd w:val="clear" w:color="auto" w:fill="auto"/>
            <w:vAlign w:val="center"/>
            <w:hideMark/>
          </w:tcPr>
          <w:p w14:paraId="53FAC683"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Técnica supernumeraria y despacho del Juzgado de Cobro de Puntarenas</w:t>
            </w:r>
          </w:p>
        </w:tc>
        <w:tc>
          <w:tcPr>
            <w:tcW w:w="770" w:type="pct"/>
            <w:tcBorders>
              <w:top w:val="nil"/>
              <w:left w:val="nil"/>
              <w:bottom w:val="single" w:sz="8" w:space="0" w:color="auto"/>
              <w:right w:val="single" w:sz="8" w:space="0" w:color="auto"/>
            </w:tcBorders>
            <w:shd w:val="clear" w:color="auto" w:fill="auto"/>
            <w:vAlign w:val="center"/>
            <w:hideMark/>
          </w:tcPr>
          <w:p w14:paraId="569E67DB"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Plazo de resolución de demandas nuevas se redujo a 0.5 meses. Escritos se mantienen a 4 meses, por lo que es importante resaltar que este plazo no aumentó.</w:t>
            </w:r>
          </w:p>
        </w:tc>
      </w:tr>
      <w:tr w:rsidR="002C0DC3" w:rsidRPr="002C0DC3" w14:paraId="45C9A5D3" w14:textId="77777777" w:rsidTr="002C0DC3">
        <w:trPr>
          <w:trHeight w:val="20"/>
          <w:tblHeader/>
        </w:trPr>
        <w:tc>
          <w:tcPr>
            <w:tcW w:w="566" w:type="pct"/>
            <w:vMerge/>
            <w:tcBorders>
              <w:top w:val="nil"/>
              <w:left w:val="single" w:sz="8" w:space="0" w:color="auto"/>
              <w:bottom w:val="single" w:sz="8" w:space="0" w:color="auto"/>
              <w:right w:val="single" w:sz="8" w:space="0" w:color="auto"/>
            </w:tcBorders>
            <w:vAlign w:val="center"/>
            <w:hideMark/>
          </w:tcPr>
          <w:p w14:paraId="0F56DA8A" w14:textId="77777777" w:rsidR="002C0DC3" w:rsidRPr="00B31AC4" w:rsidRDefault="002C0DC3" w:rsidP="002C0DC3">
            <w:pPr>
              <w:suppressAutoHyphens w:val="0"/>
              <w:jc w:val="both"/>
              <w:rPr>
                <w:rFonts w:eastAsia="Calibri"/>
                <w:sz w:val="22"/>
                <w:szCs w:val="22"/>
                <w:lang w:val="es-CR" w:eastAsia="es-CR"/>
              </w:rPr>
            </w:pPr>
          </w:p>
        </w:tc>
        <w:tc>
          <w:tcPr>
            <w:tcW w:w="603" w:type="pct"/>
            <w:tcBorders>
              <w:top w:val="nil"/>
              <w:left w:val="nil"/>
              <w:bottom w:val="single" w:sz="8" w:space="0" w:color="auto"/>
              <w:right w:val="single" w:sz="8" w:space="0" w:color="auto"/>
            </w:tcBorders>
            <w:shd w:val="clear" w:color="auto" w:fill="auto"/>
            <w:vAlign w:val="center"/>
            <w:hideMark/>
          </w:tcPr>
          <w:p w14:paraId="120AA67E"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Tramite de 27 expedientes (plaza trasladada del Juzgado Laboral)</w:t>
            </w:r>
          </w:p>
        </w:tc>
        <w:tc>
          <w:tcPr>
            <w:tcW w:w="585" w:type="pct"/>
            <w:tcBorders>
              <w:top w:val="nil"/>
              <w:left w:val="nil"/>
              <w:bottom w:val="single" w:sz="8" w:space="0" w:color="auto"/>
              <w:right w:val="single" w:sz="8" w:space="0" w:color="auto"/>
            </w:tcBorders>
            <w:shd w:val="clear" w:color="auto" w:fill="auto"/>
            <w:vAlign w:val="center"/>
            <w:hideMark/>
          </w:tcPr>
          <w:p w14:paraId="3DA1F8C1"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02/11/2020</w:t>
            </w:r>
          </w:p>
        </w:tc>
        <w:tc>
          <w:tcPr>
            <w:tcW w:w="585" w:type="pct"/>
            <w:tcBorders>
              <w:top w:val="nil"/>
              <w:left w:val="nil"/>
              <w:bottom w:val="single" w:sz="8" w:space="0" w:color="auto"/>
              <w:right w:val="single" w:sz="8" w:space="0" w:color="auto"/>
            </w:tcBorders>
            <w:shd w:val="clear" w:color="auto" w:fill="auto"/>
            <w:vAlign w:val="center"/>
            <w:hideMark/>
          </w:tcPr>
          <w:p w14:paraId="09D0DACF"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29/01/2021</w:t>
            </w:r>
          </w:p>
        </w:tc>
        <w:tc>
          <w:tcPr>
            <w:tcW w:w="499" w:type="pct"/>
            <w:tcBorders>
              <w:top w:val="nil"/>
              <w:left w:val="nil"/>
              <w:bottom w:val="single" w:sz="8" w:space="0" w:color="auto"/>
              <w:right w:val="single" w:sz="8" w:space="0" w:color="auto"/>
            </w:tcBorders>
            <w:shd w:val="clear" w:color="auto" w:fill="auto"/>
            <w:vAlign w:val="center"/>
            <w:hideMark/>
          </w:tcPr>
          <w:p w14:paraId="2C66F0BF"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20 diarios</w:t>
            </w:r>
          </w:p>
        </w:tc>
        <w:tc>
          <w:tcPr>
            <w:tcW w:w="603" w:type="pct"/>
            <w:tcBorders>
              <w:top w:val="nil"/>
              <w:left w:val="nil"/>
              <w:bottom w:val="single" w:sz="8" w:space="0" w:color="auto"/>
              <w:right w:val="single" w:sz="8" w:space="0" w:color="auto"/>
            </w:tcBorders>
            <w:shd w:val="clear" w:color="auto" w:fill="auto"/>
            <w:vAlign w:val="center"/>
            <w:hideMark/>
          </w:tcPr>
          <w:p w14:paraId="042E960C"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1250 expedientes tramitados</w:t>
            </w:r>
          </w:p>
        </w:tc>
        <w:tc>
          <w:tcPr>
            <w:tcW w:w="788" w:type="pct"/>
            <w:tcBorders>
              <w:top w:val="nil"/>
              <w:left w:val="nil"/>
              <w:bottom w:val="single" w:sz="8" w:space="0" w:color="auto"/>
              <w:right w:val="single" w:sz="8" w:space="0" w:color="auto"/>
            </w:tcBorders>
            <w:shd w:val="clear" w:color="auto" w:fill="auto"/>
            <w:vAlign w:val="center"/>
            <w:hideMark/>
          </w:tcPr>
          <w:p w14:paraId="0A3F08DA"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Plaza trasladad del Juzgado Laboral al Juzgado de Cobro</w:t>
            </w:r>
          </w:p>
        </w:tc>
        <w:tc>
          <w:tcPr>
            <w:tcW w:w="770" w:type="pct"/>
            <w:tcBorders>
              <w:top w:val="nil"/>
              <w:left w:val="nil"/>
              <w:bottom w:val="single" w:sz="8" w:space="0" w:color="auto"/>
              <w:right w:val="single" w:sz="8" w:space="0" w:color="auto"/>
            </w:tcBorders>
            <w:shd w:val="clear" w:color="auto" w:fill="auto"/>
            <w:vAlign w:val="center"/>
            <w:hideMark/>
          </w:tcPr>
          <w:p w14:paraId="2F435968"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Monitorios que no impliquen más de 5 facturas. Liquidaciones. Cambios de medios de notificación. </w:t>
            </w:r>
          </w:p>
        </w:tc>
      </w:tr>
      <w:tr w:rsidR="002C0DC3" w:rsidRPr="002C0DC3" w14:paraId="3F283103" w14:textId="77777777" w:rsidTr="002C0DC3">
        <w:trPr>
          <w:trHeight w:val="20"/>
          <w:tblHeader/>
        </w:trPr>
        <w:tc>
          <w:tcPr>
            <w:tcW w:w="566" w:type="pct"/>
            <w:vMerge/>
            <w:tcBorders>
              <w:top w:val="nil"/>
              <w:left w:val="single" w:sz="8" w:space="0" w:color="auto"/>
              <w:bottom w:val="single" w:sz="8" w:space="0" w:color="auto"/>
              <w:right w:val="single" w:sz="8" w:space="0" w:color="auto"/>
            </w:tcBorders>
            <w:vAlign w:val="center"/>
            <w:hideMark/>
          </w:tcPr>
          <w:p w14:paraId="63EB6E96" w14:textId="77777777" w:rsidR="002C0DC3" w:rsidRPr="00B31AC4" w:rsidRDefault="002C0DC3" w:rsidP="002C0DC3">
            <w:pPr>
              <w:suppressAutoHyphens w:val="0"/>
              <w:jc w:val="both"/>
              <w:rPr>
                <w:rFonts w:eastAsia="Calibri"/>
                <w:sz w:val="22"/>
                <w:szCs w:val="22"/>
                <w:lang w:val="es-CR" w:eastAsia="es-CR"/>
              </w:rPr>
            </w:pPr>
          </w:p>
        </w:tc>
        <w:tc>
          <w:tcPr>
            <w:tcW w:w="603" w:type="pct"/>
            <w:tcBorders>
              <w:top w:val="nil"/>
              <w:left w:val="nil"/>
              <w:bottom w:val="single" w:sz="8" w:space="0" w:color="auto"/>
              <w:right w:val="single" w:sz="8" w:space="0" w:color="auto"/>
            </w:tcBorders>
            <w:shd w:val="clear" w:color="auto" w:fill="auto"/>
            <w:vAlign w:val="center"/>
            <w:hideMark/>
          </w:tcPr>
          <w:p w14:paraId="59FE4FA6"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 xml:space="preserve">Firma de expedientes </w:t>
            </w:r>
          </w:p>
        </w:tc>
        <w:tc>
          <w:tcPr>
            <w:tcW w:w="585" w:type="pct"/>
            <w:vMerge w:val="restart"/>
            <w:tcBorders>
              <w:top w:val="nil"/>
              <w:left w:val="single" w:sz="8" w:space="0" w:color="auto"/>
              <w:bottom w:val="single" w:sz="8" w:space="0" w:color="auto"/>
              <w:right w:val="single" w:sz="8" w:space="0" w:color="auto"/>
            </w:tcBorders>
            <w:shd w:val="clear" w:color="auto" w:fill="auto"/>
            <w:vAlign w:val="center"/>
            <w:hideMark/>
          </w:tcPr>
          <w:p w14:paraId="0C42875F"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02/11/2020</w:t>
            </w:r>
          </w:p>
        </w:tc>
        <w:tc>
          <w:tcPr>
            <w:tcW w:w="585" w:type="pct"/>
            <w:vMerge w:val="restart"/>
            <w:tcBorders>
              <w:top w:val="nil"/>
              <w:left w:val="single" w:sz="8" w:space="0" w:color="auto"/>
              <w:bottom w:val="single" w:sz="8" w:space="0" w:color="auto"/>
              <w:right w:val="single" w:sz="8" w:space="0" w:color="auto"/>
            </w:tcBorders>
            <w:shd w:val="clear" w:color="auto" w:fill="auto"/>
            <w:vAlign w:val="center"/>
            <w:hideMark/>
          </w:tcPr>
          <w:p w14:paraId="6F5008D9"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29/01/2021</w:t>
            </w:r>
          </w:p>
        </w:tc>
        <w:tc>
          <w:tcPr>
            <w:tcW w:w="499" w:type="pct"/>
            <w:tcBorders>
              <w:top w:val="nil"/>
              <w:left w:val="nil"/>
              <w:bottom w:val="single" w:sz="8" w:space="0" w:color="auto"/>
              <w:right w:val="single" w:sz="8" w:space="0" w:color="auto"/>
            </w:tcBorders>
            <w:shd w:val="clear" w:color="auto" w:fill="auto"/>
            <w:vAlign w:val="center"/>
            <w:hideMark/>
          </w:tcPr>
          <w:p w14:paraId="6C7055A8"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41 diarios</w:t>
            </w:r>
          </w:p>
        </w:tc>
        <w:tc>
          <w:tcPr>
            <w:tcW w:w="603" w:type="pct"/>
            <w:tcBorders>
              <w:top w:val="nil"/>
              <w:left w:val="nil"/>
              <w:bottom w:val="single" w:sz="8" w:space="0" w:color="auto"/>
              <w:right w:val="single" w:sz="8" w:space="0" w:color="auto"/>
            </w:tcBorders>
            <w:shd w:val="clear" w:color="auto" w:fill="auto"/>
            <w:vAlign w:val="center"/>
            <w:hideMark/>
          </w:tcPr>
          <w:p w14:paraId="2C92EC5E"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 xml:space="preserve">2700 exp firmados </w:t>
            </w:r>
          </w:p>
        </w:tc>
        <w:tc>
          <w:tcPr>
            <w:tcW w:w="788" w:type="pct"/>
            <w:vMerge w:val="restart"/>
            <w:tcBorders>
              <w:top w:val="nil"/>
              <w:left w:val="single" w:sz="8" w:space="0" w:color="auto"/>
              <w:bottom w:val="single" w:sz="8" w:space="0" w:color="000000"/>
              <w:right w:val="single" w:sz="8" w:space="0" w:color="auto"/>
            </w:tcBorders>
            <w:shd w:val="clear" w:color="auto" w:fill="auto"/>
            <w:vAlign w:val="center"/>
            <w:hideMark/>
          </w:tcPr>
          <w:p w14:paraId="1B82A000"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Jueza Supernumeraria </w:t>
            </w:r>
          </w:p>
        </w:tc>
        <w:tc>
          <w:tcPr>
            <w:tcW w:w="770" w:type="pct"/>
            <w:vMerge w:val="restart"/>
            <w:tcBorders>
              <w:top w:val="nil"/>
              <w:left w:val="single" w:sz="8" w:space="0" w:color="auto"/>
              <w:bottom w:val="single" w:sz="8" w:space="0" w:color="000000"/>
              <w:right w:val="single" w:sz="8" w:space="0" w:color="auto"/>
            </w:tcBorders>
            <w:shd w:val="clear" w:color="auto" w:fill="auto"/>
            <w:vAlign w:val="center"/>
            <w:hideMark/>
          </w:tcPr>
          <w:p w14:paraId="7D40EF45"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w:t>
            </w:r>
          </w:p>
        </w:tc>
      </w:tr>
      <w:tr w:rsidR="002C0DC3" w:rsidRPr="002C0DC3" w14:paraId="733098E5" w14:textId="77777777" w:rsidTr="002C0DC3">
        <w:trPr>
          <w:trHeight w:val="20"/>
          <w:tblHeader/>
        </w:trPr>
        <w:tc>
          <w:tcPr>
            <w:tcW w:w="566" w:type="pct"/>
            <w:vMerge/>
            <w:tcBorders>
              <w:top w:val="nil"/>
              <w:left w:val="single" w:sz="8" w:space="0" w:color="auto"/>
              <w:bottom w:val="single" w:sz="8" w:space="0" w:color="auto"/>
              <w:right w:val="single" w:sz="8" w:space="0" w:color="auto"/>
            </w:tcBorders>
            <w:vAlign w:val="center"/>
            <w:hideMark/>
          </w:tcPr>
          <w:p w14:paraId="03ED1F2E" w14:textId="77777777" w:rsidR="002C0DC3" w:rsidRPr="00B31AC4" w:rsidRDefault="002C0DC3" w:rsidP="002C0DC3">
            <w:pPr>
              <w:suppressAutoHyphens w:val="0"/>
              <w:jc w:val="both"/>
              <w:rPr>
                <w:rFonts w:eastAsia="Calibri"/>
                <w:sz w:val="22"/>
                <w:szCs w:val="22"/>
                <w:lang w:val="es-CR" w:eastAsia="es-CR"/>
              </w:rPr>
            </w:pPr>
          </w:p>
        </w:tc>
        <w:tc>
          <w:tcPr>
            <w:tcW w:w="603" w:type="pct"/>
            <w:tcBorders>
              <w:top w:val="nil"/>
              <w:left w:val="nil"/>
              <w:bottom w:val="single" w:sz="8" w:space="0" w:color="auto"/>
              <w:right w:val="single" w:sz="8" w:space="0" w:color="auto"/>
            </w:tcBorders>
            <w:shd w:val="clear" w:color="auto" w:fill="auto"/>
            <w:vAlign w:val="center"/>
            <w:hideMark/>
          </w:tcPr>
          <w:p w14:paraId="3AD1C815"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 xml:space="preserve">Fallo de expedientes </w:t>
            </w:r>
          </w:p>
        </w:tc>
        <w:tc>
          <w:tcPr>
            <w:tcW w:w="585" w:type="pct"/>
            <w:vMerge/>
            <w:tcBorders>
              <w:top w:val="nil"/>
              <w:left w:val="single" w:sz="8" w:space="0" w:color="auto"/>
              <w:bottom w:val="single" w:sz="8" w:space="0" w:color="auto"/>
              <w:right w:val="single" w:sz="8" w:space="0" w:color="auto"/>
            </w:tcBorders>
            <w:vAlign w:val="center"/>
            <w:hideMark/>
          </w:tcPr>
          <w:p w14:paraId="1CF59317" w14:textId="77777777" w:rsidR="002C0DC3" w:rsidRPr="00B31AC4" w:rsidRDefault="002C0DC3" w:rsidP="002C0DC3">
            <w:pPr>
              <w:suppressAutoHyphens w:val="0"/>
              <w:jc w:val="both"/>
              <w:rPr>
                <w:rFonts w:eastAsia="Calibri"/>
                <w:sz w:val="22"/>
                <w:szCs w:val="22"/>
                <w:lang w:val="es-CR" w:eastAsia="es-CR"/>
              </w:rPr>
            </w:pPr>
          </w:p>
        </w:tc>
        <w:tc>
          <w:tcPr>
            <w:tcW w:w="585" w:type="pct"/>
            <w:vMerge/>
            <w:tcBorders>
              <w:top w:val="nil"/>
              <w:left w:val="single" w:sz="8" w:space="0" w:color="auto"/>
              <w:bottom w:val="single" w:sz="8" w:space="0" w:color="auto"/>
              <w:right w:val="single" w:sz="8" w:space="0" w:color="auto"/>
            </w:tcBorders>
            <w:vAlign w:val="center"/>
            <w:hideMark/>
          </w:tcPr>
          <w:p w14:paraId="14189B72" w14:textId="77777777" w:rsidR="002C0DC3" w:rsidRPr="00B31AC4" w:rsidRDefault="002C0DC3" w:rsidP="002C0DC3">
            <w:pPr>
              <w:suppressAutoHyphens w:val="0"/>
              <w:jc w:val="both"/>
              <w:rPr>
                <w:rFonts w:eastAsia="Calibri"/>
                <w:sz w:val="22"/>
                <w:szCs w:val="22"/>
                <w:lang w:val="es-CR" w:eastAsia="es-CR"/>
              </w:rPr>
            </w:pPr>
          </w:p>
        </w:tc>
        <w:tc>
          <w:tcPr>
            <w:tcW w:w="499" w:type="pct"/>
            <w:tcBorders>
              <w:top w:val="nil"/>
              <w:left w:val="nil"/>
              <w:bottom w:val="single" w:sz="8" w:space="0" w:color="auto"/>
              <w:right w:val="single" w:sz="8" w:space="0" w:color="auto"/>
            </w:tcBorders>
            <w:shd w:val="clear" w:color="auto" w:fill="auto"/>
            <w:vAlign w:val="center"/>
            <w:hideMark/>
          </w:tcPr>
          <w:p w14:paraId="0F101FD6"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 xml:space="preserve">2 mensual </w:t>
            </w:r>
          </w:p>
        </w:tc>
        <w:tc>
          <w:tcPr>
            <w:tcW w:w="603" w:type="pct"/>
            <w:tcBorders>
              <w:top w:val="nil"/>
              <w:left w:val="nil"/>
              <w:bottom w:val="single" w:sz="8" w:space="0" w:color="auto"/>
              <w:right w:val="single" w:sz="8" w:space="0" w:color="auto"/>
            </w:tcBorders>
            <w:shd w:val="clear" w:color="auto" w:fill="auto"/>
            <w:vAlign w:val="center"/>
            <w:hideMark/>
          </w:tcPr>
          <w:p w14:paraId="78A209CA" w14:textId="77777777" w:rsidR="002C0DC3" w:rsidRPr="00B31AC4" w:rsidRDefault="002C0DC3" w:rsidP="002C0DC3">
            <w:pPr>
              <w:suppressAutoHyphens w:val="0"/>
              <w:jc w:val="both"/>
              <w:rPr>
                <w:rFonts w:eastAsia="Calibri"/>
                <w:sz w:val="22"/>
                <w:szCs w:val="22"/>
                <w:lang w:val="es-CR" w:eastAsia="es-CR"/>
              </w:rPr>
            </w:pPr>
            <w:r w:rsidRPr="00B31AC4">
              <w:rPr>
                <w:rFonts w:eastAsia="Calibri"/>
                <w:sz w:val="22"/>
                <w:szCs w:val="22"/>
                <w:lang w:val="es-CR" w:eastAsia="es-CR"/>
              </w:rPr>
              <w:t>3 sentencias dictadas</w:t>
            </w:r>
          </w:p>
        </w:tc>
        <w:tc>
          <w:tcPr>
            <w:tcW w:w="788" w:type="pct"/>
            <w:vMerge/>
            <w:tcBorders>
              <w:top w:val="nil"/>
              <w:left w:val="single" w:sz="8" w:space="0" w:color="auto"/>
              <w:bottom w:val="single" w:sz="8" w:space="0" w:color="000000"/>
              <w:right w:val="single" w:sz="8" w:space="0" w:color="auto"/>
            </w:tcBorders>
            <w:vAlign w:val="center"/>
            <w:hideMark/>
          </w:tcPr>
          <w:p w14:paraId="7B5E7B4C" w14:textId="77777777" w:rsidR="002C0DC3" w:rsidRPr="002C0DC3" w:rsidRDefault="002C0DC3" w:rsidP="002C0DC3">
            <w:pPr>
              <w:suppressAutoHyphens w:val="0"/>
              <w:jc w:val="both"/>
              <w:rPr>
                <w:rFonts w:eastAsia="Calibri"/>
                <w:lang w:val="es-CR" w:eastAsia="es-CR"/>
              </w:rPr>
            </w:pPr>
          </w:p>
        </w:tc>
        <w:tc>
          <w:tcPr>
            <w:tcW w:w="770" w:type="pct"/>
            <w:vMerge/>
            <w:tcBorders>
              <w:top w:val="nil"/>
              <w:left w:val="single" w:sz="8" w:space="0" w:color="auto"/>
              <w:bottom w:val="single" w:sz="8" w:space="0" w:color="000000"/>
              <w:right w:val="single" w:sz="8" w:space="0" w:color="auto"/>
            </w:tcBorders>
            <w:vAlign w:val="center"/>
            <w:hideMark/>
          </w:tcPr>
          <w:p w14:paraId="72AD089E" w14:textId="77777777" w:rsidR="002C0DC3" w:rsidRPr="002C0DC3" w:rsidRDefault="002C0DC3" w:rsidP="002C0DC3">
            <w:pPr>
              <w:suppressAutoHyphens w:val="0"/>
              <w:jc w:val="both"/>
              <w:rPr>
                <w:rFonts w:eastAsia="Calibri"/>
                <w:lang w:val="es-CR" w:eastAsia="es-CR"/>
              </w:rPr>
            </w:pPr>
          </w:p>
        </w:tc>
      </w:tr>
    </w:tbl>
    <w:p w14:paraId="2A668101" w14:textId="77777777" w:rsidR="002C0DC3" w:rsidRPr="002C0DC3" w:rsidRDefault="002C0DC3" w:rsidP="002C0DC3">
      <w:pPr>
        <w:suppressAutoHyphens w:val="0"/>
        <w:jc w:val="both"/>
        <w:rPr>
          <w:rFonts w:eastAsia="Calibri"/>
          <w:lang w:val="es-CR" w:eastAsia="en-US"/>
        </w:rPr>
      </w:pPr>
    </w:p>
    <w:p w14:paraId="396FC7E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Los planes de trabajo propuestos por la Dirección de Planificación han dado resultados positivos que se vieron reflejados de mayo a octubre principalmente, logrando mejorar la calificación del despacho durante ese tiempo a un nivel de excelente.</w:t>
      </w:r>
    </w:p>
    <w:p w14:paraId="10558A4B" w14:textId="77777777" w:rsidR="002C0DC3" w:rsidRPr="002C0DC3" w:rsidRDefault="002C0DC3" w:rsidP="002C0DC3">
      <w:pPr>
        <w:suppressAutoHyphens w:val="0"/>
        <w:ind w:left="851" w:right="851" w:firstLine="709"/>
        <w:jc w:val="both"/>
        <w:rPr>
          <w:rFonts w:eastAsia="Calibri"/>
          <w:lang w:val="es-CR" w:eastAsia="en-US"/>
        </w:rPr>
      </w:pPr>
    </w:p>
    <w:p w14:paraId="3CA725C1"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Con la implementación de los planes de trabajo se logró la reducción de demandas nuevas, con colaboración de personal supernumerario se atendieron del mes de mayo al mes de abril 1012 expedientes, disminuyendo el plazo de </w:t>
      </w:r>
      <w:r w:rsidRPr="002C0DC3">
        <w:rPr>
          <w:rFonts w:eastAsia="Calibri"/>
          <w:lang w:val="es-CR" w:eastAsia="en-US"/>
        </w:rPr>
        <w:lastRenderedPageBreak/>
        <w:t>resolución de demandas nuevas de 4 meses a un mes. El plan al tener un resultado positivo continuó, logrando al mes de octubre mantener este plazo en 13 días. En cuanto a los escritos pendientes de resolver se destaca que al mes de enero se encontraban con un plazo de 8 meses, siendo que el plan continuo hasta la fecha se ha logrado disminuir este plazo al mes de octubre a 4 meses. Esto logró colocar al Juzgado de Cobro de Puntarenas en una calificación de Excelente.</w:t>
      </w:r>
    </w:p>
    <w:p w14:paraId="73603407" w14:textId="77777777" w:rsidR="002C0DC3" w:rsidRPr="002C0DC3" w:rsidRDefault="002C0DC3" w:rsidP="002C0DC3">
      <w:pPr>
        <w:suppressAutoHyphens w:val="0"/>
        <w:ind w:left="851" w:right="851" w:firstLine="709"/>
        <w:jc w:val="both"/>
        <w:rPr>
          <w:rFonts w:eastAsia="Calibri"/>
          <w:lang w:val="es-CR" w:eastAsia="en-US"/>
        </w:rPr>
      </w:pPr>
    </w:p>
    <w:p w14:paraId="4CB8E55B" w14:textId="77777777" w:rsidR="002C0DC3" w:rsidRPr="002C0DC3" w:rsidRDefault="002C0DC3" w:rsidP="002C0DC3">
      <w:pPr>
        <w:keepNext/>
        <w:keepLines/>
        <w:numPr>
          <w:ilvl w:val="2"/>
          <w:numId w:val="0"/>
        </w:numPr>
        <w:suppressAutoHyphens w:val="0"/>
        <w:ind w:left="851" w:right="851" w:firstLine="709"/>
        <w:jc w:val="both"/>
        <w:rPr>
          <w:b/>
          <w:lang w:eastAsia="es-CR"/>
        </w:rPr>
      </w:pPr>
      <w:bookmarkStart w:id="50" w:name="_Toc78467043"/>
      <w:r w:rsidRPr="002C0DC3">
        <w:rPr>
          <w:b/>
          <w:lang w:eastAsia="es-CR"/>
        </w:rPr>
        <w:t xml:space="preserve">Circuito </w:t>
      </w:r>
      <w:r w:rsidRPr="002C0DC3">
        <w:rPr>
          <w:b/>
          <w:bCs/>
          <w:lang w:eastAsia="es-CR"/>
        </w:rPr>
        <w:t>Judicial</w:t>
      </w:r>
      <w:r w:rsidRPr="002C0DC3">
        <w:rPr>
          <w:b/>
          <w:lang w:eastAsia="es-CR"/>
        </w:rPr>
        <w:t xml:space="preserve"> de Heredia</w:t>
      </w:r>
      <w:bookmarkEnd w:id="50"/>
    </w:p>
    <w:p w14:paraId="6C43B4CA" w14:textId="77777777" w:rsidR="002C0DC3" w:rsidRPr="002C0DC3" w:rsidRDefault="002C0DC3" w:rsidP="002C0DC3">
      <w:pPr>
        <w:suppressAutoHyphens w:val="0"/>
        <w:ind w:left="851" w:right="851" w:firstLine="709"/>
        <w:jc w:val="both"/>
        <w:rPr>
          <w:rFonts w:eastAsia="Calibri"/>
          <w:lang w:val="es-CR" w:eastAsia="en-US"/>
        </w:rPr>
      </w:pPr>
    </w:p>
    <w:p w14:paraId="7C7B9653"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cuanto a los planes de trabajo realizados en el Circuito Judicial de Heredia para el Juzgado de Cobro durante el 2020 se encuentran:</w:t>
      </w:r>
    </w:p>
    <w:p w14:paraId="2C42F28D" w14:textId="77777777" w:rsidR="002C0DC3" w:rsidRPr="002C0DC3" w:rsidRDefault="002C0DC3" w:rsidP="002C0DC3">
      <w:pPr>
        <w:suppressAutoHyphens w:val="0"/>
        <w:ind w:left="851" w:right="851" w:firstLine="709"/>
        <w:jc w:val="both"/>
        <w:rPr>
          <w:rFonts w:eastAsia="Calibri"/>
          <w:lang w:val="es-CR" w:eastAsia="en-US"/>
        </w:rPr>
      </w:pPr>
    </w:p>
    <w:p w14:paraId="1F5FE391" w14:textId="77777777" w:rsidR="002C0DC3" w:rsidRPr="002C0DC3" w:rsidRDefault="002C0DC3" w:rsidP="002C0DC3">
      <w:pPr>
        <w:suppressAutoHyphens w:val="0"/>
        <w:ind w:left="851" w:right="851" w:firstLine="709"/>
        <w:jc w:val="center"/>
        <w:rPr>
          <w:rFonts w:eastAsia="Calibri"/>
          <w:b/>
          <w:bCs/>
          <w:lang w:eastAsia="zh-CN"/>
        </w:rPr>
      </w:pPr>
      <w:r w:rsidRPr="002C0DC3">
        <w:rPr>
          <w:rFonts w:eastAsia="Calibri"/>
          <w:b/>
          <w:bCs/>
          <w:lang w:eastAsia="zh-CN"/>
        </w:rPr>
        <w:t>De enero-abril 2020</w:t>
      </w:r>
    </w:p>
    <w:p w14:paraId="3CA9EB12" w14:textId="77777777" w:rsidR="002C0DC3" w:rsidRPr="002C0DC3" w:rsidRDefault="002C0DC3" w:rsidP="002C0DC3">
      <w:pPr>
        <w:suppressAutoHyphens w:val="0"/>
        <w:jc w:val="both"/>
        <w:rPr>
          <w:rFonts w:eastAsia="Calibri"/>
          <w:b/>
          <w:bCs/>
          <w:lang w:eastAsia="zh-CN"/>
        </w:rPr>
      </w:pPr>
    </w:p>
    <w:tbl>
      <w:tblPr>
        <w:tblStyle w:val="Tablaconcuadrcula12"/>
        <w:tblW w:w="0" w:type="auto"/>
        <w:tblLayout w:type="fixed"/>
        <w:tblLook w:val="04A0" w:firstRow="1" w:lastRow="0" w:firstColumn="1" w:lastColumn="0" w:noHBand="0" w:noVBand="1"/>
      </w:tblPr>
      <w:tblGrid>
        <w:gridCol w:w="1118"/>
        <w:gridCol w:w="2421"/>
        <w:gridCol w:w="992"/>
        <w:gridCol w:w="993"/>
        <w:gridCol w:w="1788"/>
        <w:gridCol w:w="2082"/>
      </w:tblGrid>
      <w:tr w:rsidR="002C0DC3" w:rsidRPr="002C0DC3" w14:paraId="1A7D132F" w14:textId="77777777" w:rsidTr="002C0DC3">
        <w:tc>
          <w:tcPr>
            <w:tcW w:w="1118" w:type="dxa"/>
            <w:shd w:val="clear" w:color="auto" w:fill="B4C6E7"/>
          </w:tcPr>
          <w:p w14:paraId="5DABF09F"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Despacho</w:t>
            </w:r>
          </w:p>
        </w:tc>
        <w:tc>
          <w:tcPr>
            <w:tcW w:w="2421" w:type="dxa"/>
            <w:shd w:val="clear" w:color="auto" w:fill="B4C6E7"/>
          </w:tcPr>
          <w:p w14:paraId="283AF0DC"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Tipo de Plan</w:t>
            </w:r>
          </w:p>
        </w:tc>
        <w:tc>
          <w:tcPr>
            <w:tcW w:w="992" w:type="dxa"/>
            <w:shd w:val="clear" w:color="auto" w:fill="B4C6E7"/>
          </w:tcPr>
          <w:p w14:paraId="7836ED61"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Fecha inicio</w:t>
            </w:r>
          </w:p>
        </w:tc>
        <w:tc>
          <w:tcPr>
            <w:tcW w:w="993" w:type="dxa"/>
            <w:shd w:val="clear" w:color="auto" w:fill="B4C6E7"/>
          </w:tcPr>
          <w:p w14:paraId="6E3D8AB0"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Fecha fin</w:t>
            </w:r>
          </w:p>
        </w:tc>
        <w:tc>
          <w:tcPr>
            <w:tcW w:w="1788" w:type="dxa"/>
            <w:shd w:val="clear" w:color="auto" w:fill="B4C6E7"/>
          </w:tcPr>
          <w:p w14:paraId="49FE63DE"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Responsable</w:t>
            </w:r>
          </w:p>
        </w:tc>
        <w:tc>
          <w:tcPr>
            <w:tcW w:w="2082" w:type="dxa"/>
            <w:shd w:val="clear" w:color="auto" w:fill="B4C6E7"/>
          </w:tcPr>
          <w:p w14:paraId="3F4A2513" w14:textId="77777777" w:rsidR="002C0DC3" w:rsidRPr="002C0DC3" w:rsidRDefault="002C0DC3" w:rsidP="002C0DC3">
            <w:pPr>
              <w:suppressAutoHyphens w:val="0"/>
              <w:rPr>
                <w:rFonts w:ascii="Times New Roman" w:hAnsi="Times New Roman"/>
                <w:lang w:val="es-ES" w:eastAsia="zh-CN"/>
              </w:rPr>
            </w:pPr>
            <w:r w:rsidRPr="002C0DC3">
              <w:rPr>
                <w:rFonts w:ascii="Times New Roman" w:hAnsi="Times New Roman"/>
                <w:lang w:val="es-ES" w:eastAsia="zh-CN"/>
              </w:rPr>
              <w:t>Resultado</w:t>
            </w:r>
          </w:p>
        </w:tc>
      </w:tr>
      <w:tr w:rsidR="002C0DC3" w:rsidRPr="002C0DC3" w14:paraId="24B375FD" w14:textId="77777777" w:rsidTr="002C0DC3">
        <w:tc>
          <w:tcPr>
            <w:tcW w:w="1118" w:type="dxa"/>
          </w:tcPr>
          <w:p w14:paraId="4B55BE47"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Juzgado de Cobro</w:t>
            </w:r>
          </w:p>
        </w:tc>
        <w:tc>
          <w:tcPr>
            <w:tcW w:w="2421" w:type="dxa"/>
          </w:tcPr>
          <w:p w14:paraId="33717938"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Reducción de Escritos de Cambio de Medios y Comisiones</w:t>
            </w:r>
          </w:p>
        </w:tc>
        <w:tc>
          <w:tcPr>
            <w:tcW w:w="992" w:type="dxa"/>
          </w:tcPr>
          <w:p w14:paraId="23442180"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marzo 2020</w:t>
            </w:r>
          </w:p>
        </w:tc>
        <w:tc>
          <w:tcPr>
            <w:tcW w:w="993" w:type="dxa"/>
          </w:tcPr>
          <w:p w14:paraId="07C60245"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junio 2020</w:t>
            </w:r>
          </w:p>
        </w:tc>
        <w:tc>
          <w:tcPr>
            <w:tcW w:w="1788" w:type="dxa"/>
          </w:tcPr>
          <w:p w14:paraId="5251D194"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Equipo de Mejora-personal supernumerario</w:t>
            </w:r>
          </w:p>
        </w:tc>
        <w:tc>
          <w:tcPr>
            <w:tcW w:w="2082" w:type="dxa"/>
          </w:tcPr>
          <w:p w14:paraId="27E203AB"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Se redujo alrededor de 4 mil Escritos de marzo a abril.</w:t>
            </w:r>
          </w:p>
        </w:tc>
      </w:tr>
    </w:tbl>
    <w:p w14:paraId="13C22D99" w14:textId="77777777" w:rsidR="002C0DC3" w:rsidRPr="002C0DC3" w:rsidRDefault="002C0DC3" w:rsidP="002C0DC3">
      <w:pPr>
        <w:suppressAutoHyphens w:val="0"/>
        <w:ind w:left="851" w:right="851" w:firstLine="709"/>
        <w:jc w:val="both"/>
        <w:rPr>
          <w:rFonts w:eastAsia="Calibri"/>
          <w:lang w:eastAsia="zh-CN"/>
        </w:rPr>
      </w:pPr>
      <w:r w:rsidRPr="002C0DC3">
        <w:rPr>
          <w:rFonts w:eastAsia="Calibri"/>
          <w:i/>
          <w:iCs/>
          <w:lang w:eastAsia="zh-CN"/>
        </w:rPr>
        <w:t>Fuente: Subproceso de Evaluación de acuerdo con planes de trabajo propuestos en el Circuito Judicial de Heredia</w:t>
      </w:r>
      <w:r w:rsidRPr="002C0DC3">
        <w:rPr>
          <w:rFonts w:eastAsia="Calibri"/>
          <w:lang w:eastAsia="zh-CN"/>
        </w:rPr>
        <w:t>.</w:t>
      </w:r>
    </w:p>
    <w:p w14:paraId="1B5C1363" w14:textId="77777777" w:rsidR="002C0DC3" w:rsidRPr="002C0DC3" w:rsidRDefault="002C0DC3" w:rsidP="002C0DC3">
      <w:pPr>
        <w:suppressAutoHyphens w:val="0"/>
        <w:ind w:left="851" w:right="851" w:firstLine="709"/>
        <w:jc w:val="both"/>
        <w:rPr>
          <w:rFonts w:eastAsia="Calibri"/>
          <w:lang w:eastAsia="zh-CN"/>
        </w:rPr>
      </w:pPr>
    </w:p>
    <w:p w14:paraId="36607769" w14:textId="77777777" w:rsidR="002C0DC3" w:rsidRPr="002C0DC3" w:rsidRDefault="002C0DC3" w:rsidP="002C0DC3">
      <w:pPr>
        <w:suppressAutoHyphens w:val="0"/>
        <w:ind w:left="851" w:right="851" w:firstLine="709"/>
        <w:contextualSpacing/>
        <w:jc w:val="center"/>
        <w:rPr>
          <w:rFonts w:eastAsia="Calibri"/>
          <w:b/>
          <w:bCs/>
          <w:lang w:val="es-CR" w:eastAsia="en-US"/>
        </w:rPr>
      </w:pPr>
      <w:r w:rsidRPr="002C0DC3">
        <w:rPr>
          <w:rFonts w:eastAsia="Calibri"/>
          <w:b/>
          <w:bCs/>
          <w:lang w:val="es-CR" w:eastAsia="en-US"/>
        </w:rPr>
        <w:t>De mayo a setiembre</w:t>
      </w:r>
    </w:p>
    <w:p w14:paraId="2DD1C4B2" w14:textId="77777777" w:rsidR="002C0DC3" w:rsidRPr="002C0DC3" w:rsidRDefault="002C0DC3" w:rsidP="002C0DC3">
      <w:pPr>
        <w:suppressAutoHyphens w:val="0"/>
        <w:jc w:val="both"/>
        <w:rPr>
          <w:rFonts w:eastAsia="Calibri"/>
          <w:lang w:val="es-CR" w:eastAsia="zh-CN"/>
        </w:rPr>
      </w:pPr>
    </w:p>
    <w:tbl>
      <w:tblPr>
        <w:tblStyle w:val="Tablaconcuadrcula12"/>
        <w:tblW w:w="5000" w:type="pct"/>
        <w:tblLook w:val="04A0" w:firstRow="1" w:lastRow="0" w:firstColumn="1" w:lastColumn="0" w:noHBand="0" w:noVBand="1"/>
      </w:tblPr>
      <w:tblGrid>
        <w:gridCol w:w="1276"/>
        <w:gridCol w:w="2277"/>
        <w:gridCol w:w="985"/>
        <w:gridCol w:w="855"/>
        <w:gridCol w:w="1796"/>
        <w:gridCol w:w="2206"/>
      </w:tblGrid>
      <w:tr w:rsidR="002C0DC3" w:rsidRPr="002C0DC3" w14:paraId="1F9F0E6F" w14:textId="77777777" w:rsidTr="002C0DC3">
        <w:tc>
          <w:tcPr>
            <w:tcW w:w="679" w:type="pct"/>
            <w:shd w:val="clear" w:color="auto" w:fill="B4C6E7"/>
          </w:tcPr>
          <w:p w14:paraId="6373BA6D"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Despacho</w:t>
            </w:r>
          </w:p>
        </w:tc>
        <w:tc>
          <w:tcPr>
            <w:tcW w:w="1212" w:type="pct"/>
            <w:shd w:val="clear" w:color="auto" w:fill="B4C6E7"/>
          </w:tcPr>
          <w:p w14:paraId="69C3D8AA"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Tipo de Plan</w:t>
            </w:r>
          </w:p>
        </w:tc>
        <w:tc>
          <w:tcPr>
            <w:tcW w:w="524" w:type="pct"/>
            <w:shd w:val="clear" w:color="auto" w:fill="B4C6E7"/>
          </w:tcPr>
          <w:p w14:paraId="195BCF45"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Fecha inicio</w:t>
            </w:r>
          </w:p>
        </w:tc>
        <w:tc>
          <w:tcPr>
            <w:tcW w:w="455" w:type="pct"/>
            <w:shd w:val="clear" w:color="auto" w:fill="B4C6E7"/>
          </w:tcPr>
          <w:p w14:paraId="722B57EA"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Fecha fin</w:t>
            </w:r>
          </w:p>
        </w:tc>
        <w:tc>
          <w:tcPr>
            <w:tcW w:w="956" w:type="pct"/>
            <w:shd w:val="clear" w:color="auto" w:fill="B4C6E7"/>
          </w:tcPr>
          <w:p w14:paraId="03D8A1A6"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Responsable</w:t>
            </w:r>
          </w:p>
        </w:tc>
        <w:tc>
          <w:tcPr>
            <w:tcW w:w="1174" w:type="pct"/>
            <w:shd w:val="clear" w:color="auto" w:fill="B4C6E7"/>
          </w:tcPr>
          <w:p w14:paraId="28BE17AD"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Resultado</w:t>
            </w:r>
          </w:p>
        </w:tc>
      </w:tr>
      <w:tr w:rsidR="002C0DC3" w:rsidRPr="002C0DC3" w14:paraId="675E0DEE" w14:textId="77777777" w:rsidTr="002C0DC3">
        <w:tc>
          <w:tcPr>
            <w:tcW w:w="679" w:type="pct"/>
          </w:tcPr>
          <w:p w14:paraId="33F96FD9"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Juzgado de Cobro</w:t>
            </w:r>
          </w:p>
        </w:tc>
        <w:tc>
          <w:tcPr>
            <w:tcW w:w="1212" w:type="pct"/>
          </w:tcPr>
          <w:p w14:paraId="0344A22A"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Reducción de Escritos de Cambio de Medios y Comisiones</w:t>
            </w:r>
          </w:p>
        </w:tc>
        <w:tc>
          <w:tcPr>
            <w:tcW w:w="524" w:type="pct"/>
          </w:tcPr>
          <w:p w14:paraId="7B0DDFEC"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marzo 2020</w:t>
            </w:r>
          </w:p>
        </w:tc>
        <w:tc>
          <w:tcPr>
            <w:tcW w:w="455" w:type="pct"/>
          </w:tcPr>
          <w:p w14:paraId="5E54698E"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junio 2020</w:t>
            </w:r>
          </w:p>
        </w:tc>
        <w:tc>
          <w:tcPr>
            <w:tcW w:w="956" w:type="pct"/>
          </w:tcPr>
          <w:p w14:paraId="67625110"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Equipo de Mejora-personal supernumerario</w:t>
            </w:r>
          </w:p>
        </w:tc>
        <w:tc>
          <w:tcPr>
            <w:tcW w:w="1174" w:type="pct"/>
          </w:tcPr>
          <w:p w14:paraId="41CCC2E8" w14:textId="77777777" w:rsidR="002C0DC3" w:rsidRPr="002C0DC3" w:rsidRDefault="002C0DC3" w:rsidP="002C0DC3">
            <w:pPr>
              <w:suppressAutoHyphens w:val="0"/>
              <w:jc w:val="both"/>
              <w:rPr>
                <w:rFonts w:ascii="Times New Roman" w:hAnsi="Times New Roman"/>
                <w:lang w:val="es-ES" w:eastAsia="zh-CN"/>
              </w:rPr>
            </w:pPr>
            <w:r w:rsidRPr="002C0DC3">
              <w:rPr>
                <w:rFonts w:ascii="Times New Roman" w:hAnsi="Times New Roman"/>
                <w:lang w:val="es-ES" w:eastAsia="zh-CN"/>
              </w:rPr>
              <w:t>Se redujo alrededor de 8 mil escritos, reduciendo los plazos en 0,5 meses, quedando a 8,5 meses.</w:t>
            </w:r>
          </w:p>
        </w:tc>
      </w:tr>
    </w:tbl>
    <w:p w14:paraId="1E494086" w14:textId="77777777" w:rsidR="002C0DC3" w:rsidRPr="002C0DC3" w:rsidRDefault="002C0DC3" w:rsidP="002C0DC3">
      <w:pPr>
        <w:suppressAutoHyphens w:val="0"/>
        <w:ind w:left="851" w:right="851" w:firstLine="709"/>
        <w:jc w:val="both"/>
        <w:rPr>
          <w:rFonts w:eastAsia="Calibri"/>
          <w:lang w:eastAsia="zh-CN"/>
        </w:rPr>
      </w:pPr>
      <w:r w:rsidRPr="002C0DC3">
        <w:rPr>
          <w:rFonts w:eastAsia="Calibri"/>
          <w:i/>
          <w:iCs/>
          <w:lang w:eastAsia="zh-CN"/>
        </w:rPr>
        <w:t>Fuente: Subproceso de Evaluación de acuerdo con planes de trabajo propuestos en el Circuito Judicial de Heredia</w:t>
      </w:r>
      <w:r w:rsidRPr="002C0DC3">
        <w:rPr>
          <w:rFonts w:eastAsia="Calibri"/>
          <w:lang w:eastAsia="zh-CN"/>
        </w:rPr>
        <w:t>.</w:t>
      </w:r>
    </w:p>
    <w:p w14:paraId="7B3D1F15" w14:textId="77777777" w:rsidR="002C0DC3" w:rsidRPr="002C0DC3" w:rsidRDefault="002C0DC3" w:rsidP="002C0DC3">
      <w:pPr>
        <w:suppressAutoHyphens w:val="0"/>
        <w:ind w:left="851" w:right="851" w:firstLine="709"/>
        <w:jc w:val="both"/>
        <w:rPr>
          <w:rFonts w:eastAsia="Calibri"/>
          <w:lang w:val="es-CR" w:eastAsia="zh-CN"/>
        </w:rPr>
      </w:pPr>
    </w:p>
    <w:p w14:paraId="72DE50A0" w14:textId="77777777" w:rsidR="002C0DC3" w:rsidRPr="002C0DC3" w:rsidRDefault="002C0DC3" w:rsidP="002C0DC3">
      <w:pPr>
        <w:suppressAutoHyphens w:val="0"/>
        <w:ind w:left="851" w:right="851" w:firstLine="709"/>
        <w:jc w:val="center"/>
        <w:rPr>
          <w:rFonts w:eastAsia="Calibri"/>
          <w:b/>
          <w:bCs/>
          <w:lang w:val="es-CR" w:eastAsia="zh-CN"/>
        </w:rPr>
      </w:pPr>
    </w:p>
    <w:p w14:paraId="55C80ED2" w14:textId="77777777" w:rsidR="002C0DC3" w:rsidRPr="002C0DC3" w:rsidRDefault="002C0DC3" w:rsidP="002C0DC3">
      <w:pPr>
        <w:suppressAutoHyphens w:val="0"/>
        <w:ind w:left="851" w:right="851" w:firstLine="709"/>
        <w:jc w:val="center"/>
        <w:rPr>
          <w:rFonts w:eastAsia="Calibri"/>
          <w:b/>
          <w:bCs/>
          <w:lang w:val="es-CR" w:eastAsia="zh-CN"/>
        </w:rPr>
      </w:pPr>
      <w:r w:rsidRPr="002C0DC3">
        <w:rPr>
          <w:rFonts w:eastAsia="Calibri"/>
          <w:b/>
          <w:bCs/>
          <w:lang w:val="es-CR" w:eastAsia="zh-CN"/>
        </w:rPr>
        <w:t>De octubre a diciembre</w:t>
      </w:r>
    </w:p>
    <w:p w14:paraId="76ED8280" w14:textId="77777777" w:rsidR="002C0DC3" w:rsidRPr="002C0DC3" w:rsidRDefault="002C0DC3" w:rsidP="002C0DC3">
      <w:pPr>
        <w:suppressAutoHyphens w:val="0"/>
        <w:jc w:val="center"/>
        <w:rPr>
          <w:rFonts w:eastAsia="Calibri"/>
          <w:b/>
          <w:bCs/>
          <w:lang w:val="es-CR" w:eastAsia="zh-CN"/>
        </w:rPr>
      </w:pPr>
    </w:p>
    <w:tbl>
      <w:tblPr>
        <w:tblStyle w:val="TableNormal12"/>
        <w:tblpPr w:leftFromText="141" w:rightFromText="141" w:vertAnchor="text" w:horzAnchor="margin" w:tblpXSpec="center" w:tblpY="104"/>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2313"/>
        <w:gridCol w:w="993"/>
        <w:gridCol w:w="850"/>
        <w:gridCol w:w="2268"/>
      </w:tblGrid>
      <w:tr w:rsidR="002C0DC3" w:rsidRPr="002C0DC3" w14:paraId="3ED54110" w14:textId="77777777" w:rsidTr="002C0DC3">
        <w:trPr>
          <w:trHeight w:val="400"/>
        </w:trPr>
        <w:tc>
          <w:tcPr>
            <w:tcW w:w="2782" w:type="dxa"/>
          </w:tcPr>
          <w:p w14:paraId="10B45E24" w14:textId="77777777" w:rsidR="002C0DC3" w:rsidRPr="002C0DC3" w:rsidRDefault="002C0DC3" w:rsidP="002C0DC3">
            <w:pPr>
              <w:suppressAutoHyphens w:val="0"/>
              <w:ind w:left="155" w:right="142"/>
              <w:jc w:val="both"/>
              <w:rPr>
                <w:rFonts w:ascii="Times New Roman" w:hAnsi="Times New Roman"/>
                <w:b/>
                <w:lang w:val="es-ES" w:eastAsia="en-US"/>
              </w:rPr>
            </w:pPr>
            <w:r w:rsidRPr="002C0DC3">
              <w:rPr>
                <w:rFonts w:ascii="Times New Roman" w:hAnsi="Times New Roman"/>
                <w:b/>
                <w:w w:val="105"/>
                <w:lang w:val="es-ES" w:eastAsia="en-US"/>
              </w:rPr>
              <w:lastRenderedPageBreak/>
              <w:t>Despacho</w:t>
            </w:r>
          </w:p>
        </w:tc>
        <w:tc>
          <w:tcPr>
            <w:tcW w:w="2313" w:type="dxa"/>
          </w:tcPr>
          <w:p w14:paraId="728C4572" w14:textId="77777777" w:rsidR="002C0DC3" w:rsidRPr="002C0DC3" w:rsidRDefault="002C0DC3" w:rsidP="002C0DC3">
            <w:pPr>
              <w:suppressAutoHyphens w:val="0"/>
              <w:ind w:left="52" w:right="265"/>
              <w:jc w:val="both"/>
              <w:rPr>
                <w:rFonts w:ascii="Times New Roman" w:hAnsi="Times New Roman"/>
                <w:b/>
                <w:lang w:val="es-ES" w:eastAsia="en-US"/>
              </w:rPr>
            </w:pPr>
            <w:r w:rsidRPr="002C0DC3">
              <w:rPr>
                <w:rFonts w:ascii="Times New Roman" w:hAnsi="Times New Roman"/>
                <w:b/>
                <w:w w:val="105"/>
                <w:lang w:val="es-ES" w:eastAsia="en-US"/>
              </w:rPr>
              <w:t>Tipo</w:t>
            </w:r>
            <w:r w:rsidRPr="002C0DC3">
              <w:rPr>
                <w:rFonts w:ascii="Times New Roman" w:hAnsi="Times New Roman"/>
                <w:b/>
                <w:spacing w:val="-7"/>
                <w:w w:val="105"/>
                <w:lang w:val="es-ES" w:eastAsia="en-US"/>
              </w:rPr>
              <w:t xml:space="preserve"> </w:t>
            </w:r>
            <w:r w:rsidRPr="002C0DC3">
              <w:rPr>
                <w:rFonts w:ascii="Times New Roman" w:hAnsi="Times New Roman"/>
                <w:b/>
                <w:w w:val="105"/>
                <w:lang w:val="es-ES" w:eastAsia="en-US"/>
              </w:rPr>
              <w:t>de</w:t>
            </w:r>
            <w:r w:rsidRPr="002C0DC3">
              <w:rPr>
                <w:rFonts w:ascii="Times New Roman" w:hAnsi="Times New Roman"/>
                <w:b/>
                <w:spacing w:val="1"/>
                <w:w w:val="105"/>
                <w:lang w:val="es-ES" w:eastAsia="en-US"/>
              </w:rPr>
              <w:t xml:space="preserve"> </w:t>
            </w:r>
            <w:r w:rsidRPr="002C0DC3">
              <w:rPr>
                <w:rFonts w:ascii="Times New Roman" w:hAnsi="Times New Roman"/>
                <w:b/>
                <w:w w:val="105"/>
                <w:lang w:val="es-ES" w:eastAsia="en-US"/>
              </w:rPr>
              <w:t>Plan</w:t>
            </w:r>
          </w:p>
        </w:tc>
        <w:tc>
          <w:tcPr>
            <w:tcW w:w="993" w:type="dxa"/>
          </w:tcPr>
          <w:p w14:paraId="0A51135D" w14:textId="77777777" w:rsidR="002C0DC3" w:rsidRPr="002C0DC3" w:rsidRDefault="002C0DC3" w:rsidP="002C0DC3">
            <w:pPr>
              <w:suppressAutoHyphens w:val="0"/>
              <w:ind w:left="74"/>
              <w:jc w:val="both"/>
              <w:rPr>
                <w:rFonts w:ascii="Times New Roman" w:hAnsi="Times New Roman"/>
                <w:b/>
                <w:lang w:val="es-ES" w:eastAsia="en-US"/>
              </w:rPr>
            </w:pPr>
            <w:r w:rsidRPr="002C0DC3">
              <w:rPr>
                <w:rFonts w:ascii="Times New Roman" w:hAnsi="Times New Roman"/>
                <w:b/>
                <w:w w:val="105"/>
                <w:lang w:val="es-ES" w:eastAsia="en-US"/>
              </w:rPr>
              <w:t>Fecha</w:t>
            </w:r>
          </w:p>
          <w:p w14:paraId="63608E74" w14:textId="77777777" w:rsidR="002C0DC3" w:rsidRPr="002C0DC3" w:rsidRDefault="002C0DC3" w:rsidP="002C0DC3">
            <w:pPr>
              <w:suppressAutoHyphens w:val="0"/>
              <w:ind w:left="105"/>
              <w:jc w:val="both"/>
              <w:rPr>
                <w:rFonts w:ascii="Times New Roman" w:hAnsi="Times New Roman"/>
                <w:b/>
                <w:lang w:val="es-ES" w:eastAsia="en-US"/>
              </w:rPr>
            </w:pPr>
            <w:r w:rsidRPr="002C0DC3">
              <w:rPr>
                <w:rFonts w:ascii="Times New Roman" w:hAnsi="Times New Roman"/>
                <w:b/>
                <w:w w:val="105"/>
                <w:lang w:val="es-ES" w:eastAsia="en-US"/>
              </w:rPr>
              <w:t>inicio</w:t>
            </w:r>
          </w:p>
        </w:tc>
        <w:tc>
          <w:tcPr>
            <w:tcW w:w="850" w:type="dxa"/>
          </w:tcPr>
          <w:p w14:paraId="0A45F6C6" w14:textId="77777777" w:rsidR="002C0DC3" w:rsidRPr="002C0DC3" w:rsidRDefault="002C0DC3" w:rsidP="002C0DC3">
            <w:pPr>
              <w:suppressAutoHyphens w:val="0"/>
              <w:ind w:left="42" w:right="16"/>
              <w:jc w:val="both"/>
              <w:rPr>
                <w:rFonts w:ascii="Times New Roman" w:hAnsi="Times New Roman"/>
                <w:b/>
                <w:lang w:val="es-ES" w:eastAsia="en-US"/>
              </w:rPr>
            </w:pPr>
            <w:r w:rsidRPr="002C0DC3">
              <w:rPr>
                <w:rFonts w:ascii="Times New Roman" w:hAnsi="Times New Roman"/>
                <w:b/>
                <w:w w:val="105"/>
                <w:lang w:val="es-ES" w:eastAsia="en-US"/>
              </w:rPr>
              <w:t>Fecha</w:t>
            </w:r>
          </w:p>
          <w:p w14:paraId="3918BC5B" w14:textId="77777777" w:rsidR="002C0DC3" w:rsidRPr="002C0DC3" w:rsidRDefault="002C0DC3" w:rsidP="002C0DC3">
            <w:pPr>
              <w:suppressAutoHyphens w:val="0"/>
              <w:ind w:left="42" w:right="6"/>
              <w:jc w:val="both"/>
              <w:rPr>
                <w:rFonts w:ascii="Times New Roman" w:hAnsi="Times New Roman"/>
                <w:b/>
                <w:lang w:val="es-ES" w:eastAsia="en-US"/>
              </w:rPr>
            </w:pPr>
            <w:r w:rsidRPr="002C0DC3">
              <w:rPr>
                <w:rFonts w:ascii="Times New Roman" w:hAnsi="Times New Roman"/>
                <w:b/>
                <w:w w:val="105"/>
                <w:lang w:val="es-ES" w:eastAsia="en-US"/>
              </w:rPr>
              <w:t>fin</w:t>
            </w:r>
          </w:p>
        </w:tc>
        <w:tc>
          <w:tcPr>
            <w:tcW w:w="2268" w:type="dxa"/>
          </w:tcPr>
          <w:p w14:paraId="04FED245" w14:textId="77777777" w:rsidR="002C0DC3" w:rsidRPr="002C0DC3" w:rsidRDefault="002C0DC3" w:rsidP="002C0DC3">
            <w:pPr>
              <w:suppressAutoHyphens w:val="0"/>
              <w:ind w:left="746" w:right="130" w:hanging="607"/>
              <w:jc w:val="both"/>
              <w:rPr>
                <w:rFonts w:ascii="Times New Roman" w:hAnsi="Times New Roman"/>
                <w:b/>
                <w:lang w:val="es-ES" w:eastAsia="en-US"/>
              </w:rPr>
            </w:pPr>
            <w:r w:rsidRPr="002C0DC3">
              <w:rPr>
                <w:rFonts w:ascii="Times New Roman" w:hAnsi="Times New Roman"/>
                <w:b/>
                <w:w w:val="105"/>
                <w:lang w:val="es-ES" w:eastAsia="en-US"/>
              </w:rPr>
              <w:t>Responsable</w:t>
            </w:r>
          </w:p>
        </w:tc>
      </w:tr>
      <w:tr w:rsidR="002C0DC3" w:rsidRPr="002C0DC3" w14:paraId="748FCD30" w14:textId="77777777" w:rsidTr="002C0DC3">
        <w:trPr>
          <w:trHeight w:val="816"/>
        </w:trPr>
        <w:tc>
          <w:tcPr>
            <w:tcW w:w="2782" w:type="dxa"/>
          </w:tcPr>
          <w:p w14:paraId="162DCBCC" w14:textId="77777777" w:rsidR="002C0DC3" w:rsidRPr="002C0DC3" w:rsidRDefault="002C0DC3" w:rsidP="002C0DC3">
            <w:pPr>
              <w:suppressAutoHyphens w:val="0"/>
              <w:jc w:val="both"/>
              <w:rPr>
                <w:rFonts w:ascii="Times New Roman" w:hAnsi="Times New Roman"/>
                <w:b/>
                <w:lang w:val="es-ES" w:eastAsia="en-US"/>
              </w:rPr>
            </w:pPr>
          </w:p>
          <w:p w14:paraId="75F0016F" w14:textId="77777777" w:rsidR="002C0DC3" w:rsidRPr="002C0DC3" w:rsidRDefault="002C0DC3" w:rsidP="002C0DC3">
            <w:pPr>
              <w:suppressAutoHyphens w:val="0"/>
              <w:ind w:left="156" w:right="142"/>
              <w:jc w:val="both"/>
              <w:rPr>
                <w:rFonts w:ascii="Times New Roman" w:hAnsi="Times New Roman"/>
                <w:lang w:val="es-ES" w:eastAsia="en-US"/>
              </w:rPr>
            </w:pPr>
            <w:r w:rsidRPr="002C0DC3">
              <w:rPr>
                <w:rFonts w:ascii="Times New Roman" w:hAnsi="Times New Roman"/>
                <w:spacing w:val="-2"/>
                <w:w w:val="105"/>
                <w:lang w:val="es-ES" w:eastAsia="en-US"/>
              </w:rPr>
              <w:t>Juzgado</w:t>
            </w:r>
            <w:r w:rsidRPr="002C0DC3">
              <w:rPr>
                <w:rFonts w:ascii="Times New Roman" w:hAnsi="Times New Roman"/>
                <w:spacing w:val="-9"/>
                <w:w w:val="105"/>
                <w:lang w:val="es-ES" w:eastAsia="en-US"/>
              </w:rPr>
              <w:t xml:space="preserve"> </w:t>
            </w:r>
            <w:r w:rsidRPr="002C0DC3">
              <w:rPr>
                <w:rFonts w:ascii="Times New Roman" w:hAnsi="Times New Roman"/>
                <w:spacing w:val="-2"/>
                <w:w w:val="105"/>
                <w:lang w:val="es-ES" w:eastAsia="en-US"/>
              </w:rPr>
              <w:t>de</w:t>
            </w:r>
            <w:r w:rsidRPr="002C0DC3">
              <w:rPr>
                <w:rFonts w:ascii="Times New Roman" w:hAnsi="Times New Roman"/>
                <w:spacing w:val="-8"/>
                <w:w w:val="105"/>
                <w:lang w:val="es-ES" w:eastAsia="en-US"/>
              </w:rPr>
              <w:t xml:space="preserve"> </w:t>
            </w:r>
            <w:r w:rsidRPr="002C0DC3">
              <w:rPr>
                <w:rFonts w:ascii="Times New Roman" w:hAnsi="Times New Roman"/>
                <w:spacing w:val="-2"/>
                <w:w w:val="105"/>
                <w:lang w:val="es-ES" w:eastAsia="en-US"/>
              </w:rPr>
              <w:t>Cobro</w:t>
            </w:r>
          </w:p>
        </w:tc>
        <w:tc>
          <w:tcPr>
            <w:tcW w:w="2313" w:type="dxa"/>
          </w:tcPr>
          <w:p w14:paraId="13740599" w14:textId="77777777" w:rsidR="002C0DC3" w:rsidRPr="002C0DC3" w:rsidRDefault="002C0DC3" w:rsidP="002C0DC3">
            <w:pPr>
              <w:suppressAutoHyphens w:val="0"/>
              <w:jc w:val="both"/>
              <w:rPr>
                <w:rFonts w:ascii="Times New Roman" w:hAnsi="Times New Roman"/>
                <w:b/>
                <w:lang w:val="es-ES" w:eastAsia="en-US"/>
              </w:rPr>
            </w:pPr>
          </w:p>
          <w:p w14:paraId="6507853D" w14:textId="77777777" w:rsidR="002C0DC3" w:rsidRPr="002C0DC3" w:rsidRDefault="002C0DC3" w:rsidP="002C0DC3">
            <w:pPr>
              <w:suppressAutoHyphens w:val="0"/>
              <w:ind w:left="181" w:right="33"/>
              <w:jc w:val="both"/>
              <w:rPr>
                <w:rFonts w:ascii="Times New Roman" w:hAnsi="Times New Roman"/>
                <w:lang w:val="es-ES" w:eastAsia="en-US"/>
              </w:rPr>
            </w:pPr>
            <w:r w:rsidRPr="002C0DC3">
              <w:rPr>
                <w:rFonts w:ascii="Times New Roman" w:hAnsi="Times New Roman"/>
                <w:spacing w:val="-3"/>
                <w:w w:val="105"/>
                <w:lang w:val="es-ES" w:eastAsia="en-US"/>
              </w:rPr>
              <w:t xml:space="preserve">Reducción de </w:t>
            </w:r>
            <w:r w:rsidRPr="002C0DC3">
              <w:rPr>
                <w:rFonts w:ascii="Times New Roman" w:hAnsi="Times New Roman"/>
                <w:spacing w:val="-2"/>
                <w:w w:val="105"/>
                <w:lang w:val="es-ES" w:eastAsia="en-US"/>
              </w:rPr>
              <w:t>plazos para Demandas Nuevas</w:t>
            </w:r>
            <w:r w:rsidRPr="002C0DC3">
              <w:rPr>
                <w:rFonts w:ascii="Times New Roman" w:hAnsi="Times New Roman"/>
                <w:spacing w:val="-41"/>
                <w:w w:val="105"/>
                <w:lang w:val="es-ES" w:eastAsia="en-US"/>
              </w:rPr>
              <w:t xml:space="preserve"> </w:t>
            </w:r>
            <w:r w:rsidRPr="002C0DC3">
              <w:rPr>
                <w:rFonts w:ascii="Times New Roman" w:hAnsi="Times New Roman"/>
                <w:w w:val="105"/>
                <w:lang w:val="es-ES" w:eastAsia="en-US"/>
              </w:rPr>
              <w:t>y</w:t>
            </w:r>
            <w:r w:rsidRPr="002C0DC3">
              <w:rPr>
                <w:rFonts w:ascii="Times New Roman" w:hAnsi="Times New Roman"/>
                <w:spacing w:val="-9"/>
                <w:w w:val="105"/>
                <w:lang w:val="es-ES" w:eastAsia="en-US"/>
              </w:rPr>
              <w:t xml:space="preserve"> </w:t>
            </w:r>
            <w:r w:rsidRPr="002C0DC3">
              <w:rPr>
                <w:rFonts w:ascii="Times New Roman" w:hAnsi="Times New Roman"/>
                <w:w w:val="105"/>
                <w:lang w:val="es-ES" w:eastAsia="en-US"/>
              </w:rPr>
              <w:t>Escritos</w:t>
            </w:r>
          </w:p>
        </w:tc>
        <w:tc>
          <w:tcPr>
            <w:tcW w:w="993" w:type="dxa"/>
          </w:tcPr>
          <w:p w14:paraId="6C8F5A03" w14:textId="77777777" w:rsidR="002C0DC3" w:rsidRPr="002C0DC3" w:rsidRDefault="002C0DC3" w:rsidP="002C0DC3">
            <w:pPr>
              <w:suppressAutoHyphens w:val="0"/>
              <w:jc w:val="both"/>
              <w:rPr>
                <w:rFonts w:ascii="Times New Roman" w:hAnsi="Times New Roman"/>
                <w:b/>
                <w:lang w:val="es-ES" w:eastAsia="en-US"/>
              </w:rPr>
            </w:pPr>
          </w:p>
          <w:p w14:paraId="527D11A9" w14:textId="77777777" w:rsidR="002C0DC3" w:rsidRPr="002C0DC3" w:rsidRDefault="002C0DC3" w:rsidP="002C0DC3">
            <w:pPr>
              <w:suppressAutoHyphens w:val="0"/>
              <w:ind w:left="39" w:right="13"/>
              <w:jc w:val="both"/>
              <w:rPr>
                <w:rFonts w:ascii="Times New Roman" w:hAnsi="Times New Roman"/>
                <w:lang w:val="es-ES" w:eastAsia="en-US"/>
              </w:rPr>
            </w:pPr>
            <w:r w:rsidRPr="002C0DC3">
              <w:rPr>
                <w:rFonts w:ascii="Times New Roman" w:hAnsi="Times New Roman"/>
                <w:w w:val="105"/>
                <w:lang w:val="es-ES" w:eastAsia="en-US"/>
              </w:rPr>
              <w:t>jul-20</w:t>
            </w:r>
          </w:p>
        </w:tc>
        <w:tc>
          <w:tcPr>
            <w:tcW w:w="850" w:type="dxa"/>
          </w:tcPr>
          <w:p w14:paraId="231B61E1" w14:textId="77777777" w:rsidR="002C0DC3" w:rsidRPr="002C0DC3" w:rsidRDefault="002C0DC3" w:rsidP="002C0DC3">
            <w:pPr>
              <w:suppressAutoHyphens w:val="0"/>
              <w:jc w:val="both"/>
              <w:rPr>
                <w:rFonts w:ascii="Times New Roman" w:hAnsi="Times New Roman"/>
                <w:b/>
                <w:lang w:val="es-ES" w:eastAsia="en-US"/>
              </w:rPr>
            </w:pPr>
          </w:p>
          <w:p w14:paraId="6C86B446" w14:textId="77777777" w:rsidR="002C0DC3" w:rsidRPr="002C0DC3" w:rsidRDefault="002C0DC3" w:rsidP="002C0DC3">
            <w:pPr>
              <w:suppressAutoHyphens w:val="0"/>
              <w:ind w:left="32" w:right="16"/>
              <w:jc w:val="both"/>
              <w:rPr>
                <w:rFonts w:ascii="Times New Roman" w:hAnsi="Times New Roman"/>
                <w:lang w:val="es-ES" w:eastAsia="en-US"/>
              </w:rPr>
            </w:pPr>
            <w:r w:rsidRPr="002C0DC3">
              <w:rPr>
                <w:rFonts w:ascii="Times New Roman" w:hAnsi="Times New Roman"/>
                <w:w w:val="105"/>
                <w:lang w:val="es-ES" w:eastAsia="en-US"/>
              </w:rPr>
              <w:t>dic-20</w:t>
            </w:r>
          </w:p>
        </w:tc>
        <w:tc>
          <w:tcPr>
            <w:tcW w:w="2268" w:type="dxa"/>
          </w:tcPr>
          <w:p w14:paraId="06BEE2D6" w14:textId="77777777" w:rsidR="002C0DC3" w:rsidRPr="002C0DC3" w:rsidRDefault="002C0DC3" w:rsidP="002C0DC3">
            <w:pPr>
              <w:suppressAutoHyphens w:val="0"/>
              <w:jc w:val="both"/>
              <w:rPr>
                <w:rFonts w:ascii="Times New Roman" w:hAnsi="Times New Roman"/>
                <w:b/>
                <w:lang w:val="es-ES" w:eastAsia="en-US"/>
              </w:rPr>
            </w:pPr>
          </w:p>
          <w:p w14:paraId="6410D387" w14:textId="77777777" w:rsidR="002C0DC3" w:rsidRPr="002C0DC3" w:rsidRDefault="002C0DC3" w:rsidP="002C0DC3">
            <w:pPr>
              <w:suppressAutoHyphens w:val="0"/>
              <w:ind w:left="281" w:right="176"/>
              <w:jc w:val="both"/>
              <w:rPr>
                <w:rFonts w:ascii="Times New Roman" w:hAnsi="Times New Roman"/>
                <w:lang w:val="es-ES" w:eastAsia="en-US"/>
              </w:rPr>
            </w:pPr>
            <w:r w:rsidRPr="002C0DC3">
              <w:rPr>
                <w:rFonts w:ascii="Times New Roman" w:hAnsi="Times New Roman"/>
                <w:spacing w:val="-2"/>
                <w:w w:val="105"/>
                <w:lang w:val="es-ES" w:eastAsia="en-US"/>
              </w:rPr>
              <w:t>En</w:t>
            </w:r>
            <w:r w:rsidRPr="002C0DC3">
              <w:rPr>
                <w:rFonts w:ascii="Times New Roman" w:hAnsi="Times New Roman"/>
                <w:spacing w:val="-9"/>
                <w:w w:val="105"/>
                <w:lang w:val="es-ES" w:eastAsia="en-US"/>
              </w:rPr>
              <w:t xml:space="preserve"> </w:t>
            </w:r>
            <w:r w:rsidRPr="002C0DC3">
              <w:rPr>
                <w:rFonts w:ascii="Times New Roman" w:hAnsi="Times New Roman"/>
                <w:spacing w:val="-2"/>
                <w:w w:val="105"/>
                <w:lang w:val="es-ES" w:eastAsia="en-US"/>
              </w:rPr>
              <w:t>Coordinación</w:t>
            </w:r>
            <w:r w:rsidRPr="002C0DC3">
              <w:rPr>
                <w:rFonts w:ascii="Times New Roman" w:hAnsi="Times New Roman"/>
                <w:spacing w:val="-8"/>
                <w:w w:val="105"/>
                <w:lang w:val="es-ES" w:eastAsia="en-US"/>
              </w:rPr>
              <w:t xml:space="preserve"> </w:t>
            </w:r>
            <w:r w:rsidRPr="002C0DC3">
              <w:rPr>
                <w:rFonts w:ascii="Times New Roman" w:hAnsi="Times New Roman"/>
                <w:spacing w:val="-2"/>
                <w:w w:val="105"/>
                <w:lang w:val="es-ES" w:eastAsia="en-US"/>
              </w:rPr>
              <w:t>con</w:t>
            </w:r>
            <w:r w:rsidRPr="002C0DC3">
              <w:rPr>
                <w:rFonts w:ascii="Times New Roman" w:hAnsi="Times New Roman"/>
                <w:spacing w:val="-7"/>
                <w:w w:val="105"/>
                <w:lang w:val="es-ES" w:eastAsia="en-US"/>
              </w:rPr>
              <w:t xml:space="preserve"> </w:t>
            </w:r>
            <w:r w:rsidRPr="002C0DC3">
              <w:rPr>
                <w:rFonts w:ascii="Times New Roman" w:hAnsi="Times New Roman"/>
                <w:spacing w:val="-2"/>
                <w:w w:val="105"/>
                <w:lang w:val="es-ES" w:eastAsia="en-US"/>
              </w:rPr>
              <w:t>el</w:t>
            </w:r>
            <w:r w:rsidRPr="002C0DC3">
              <w:rPr>
                <w:rFonts w:ascii="Times New Roman" w:hAnsi="Times New Roman"/>
                <w:spacing w:val="-8"/>
                <w:w w:val="105"/>
                <w:lang w:val="es-ES" w:eastAsia="en-US"/>
              </w:rPr>
              <w:t xml:space="preserve"> </w:t>
            </w:r>
            <w:r w:rsidRPr="002C0DC3">
              <w:rPr>
                <w:rFonts w:ascii="Times New Roman" w:hAnsi="Times New Roman"/>
                <w:spacing w:val="-1"/>
                <w:w w:val="105"/>
                <w:lang w:val="es-ES" w:eastAsia="en-US"/>
              </w:rPr>
              <w:t>Centro</w:t>
            </w:r>
            <w:r w:rsidRPr="002C0DC3">
              <w:rPr>
                <w:rFonts w:ascii="Times New Roman" w:hAnsi="Times New Roman"/>
                <w:spacing w:val="-8"/>
                <w:w w:val="105"/>
                <w:lang w:val="es-ES" w:eastAsia="en-US"/>
              </w:rPr>
              <w:t xml:space="preserve"> </w:t>
            </w:r>
            <w:r w:rsidRPr="002C0DC3">
              <w:rPr>
                <w:rFonts w:ascii="Times New Roman" w:hAnsi="Times New Roman"/>
                <w:spacing w:val="-1"/>
                <w:w w:val="105"/>
                <w:lang w:val="es-ES" w:eastAsia="en-US"/>
              </w:rPr>
              <w:t>de</w:t>
            </w:r>
            <w:r w:rsidRPr="002C0DC3">
              <w:rPr>
                <w:rFonts w:ascii="Times New Roman" w:hAnsi="Times New Roman"/>
                <w:spacing w:val="-40"/>
                <w:w w:val="105"/>
                <w:lang w:val="es-ES" w:eastAsia="en-US"/>
              </w:rPr>
              <w:t xml:space="preserve"> </w:t>
            </w:r>
            <w:r w:rsidRPr="002C0DC3">
              <w:rPr>
                <w:rFonts w:ascii="Times New Roman" w:hAnsi="Times New Roman"/>
                <w:w w:val="105"/>
                <w:lang w:val="es-ES" w:eastAsia="en-US"/>
              </w:rPr>
              <w:t>Apoyo</w:t>
            </w:r>
          </w:p>
        </w:tc>
      </w:tr>
    </w:tbl>
    <w:p w14:paraId="4BBFA0E6" w14:textId="77777777" w:rsidR="002C0DC3" w:rsidRPr="002C0DC3" w:rsidRDefault="002C0DC3" w:rsidP="002C0DC3">
      <w:pPr>
        <w:suppressAutoHyphens w:val="0"/>
        <w:ind w:left="851" w:right="851" w:firstLine="709"/>
        <w:jc w:val="both"/>
        <w:rPr>
          <w:rFonts w:eastAsia="Calibri"/>
          <w:lang w:val="es-CR" w:eastAsia="zh-CN"/>
        </w:rPr>
      </w:pPr>
      <w:r w:rsidRPr="002C0DC3">
        <w:rPr>
          <w:rFonts w:eastAsia="Calibri"/>
          <w:i/>
          <w:iCs/>
          <w:lang w:eastAsia="zh-CN"/>
        </w:rPr>
        <w:t>Fuente: Subproceso de Evaluación de acuerdo con planes de trabajo propuestos en el Circuito Judicial de Heredia</w:t>
      </w:r>
    </w:p>
    <w:p w14:paraId="118C7824" w14:textId="77777777" w:rsidR="002C0DC3" w:rsidRPr="002C0DC3" w:rsidRDefault="002C0DC3" w:rsidP="002C0DC3">
      <w:pPr>
        <w:suppressAutoHyphens w:val="0"/>
        <w:ind w:left="851" w:right="851" w:firstLine="709"/>
        <w:jc w:val="both"/>
        <w:rPr>
          <w:rFonts w:eastAsia="Calibri"/>
          <w:lang w:val="es-CR" w:eastAsia="en-US"/>
        </w:rPr>
      </w:pPr>
    </w:p>
    <w:p w14:paraId="54E9B5B9"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cuanto a los planes de trabajo establecidos y descritos en el cuadro anterior, el plan de trabajo realizado para Juzgado Especializado de Cobro en coordinación con el Centro de Apoyo, Coordinación y Mejoramiento de la Función Jurisdiccional, con la finalidad de reducir los plazos de demandas nuevas y escritos, cuyos  plazos se encontraban en junio del 2020  en 8.12 y 9.12 meses respectivamente, generaron una reducción de aproximadamente dos meses en los tiempos de respuesta del despacho, ya que para diciembre del 2020, estos mismos indicadores registraban  plazos de 6.5 meses y 7.47 meses.</w:t>
      </w:r>
    </w:p>
    <w:p w14:paraId="24ED6056" w14:textId="77777777" w:rsidR="002C0DC3" w:rsidRPr="002C0DC3" w:rsidRDefault="002C0DC3" w:rsidP="002C0DC3">
      <w:pPr>
        <w:suppressAutoHyphens w:val="0"/>
        <w:ind w:left="851" w:right="851" w:firstLine="709"/>
        <w:jc w:val="both"/>
        <w:rPr>
          <w:rFonts w:eastAsia="Calibri"/>
          <w:lang w:val="es-CR" w:eastAsia="en-US"/>
        </w:rPr>
      </w:pPr>
    </w:p>
    <w:p w14:paraId="41958CD2"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Es importante destacar, que todos los planes de trabajo desarrollados por la Dirección de Planificación a través de su personal destacado en los circuitos judiciales analizados van dirigidos a mejorar el desempeño de los Juzgados de Cobro, los cuales, si bien en la mayoría de los meses analizados cumplen con las cuotas de trabajo establecidas en los indicadores de gestión, enfrentan altas cargas de trabajo que superan su capacidad instalada.</w:t>
      </w:r>
    </w:p>
    <w:p w14:paraId="21483C5E" w14:textId="77777777" w:rsidR="002C0DC3" w:rsidRPr="002C0DC3" w:rsidRDefault="002C0DC3" w:rsidP="002C0DC3">
      <w:pPr>
        <w:suppressAutoHyphens w:val="0"/>
        <w:ind w:left="851" w:right="851" w:firstLine="709"/>
        <w:jc w:val="both"/>
        <w:rPr>
          <w:rFonts w:eastAsia="Calibri"/>
          <w:lang w:val="es-CR" w:eastAsia="en-US"/>
        </w:rPr>
      </w:pPr>
    </w:p>
    <w:p w14:paraId="6B40A11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Este apoyo se ve limitado por las labores sustantivas a las que está destinado el personal supernumerario, lo cual en muchas ocasiones no permite disponer del recurso, el cual en la mayoría de estos circuitos es limitado, y deben además, brindar también soporte en otras materias que también cuentan con categorías críticas o críticas con oportunidad de mejora.</w:t>
      </w:r>
    </w:p>
    <w:p w14:paraId="2970B903" w14:textId="77777777" w:rsidR="002C0DC3" w:rsidRPr="002C0DC3" w:rsidRDefault="002C0DC3" w:rsidP="002C0DC3">
      <w:pPr>
        <w:suppressAutoHyphens w:val="0"/>
        <w:ind w:left="851" w:right="851" w:firstLine="709"/>
        <w:jc w:val="both"/>
        <w:rPr>
          <w:rFonts w:eastAsia="Calibri"/>
          <w:lang w:val="es-CR" w:eastAsia="en-US"/>
        </w:rPr>
      </w:pPr>
    </w:p>
    <w:p w14:paraId="647670D8" w14:textId="77777777" w:rsidR="002C0DC3" w:rsidRPr="002C0DC3" w:rsidRDefault="002C0DC3" w:rsidP="002C0DC3">
      <w:pPr>
        <w:keepNext/>
        <w:keepLines/>
        <w:suppressAutoHyphens w:val="0"/>
        <w:ind w:left="851" w:right="851" w:firstLine="709"/>
        <w:jc w:val="both"/>
        <w:rPr>
          <w:b/>
          <w:lang w:val="es-CR" w:eastAsia="es-CR"/>
        </w:rPr>
      </w:pPr>
      <w:bookmarkStart w:id="51" w:name="_Toc78467044"/>
      <w:bookmarkStart w:id="52" w:name="_Toc80351034"/>
      <w:r w:rsidRPr="002C0DC3">
        <w:rPr>
          <w:b/>
          <w:lang w:val="es-CR" w:eastAsia="es-CR"/>
        </w:rPr>
        <w:t>Impacto de la declaratoria de emergencia nacional sanitaria COVID-19</w:t>
      </w:r>
      <w:bookmarkEnd w:id="51"/>
      <w:bookmarkEnd w:id="52"/>
    </w:p>
    <w:p w14:paraId="2ED3F69F" w14:textId="77777777" w:rsidR="002C0DC3" w:rsidRPr="002C0DC3" w:rsidRDefault="002C0DC3" w:rsidP="002C0DC3">
      <w:pPr>
        <w:suppressAutoHyphens w:val="0"/>
        <w:ind w:left="851" w:right="851" w:firstLine="709"/>
        <w:jc w:val="both"/>
        <w:rPr>
          <w:rFonts w:eastAsia="Calibri"/>
          <w:lang w:val="es-CR" w:eastAsia="en-US"/>
        </w:rPr>
      </w:pPr>
    </w:p>
    <w:p w14:paraId="14A8F7A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A continuación y con la finalidad de ilustrar el impacto que tuvo la declaratoria de emergencia nacional sanitaria por COVID-19, se muestran los datos de las audiencias realizadas durante el primer cuatrimestre del 2020 en materia de cobro.</w:t>
      </w:r>
    </w:p>
    <w:p w14:paraId="31324705" w14:textId="77777777" w:rsidR="002C0DC3" w:rsidRPr="002C0DC3" w:rsidRDefault="002C0DC3" w:rsidP="002C0DC3">
      <w:pPr>
        <w:suppressAutoHyphens w:val="0"/>
        <w:ind w:left="851" w:right="851" w:firstLine="709"/>
        <w:jc w:val="both"/>
        <w:rPr>
          <w:rFonts w:eastAsia="Calibri"/>
          <w:lang w:val="es-CR" w:eastAsia="en-US"/>
        </w:rPr>
      </w:pPr>
    </w:p>
    <w:p w14:paraId="70DB53DE" w14:textId="77777777" w:rsidR="002C0DC3" w:rsidRPr="002C0DC3" w:rsidRDefault="002C0DC3" w:rsidP="002C0DC3">
      <w:pPr>
        <w:suppressAutoHyphens w:val="0"/>
        <w:ind w:left="851" w:right="851" w:firstLine="709"/>
        <w:jc w:val="center"/>
        <w:rPr>
          <w:rFonts w:eastAsia="Calibri"/>
          <w:b/>
          <w:i/>
          <w:lang w:val="es-CR" w:eastAsia="en-US"/>
        </w:rPr>
      </w:pPr>
      <w:r w:rsidRPr="002C0DC3">
        <w:rPr>
          <w:rFonts w:eastAsia="Calibri"/>
          <w:b/>
          <w:lang w:val="es-CR" w:eastAsia="en-US"/>
        </w:rPr>
        <w:t>Cuadro 6</w:t>
      </w:r>
    </w:p>
    <w:p w14:paraId="292D6FAC" w14:textId="77777777" w:rsidR="002C0DC3" w:rsidRPr="002C0DC3" w:rsidRDefault="002C0DC3" w:rsidP="002C0DC3">
      <w:pPr>
        <w:suppressAutoHyphens w:val="0"/>
        <w:ind w:left="851" w:right="851" w:firstLine="709"/>
        <w:jc w:val="center"/>
        <w:rPr>
          <w:rFonts w:eastAsia="Calibri"/>
          <w:b/>
          <w:i/>
          <w:lang w:val="es-CR" w:eastAsia="en-US"/>
        </w:rPr>
      </w:pPr>
      <w:r w:rsidRPr="002C0DC3">
        <w:rPr>
          <w:rFonts w:eastAsia="Calibri"/>
          <w:b/>
          <w:lang w:val="es-CR" w:eastAsia="en-US"/>
        </w:rPr>
        <w:lastRenderedPageBreak/>
        <w:t>Detalle de audiencias realizadas durante el primer cuatrimestre de 2020 (COVID-19)</w:t>
      </w:r>
    </w:p>
    <w:tbl>
      <w:tblPr>
        <w:tblW w:w="5000" w:type="pct"/>
        <w:tblCellMar>
          <w:left w:w="70" w:type="dxa"/>
          <w:right w:w="70" w:type="dxa"/>
        </w:tblCellMar>
        <w:tblLook w:val="04A0" w:firstRow="1" w:lastRow="0" w:firstColumn="1" w:lastColumn="0" w:noHBand="0" w:noVBand="1"/>
      </w:tblPr>
      <w:tblGrid>
        <w:gridCol w:w="2477"/>
        <w:gridCol w:w="1540"/>
        <w:gridCol w:w="1353"/>
        <w:gridCol w:w="1154"/>
        <w:gridCol w:w="1434"/>
        <w:gridCol w:w="1432"/>
      </w:tblGrid>
      <w:tr w:rsidR="002C0DC3" w:rsidRPr="002C0DC3" w14:paraId="003B3FD4" w14:textId="77777777" w:rsidTr="002C0DC3">
        <w:trPr>
          <w:trHeight w:val="518"/>
          <w:tblHeader/>
        </w:trPr>
        <w:tc>
          <w:tcPr>
            <w:tcW w:w="1355" w:type="pct"/>
            <w:tcBorders>
              <w:top w:val="single" w:sz="8" w:space="0" w:color="auto"/>
              <w:left w:val="single" w:sz="8" w:space="0" w:color="auto"/>
              <w:bottom w:val="single" w:sz="4" w:space="0" w:color="auto"/>
              <w:right w:val="nil"/>
            </w:tcBorders>
            <w:shd w:val="clear" w:color="auto" w:fill="auto"/>
            <w:noWrap/>
            <w:vAlign w:val="center"/>
            <w:hideMark/>
          </w:tcPr>
          <w:p w14:paraId="4F21F56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Despacho</w:t>
            </w:r>
          </w:p>
        </w:tc>
        <w:tc>
          <w:tcPr>
            <w:tcW w:w="7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4D10533"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Enero-Febrero</w:t>
            </w:r>
          </w:p>
        </w:tc>
        <w:tc>
          <w:tcPr>
            <w:tcW w:w="650" w:type="pct"/>
            <w:tcBorders>
              <w:top w:val="single" w:sz="4" w:space="0" w:color="auto"/>
              <w:left w:val="nil"/>
              <w:bottom w:val="single" w:sz="4" w:space="0" w:color="auto"/>
              <w:right w:val="single" w:sz="4" w:space="0" w:color="auto"/>
            </w:tcBorders>
            <w:shd w:val="clear" w:color="000000" w:fill="F8CBAD"/>
            <w:noWrap/>
            <w:vAlign w:val="center"/>
            <w:hideMark/>
          </w:tcPr>
          <w:p w14:paraId="41C174F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Marzo-Abril</w:t>
            </w:r>
          </w:p>
        </w:tc>
        <w:tc>
          <w:tcPr>
            <w:tcW w:w="650" w:type="pct"/>
            <w:tcBorders>
              <w:top w:val="single" w:sz="4" w:space="0" w:color="auto"/>
              <w:left w:val="nil"/>
              <w:bottom w:val="single" w:sz="4" w:space="0" w:color="auto"/>
              <w:right w:val="single" w:sz="4" w:space="0" w:color="auto"/>
            </w:tcBorders>
            <w:shd w:val="clear" w:color="000000" w:fill="00B0F0"/>
            <w:vAlign w:val="center"/>
            <w:hideMark/>
          </w:tcPr>
          <w:p w14:paraId="35B199E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Antes de la pandemia</w:t>
            </w:r>
          </w:p>
        </w:tc>
        <w:tc>
          <w:tcPr>
            <w:tcW w:w="799" w:type="pct"/>
            <w:tcBorders>
              <w:top w:val="single" w:sz="4" w:space="0" w:color="auto"/>
              <w:left w:val="nil"/>
              <w:bottom w:val="single" w:sz="4" w:space="0" w:color="auto"/>
              <w:right w:val="single" w:sz="4" w:space="0" w:color="auto"/>
            </w:tcBorders>
            <w:shd w:val="clear" w:color="000000" w:fill="FFFF00"/>
            <w:vAlign w:val="center"/>
            <w:hideMark/>
          </w:tcPr>
          <w:p w14:paraId="7969E8C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Después de la pandemia</w:t>
            </w:r>
          </w:p>
        </w:tc>
        <w:tc>
          <w:tcPr>
            <w:tcW w:w="798" w:type="pct"/>
            <w:tcBorders>
              <w:top w:val="single" w:sz="4" w:space="0" w:color="auto"/>
              <w:left w:val="nil"/>
              <w:bottom w:val="single" w:sz="4" w:space="0" w:color="auto"/>
              <w:right w:val="single" w:sz="4" w:space="0" w:color="auto"/>
            </w:tcBorders>
            <w:shd w:val="clear" w:color="000000" w:fill="FF99FF"/>
            <w:noWrap/>
            <w:vAlign w:val="center"/>
            <w:hideMark/>
          </w:tcPr>
          <w:p w14:paraId="6F147E3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Variación</w:t>
            </w:r>
          </w:p>
        </w:tc>
      </w:tr>
      <w:tr w:rsidR="002C0DC3" w:rsidRPr="002C0DC3" w14:paraId="4A76F87D" w14:textId="77777777" w:rsidTr="002C0DC3">
        <w:trPr>
          <w:trHeight w:val="528"/>
        </w:trPr>
        <w:tc>
          <w:tcPr>
            <w:tcW w:w="1355" w:type="pct"/>
            <w:tcBorders>
              <w:top w:val="nil"/>
              <w:left w:val="single" w:sz="8" w:space="0" w:color="auto"/>
              <w:bottom w:val="single" w:sz="8" w:space="0" w:color="auto"/>
              <w:right w:val="nil"/>
            </w:tcBorders>
            <w:shd w:val="clear" w:color="auto" w:fill="auto"/>
            <w:vAlign w:val="center"/>
            <w:hideMark/>
          </w:tcPr>
          <w:p w14:paraId="7C0C69E0"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ICJ Guanacaste</w:t>
            </w:r>
          </w:p>
        </w:tc>
        <w:tc>
          <w:tcPr>
            <w:tcW w:w="748" w:type="pct"/>
            <w:tcBorders>
              <w:top w:val="nil"/>
              <w:left w:val="single" w:sz="4" w:space="0" w:color="auto"/>
              <w:bottom w:val="single" w:sz="4" w:space="0" w:color="auto"/>
              <w:right w:val="single" w:sz="4" w:space="0" w:color="auto"/>
            </w:tcBorders>
            <w:shd w:val="clear" w:color="000000" w:fill="F2F2F2"/>
            <w:noWrap/>
            <w:vAlign w:val="center"/>
            <w:hideMark/>
          </w:tcPr>
          <w:p w14:paraId="0346A99F"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29</w:t>
            </w:r>
          </w:p>
        </w:tc>
        <w:tc>
          <w:tcPr>
            <w:tcW w:w="650" w:type="pct"/>
            <w:tcBorders>
              <w:top w:val="nil"/>
              <w:left w:val="nil"/>
              <w:bottom w:val="single" w:sz="4" w:space="0" w:color="auto"/>
              <w:right w:val="single" w:sz="4" w:space="0" w:color="auto"/>
            </w:tcBorders>
            <w:shd w:val="clear" w:color="000000" w:fill="F8CBAD"/>
            <w:noWrap/>
            <w:vAlign w:val="center"/>
            <w:hideMark/>
          </w:tcPr>
          <w:p w14:paraId="48E5E232"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18</w:t>
            </w:r>
          </w:p>
        </w:tc>
        <w:tc>
          <w:tcPr>
            <w:tcW w:w="650" w:type="pct"/>
            <w:tcBorders>
              <w:top w:val="nil"/>
              <w:left w:val="nil"/>
              <w:bottom w:val="single" w:sz="4" w:space="0" w:color="auto"/>
              <w:right w:val="single" w:sz="4" w:space="0" w:color="auto"/>
            </w:tcBorders>
            <w:shd w:val="clear" w:color="000000" w:fill="00B0F0"/>
            <w:noWrap/>
            <w:vAlign w:val="center"/>
            <w:hideMark/>
          </w:tcPr>
          <w:p w14:paraId="3623832A"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14.5</w:t>
            </w:r>
          </w:p>
        </w:tc>
        <w:tc>
          <w:tcPr>
            <w:tcW w:w="799" w:type="pct"/>
            <w:tcBorders>
              <w:top w:val="nil"/>
              <w:left w:val="nil"/>
              <w:bottom w:val="single" w:sz="4" w:space="0" w:color="auto"/>
              <w:right w:val="single" w:sz="4" w:space="0" w:color="auto"/>
            </w:tcBorders>
            <w:shd w:val="clear" w:color="000000" w:fill="FFFF00"/>
            <w:noWrap/>
            <w:vAlign w:val="center"/>
            <w:hideMark/>
          </w:tcPr>
          <w:p w14:paraId="0B6BBB6D"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9</w:t>
            </w:r>
          </w:p>
        </w:tc>
        <w:tc>
          <w:tcPr>
            <w:tcW w:w="798" w:type="pct"/>
            <w:tcBorders>
              <w:top w:val="nil"/>
              <w:left w:val="nil"/>
              <w:bottom w:val="single" w:sz="4" w:space="0" w:color="auto"/>
              <w:right w:val="single" w:sz="4" w:space="0" w:color="auto"/>
            </w:tcBorders>
            <w:shd w:val="clear" w:color="000000" w:fill="FF99FF"/>
            <w:noWrap/>
            <w:vAlign w:val="center"/>
            <w:hideMark/>
          </w:tcPr>
          <w:p w14:paraId="3F01FDE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-38%</w:t>
            </w:r>
          </w:p>
        </w:tc>
      </w:tr>
      <w:tr w:rsidR="002C0DC3" w:rsidRPr="002C0DC3" w14:paraId="32CD24E2" w14:textId="77777777" w:rsidTr="002C0DC3">
        <w:trPr>
          <w:trHeight w:val="298"/>
        </w:trPr>
        <w:tc>
          <w:tcPr>
            <w:tcW w:w="1355" w:type="pct"/>
            <w:tcBorders>
              <w:top w:val="nil"/>
              <w:left w:val="single" w:sz="8" w:space="0" w:color="auto"/>
              <w:bottom w:val="single" w:sz="8" w:space="0" w:color="auto"/>
              <w:right w:val="nil"/>
            </w:tcBorders>
            <w:shd w:val="clear" w:color="auto" w:fill="auto"/>
            <w:vAlign w:val="center"/>
            <w:hideMark/>
          </w:tcPr>
          <w:p w14:paraId="51279E43"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Cartago</w:t>
            </w:r>
          </w:p>
        </w:tc>
        <w:tc>
          <w:tcPr>
            <w:tcW w:w="748" w:type="pct"/>
            <w:tcBorders>
              <w:top w:val="nil"/>
              <w:left w:val="single" w:sz="4" w:space="0" w:color="auto"/>
              <w:bottom w:val="single" w:sz="4" w:space="0" w:color="auto"/>
              <w:right w:val="single" w:sz="4" w:space="0" w:color="auto"/>
            </w:tcBorders>
            <w:shd w:val="clear" w:color="000000" w:fill="F2F2F2"/>
            <w:noWrap/>
            <w:vAlign w:val="bottom"/>
            <w:hideMark/>
          </w:tcPr>
          <w:p w14:paraId="77EF5BC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71</w:t>
            </w:r>
          </w:p>
        </w:tc>
        <w:tc>
          <w:tcPr>
            <w:tcW w:w="650" w:type="pct"/>
            <w:tcBorders>
              <w:top w:val="nil"/>
              <w:left w:val="nil"/>
              <w:bottom w:val="single" w:sz="4" w:space="0" w:color="auto"/>
              <w:right w:val="nil"/>
            </w:tcBorders>
            <w:shd w:val="clear" w:color="000000" w:fill="F8CBAD"/>
            <w:noWrap/>
            <w:vAlign w:val="bottom"/>
            <w:hideMark/>
          </w:tcPr>
          <w:p w14:paraId="34A119F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72</w:t>
            </w:r>
          </w:p>
        </w:tc>
        <w:tc>
          <w:tcPr>
            <w:tcW w:w="650" w:type="pct"/>
            <w:tcBorders>
              <w:top w:val="nil"/>
              <w:left w:val="single" w:sz="4" w:space="0" w:color="auto"/>
              <w:bottom w:val="single" w:sz="4" w:space="0" w:color="auto"/>
              <w:right w:val="single" w:sz="4" w:space="0" w:color="auto"/>
            </w:tcBorders>
            <w:shd w:val="clear" w:color="000000" w:fill="00B0F0"/>
            <w:noWrap/>
            <w:vAlign w:val="bottom"/>
            <w:hideMark/>
          </w:tcPr>
          <w:p w14:paraId="236EF560"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35,5</w:t>
            </w:r>
          </w:p>
        </w:tc>
        <w:tc>
          <w:tcPr>
            <w:tcW w:w="799" w:type="pct"/>
            <w:tcBorders>
              <w:top w:val="nil"/>
              <w:left w:val="nil"/>
              <w:bottom w:val="single" w:sz="4" w:space="0" w:color="auto"/>
              <w:right w:val="single" w:sz="4" w:space="0" w:color="auto"/>
            </w:tcBorders>
            <w:shd w:val="clear" w:color="000000" w:fill="FFFF00"/>
            <w:noWrap/>
            <w:vAlign w:val="bottom"/>
            <w:hideMark/>
          </w:tcPr>
          <w:p w14:paraId="72C81E04"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36</w:t>
            </w:r>
          </w:p>
        </w:tc>
        <w:tc>
          <w:tcPr>
            <w:tcW w:w="798" w:type="pct"/>
            <w:tcBorders>
              <w:top w:val="nil"/>
              <w:left w:val="nil"/>
              <w:bottom w:val="single" w:sz="4" w:space="0" w:color="auto"/>
              <w:right w:val="single" w:sz="4" w:space="0" w:color="auto"/>
            </w:tcBorders>
            <w:shd w:val="clear" w:color="000000" w:fill="FF99FF"/>
            <w:noWrap/>
            <w:vAlign w:val="bottom"/>
            <w:hideMark/>
          </w:tcPr>
          <w:p w14:paraId="02347DD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1.41%</w:t>
            </w:r>
          </w:p>
        </w:tc>
      </w:tr>
      <w:tr w:rsidR="002C0DC3" w:rsidRPr="002C0DC3" w14:paraId="0DF3C347" w14:textId="77777777" w:rsidTr="002C0DC3">
        <w:trPr>
          <w:trHeight w:val="528"/>
        </w:trPr>
        <w:tc>
          <w:tcPr>
            <w:tcW w:w="1355" w:type="pct"/>
            <w:tcBorders>
              <w:top w:val="nil"/>
              <w:left w:val="single" w:sz="8" w:space="0" w:color="auto"/>
              <w:bottom w:val="single" w:sz="8" w:space="0" w:color="auto"/>
              <w:right w:val="nil"/>
            </w:tcBorders>
            <w:shd w:val="clear" w:color="auto" w:fill="auto"/>
            <w:vAlign w:val="center"/>
            <w:hideMark/>
          </w:tcPr>
          <w:p w14:paraId="030CC248"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ICJ Zona Atlántica</w:t>
            </w:r>
          </w:p>
        </w:tc>
        <w:tc>
          <w:tcPr>
            <w:tcW w:w="748" w:type="pct"/>
            <w:tcBorders>
              <w:top w:val="nil"/>
              <w:left w:val="single" w:sz="4" w:space="0" w:color="auto"/>
              <w:bottom w:val="single" w:sz="4" w:space="0" w:color="auto"/>
              <w:right w:val="single" w:sz="4" w:space="0" w:color="auto"/>
            </w:tcBorders>
            <w:shd w:val="clear" w:color="000000" w:fill="F2F2F2"/>
            <w:noWrap/>
            <w:vAlign w:val="center"/>
            <w:hideMark/>
          </w:tcPr>
          <w:p w14:paraId="1B85F5E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26</w:t>
            </w:r>
          </w:p>
        </w:tc>
        <w:tc>
          <w:tcPr>
            <w:tcW w:w="650" w:type="pct"/>
            <w:tcBorders>
              <w:top w:val="nil"/>
              <w:left w:val="nil"/>
              <w:bottom w:val="single" w:sz="4" w:space="0" w:color="auto"/>
              <w:right w:val="single" w:sz="4" w:space="0" w:color="auto"/>
            </w:tcBorders>
            <w:shd w:val="clear" w:color="000000" w:fill="F8CBAD"/>
            <w:noWrap/>
            <w:vAlign w:val="center"/>
            <w:hideMark/>
          </w:tcPr>
          <w:p w14:paraId="7D37B67F"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19</w:t>
            </w:r>
          </w:p>
        </w:tc>
        <w:tc>
          <w:tcPr>
            <w:tcW w:w="650" w:type="pct"/>
            <w:tcBorders>
              <w:top w:val="nil"/>
              <w:left w:val="nil"/>
              <w:bottom w:val="single" w:sz="4" w:space="0" w:color="auto"/>
              <w:right w:val="single" w:sz="4" w:space="0" w:color="auto"/>
            </w:tcBorders>
            <w:shd w:val="clear" w:color="000000" w:fill="00B0F0"/>
            <w:noWrap/>
            <w:vAlign w:val="center"/>
            <w:hideMark/>
          </w:tcPr>
          <w:p w14:paraId="5D61289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13</w:t>
            </w:r>
          </w:p>
        </w:tc>
        <w:tc>
          <w:tcPr>
            <w:tcW w:w="799" w:type="pct"/>
            <w:tcBorders>
              <w:top w:val="nil"/>
              <w:left w:val="nil"/>
              <w:bottom w:val="single" w:sz="4" w:space="0" w:color="auto"/>
              <w:right w:val="single" w:sz="4" w:space="0" w:color="auto"/>
            </w:tcBorders>
            <w:shd w:val="clear" w:color="000000" w:fill="FFFF00"/>
            <w:noWrap/>
            <w:vAlign w:val="center"/>
            <w:hideMark/>
          </w:tcPr>
          <w:p w14:paraId="735EE57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9.5</w:t>
            </w:r>
          </w:p>
        </w:tc>
        <w:tc>
          <w:tcPr>
            <w:tcW w:w="798" w:type="pct"/>
            <w:tcBorders>
              <w:top w:val="nil"/>
              <w:left w:val="nil"/>
              <w:bottom w:val="single" w:sz="4" w:space="0" w:color="auto"/>
              <w:right w:val="single" w:sz="4" w:space="0" w:color="auto"/>
            </w:tcBorders>
            <w:shd w:val="clear" w:color="000000" w:fill="FF99FF"/>
            <w:noWrap/>
            <w:vAlign w:val="center"/>
            <w:hideMark/>
          </w:tcPr>
          <w:p w14:paraId="1A962AC7"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-27%</w:t>
            </w:r>
          </w:p>
        </w:tc>
      </w:tr>
      <w:tr w:rsidR="002C0DC3" w:rsidRPr="002C0DC3" w14:paraId="1168D42F" w14:textId="77777777" w:rsidTr="002C0DC3">
        <w:trPr>
          <w:trHeight w:val="528"/>
        </w:trPr>
        <w:tc>
          <w:tcPr>
            <w:tcW w:w="1355" w:type="pct"/>
            <w:tcBorders>
              <w:top w:val="nil"/>
              <w:left w:val="single" w:sz="8" w:space="0" w:color="auto"/>
              <w:bottom w:val="single" w:sz="8" w:space="0" w:color="auto"/>
              <w:right w:val="nil"/>
            </w:tcBorders>
            <w:shd w:val="clear" w:color="auto" w:fill="auto"/>
            <w:vAlign w:val="center"/>
            <w:hideMark/>
          </w:tcPr>
          <w:p w14:paraId="5B9729FF"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ICJ de Alajuela</w:t>
            </w:r>
          </w:p>
        </w:tc>
        <w:tc>
          <w:tcPr>
            <w:tcW w:w="748" w:type="pct"/>
            <w:tcBorders>
              <w:top w:val="nil"/>
              <w:left w:val="single" w:sz="4" w:space="0" w:color="auto"/>
              <w:bottom w:val="single" w:sz="4" w:space="0" w:color="auto"/>
              <w:right w:val="single" w:sz="4" w:space="0" w:color="auto"/>
            </w:tcBorders>
            <w:shd w:val="clear" w:color="000000" w:fill="F2F2F2"/>
            <w:noWrap/>
            <w:vAlign w:val="center"/>
            <w:hideMark/>
          </w:tcPr>
          <w:p w14:paraId="5133061C"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140</w:t>
            </w:r>
          </w:p>
        </w:tc>
        <w:tc>
          <w:tcPr>
            <w:tcW w:w="650" w:type="pct"/>
            <w:tcBorders>
              <w:top w:val="nil"/>
              <w:left w:val="nil"/>
              <w:bottom w:val="single" w:sz="4" w:space="0" w:color="auto"/>
              <w:right w:val="single" w:sz="4" w:space="0" w:color="auto"/>
            </w:tcBorders>
            <w:shd w:val="clear" w:color="000000" w:fill="F8CBAD"/>
            <w:noWrap/>
            <w:vAlign w:val="center"/>
            <w:hideMark/>
          </w:tcPr>
          <w:p w14:paraId="2D7E3E4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98</w:t>
            </w:r>
          </w:p>
        </w:tc>
        <w:tc>
          <w:tcPr>
            <w:tcW w:w="650" w:type="pct"/>
            <w:tcBorders>
              <w:top w:val="nil"/>
              <w:left w:val="nil"/>
              <w:bottom w:val="single" w:sz="4" w:space="0" w:color="auto"/>
              <w:right w:val="single" w:sz="4" w:space="0" w:color="auto"/>
            </w:tcBorders>
            <w:shd w:val="clear" w:color="000000" w:fill="00B0F0"/>
            <w:noWrap/>
            <w:vAlign w:val="center"/>
            <w:hideMark/>
          </w:tcPr>
          <w:p w14:paraId="5F282F63"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70</w:t>
            </w:r>
          </w:p>
        </w:tc>
        <w:tc>
          <w:tcPr>
            <w:tcW w:w="799" w:type="pct"/>
            <w:tcBorders>
              <w:top w:val="nil"/>
              <w:left w:val="nil"/>
              <w:bottom w:val="single" w:sz="4" w:space="0" w:color="auto"/>
              <w:right w:val="single" w:sz="4" w:space="0" w:color="auto"/>
            </w:tcBorders>
            <w:shd w:val="clear" w:color="000000" w:fill="FFFF00"/>
            <w:noWrap/>
            <w:vAlign w:val="center"/>
            <w:hideMark/>
          </w:tcPr>
          <w:p w14:paraId="23AEE400"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49</w:t>
            </w:r>
          </w:p>
        </w:tc>
        <w:tc>
          <w:tcPr>
            <w:tcW w:w="798" w:type="pct"/>
            <w:tcBorders>
              <w:top w:val="nil"/>
              <w:left w:val="nil"/>
              <w:bottom w:val="single" w:sz="4" w:space="0" w:color="auto"/>
              <w:right w:val="single" w:sz="4" w:space="0" w:color="auto"/>
            </w:tcBorders>
            <w:shd w:val="clear" w:color="000000" w:fill="FF99FF"/>
            <w:noWrap/>
            <w:vAlign w:val="center"/>
            <w:hideMark/>
          </w:tcPr>
          <w:p w14:paraId="076D913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-30%</w:t>
            </w:r>
          </w:p>
        </w:tc>
      </w:tr>
      <w:tr w:rsidR="002C0DC3" w:rsidRPr="002C0DC3" w14:paraId="501456FE" w14:textId="77777777" w:rsidTr="002C0DC3">
        <w:trPr>
          <w:trHeight w:val="528"/>
        </w:trPr>
        <w:tc>
          <w:tcPr>
            <w:tcW w:w="1355" w:type="pct"/>
            <w:tcBorders>
              <w:top w:val="nil"/>
              <w:left w:val="single" w:sz="8" w:space="0" w:color="auto"/>
              <w:bottom w:val="single" w:sz="8" w:space="0" w:color="auto"/>
              <w:right w:val="nil"/>
            </w:tcBorders>
            <w:shd w:val="clear" w:color="auto" w:fill="auto"/>
            <w:vAlign w:val="center"/>
            <w:hideMark/>
          </w:tcPr>
          <w:p w14:paraId="7DA0C372"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Juzgado de Cobro IICJ Alajuela </w:t>
            </w:r>
          </w:p>
        </w:tc>
        <w:tc>
          <w:tcPr>
            <w:tcW w:w="748" w:type="pct"/>
            <w:tcBorders>
              <w:top w:val="nil"/>
              <w:left w:val="single" w:sz="4" w:space="0" w:color="auto"/>
              <w:bottom w:val="single" w:sz="4" w:space="0" w:color="auto"/>
              <w:right w:val="nil"/>
            </w:tcBorders>
            <w:shd w:val="clear" w:color="000000" w:fill="F2F2F2"/>
            <w:noWrap/>
            <w:vAlign w:val="bottom"/>
            <w:hideMark/>
          </w:tcPr>
          <w:p w14:paraId="1B76EB5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62</w:t>
            </w:r>
          </w:p>
        </w:tc>
        <w:tc>
          <w:tcPr>
            <w:tcW w:w="650" w:type="pct"/>
            <w:tcBorders>
              <w:top w:val="nil"/>
              <w:left w:val="single" w:sz="4" w:space="0" w:color="auto"/>
              <w:bottom w:val="single" w:sz="4" w:space="0" w:color="auto"/>
              <w:right w:val="single" w:sz="4" w:space="0" w:color="auto"/>
            </w:tcBorders>
            <w:shd w:val="clear" w:color="000000" w:fill="F8CBAD"/>
            <w:noWrap/>
            <w:vAlign w:val="bottom"/>
            <w:hideMark/>
          </w:tcPr>
          <w:p w14:paraId="3C2F5D6B"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32</w:t>
            </w:r>
          </w:p>
        </w:tc>
        <w:tc>
          <w:tcPr>
            <w:tcW w:w="650" w:type="pct"/>
            <w:tcBorders>
              <w:top w:val="nil"/>
              <w:left w:val="nil"/>
              <w:bottom w:val="single" w:sz="4" w:space="0" w:color="auto"/>
              <w:right w:val="single" w:sz="4" w:space="0" w:color="auto"/>
            </w:tcBorders>
            <w:shd w:val="clear" w:color="000000" w:fill="00B0F0"/>
            <w:noWrap/>
            <w:vAlign w:val="bottom"/>
            <w:hideMark/>
          </w:tcPr>
          <w:p w14:paraId="001FB288"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31</w:t>
            </w:r>
          </w:p>
        </w:tc>
        <w:tc>
          <w:tcPr>
            <w:tcW w:w="799" w:type="pct"/>
            <w:tcBorders>
              <w:top w:val="nil"/>
              <w:left w:val="nil"/>
              <w:bottom w:val="single" w:sz="4" w:space="0" w:color="auto"/>
              <w:right w:val="single" w:sz="4" w:space="0" w:color="auto"/>
            </w:tcBorders>
            <w:shd w:val="clear" w:color="000000" w:fill="FFFF00"/>
            <w:noWrap/>
            <w:vAlign w:val="bottom"/>
            <w:hideMark/>
          </w:tcPr>
          <w:p w14:paraId="5B10CB05"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16</w:t>
            </w:r>
          </w:p>
        </w:tc>
        <w:tc>
          <w:tcPr>
            <w:tcW w:w="798" w:type="pct"/>
            <w:tcBorders>
              <w:top w:val="nil"/>
              <w:left w:val="nil"/>
              <w:bottom w:val="single" w:sz="4" w:space="0" w:color="auto"/>
              <w:right w:val="single" w:sz="4" w:space="0" w:color="auto"/>
            </w:tcBorders>
            <w:shd w:val="clear" w:color="000000" w:fill="FF99FF"/>
            <w:noWrap/>
            <w:vAlign w:val="bottom"/>
            <w:hideMark/>
          </w:tcPr>
          <w:p w14:paraId="2E4960D3"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-48%</w:t>
            </w:r>
          </w:p>
        </w:tc>
      </w:tr>
      <w:tr w:rsidR="002C0DC3" w:rsidRPr="002C0DC3" w14:paraId="42B0CF5B" w14:textId="77777777" w:rsidTr="002C0DC3">
        <w:trPr>
          <w:trHeight w:val="528"/>
        </w:trPr>
        <w:tc>
          <w:tcPr>
            <w:tcW w:w="1355" w:type="pct"/>
            <w:tcBorders>
              <w:top w:val="nil"/>
              <w:left w:val="single" w:sz="8" w:space="0" w:color="auto"/>
              <w:bottom w:val="single" w:sz="8" w:space="0" w:color="auto"/>
              <w:right w:val="nil"/>
            </w:tcBorders>
            <w:shd w:val="clear" w:color="auto" w:fill="auto"/>
            <w:vAlign w:val="center"/>
            <w:hideMark/>
          </w:tcPr>
          <w:p w14:paraId="375A2E08"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Juzgado de Cobro de Puntarenas</w:t>
            </w:r>
          </w:p>
        </w:tc>
        <w:tc>
          <w:tcPr>
            <w:tcW w:w="748" w:type="pct"/>
            <w:tcBorders>
              <w:top w:val="nil"/>
              <w:left w:val="single" w:sz="4" w:space="0" w:color="auto"/>
              <w:bottom w:val="single" w:sz="4" w:space="0" w:color="auto"/>
              <w:right w:val="single" w:sz="4" w:space="0" w:color="auto"/>
            </w:tcBorders>
            <w:shd w:val="clear" w:color="000000" w:fill="F2F2F2"/>
            <w:vAlign w:val="center"/>
            <w:hideMark/>
          </w:tcPr>
          <w:p w14:paraId="19A4C7FE"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30</w:t>
            </w:r>
          </w:p>
        </w:tc>
        <w:tc>
          <w:tcPr>
            <w:tcW w:w="650" w:type="pct"/>
            <w:tcBorders>
              <w:top w:val="nil"/>
              <w:left w:val="nil"/>
              <w:bottom w:val="single" w:sz="4" w:space="0" w:color="auto"/>
              <w:right w:val="single" w:sz="4" w:space="0" w:color="auto"/>
            </w:tcBorders>
            <w:shd w:val="clear" w:color="000000" w:fill="F8CBAD"/>
            <w:vAlign w:val="center"/>
            <w:hideMark/>
          </w:tcPr>
          <w:p w14:paraId="61992201"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25</w:t>
            </w:r>
          </w:p>
        </w:tc>
        <w:tc>
          <w:tcPr>
            <w:tcW w:w="650" w:type="pct"/>
            <w:tcBorders>
              <w:top w:val="nil"/>
              <w:left w:val="nil"/>
              <w:bottom w:val="single" w:sz="4" w:space="0" w:color="auto"/>
              <w:right w:val="single" w:sz="4" w:space="0" w:color="auto"/>
            </w:tcBorders>
            <w:shd w:val="clear" w:color="000000" w:fill="00B0F0"/>
            <w:vAlign w:val="center"/>
            <w:hideMark/>
          </w:tcPr>
          <w:p w14:paraId="4ABA6C2F"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15</w:t>
            </w:r>
          </w:p>
        </w:tc>
        <w:tc>
          <w:tcPr>
            <w:tcW w:w="799" w:type="pct"/>
            <w:tcBorders>
              <w:top w:val="nil"/>
              <w:left w:val="nil"/>
              <w:bottom w:val="single" w:sz="4" w:space="0" w:color="auto"/>
              <w:right w:val="single" w:sz="4" w:space="0" w:color="auto"/>
            </w:tcBorders>
            <w:shd w:val="clear" w:color="000000" w:fill="FFFF00"/>
            <w:vAlign w:val="center"/>
            <w:hideMark/>
          </w:tcPr>
          <w:p w14:paraId="6CD52F8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12.5</w:t>
            </w:r>
          </w:p>
        </w:tc>
        <w:tc>
          <w:tcPr>
            <w:tcW w:w="798" w:type="pct"/>
            <w:tcBorders>
              <w:top w:val="nil"/>
              <w:left w:val="nil"/>
              <w:bottom w:val="single" w:sz="4" w:space="0" w:color="auto"/>
              <w:right w:val="single" w:sz="4" w:space="0" w:color="auto"/>
            </w:tcBorders>
            <w:shd w:val="clear" w:color="000000" w:fill="FF99FF"/>
            <w:vAlign w:val="center"/>
            <w:hideMark/>
          </w:tcPr>
          <w:p w14:paraId="498D097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-17%</w:t>
            </w:r>
          </w:p>
        </w:tc>
      </w:tr>
      <w:tr w:rsidR="002C0DC3" w:rsidRPr="002C0DC3" w14:paraId="2CC4C4A3" w14:textId="77777777" w:rsidTr="002C0DC3">
        <w:trPr>
          <w:trHeight w:val="528"/>
        </w:trPr>
        <w:tc>
          <w:tcPr>
            <w:tcW w:w="1355" w:type="pct"/>
            <w:tcBorders>
              <w:top w:val="nil"/>
              <w:left w:val="single" w:sz="8" w:space="0" w:color="auto"/>
              <w:bottom w:val="single" w:sz="8" w:space="0" w:color="auto"/>
              <w:right w:val="nil"/>
            </w:tcBorders>
            <w:shd w:val="clear" w:color="auto" w:fill="auto"/>
            <w:vAlign w:val="center"/>
            <w:hideMark/>
          </w:tcPr>
          <w:p w14:paraId="140FA795" w14:textId="77777777" w:rsidR="002C0DC3" w:rsidRPr="002C0DC3" w:rsidRDefault="002C0DC3" w:rsidP="002C0DC3">
            <w:pPr>
              <w:suppressAutoHyphens w:val="0"/>
              <w:jc w:val="both"/>
              <w:rPr>
                <w:rFonts w:eastAsia="Calibri"/>
                <w:lang w:val="es-CR" w:eastAsia="es-CR"/>
              </w:rPr>
            </w:pPr>
            <w:r w:rsidRPr="002C0DC3">
              <w:rPr>
                <w:rFonts w:eastAsia="Calibri"/>
                <w:lang w:val="es-CR" w:eastAsia="es-CR"/>
              </w:rPr>
              <w:t xml:space="preserve">Juzgado de Cobro de Heredia </w:t>
            </w:r>
          </w:p>
        </w:tc>
        <w:tc>
          <w:tcPr>
            <w:tcW w:w="748" w:type="pct"/>
            <w:tcBorders>
              <w:top w:val="nil"/>
              <w:left w:val="single" w:sz="4" w:space="0" w:color="auto"/>
              <w:bottom w:val="single" w:sz="4" w:space="0" w:color="auto"/>
              <w:right w:val="single" w:sz="4" w:space="0" w:color="auto"/>
            </w:tcBorders>
            <w:shd w:val="clear" w:color="000000" w:fill="F2F2F2"/>
            <w:noWrap/>
            <w:vAlign w:val="bottom"/>
            <w:hideMark/>
          </w:tcPr>
          <w:p w14:paraId="379CCA95"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 644</w:t>
            </w:r>
          </w:p>
        </w:tc>
        <w:tc>
          <w:tcPr>
            <w:tcW w:w="650" w:type="pct"/>
            <w:tcBorders>
              <w:top w:val="nil"/>
              <w:left w:val="nil"/>
              <w:bottom w:val="single" w:sz="4" w:space="0" w:color="auto"/>
              <w:right w:val="single" w:sz="4" w:space="0" w:color="auto"/>
            </w:tcBorders>
            <w:shd w:val="clear" w:color="000000" w:fill="F8CBAD"/>
            <w:noWrap/>
            <w:vAlign w:val="bottom"/>
            <w:hideMark/>
          </w:tcPr>
          <w:p w14:paraId="15148C99"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 393</w:t>
            </w:r>
          </w:p>
        </w:tc>
        <w:tc>
          <w:tcPr>
            <w:tcW w:w="650" w:type="pct"/>
            <w:tcBorders>
              <w:top w:val="nil"/>
              <w:left w:val="nil"/>
              <w:bottom w:val="single" w:sz="4" w:space="0" w:color="auto"/>
              <w:right w:val="single" w:sz="4" w:space="0" w:color="auto"/>
            </w:tcBorders>
            <w:shd w:val="clear" w:color="000000" w:fill="00B0F0"/>
            <w:noWrap/>
            <w:vAlign w:val="bottom"/>
            <w:hideMark/>
          </w:tcPr>
          <w:p w14:paraId="50629496"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322 </w:t>
            </w:r>
          </w:p>
        </w:tc>
        <w:tc>
          <w:tcPr>
            <w:tcW w:w="799" w:type="pct"/>
            <w:tcBorders>
              <w:top w:val="nil"/>
              <w:left w:val="nil"/>
              <w:bottom w:val="single" w:sz="4" w:space="0" w:color="auto"/>
              <w:right w:val="single" w:sz="4" w:space="0" w:color="auto"/>
            </w:tcBorders>
            <w:shd w:val="clear" w:color="000000" w:fill="FFFF00"/>
            <w:noWrap/>
            <w:vAlign w:val="bottom"/>
            <w:hideMark/>
          </w:tcPr>
          <w:p w14:paraId="70EB1183"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 196,5</w:t>
            </w:r>
          </w:p>
        </w:tc>
        <w:tc>
          <w:tcPr>
            <w:tcW w:w="798" w:type="pct"/>
            <w:tcBorders>
              <w:top w:val="nil"/>
              <w:left w:val="nil"/>
              <w:bottom w:val="single" w:sz="4" w:space="0" w:color="auto"/>
              <w:right w:val="single" w:sz="4" w:space="0" w:color="auto"/>
            </w:tcBorders>
            <w:shd w:val="clear" w:color="000000" w:fill="FF99FF"/>
            <w:noWrap/>
            <w:vAlign w:val="bottom"/>
            <w:hideMark/>
          </w:tcPr>
          <w:p w14:paraId="050BB253" w14:textId="77777777" w:rsidR="002C0DC3" w:rsidRPr="002C0DC3" w:rsidRDefault="002C0DC3" w:rsidP="002C0DC3">
            <w:pPr>
              <w:suppressAutoHyphens w:val="0"/>
              <w:jc w:val="center"/>
              <w:rPr>
                <w:rFonts w:eastAsia="Calibri"/>
                <w:lang w:val="es-CR" w:eastAsia="es-CR"/>
              </w:rPr>
            </w:pPr>
            <w:r w:rsidRPr="002C0DC3">
              <w:rPr>
                <w:rFonts w:eastAsia="Calibri"/>
                <w:lang w:val="es-CR" w:eastAsia="es-CR"/>
              </w:rPr>
              <w:t> -39%</w:t>
            </w:r>
          </w:p>
        </w:tc>
      </w:tr>
    </w:tbl>
    <w:p w14:paraId="13B87AAF" w14:textId="77777777" w:rsidR="002C0DC3" w:rsidRPr="002C0DC3" w:rsidRDefault="002C0DC3" w:rsidP="002C0DC3">
      <w:pPr>
        <w:suppressAutoHyphens w:val="0"/>
        <w:ind w:left="851" w:right="851" w:firstLine="709"/>
        <w:jc w:val="both"/>
        <w:rPr>
          <w:rFonts w:eastAsia="Calibri"/>
          <w:lang w:eastAsia="zh-CN"/>
        </w:rPr>
      </w:pPr>
      <w:r w:rsidRPr="002C0DC3">
        <w:rPr>
          <w:rFonts w:eastAsia="Calibri"/>
          <w:lang w:eastAsia="zh-CN"/>
        </w:rPr>
        <w:t>Fuente: Elaboración propia de los Profesionales del Modelo de Sostenibilidad a partir de los reportes del sistema SIGMA. En materia de Cobro se contemplan las audiencias y remates, en el Subproceso de Estadística se está trabajando en la mejora estadística para poder hacer esa discriminación</w:t>
      </w:r>
    </w:p>
    <w:p w14:paraId="27473A68" w14:textId="77777777" w:rsidR="002C0DC3" w:rsidRPr="002C0DC3" w:rsidRDefault="002C0DC3" w:rsidP="002C0DC3">
      <w:pPr>
        <w:suppressAutoHyphens w:val="0"/>
        <w:ind w:left="851" w:right="851" w:firstLine="709"/>
        <w:jc w:val="both"/>
        <w:rPr>
          <w:rFonts w:eastAsia="Calibri"/>
          <w:lang w:val="es-CR" w:eastAsia="en-US"/>
        </w:rPr>
      </w:pPr>
    </w:p>
    <w:p w14:paraId="72986F69"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Los datos mostrados en el cuadro anterior fueron organizados en dos segmentos.  El primero de ellos corresponde a los meses de enero y febrero, meses que antecedieron a la declaratoria de emergencia nacional con ocasión del decreto ejecutivo 42227-MS del COVID-19, emitido el día 16 de marzo de 2020, en que se declara estado de emergencia nacional sanitaria en todo el territorio de la República de Costa Rica, debido a la enfermedad denominada COVID-19.</w:t>
      </w:r>
    </w:p>
    <w:p w14:paraId="5CF701DC" w14:textId="77777777" w:rsidR="002C0DC3" w:rsidRPr="002C0DC3" w:rsidRDefault="002C0DC3" w:rsidP="002C0DC3">
      <w:pPr>
        <w:suppressAutoHyphens w:val="0"/>
        <w:ind w:left="851" w:right="851" w:firstLine="709"/>
        <w:jc w:val="both"/>
        <w:rPr>
          <w:rFonts w:eastAsia="Calibri"/>
          <w:lang w:val="es-CR" w:eastAsia="en-US"/>
        </w:rPr>
      </w:pPr>
    </w:p>
    <w:p w14:paraId="0B0F325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Como puede apreciarse, antes de la pandemia, los Juzgados de Cobro del ICJ de Guanacaste, ICJ de la Zona Atlántica y Puntarenas, celebraron en promedio más de 10 audiencias mensuales (14.5, 13 y 15 respectivamente).  Los Juzgados de Cobro de Cartago y II CJ Alajuela, celebraron un número promedio superior a las 30 audiencias mensuales (35.5 y 31 respectivamente) y finalmente, el Juzgado de Cobro de Alajuela, celebró para ese mismo periodo un promedio de 70 audiencias mensuales. </w:t>
      </w:r>
    </w:p>
    <w:p w14:paraId="610BBA4D" w14:textId="77777777" w:rsidR="002C0DC3" w:rsidRPr="002C0DC3" w:rsidRDefault="002C0DC3" w:rsidP="002C0DC3">
      <w:pPr>
        <w:suppressAutoHyphens w:val="0"/>
        <w:ind w:left="851" w:right="851" w:firstLine="709"/>
        <w:jc w:val="both"/>
        <w:rPr>
          <w:rFonts w:eastAsia="Calibri"/>
          <w:lang w:val="es-CR" w:eastAsia="en-US"/>
        </w:rPr>
      </w:pPr>
    </w:p>
    <w:p w14:paraId="19F715BC"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lastRenderedPageBreak/>
        <w:t>En cuanto al Juzgado de Cobro de Heredia, se observa que en los meses que precedieron a la pandemia, el promedio de audiencias realizadas fue de 322 audiencias, mientras que, para los meses de abril y mayo, los cuales son posteriores a la declaratoria de emergencia nacional por la pandemia de COVID-19, es notorio el descenso que se muestra en el promedio de audiencias realizadas, el cual registró 196,5 audiencias para esos meses, con un evidente descenso del 39%.</w:t>
      </w:r>
    </w:p>
    <w:p w14:paraId="37098724" w14:textId="77777777" w:rsidR="002C0DC3" w:rsidRPr="002C0DC3" w:rsidRDefault="002C0DC3" w:rsidP="002C0DC3">
      <w:pPr>
        <w:suppressAutoHyphens w:val="0"/>
        <w:ind w:left="851" w:right="851" w:firstLine="709"/>
        <w:jc w:val="both"/>
        <w:rPr>
          <w:rFonts w:eastAsia="Calibri"/>
          <w:lang w:val="es-CR" w:eastAsia="en-US"/>
        </w:rPr>
      </w:pPr>
    </w:p>
    <w:p w14:paraId="0392529D"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Durante los meses de marzo y abril, meses en los cuales ya se encontraba vigente la declaratoria de emergencia nacional, se observa que a excepción del Juzgado de Cobro de Cartago, todos los demás Juzgados, experimentaron un descenso en la celebración de audiencias, lo cual puede explicarse, debido a que se redujeron las actividades  presenciales en muchos servicios judiciales, a fin de que las personas servidoras se mantuvieran en sus hogares para reducir los riesgos de contagio de la enfermedad COVID-19.  Además se generaron una serie de restricciones a partir del 17 de marzo de 2020, las cuales consistieron en cierres temporales de oficinas  para la aplicación de los protocolos emitidos por el Ministerio de Salud, en cuanto a la desinfección por contagio de la enfermedad, se redujo la cantidad de personas laborando de manera presencial,  se inició la valoración de puestos que aplicarían al teletrabajo con licencias VDI o VPN, entre otras medidas  a nivel institucional, que vinieron a impactar significativamente la manera habitual de atención en cada una de las oficinas. </w:t>
      </w:r>
    </w:p>
    <w:p w14:paraId="1F77FF0B" w14:textId="77777777" w:rsidR="002C0DC3" w:rsidRPr="002C0DC3" w:rsidRDefault="002C0DC3" w:rsidP="002C0DC3">
      <w:pPr>
        <w:suppressAutoHyphens w:val="0"/>
        <w:ind w:left="851" w:right="851" w:firstLine="709"/>
        <w:jc w:val="both"/>
        <w:rPr>
          <w:rFonts w:eastAsia="Calibri"/>
          <w:lang w:val="es-CR" w:eastAsia="en-US"/>
        </w:rPr>
      </w:pPr>
    </w:p>
    <w:p w14:paraId="598010B4" w14:textId="77777777" w:rsidR="002C0DC3" w:rsidRPr="002C0DC3" w:rsidRDefault="002C0DC3" w:rsidP="002C0DC3">
      <w:pPr>
        <w:keepNext/>
        <w:keepLines/>
        <w:suppressAutoHyphens w:val="0"/>
        <w:ind w:left="851" w:right="851" w:firstLine="709"/>
        <w:jc w:val="both"/>
        <w:rPr>
          <w:b/>
          <w:lang w:val="es-CR" w:eastAsia="es-CR"/>
        </w:rPr>
      </w:pPr>
      <w:bookmarkStart w:id="53" w:name="_Toc78467045"/>
      <w:bookmarkStart w:id="54" w:name="_Toc80351035"/>
      <w:r w:rsidRPr="002C0DC3">
        <w:rPr>
          <w:b/>
          <w:lang w:val="es-CR" w:eastAsia="es-CR"/>
        </w:rPr>
        <w:t>Datos relevantes en materia de cobro a nivel nacional contenidas en las Infografías</w:t>
      </w:r>
      <w:bookmarkEnd w:id="53"/>
      <w:bookmarkEnd w:id="54"/>
    </w:p>
    <w:p w14:paraId="210D9CB7" w14:textId="77777777" w:rsidR="002C0DC3" w:rsidRPr="002C0DC3" w:rsidRDefault="002C0DC3" w:rsidP="002C0DC3">
      <w:pPr>
        <w:suppressAutoHyphens w:val="0"/>
        <w:ind w:left="851" w:right="851" w:firstLine="709"/>
        <w:jc w:val="both"/>
        <w:rPr>
          <w:rFonts w:eastAsia="Calibri"/>
          <w:lang w:val="es-CR" w:eastAsia="en-US"/>
        </w:rPr>
      </w:pPr>
    </w:p>
    <w:p w14:paraId="2241CB5C" w14:textId="77777777" w:rsidR="002C0DC3" w:rsidRPr="002C0DC3" w:rsidRDefault="002C0DC3" w:rsidP="002C0DC3">
      <w:pPr>
        <w:keepNext/>
        <w:keepLines/>
        <w:suppressAutoHyphens w:val="0"/>
        <w:ind w:left="851" w:right="851" w:firstLine="709"/>
        <w:jc w:val="center"/>
        <w:rPr>
          <w:b/>
          <w:lang w:val="es-CR" w:eastAsia="es-CR"/>
        </w:rPr>
      </w:pPr>
      <w:r w:rsidRPr="002C0DC3">
        <w:rPr>
          <w:b/>
          <w:lang w:val="es-CR" w:eastAsia="es-CR"/>
        </w:rPr>
        <w:t>Gráfico 1</w:t>
      </w:r>
    </w:p>
    <w:p w14:paraId="512348B6" w14:textId="77777777" w:rsidR="002C0DC3" w:rsidRPr="002C0DC3" w:rsidRDefault="002C0DC3" w:rsidP="002C0DC3">
      <w:pPr>
        <w:suppressAutoHyphens w:val="0"/>
        <w:jc w:val="center"/>
        <w:rPr>
          <w:rFonts w:eastAsia="Calibri"/>
          <w:lang w:val="es-CR" w:eastAsia="en-US"/>
        </w:rPr>
      </w:pPr>
      <w:r w:rsidRPr="002C0DC3">
        <w:rPr>
          <w:rFonts w:eastAsia="Calibri"/>
          <w:noProof/>
          <w:lang w:val="es-CR" w:eastAsia="es-CR"/>
        </w:rPr>
        <w:drawing>
          <wp:inline distT="0" distB="0" distL="0" distR="0" wp14:anchorId="25AA7265" wp14:editId="16F35DC4">
            <wp:extent cx="4381500" cy="1847850"/>
            <wp:effectExtent l="0" t="0" r="0" b="0"/>
            <wp:docPr id="14" name="Imagen 14" descr="Gráfico, Gráfico de barras,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barras, Gráfico de embudo&#10;&#10;Descripción generada automáticamente"/>
                    <pic:cNvPicPr/>
                  </pic:nvPicPr>
                  <pic:blipFill>
                    <a:blip r:embed="rId22"/>
                    <a:stretch>
                      <a:fillRect/>
                    </a:stretch>
                  </pic:blipFill>
                  <pic:spPr>
                    <a:xfrm>
                      <a:off x="0" y="0"/>
                      <a:ext cx="4381500" cy="1847850"/>
                    </a:xfrm>
                    <a:prstGeom prst="rect">
                      <a:avLst/>
                    </a:prstGeom>
                  </pic:spPr>
                </pic:pic>
              </a:graphicData>
            </a:graphic>
          </wp:inline>
        </w:drawing>
      </w:r>
    </w:p>
    <w:p w14:paraId="51A9421C" w14:textId="77777777" w:rsidR="002C0DC3" w:rsidRPr="002C0DC3" w:rsidRDefault="002C0DC3" w:rsidP="002C0DC3">
      <w:pPr>
        <w:suppressAutoHyphens w:val="0"/>
        <w:jc w:val="both"/>
        <w:rPr>
          <w:rFonts w:eastAsia="Calibri"/>
          <w:lang w:val="es-CR" w:eastAsia="en-US"/>
        </w:rPr>
      </w:pPr>
    </w:p>
    <w:p w14:paraId="655A1DC3"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El gráfico anterior muestra una representación gráfica del rendimiento global de las personas juzgadoras en los Juzgados de Cobro del país. Nótese que </w:t>
      </w:r>
      <w:r w:rsidRPr="002C0DC3">
        <w:rPr>
          <w:rFonts w:eastAsia="Calibri"/>
          <w:lang w:val="es-CR" w:eastAsia="en-US"/>
        </w:rPr>
        <w:lastRenderedPageBreak/>
        <w:t>a diciembre 2019 este rendimiento fue de 117%, mientras que para junio 2020, el rendimiento de las personas juzgadoras aumentó al 123%, lo que indica, que este recurso superó las cuotas establecidas en los indicadores de gestión en las fechas indicadas.</w:t>
      </w:r>
    </w:p>
    <w:p w14:paraId="4D34A9C4" w14:textId="77777777" w:rsidR="002C0DC3" w:rsidRPr="002C0DC3" w:rsidRDefault="002C0DC3" w:rsidP="002C0DC3">
      <w:pPr>
        <w:suppressAutoHyphens w:val="0"/>
        <w:ind w:left="851" w:right="851" w:firstLine="709"/>
        <w:jc w:val="both"/>
        <w:rPr>
          <w:rFonts w:eastAsia="Calibri"/>
          <w:lang w:val="es-CR" w:eastAsia="en-US"/>
        </w:rPr>
      </w:pPr>
    </w:p>
    <w:p w14:paraId="78619B91"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Para el caso particular del personal técnico judicial, se tiene la siguiente situación:</w:t>
      </w:r>
    </w:p>
    <w:p w14:paraId="539A01EF" w14:textId="77777777" w:rsidR="002C0DC3" w:rsidRPr="002C0DC3" w:rsidRDefault="002C0DC3" w:rsidP="002C0DC3">
      <w:pPr>
        <w:suppressAutoHyphens w:val="0"/>
        <w:ind w:left="851" w:right="851" w:firstLine="709"/>
        <w:jc w:val="both"/>
        <w:rPr>
          <w:rFonts w:eastAsia="Calibri"/>
          <w:lang w:val="es-CR" w:eastAsia="en-US"/>
        </w:rPr>
      </w:pPr>
    </w:p>
    <w:p w14:paraId="56491C31" w14:textId="77777777" w:rsidR="002C0DC3" w:rsidRPr="002C0DC3" w:rsidRDefault="002C0DC3" w:rsidP="002C0DC3">
      <w:pPr>
        <w:suppressAutoHyphens w:val="0"/>
        <w:ind w:left="851" w:right="851" w:firstLine="709"/>
        <w:jc w:val="center"/>
        <w:rPr>
          <w:rFonts w:eastAsia="Calibri"/>
          <w:lang w:val="es-CR" w:eastAsia="en-US"/>
        </w:rPr>
      </w:pPr>
      <w:r w:rsidRPr="002C0DC3">
        <w:rPr>
          <w:rFonts w:eastAsia="Calibri"/>
          <w:lang w:val="es-CR" w:eastAsia="en-US"/>
        </w:rPr>
        <w:t>Gráfico 2</w:t>
      </w:r>
    </w:p>
    <w:p w14:paraId="4DCB72FE" w14:textId="77777777" w:rsidR="002C0DC3" w:rsidRPr="002C0DC3" w:rsidRDefault="002C0DC3" w:rsidP="002C0DC3">
      <w:pPr>
        <w:suppressAutoHyphens w:val="0"/>
        <w:jc w:val="center"/>
        <w:rPr>
          <w:rFonts w:eastAsia="Calibri"/>
          <w:lang w:val="es-CR" w:eastAsia="en-US"/>
        </w:rPr>
      </w:pPr>
      <w:r w:rsidRPr="002C0DC3">
        <w:rPr>
          <w:rFonts w:eastAsia="Calibri"/>
          <w:noProof/>
          <w:lang w:val="es-CR" w:eastAsia="es-CR"/>
        </w:rPr>
        <w:drawing>
          <wp:inline distT="0" distB="0" distL="0" distR="0" wp14:anchorId="1160F036" wp14:editId="4EEC1072">
            <wp:extent cx="4829175" cy="1924050"/>
            <wp:effectExtent l="0" t="0" r="9525" b="0"/>
            <wp:docPr id="15" name="Imagen 1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de barras&#10;&#10;Descripción generada automáticamente"/>
                    <pic:cNvPicPr/>
                  </pic:nvPicPr>
                  <pic:blipFill>
                    <a:blip r:embed="rId23"/>
                    <a:stretch>
                      <a:fillRect/>
                    </a:stretch>
                  </pic:blipFill>
                  <pic:spPr>
                    <a:xfrm>
                      <a:off x="0" y="0"/>
                      <a:ext cx="4829175" cy="1924050"/>
                    </a:xfrm>
                    <a:prstGeom prst="rect">
                      <a:avLst/>
                    </a:prstGeom>
                  </pic:spPr>
                </pic:pic>
              </a:graphicData>
            </a:graphic>
          </wp:inline>
        </w:drawing>
      </w:r>
    </w:p>
    <w:p w14:paraId="11076965" w14:textId="77777777" w:rsidR="002C0DC3" w:rsidRPr="002C0DC3" w:rsidRDefault="002C0DC3" w:rsidP="002C0DC3">
      <w:pPr>
        <w:suppressAutoHyphens w:val="0"/>
        <w:ind w:left="851" w:right="851" w:firstLine="709"/>
        <w:jc w:val="both"/>
        <w:rPr>
          <w:rFonts w:eastAsia="Calibri"/>
          <w:lang w:val="es-CR" w:eastAsia="en-US"/>
        </w:rPr>
      </w:pPr>
    </w:p>
    <w:p w14:paraId="6463097A" w14:textId="079CB1EB" w:rsid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Nótese que al igual que las personas juzgadoras, las personas técnicas judiciales superaron tanto en diciembre 2019 como en junio 2020, el 100% de las cuotas establecidas en los indicadores de gestión.</w:t>
      </w:r>
    </w:p>
    <w:p w14:paraId="21624051" w14:textId="77777777" w:rsidR="00B31AC4" w:rsidRPr="002C0DC3" w:rsidRDefault="00B31AC4" w:rsidP="002C0DC3">
      <w:pPr>
        <w:suppressAutoHyphens w:val="0"/>
        <w:ind w:left="851" w:right="851" w:firstLine="709"/>
        <w:jc w:val="both"/>
        <w:rPr>
          <w:rFonts w:eastAsia="Calibri"/>
          <w:lang w:val="es-CR" w:eastAsia="en-US"/>
        </w:rPr>
      </w:pPr>
    </w:p>
    <w:p w14:paraId="466F7997"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Finalmente, se adjuntan otros datos relevantes sobre esta materia a nivel nacional:</w:t>
      </w:r>
    </w:p>
    <w:p w14:paraId="3D9881C1" w14:textId="77777777" w:rsidR="002C0DC3" w:rsidRPr="002C0DC3" w:rsidRDefault="002C0DC3" w:rsidP="002C0DC3">
      <w:pPr>
        <w:suppressAutoHyphens w:val="0"/>
        <w:ind w:left="851" w:right="851" w:firstLine="709"/>
        <w:jc w:val="both"/>
        <w:rPr>
          <w:rFonts w:eastAsia="Calibri"/>
          <w:lang w:val="es-CR" w:eastAsia="en-US"/>
        </w:rPr>
      </w:pPr>
    </w:p>
    <w:p w14:paraId="1EB6922C" w14:textId="77777777" w:rsidR="002C0DC3" w:rsidRPr="002C0DC3" w:rsidRDefault="002C0DC3" w:rsidP="002C0DC3">
      <w:pPr>
        <w:suppressAutoHyphens w:val="0"/>
        <w:ind w:left="851" w:right="851" w:firstLine="709"/>
        <w:jc w:val="center"/>
        <w:rPr>
          <w:rFonts w:eastAsia="Calibri"/>
          <w:lang w:val="es-CR" w:eastAsia="en-US"/>
        </w:rPr>
      </w:pPr>
      <w:r w:rsidRPr="002C0DC3">
        <w:rPr>
          <w:rFonts w:eastAsia="Calibri"/>
          <w:lang w:val="es-CR" w:eastAsia="en-US"/>
        </w:rPr>
        <w:t>Gráfico 3</w:t>
      </w:r>
    </w:p>
    <w:p w14:paraId="5D125948" w14:textId="77777777" w:rsidR="002C0DC3" w:rsidRPr="002C0DC3" w:rsidRDefault="002C0DC3" w:rsidP="002C0DC3">
      <w:pPr>
        <w:suppressAutoHyphens w:val="0"/>
        <w:ind w:left="851" w:right="851" w:firstLine="709"/>
        <w:jc w:val="center"/>
        <w:rPr>
          <w:rFonts w:eastAsia="Calibri"/>
          <w:lang w:val="es-CR" w:eastAsia="en-US"/>
        </w:rPr>
      </w:pPr>
      <w:r w:rsidRPr="002C0DC3">
        <w:rPr>
          <w:rFonts w:eastAsia="Calibri"/>
          <w:lang w:val="es-CR" w:eastAsia="en-US"/>
        </w:rPr>
        <w:t>Datos relevantes materia civil</w:t>
      </w:r>
    </w:p>
    <w:p w14:paraId="23F7FAF2" w14:textId="77777777" w:rsidR="002C0DC3" w:rsidRPr="002C0DC3" w:rsidRDefault="002C0DC3" w:rsidP="002C0DC3">
      <w:pPr>
        <w:suppressAutoHyphens w:val="0"/>
        <w:ind w:left="851" w:right="851" w:firstLine="709"/>
        <w:jc w:val="center"/>
        <w:rPr>
          <w:rFonts w:eastAsia="Calibri"/>
          <w:lang w:val="es-CR" w:eastAsia="en-US"/>
        </w:rPr>
      </w:pPr>
      <w:r w:rsidRPr="002C0DC3">
        <w:rPr>
          <w:rFonts w:eastAsia="Calibri"/>
          <w:lang w:val="es-CR" w:eastAsia="en-US"/>
        </w:rPr>
        <w:t>(Dic.2019 y junio 2020)</w:t>
      </w:r>
    </w:p>
    <w:p w14:paraId="7B62DCF1" w14:textId="77777777" w:rsidR="002C0DC3" w:rsidRPr="002C0DC3" w:rsidRDefault="002C0DC3" w:rsidP="002C0DC3">
      <w:pPr>
        <w:suppressAutoHyphens w:val="0"/>
        <w:jc w:val="center"/>
        <w:rPr>
          <w:rFonts w:eastAsia="Calibri"/>
          <w:lang w:val="es-CR" w:eastAsia="en-US"/>
        </w:rPr>
      </w:pPr>
    </w:p>
    <w:p w14:paraId="1AC31140" w14:textId="77777777" w:rsidR="002C0DC3" w:rsidRPr="002C0DC3" w:rsidRDefault="002C0DC3" w:rsidP="002C0DC3">
      <w:pPr>
        <w:suppressAutoHyphens w:val="0"/>
        <w:jc w:val="center"/>
        <w:rPr>
          <w:rFonts w:eastAsia="Calibri"/>
          <w:lang w:val="es-CR" w:eastAsia="en-US"/>
        </w:rPr>
      </w:pPr>
      <w:r w:rsidRPr="002C0DC3">
        <w:rPr>
          <w:rFonts w:eastAsia="Calibri"/>
          <w:noProof/>
          <w:lang w:val="es-CR" w:eastAsia="es-CR"/>
        </w:rPr>
        <w:drawing>
          <wp:inline distT="0" distB="0" distL="0" distR="0" wp14:anchorId="513FD488" wp14:editId="18C94D8F">
            <wp:extent cx="2856896" cy="1217596"/>
            <wp:effectExtent l="0" t="0" r="635" b="1905"/>
            <wp:docPr id="19" name="Imagen 1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10;&#10;Descripción generada automáticamente"/>
                    <pic:cNvPicPr/>
                  </pic:nvPicPr>
                  <pic:blipFill>
                    <a:blip r:embed="rId24"/>
                    <a:stretch>
                      <a:fillRect/>
                    </a:stretch>
                  </pic:blipFill>
                  <pic:spPr>
                    <a:xfrm>
                      <a:off x="0" y="0"/>
                      <a:ext cx="2900152" cy="1236032"/>
                    </a:xfrm>
                    <a:prstGeom prst="rect">
                      <a:avLst/>
                    </a:prstGeom>
                  </pic:spPr>
                </pic:pic>
              </a:graphicData>
            </a:graphic>
          </wp:inline>
        </w:drawing>
      </w:r>
      <w:r w:rsidRPr="002C0DC3">
        <w:rPr>
          <w:rFonts w:eastAsia="Calibri"/>
          <w:noProof/>
          <w:lang w:val="es-CR" w:eastAsia="es-CR"/>
        </w:rPr>
        <w:drawing>
          <wp:inline distT="0" distB="0" distL="0" distR="0" wp14:anchorId="7DB12CDB" wp14:editId="1112B975">
            <wp:extent cx="2703195" cy="1217800"/>
            <wp:effectExtent l="0" t="0" r="1905" b="1905"/>
            <wp:docPr id="20" name="Imagen 20"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10;&#10;Descripción generada automáticamente con confianza media"/>
                    <pic:cNvPicPr/>
                  </pic:nvPicPr>
                  <pic:blipFill>
                    <a:blip r:embed="rId25"/>
                    <a:stretch>
                      <a:fillRect/>
                    </a:stretch>
                  </pic:blipFill>
                  <pic:spPr>
                    <a:xfrm>
                      <a:off x="0" y="0"/>
                      <a:ext cx="2772104" cy="1248844"/>
                    </a:xfrm>
                    <a:prstGeom prst="rect">
                      <a:avLst/>
                    </a:prstGeom>
                  </pic:spPr>
                </pic:pic>
              </a:graphicData>
            </a:graphic>
          </wp:inline>
        </w:drawing>
      </w:r>
    </w:p>
    <w:p w14:paraId="487975ED" w14:textId="77777777" w:rsidR="002C0DC3" w:rsidRPr="002C0DC3" w:rsidRDefault="002C0DC3" w:rsidP="002C0DC3">
      <w:pPr>
        <w:suppressAutoHyphens w:val="0"/>
        <w:jc w:val="both"/>
        <w:rPr>
          <w:rFonts w:eastAsia="Calibri"/>
          <w:lang w:val="es-CR" w:eastAsia="en-US"/>
        </w:rPr>
      </w:pPr>
    </w:p>
    <w:p w14:paraId="76ADEF58" w14:textId="77777777" w:rsidR="002C0DC3" w:rsidRPr="002C0DC3" w:rsidRDefault="002C0DC3" w:rsidP="002C0DC3">
      <w:pPr>
        <w:suppressAutoHyphens w:val="0"/>
        <w:jc w:val="center"/>
        <w:rPr>
          <w:rFonts w:eastAsia="Calibri"/>
          <w:lang w:val="es-CR" w:eastAsia="en-US"/>
        </w:rPr>
      </w:pPr>
      <w:r w:rsidRPr="002C0DC3">
        <w:rPr>
          <w:rFonts w:eastAsia="Calibri"/>
          <w:noProof/>
          <w:lang w:val="es-CR" w:eastAsia="es-CR"/>
        </w:rPr>
        <w:lastRenderedPageBreak/>
        <w:drawing>
          <wp:inline distT="0" distB="0" distL="0" distR="0" wp14:anchorId="16618690" wp14:editId="3673F99C">
            <wp:extent cx="3176336" cy="1243786"/>
            <wp:effectExtent l="0" t="0" r="5080" b="0"/>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a:blip r:embed="rId26"/>
                    <a:stretch>
                      <a:fillRect/>
                    </a:stretch>
                  </pic:blipFill>
                  <pic:spPr>
                    <a:xfrm>
                      <a:off x="0" y="0"/>
                      <a:ext cx="3224597" cy="1262684"/>
                    </a:xfrm>
                    <a:prstGeom prst="rect">
                      <a:avLst/>
                    </a:prstGeom>
                  </pic:spPr>
                </pic:pic>
              </a:graphicData>
            </a:graphic>
          </wp:inline>
        </w:drawing>
      </w:r>
    </w:p>
    <w:p w14:paraId="09C3F28A" w14:textId="77777777" w:rsidR="002C0DC3" w:rsidRPr="002C0DC3" w:rsidRDefault="002C0DC3" w:rsidP="002C0DC3">
      <w:pPr>
        <w:suppressAutoHyphens w:val="0"/>
        <w:jc w:val="both"/>
        <w:rPr>
          <w:rFonts w:eastAsia="Calibri"/>
          <w:lang w:val="es-CR" w:eastAsia="en-US"/>
        </w:rPr>
      </w:pPr>
    </w:p>
    <w:p w14:paraId="3D3C5D71"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síntesis, se puede indicar de manera resumida que:</w:t>
      </w:r>
    </w:p>
    <w:p w14:paraId="4FD99290" w14:textId="77777777" w:rsidR="002C0DC3" w:rsidRPr="002C0DC3" w:rsidRDefault="002C0DC3" w:rsidP="002C0DC3">
      <w:pPr>
        <w:suppressAutoHyphens w:val="0"/>
        <w:jc w:val="both"/>
        <w:rPr>
          <w:rFonts w:eastAsia="Calibri"/>
          <w:lang w:val="es-CR" w:eastAsia="en-US"/>
        </w:rPr>
      </w:pPr>
    </w:p>
    <w:p w14:paraId="68D88855" w14:textId="77777777" w:rsidR="002C0DC3" w:rsidRPr="002C0DC3" w:rsidRDefault="002C0DC3" w:rsidP="002C0DC3">
      <w:pPr>
        <w:suppressAutoHyphens w:val="0"/>
        <w:ind w:left="-284"/>
        <w:jc w:val="both"/>
        <w:rPr>
          <w:rFonts w:eastAsia="Calibri"/>
          <w:lang w:val="es-CR" w:eastAsia="en-US"/>
        </w:rPr>
      </w:pPr>
      <w:r w:rsidRPr="002C0DC3">
        <w:rPr>
          <w:rFonts w:eastAsia="Calibri"/>
          <w:noProof/>
          <w:lang w:val="es-CR" w:eastAsia="es-CR"/>
        </w:rPr>
        <w:drawing>
          <wp:inline distT="0" distB="0" distL="0" distR="0" wp14:anchorId="1A3BB176" wp14:editId="7F13C2E5">
            <wp:extent cx="2669756" cy="2829827"/>
            <wp:effectExtent l="0" t="0" r="0" b="8890"/>
            <wp:docPr id="22" name="Imagen 2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Escala de tiempo&#10;&#10;Descripción generada automáticamente"/>
                    <pic:cNvPicPr/>
                  </pic:nvPicPr>
                  <pic:blipFill>
                    <a:blip r:embed="rId27"/>
                    <a:stretch>
                      <a:fillRect/>
                    </a:stretch>
                  </pic:blipFill>
                  <pic:spPr>
                    <a:xfrm>
                      <a:off x="0" y="0"/>
                      <a:ext cx="2698180" cy="2859955"/>
                    </a:xfrm>
                    <a:prstGeom prst="rect">
                      <a:avLst/>
                    </a:prstGeom>
                  </pic:spPr>
                </pic:pic>
              </a:graphicData>
            </a:graphic>
          </wp:inline>
        </w:drawing>
      </w:r>
      <w:r w:rsidRPr="002C0DC3">
        <w:rPr>
          <w:rFonts w:eastAsia="Calibri"/>
          <w:noProof/>
          <w:lang w:val="es-CR" w:eastAsia="es-CR"/>
        </w:rPr>
        <w:drawing>
          <wp:inline distT="0" distB="0" distL="0" distR="0" wp14:anchorId="3428D2E3" wp14:editId="1D2F2682">
            <wp:extent cx="2997075" cy="2867827"/>
            <wp:effectExtent l="0" t="0" r="0" b="8890"/>
            <wp:docPr id="23" name="Imagen 2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Escala de tiempo&#10;&#10;Descripción generada automáticamente"/>
                    <pic:cNvPicPr/>
                  </pic:nvPicPr>
                  <pic:blipFill>
                    <a:blip r:embed="rId28"/>
                    <a:stretch>
                      <a:fillRect/>
                    </a:stretch>
                  </pic:blipFill>
                  <pic:spPr>
                    <a:xfrm>
                      <a:off x="0" y="0"/>
                      <a:ext cx="3040914" cy="2909776"/>
                    </a:xfrm>
                    <a:prstGeom prst="rect">
                      <a:avLst/>
                    </a:prstGeom>
                  </pic:spPr>
                </pic:pic>
              </a:graphicData>
            </a:graphic>
          </wp:inline>
        </w:drawing>
      </w:r>
    </w:p>
    <w:p w14:paraId="55F325E8" w14:textId="77777777" w:rsidR="002C0DC3" w:rsidRPr="002C0DC3" w:rsidRDefault="002C0DC3" w:rsidP="002C0DC3">
      <w:pPr>
        <w:suppressAutoHyphens w:val="0"/>
        <w:jc w:val="both"/>
        <w:rPr>
          <w:rFonts w:eastAsia="Calibri"/>
          <w:lang w:val="es-CR" w:eastAsia="en-US"/>
        </w:rPr>
      </w:pPr>
    </w:p>
    <w:p w14:paraId="6C0206E0" w14:textId="77777777" w:rsidR="002C0DC3" w:rsidRPr="002C0DC3" w:rsidRDefault="002C0DC3" w:rsidP="002C0DC3">
      <w:pPr>
        <w:keepNext/>
        <w:keepLines/>
        <w:suppressAutoHyphens w:val="0"/>
        <w:ind w:left="851" w:right="851" w:firstLine="709"/>
        <w:jc w:val="both"/>
        <w:rPr>
          <w:b/>
          <w:lang w:val="es-CR" w:eastAsia="es-CR"/>
        </w:rPr>
      </w:pPr>
      <w:bookmarkStart w:id="55" w:name="_Toc76646232"/>
      <w:bookmarkStart w:id="56" w:name="_Toc78467046"/>
      <w:bookmarkStart w:id="57" w:name="_Toc80351036"/>
      <w:r w:rsidRPr="002C0DC3">
        <w:rPr>
          <w:b/>
          <w:lang w:val="es-CR" w:eastAsia="es-CR"/>
        </w:rPr>
        <w:t>Informe de Corte Plena 301-PLA-MI-2021</w:t>
      </w:r>
      <w:bookmarkEnd w:id="55"/>
      <w:bookmarkEnd w:id="56"/>
      <w:bookmarkEnd w:id="57"/>
    </w:p>
    <w:p w14:paraId="24CEB829" w14:textId="77777777" w:rsidR="002C0DC3" w:rsidRPr="002C0DC3" w:rsidRDefault="002C0DC3" w:rsidP="002C0DC3">
      <w:pPr>
        <w:suppressAutoHyphens w:val="0"/>
        <w:ind w:left="851" w:right="851" w:firstLine="709"/>
        <w:jc w:val="both"/>
        <w:rPr>
          <w:rFonts w:eastAsia="Calibri"/>
          <w:lang w:val="es-CR" w:eastAsia="en-US"/>
        </w:rPr>
      </w:pPr>
    </w:p>
    <w:p w14:paraId="297BCF3E"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A continuación, se muestran los principales resultados en materia de cobro, contenidos en el informe 301-PLA-MI-2021, el cual corresponde a un informe relacionado con los resultados del seguimiento mensual de la materia Penal y no Penal durante la atención de la emergencia COVID-19, de octubre 2020 a enero 2021. Este informe contiene la información recopilada por la Dirección de Planificación y por el Centro de Apoyo, Coordinación y Mejoramiento de la Función Jurisdiccional.</w:t>
      </w:r>
    </w:p>
    <w:p w14:paraId="0DCA48E8" w14:textId="77777777" w:rsidR="002C0DC3" w:rsidRPr="002C0DC3" w:rsidRDefault="002C0DC3" w:rsidP="002C0DC3">
      <w:pPr>
        <w:suppressAutoHyphens w:val="0"/>
        <w:ind w:left="851" w:right="851" w:firstLine="709"/>
        <w:jc w:val="both"/>
        <w:rPr>
          <w:rFonts w:eastAsia="Calibri"/>
          <w:lang w:val="es-CR" w:eastAsia="en-US"/>
        </w:rPr>
      </w:pPr>
    </w:p>
    <w:p w14:paraId="245B956B" w14:textId="77777777" w:rsidR="002C0DC3" w:rsidRPr="002C0DC3" w:rsidRDefault="002C0DC3" w:rsidP="002C0DC3">
      <w:pPr>
        <w:suppressAutoHyphens w:val="0"/>
        <w:ind w:left="851" w:right="851" w:firstLine="709"/>
        <w:contextualSpacing/>
        <w:jc w:val="both"/>
        <w:rPr>
          <w:rFonts w:eastAsia="Calibri"/>
          <w:b/>
          <w:bCs/>
          <w:lang w:val="es-CR" w:eastAsia="en-US"/>
        </w:rPr>
      </w:pPr>
      <w:r w:rsidRPr="002C0DC3">
        <w:rPr>
          <w:rFonts w:eastAsia="Calibri"/>
          <w:b/>
          <w:bCs/>
          <w:lang w:val="es-CR" w:eastAsia="zh-CN"/>
        </w:rPr>
        <w:t xml:space="preserve">a. Información extraída del apartado 3 de </w:t>
      </w:r>
      <w:r w:rsidRPr="002C0DC3">
        <w:rPr>
          <w:rFonts w:eastAsia="Calibri"/>
          <w:b/>
          <w:bCs/>
          <w:lang w:val="es-CR" w:eastAsia="en-US"/>
        </w:rPr>
        <w:t>Seguimiento de resultados de las jurisdicciones a cargo del Centro de Apoyo, Coordinación y Mejoramiento de la Función Jurisdiccional (CACMFJ)</w:t>
      </w:r>
    </w:p>
    <w:p w14:paraId="687FF8FE" w14:textId="77777777" w:rsidR="002C0DC3" w:rsidRPr="002C0DC3" w:rsidRDefault="002C0DC3" w:rsidP="002C0DC3">
      <w:pPr>
        <w:suppressAutoHyphens w:val="0"/>
        <w:ind w:left="851" w:right="851" w:firstLine="709"/>
        <w:jc w:val="both"/>
        <w:rPr>
          <w:rFonts w:eastAsia="Calibri"/>
          <w:lang w:val="es-CR" w:eastAsia="en-US"/>
        </w:rPr>
      </w:pPr>
    </w:p>
    <w:p w14:paraId="1E89AE69" w14:textId="514A22E4" w:rsidR="002C0DC3" w:rsidRPr="002C0DC3" w:rsidRDefault="002C0DC3" w:rsidP="00B31AC4">
      <w:pPr>
        <w:suppressAutoHyphens w:val="0"/>
        <w:ind w:left="851" w:right="851" w:firstLine="709"/>
        <w:jc w:val="both"/>
        <w:rPr>
          <w:rFonts w:eastAsia="Calibri"/>
          <w:lang w:val="es-CR" w:eastAsia="en-US"/>
        </w:rPr>
      </w:pPr>
      <w:r w:rsidRPr="002C0DC3">
        <w:rPr>
          <w:rFonts w:eastAsia="Calibri"/>
          <w:lang w:val="es-CR" w:eastAsia="en-US"/>
        </w:rPr>
        <w:t>Información extraída del informe A continuación se presenta información contenida en el informe 301-PLA-MI-2021, Capitulo VIII.  “Informe de los resultados de los despachos judiciales que tiene a cargo el centro de apoyo, coordinación y mejoramiento de la función jurisdiccional (CACMFJ), correspondiente al periodo del 28 de setiembre 2020 al 29 de enero del 2021”, apartado 3.  Se aclara que las infografías que se presentan carecen de título, por lo cual para efectos de mejor comprensión del presente informe, le fueron adicionados por la profesional que elaboró el informe y no tomados del informe original.</w:t>
      </w:r>
    </w:p>
    <w:p w14:paraId="22F4B129" w14:textId="77777777" w:rsidR="002C0DC3" w:rsidRPr="002C0DC3" w:rsidRDefault="002C0DC3" w:rsidP="002C0DC3">
      <w:pPr>
        <w:tabs>
          <w:tab w:val="left" w:pos="741"/>
        </w:tabs>
        <w:suppressAutoHyphens w:val="0"/>
        <w:jc w:val="center"/>
        <w:rPr>
          <w:rFonts w:eastAsia="Calibri"/>
          <w:lang w:val="es-CR" w:eastAsia="zh-CN"/>
        </w:rPr>
      </w:pPr>
      <w:r w:rsidRPr="002C0DC3">
        <w:rPr>
          <w:rFonts w:eastAsia="Calibri"/>
          <w:lang w:val="es-CR" w:eastAsia="zh-CN"/>
        </w:rPr>
        <w:t>Gráfico 7</w:t>
      </w:r>
    </w:p>
    <w:p w14:paraId="203D4285" w14:textId="77777777" w:rsidR="002C0DC3" w:rsidRPr="002C0DC3" w:rsidRDefault="002C0DC3" w:rsidP="002C0DC3">
      <w:pPr>
        <w:tabs>
          <w:tab w:val="left" w:pos="741"/>
        </w:tabs>
        <w:suppressAutoHyphens w:val="0"/>
        <w:jc w:val="center"/>
        <w:rPr>
          <w:rFonts w:eastAsia="Calibri"/>
          <w:lang w:val="es-CR" w:eastAsia="zh-CN"/>
        </w:rPr>
      </w:pPr>
      <w:r w:rsidRPr="002C0DC3">
        <w:rPr>
          <w:rFonts w:eastAsia="Calibri"/>
          <w:lang w:val="es-CR" w:eastAsia="zh-CN"/>
        </w:rPr>
        <w:t>Información varia materia de cobro judicial</w:t>
      </w:r>
    </w:p>
    <w:p w14:paraId="692DACE0" w14:textId="77777777" w:rsidR="002C0DC3" w:rsidRPr="002C0DC3" w:rsidRDefault="002C0DC3" w:rsidP="002C0DC3">
      <w:pPr>
        <w:tabs>
          <w:tab w:val="left" w:pos="741"/>
        </w:tabs>
        <w:suppressAutoHyphens w:val="0"/>
        <w:jc w:val="center"/>
        <w:rPr>
          <w:rFonts w:eastAsia="Calibri"/>
          <w:lang w:val="es-CR" w:eastAsia="zh-CN"/>
        </w:rPr>
      </w:pPr>
      <w:r w:rsidRPr="002C0DC3">
        <w:rPr>
          <w:rFonts w:eastAsia="Calibri"/>
          <w:noProof/>
          <w:lang w:val="es-CR" w:eastAsia="es-CR"/>
        </w:rPr>
        <w:drawing>
          <wp:inline distT="0" distB="0" distL="0" distR="0" wp14:anchorId="34E50D1D" wp14:editId="5234DABD">
            <wp:extent cx="5125453" cy="3324299"/>
            <wp:effectExtent l="0" t="0" r="0" b="0"/>
            <wp:docPr id="126" name="Imagen 126"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descr="Imagen que contiene Aplicación&#10;&#10;Descripción generada automáticamente"/>
                    <pic:cNvPicPr/>
                  </pic:nvPicPr>
                  <pic:blipFill>
                    <a:blip r:embed="rId29"/>
                    <a:stretch>
                      <a:fillRect/>
                    </a:stretch>
                  </pic:blipFill>
                  <pic:spPr>
                    <a:xfrm>
                      <a:off x="0" y="0"/>
                      <a:ext cx="5171548" cy="3354196"/>
                    </a:xfrm>
                    <a:prstGeom prst="rect">
                      <a:avLst/>
                    </a:prstGeom>
                  </pic:spPr>
                </pic:pic>
              </a:graphicData>
            </a:graphic>
          </wp:inline>
        </w:drawing>
      </w:r>
    </w:p>
    <w:p w14:paraId="184DEEEF" w14:textId="77777777" w:rsidR="002C0DC3" w:rsidRPr="002C0DC3" w:rsidRDefault="002C0DC3" w:rsidP="002C0DC3">
      <w:pPr>
        <w:suppressAutoHyphens w:val="0"/>
        <w:jc w:val="both"/>
        <w:rPr>
          <w:rFonts w:eastAsia="Calibri"/>
          <w:lang w:val="es-CR" w:eastAsia="en-US"/>
        </w:rPr>
      </w:pPr>
    </w:p>
    <w:p w14:paraId="00D40D5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En el informe realizado por el Centro de Apoyo, Coordinación y Mejoramiento de la Función Jurisdiccional se consigna lo siguiente: </w:t>
      </w:r>
    </w:p>
    <w:p w14:paraId="62104CCB" w14:textId="77777777" w:rsidR="002C0DC3" w:rsidRPr="002C0DC3" w:rsidRDefault="002C0DC3" w:rsidP="002C0DC3">
      <w:pPr>
        <w:suppressAutoHyphens w:val="0"/>
        <w:ind w:left="851" w:right="851" w:firstLine="709"/>
        <w:jc w:val="both"/>
        <w:rPr>
          <w:rFonts w:eastAsia="Calibri"/>
          <w:lang w:val="es-CR" w:eastAsia="en-US"/>
        </w:rPr>
      </w:pPr>
    </w:p>
    <w:p w14:paraId="265EFC90" w14:textId="77777777" w:rsidR="002C0DC3" w:rsidRPr="002C0DC3" w:rsidRDefault="002C0DC3" w:rsidP="002C0DC3">
      <w:pPr>
        <w:suppressAutoHyphens w:val="0"/>
        <w:ind w:left="851" w:right="851" w:firstLine="709"/>
        <w:jc w:val="both"/>
        <w:rPr>
          <w:rFonts w:eastAsia="Calibri"/>
          <w:i/>
          <w:iCs/>
          <w:lang w:val="es-CR" w:eastAsia="en-US"/>
        </w:rPr>
      </w:pPr>
      <w:r w:rsidRPr="002C0DC3">
        <w:rPr>
          <w:rFonts w:eastAsia="Calibri"/>
          <w:lang w:val="es-CR" w:eastAsia="en-US"/>
        </w:rPr>
        <w:t>“</w:t>
      </w:r>
      <w:r w:rsidRPr="002C0DC3">
        <w:rPr>
          <w:rFonts w:eastAsia="Calibri"/>
          <w:i/>
          <w:iCs/>
          <w:lang w:val="es-CR" w:eastAsia="en-US"/>
        </w:rPr>
        <w:t xml:space="preserve">Mediante la infografía que antecede, la cual muestra las labores de mayor relevancia de la materia de Cobro ejecutadas del 28 de setiembre 2020 al 29 de enero del 2021, puede observarse que los juzgados de Cobro Judicial se han mantenido laborando casi de forma normalizada, pese a la situación de emergencia que atraviesa el país por la enfermedad del COVID-19, donde se detalla la cantidad de trámites y expedientes atendidos según corresponde y </w:t>
      </w:r>
      <w:r w:rsidRPr="002C0DC3">
        <w:rPr>
          <w:rFonts w:eastAsia="Calibri"/>
          <w:i/>
          <w:iCs/>
          <w:lang w:val="es-CR" w:eastAsia="en-US"/>
        </w:rPr>
        <w:lastRenderedPageBreak/>
        <w:t xml:space="preserve">evidencia la continuidad de la prestación de los servicios brindados en esta materia.  </w:t>
      </w:r>
    </w:p>
    <w:p w14:paraId="250BE613" w14:textId="77777777" w:rsidR="002C0DC3" w:rsidRPr="002C0DC3" w:rsidRDefault="002C0DC3" w:rsidP="002C0DC3">
      <w:pPr>
        <w:suppressAutoHyphens w:val="0"/>
        <w:ind w:left="851" w:right="851" w:firstLine="709"/>
        <w:jc w:val="both"/>
        <w:rPr>
          <w:rFonts w:eastAsia="Calibri"/>
          <w:i/>
          <w:iCs/>
          <w:lang w:val="es-CR" w:eastAsia="en-US"/>
        </w:rPr>
      </w:pPr>
      <w:r w:rsidRPr="002C0DC3">
        <w:rPr>
          <w:rFonts w:eastAsia="Calibri"/>
          <w:i/>
          <w:iCs/>
          <w:lang w:val="es-CR" w:eastAsia="en-US"/>
        </w:rPr>
        <w:t xml:space="preserve">Así mismo, se ha determinado mediante el seguimiento el cumpliendo de manera general de las cuotas de trabajo establecidas para el trámite y fallo de expedientes Cobratorios, firmándose de manera global 45.407 expedientes y fallándose 756 asuntos más de lo esperado durante el periodo analizado para ambos indicadores.”. </w:t>
      </w:r>
    </w:p>
    <w:p w14:paraId="54861E80" w14:textId="77777777" w:rsidR="002C0DC3" w:rsidRPr="002C0DC3" w:rsidRDefault="002C0DC3" w:rsidP="002C0DC3">
      <w:pPr>
        <w:suppressAutoHyphens w:val="0"/>
        <w:ind w:left="851" w:right="851" w:firstLine="709"/>
        <w:jc w:val="both"/>
        <w:rPr>
          <w:rFonts w:eastAsia="Calibri"/>
          <w:lang w:val="es-CR" w:eastAsia="en-US"/>
        </w:rPr>
      </w:pPr>
    </w:p>
    <w:p w14:paraId="384CE5CC" w14:textId="77777777" w:rsidR="002C0DC3" w:rsidRPr="002C0DC3" w:rsidRDefault="002C0DC3" w:rsidP="00CE3D95">
      <w:pPr>
        <w:numPr>
          <w:ilvl w:val="0"/>
          <w:numId w:val="24"/>
        </w:numPr>
        <w:suppressAutoHyphens w:val="0"/>
        <w:ind w:left="851" w:right="851" w:firstLine="709"/>
        <w:contextualSpacing/>
        <w:jc w:val="both"/>
        <w:rPr>
          <w:rFonts w:eastAsia="Calibri"/>
          <w:b/>
          <w:bCs/>
          <w:lang w:val="es-CR" w:eastAsia="en-US"/>
        </w:rPr>
      </w:pPr>
      <w:r w:rsidRPr="002C0DC3">
        <w:rPr>
          <w:rFonts w:eastAsia="Calibri"/>
          <w:b/>
          <w:bCs/>
          <w:lang w:val="es-CR" w:eastAsia="en-US"/>
        </w:rPr>
        <w:t>Cumplimiento de parámetros de producción</w:t>
      </w:r>
    </w:p>
    <w:p w14:paraId="7918A004"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En el informe citado con anterioridad se consigna lo siguiente sobre los parámetros de producción.</w:t>
      </w:r>
    </w:p>
    <w:p w14:paraId="40BFC2A6" w14:textId="77777777" w:rsidR="002C0DC3" w:rsidRPr="002C0DC3" w:rsidRDefault="002C0DC3" w:rsidP="002C0DC3">
      <w:pPr>
        <w:suppressAutoHyphens w:val="0"/>
        <w:ind w:left="851" w:right="851" w:firstLine="709"/>
        <w:jc w:val="both"/>
        <w:rPr>
          <w:rFonts w:eastAsia="Calibri"/>
          <w:lang w:val="es-CR" w:eastAsia="en-US"/>
        </w:rPr>
      </w:pPr>
    </w:p>
    <w:p w14:paraId="179B2443"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“Para el caso de las Jurisdicciones Civil, Cobro y Laboral, conformados por despachos rediseñados en su totalidad producto de las reformas de Ley, se realizó un ejercicio que implica el cálculo del rendimiento en variables de sentencias dictadas y producción de firma para el caso de Cobro Judicial, al ser esta una labor principal en esta Jurisdicción. </w:t>
      </w:r>
    </w:p>
    <w:p w14:paraId="35CADC88" w14:textId="77777777" w:rsidR="002C0DC3" w:rsidRPr="002C0DC3" w:rsidRDefault="002C0DC3" w:rsidP="002C0DC3">
      <w:pPr>
        <w:suppressAutoHyphens w:val="0"/>
        <w:ind w:left="851" w:right="851" w:firstLine="709"/>
        <w:jc w:val="both"/>
        <w:rPr>
          <w:rFonts w:eastAsia="Calibri"/>
          <w:lang w:val="es-CR" w:eastAsia="en-US"/>
        </w:rPr>
      </w:pPr>
    </w:p>
    <w:p w14:paraId="427B1E1B"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El ejercicio descrito se realizó con la finalidad de determinar el nivel de cumplimiento actual que están realizando estos despachos judiciales en relación con la producción esperada en condiciones normales de trabajo, tomando como parámetro las cuotas teóricas fijadas mediante el rediseño y aprobadas por el Consejo Superior, para lo cual se obtuvo los siguientes rendimientos: </w:t>
      </w:r>
    </w:p>
    <w:p w14:paraId="083EBD57" w14:textId="77777777" w:rsidR="002C0DC3" w:rsidRPr="002C0DC3" w:rsidRDefault="002C0DC3" w:rsidP="002C0DC3">
      <w:pPr>
        <w:suppressAutoHyphens w:val="0"/>
        <w:ind w:left="851" w:right="851" w:firstLine="709"/>
        <w:jc w:val="both"/>
        <w:rPr>
          <w:rFonts w:eastAsia="Calibri"/>
          <w:lang w:val="es-CR" w:eastAsia="en-US"/>
        </w:rPr>
      </w:pPr>
    </w:p>
    <w:p w14:paraId="69F269AD" w14:textId="77777777" w:rsidR="002C0DC3" w:rsidRPr="002C0DC3" w:rsidRDefault="002C0DC3" w:rsidP="002C0DC3">
      <w:pPr>
        <w:suppressAutoHyphens w:val="0"/>
        <w:ind w:left="851" w:right="851" w:firstLine="709"/>
        <w:contextualSpacing/>
        <w:jc w:val="center"/>
        <w:rPr>
          <w:rFonts w:eastAsia="Calibri"/>
          <w:lang w:val="es-CR" w:eastAsia="en-US"/>
        </w:rPr>
      </w:pPr>
      <w:r w:rsidRPr="002C0DC3">
        <w:rPr>
          <w:rFonts w:eastAsia="Calibri"/>
          <w:lang w:val="es-CR" w:eastAsia="en-US"/>
        </w:rPr>
        <w:t>Gráfico 8</w:t>
      </w:r>
    </w:p>
    <w:p w14:paraId="13CCFF19" w14:textId="77777777" w:rsidR="002C0DC3" w:rsidRPr="002C0DC3" w:rsidRDefault="002C0DC3" w:rsidP="002C0DC3">
      <w:pPr>
        <w:suppressAutoHyphens w:val="0"/>
        <w:ind w:left="851" w:right="851" w:firstLine="709"/>
        <w:contextualSpacing/>
        <w:jc w:val="center"/>
        <w:rPr>
          <w:rFonts w:eastAsia="Calibri"/>
          <w:lang w:val="es-CR" w:eastAsia="en-US"/>
        </w:rPr>
      </w:pPr>
      <w:r w:rsidRPr="002C0DC3">
        <w:rPr>
          <w:rFonts w:eastAsia="Calibri"/>
          <w:lang w:val="es-CR" w:eastAsia="en-US"/>
        </w:rPr>
        <w:t>Rendimiento en la firma de expedientes y en el fallo</w:t>
      </w:r>
    </w:p>
    <w:p w14:paraId="3A630F1D" w14:textId="77777777" w:rsidR="002C0DC3" w:rsidRPr="002C0DC3" w:rsidRDefault="002C0DC3" w:rsidP="002C0DC3">
      <w:pPr>
        <w:suppressAutoHyphens w:val="0"/>
        <w:ind w:left="1146" w:right="-141"/>
        <w:contextualSpacing/>
        <w:jc w:val="center"/>
        <w:rPr>
          <w:rFonts w:eastAsia="Calibri"/>
          <w:lang w:val="es-CR" w:eastAsia="en-US"/>
        </w:rPr>
      </w:pPr>
    </w:p>
    <w:p w14:paraId="0547ABBF" w14:textId="77777777" w:rsidR="002C0DC3" w:rsidRPr="002C0DC3" w:rsidRDefault="002C0DC3" w:rsidP="002C0DC3">
      <w:pPr>
        <w:suppressAutoHyphens w:val="0"/>
        <w:ind w:left="-426" w:right="-141"/>
        <w:contextualSpacing/>
        <w:jc w:val="center"/>
        <w:rPr>
          <w:rFonts w:eastAsia="Calibri"/>
          <w:lang w:val="es-CR" w:eastAsia="en-US"/>
        </w:rPr>
      </w:pPr>
      <w:r w:rsidRPr="002C0DC3">
        <w:rPr>
          <w:rFonts w:eastAsia="Calibri"/>
          <w:noProof/>
          <w:lang w:val="es-CR" w:eastAsia="es-CR"/>
        </w:rPr>
        <w:drawing>
          <wp:inline distT="0" distB="0" distL="0" distR="0" wp14:anchorId="50B87042" wp14:editId="4EB76785">
            <wp:extent cx="5404585" cy="2169646"/>
            <wp:effectExtent l="0" t="0" r="5715" b="2540"/>
            <wp:docPr id="199" name="Imagen 199" descr="Gráfico, Tabla,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Gráfico, Tabla, Gráfico de barras&#10;&#10;Descripción generada automáticamente"/>
                    <pic:cNvPicPr/>
                  </pic:nvPicPr>
                  <pic:blipFill>
                    <a:blip r:embed="rId30"/>
                    <a:stretch>
                      <a:fillRect/>
                    </a:stretch>
                  </pic:blipFill>
                  <pic:spPr>
                    <a:xfrm>
                      <a:off x="0" y="0"/>
                      <a:ext cx="5594006" cy="2245688"/>
                    </a:xfrm>
                    <a:prstGeom prst="rect">
                      <a:avLst/>
                    </a:prstGeom>
                  </pic:spPr>
                </pic:pic>
              </a:graphicData>
            </a:graphic>
          </wp:inline>
        </w:drawing>
      </w:r>
    </w:p>
    <w:p w14:paraId="29947A8E" w14:textId="77777777" w:rsidR="002C0DC3" w:rsidRPr="002C0DC3" w:rsidRDefault="002C0DC3" w:rsidP="002C0DC3">
      <w:pPr>
        <w:suppressAutoHyphens w:val="0"/>
        <w:ind w:left="851" w:right="851" w:firstLine="709"/>
        <w:jc w:val="both"/>
        <w:rPr>
          <w:rFonts w:eastAsia="Calibri"/>
          <w:noProof/>
          <w:lang w:val="es-CR" w:eastAsia="en-US"/>
        </w:rPr>
      </w:pPr>
      <w:r w:rsidRPr="002C0DC3">
        <w:rPr>
          <w:rFonts w:eastAsia="Calibri"/>
          <w:noProof/>
          <w:lang w:val="es-CR" w:eastAsia="en-US"/>
        </w:rPr>
        <w:lastRenderedPageBreak/>
        <w:t>Fuente: Información suministrada por los despachos mediante la matriz de informe de labores semanal e indicadores de gestión.</w:t>
      </w:r>
    </w:p>
    <w:p w14:paraId="402E6DF5" w14:textId="77777777" w:rsidR="002C0DC3" w:rsidRPr="002C0DC3" w:rsidRDefault="002C0DC3" w:rsidP="002C0DC3">
      <w:pPr>
        <w:suppressAutoHyphens w:val="0"/>
        <w:ind w:left="851" w:right="851" w:firstLine="709"/>
        <w:jc w:val="both"/>
        <w:rPr>
          <w:rFonts w:eastAsia="Calibri"/>
          <w:lang w:val="es-CR" w:eastAsia="en-US"/>
        </w:rPr>
      </w:pPr>
    </w:p>
    <w:p w14:paraId="503D17B6"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Sobre este gráfico en particular, el informe indica lo siguiente:</w:t>
      </w:r>
    </w:p>
    <w:p w14:paraId="52C37470" w14:textId="77777777" w:rsidR="002C0DC3" w:rsidRPr="002C0DC3" w:rsidRDefault="002C0DC3" w:rsidP="002C0DC3">
      <w:pPr>
        <w:suppressAutoHyphens w:val="0"/>
        <w:ind w:left="851" w:right="851" w:firstLine="709"/>
        <w:jc w:val="both"/>
        <w:rPr>
          <w:rFonts w:eastAsia="Calibri"/>
          <w:lang w:val="es-CR" w:eastAsia="en-US"/>
        </w:rPr>
      </w:pPr>
    </w:p>
    <w:p w14:paraId="2F56C5EE" w14:textId="77777777" w:rsidR="002C0DC3" w:rsidRPr="002C0DC3" w:rsidRDefault="002C0DC3" w:rsidP="002C0DC3">
      <w:pPr>
        <w:suppressAutoHyphens w:val="0"/>
        <w:ind w:left="851" w:right="851" w:firstLine="709"/>
        <w:jc w:val="both"/>
        <w:rPr>
          <w:rFonts w:eastAsia="Calibri"/>
          <w:i/>
          <w:iCs/>
          <w:lang w:val="es-CR" w:eastAsia="en-US"/>
        </w:rPr>
      </w:pPr>
      <w:r w:rsidRPr="002C0DC3">
        <w:rPr>
          <w:rFonts w:eastAsia="Calibri"/>
          <w:i/>
          <w:iCs/>
          <w:lang w:val="es-CR" w:eastAsia="en-US"/>
        </w:rPr>
        <w:t xml:space="preserve">“Desde el 28 de octubre 2020 al 29 de enero del 2021 la jurisdicción de Cobro Judicial logró firmar 376.402 expedientes de una cuota esperada de 330.995 asuntos, es decir que, sin ningún tipo de rebajo a la cuota esperada por motivos justificables no atribuibles al personal, alcanzaron a firmar 45.407 expedientes de más y un rendimiento global mayor al 100%. </w:t>
      </w:r>
    </w:p>
    <w:p w14:paraId="2EF3FBC0" w14:textId="77777777" w:rsidR="002C0DC3" w:rsidRPr="002C0DC3" w:rsidRDefault="002C0DC3" w:rsidP="002C0DC3">
      <w:pPr>
        <w:suppressAutoHyphens w:val="0"/>
        <w:ind w:left="851" w:right="851" w:firstLine="709"/>
        <w:jc w:val="both"/>
        <w:rPr>
          <w:rFonts w:eastAsia="Calibri"/>
          <w:i/>
          <w:iCs/>
          <w:lang w:val="es-CR" w:eastAsia="en-US"/>
        </w:rPr>
      </w:pPr>
    </w:p>
    <w:p w14:paraId="610DC8BE" w14:textId="77777777" w:rsidR="002C0DC3" w:rsidRPr="002C0DC3" w:rsidRDefault="002C0DC3" w:rsidP="002C0DC3">
      <w:pPr>
        <w:suppressAutoHyphens w:val="0"/>
        <w:ind w:left="851" w:right="851" w:firstLine="709"/>
        <w:jc w:val="both"/>
        <w:rPr>
          <w:rFonts w:eastAsia="Calibri"/>
          <w:i/>
          <w:iCs/>
          <w:lang w:val="es-CR" w:eastAsia="en-US"/>
        </w:rPr>
      </w:pPr>
      <w:r w:rsidRPr="002C0DC3">
        <w:rPr>
          <w:rFonts w:eastAsia="Calibri"/>
          <w:i/>
          <w:iCs/>
          <w:lang w:val="es-CR" w:eastAsia="en-US"/>
        </w:rPr>
        <w:t xml:space="preserve">Respecto al dictado de sentencias, el personal que conforma la materia de Cobro Judicial dictó, entre el 28 de octubre 2020 al 29 de enero del 2021, 2.186 sentencias de una cuota teórica esperada de 1.430, es decir que lograron fallar 756 sentencias más que las esperadas, alcanzando un rendimiento general mayor al 100% sin ningún tipo de rebajo por algún inconveniente que pudo haberse presentado.  </w:t>
      </w:r>
    </w:p>
    <w:p w14:paraId="68DB129D" w14:textId="77777777" w:rsidR="002C0DC3" w:rsidRPr="002C0DC3" w:rsidRDefault="002C0DC3" w:rsidP="002C0DC3">
      <w:pPr>
        <w:suppressAutoHyphens w:val="0"/>
        <w:ind w:left="851" w:right="851" w:firstLine="709"/>
        <w:jc w:val="both"/>
        <w:rPr>
          <w:rFonts w:eastAsia="Calibri"/>
          <w:i/>
          <w:iCs/>
          <w:lang w:val="es-CR" w:eastAsia="en-US"/>
        </w:rPr>
      </w:pPr>
    </w:p>
    <w:p w14:paraId="3765F8F6" w14:textId="77777777" w:rsidR="002C0DC3" w:rsidRPr="002C0DC3" w:rsidRDefault="002C0DC3" w:rsidP="002C0DC3">
      <w:pPr>
        <w:suppressAutoHyphens w:val="0"/>
        <w:ind w:left="851" w:right="851" w:firstLine="709"/>
        <w:jc w:val="both"/>
        <w:rPr>
          <w:rFonts w:eastAsia="Calibri"/>
          <w:i/>
          <w:iCs/>
          <w:lang w:val="es-CR" w:eastAsia="en-US"/>
        </w:rPr>
      </w:pPr>
      <w:r w:rsidRPr="002C0DC3">
        <w:rPr>
          <w:rFonts w:eastAsia="Calibri"/>
          <w:i/>
          <w:iCs/>
          <w:lang w:val="es-CR" w:eastAsia="en-US"/>
        </w:rPr>
        <w:t>Cabe indicar que, para las jurisdicciones de Familia, Tránsito, Contravenciones, Agrario, Notarial y Contencioso Administrativo, no fue posible realizar el ejercicio citado debido a que las materias se encuentran en proceso de fijación de cuotas de trabajo y algunas de ellas en proceso de implementación de Reforma de Ley, lo cual imposibilitó el cálculo general al estar pendientes varios despachos de estas jurisdicciones de facilitarse los indicadores de gestión.”.</w:t>
      </w:r>
    </w:p>
    <w:p w14:paraId="5E0CCCBB" w14:textId="77777777" w:rsidR="002C0DC3" w:rsidRPr="002C0DC3" w:rsidRDefault="002C0DC3" w:rsidP="002C0DC3">
      <w:pPr>
        <w:tabs>
          <w:tab w:val="left" w:pos="741"/>
        </w:tabs>
        <w:suppressAutoHyphens w:val="0"/>
        <w:ind w:left="851" w:right="851" w:firstLine="709"/>
        <w:jc w:val="both"/>
        <w:rPr>
          <w:rFonts w:eastAsia="Calibri"/>
          <w:i/>
          <w:iCs/>
          <w:lang w:val="es-CR" w:eastAsia="zh-CN"/>
        </w:rPr>
      </w:pPr>
    </w:p>
    <w:p w14:paraId="2C171A32" w14:textId="77777777" w:rsidR="002C0DC3" w:rsidRPr="002C0DC3" w:rsidRDefault="002C0DC3" w:rsidP="002C0DC3">
      <w:pPr>
        <w:tabs>
          <w:tab w:val="left" w:pos="741"/>
        </w:tabs>
        <w:suppressAutoHyphens w:val="0"/>
        <w:ind w:left="851" w:right="851" w:firstLine="709"/>
        <w:jc w:val="center"/>
        <w:rPr>
          <w:rFonts w:eastAsia="Calibri"/>
          <w:lang w:val="es-CR" w:eastAsia="zh-CN"/>
        </w:rPr>
      </w:pPr>
      <w:r w:rsidRPr="002C0DC3">
        <w:rPr>
          <w:rFonts w:eastAsia="Calibri"/>
          <w:lang w:val="es-CR" w:eastAsia="zh-CN"/>
        </w:rPr>
        <w:t>Gráfico 9</w:t>
      </w:r>
    </w:p>
    <w:p w14:paraId="0D54B819" w14:textId="77777777" w:rsidR="002C0DC3" w:rsidRPr="002C0DC3" w:rsidRDefault="002C0DC3" w:rsidP="002C0DC3">
      <w:pPr>
        <w:suppressAutoHyphens w:val="0"/>
        <w:ind w:left="851" w:right="851" w:firstLine="709"/>
        <w:contextualSpacing/>
        <w:jc w:val="both"/>
        <w:rPr>
          <w:rFonts w:eastAsia="Calibri"/>
          <w:lang w:val="es-CR" w:eastAsia="en-US"/>
        </w:rPr>
      </w:pPr>
      <w:r w:rsidRPr="002C0DC3">
        <w:rPr>
          <w:rFonts w:eastAsia="Calibri"/>
          <w:lang w:val="es-CR" w:eastAsia="en-US"/>
        </w:rPr>
        <w:t>Comportamiento Histórico de los indicadores de abril 2020 a enero 2021</w:t>
      </w:r>
    </w:p>
    <w:p w14:paraId="062758F3" w14:textId="77777777" w:rsidR="002C0DC3" w:rsidRPr="002C0DC3" w:rsidRDefault="002C0DC3" w:rsidP="002C0DC3">
      <w:pPr>
        <w:tabs>
          <w:tab w:val="left" w:pos="741"/>
        </w:tabs>
        <w:suppressAutoHyphens w:val="0"/>
        <w:jc w:val="both"/>
        <w:rPr>
          <w:rFonts w:eastAsia="Calibri"/>
          <w:lang w:val="es-CR" w:eastAsia="zh-CN"/>
        </w:rPr>
      </w:pPr>
      <w:r w:rsidRPr="002C0DC3">
        <w:rPr>
          <w:rFonts w:eastAsia="Calibri"/>
          <w:noProof/>
          <w:lang w:val="es-CR" w:eastAsia="es-CR"/>
        </w:rPr>
        <w:lastRenderedPageBreak/>
        <w:drawing>
          <wp:inline distT="0" distB="0" distL="0" distR="0" wp14:anchorId="6D0B4775" wp14:editId="64C15427">
            <wp:extent cx="5940389" cy="3234169"/>
            <wp:effectExtent l="0" t="0" r="3810" b="4445"/>
            <wp:docPr id="205" name="Imagen 205"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descr="Tabla, Calendario&#10;&#10;Descripción generada automáticamente"/>
                    <pic:cNvPicPr/>
                  </pic:nvPicPr>
                  <pic:blipFill>
                    <a:blip r:embed="rId31"/>
                    <a:stretch>
                      <a:fillRect/>
                    </a:stretch>
                  </pic:blipFill>
                  <pic:spPr>
                    <a:xfrm>
                      <a:off x="0" y="0"/>
                      <a:ext cx="5940389" cy="3234169"/>
                    </a:xfrm>
                    <a:prstGeom prst="rect">
                      <a:avLst/>
                    </a:prstGeom>
                  </pic:spPr>
                </pic:pic>
              </a:graphicData>
            </a:graphic>
          </wp:inline>
        </w:drawing>
      </w:r>
    </w:p>
    <w:p w14:paraId="2E8C08CB" w14:textId="77777777" w:rsidR="002C0DC3" w:rsidRPr="002C0DC3" w:rsidRDefault="002C0DC3" w:rsidP="002C0DC3">
      <w:pPr>
        <w:suppressAutoHyphens w:val="0"/>
        <w:ind w:left="851" w:right="851" w:firstLine="709"/>
        <w:contextualSpacing/>
        <w:jc w:val="both"/>
        <w:rPr>
          <w:rFonts w:eastAsia="Calibri"/>
          <w:b/>
          <w:bCs/>
          <w:lang w:val="es-CR" w:eastAsia="zh-CN"/>
        </w:rPr>
      </w:pPr>
      <w:r w:rsidRPr="002C0DC3">
        <w:rPr>
          <w:rFonts w:eastAsia="Calibri"/>
          <w:b/>
          <w:bCs/>
          <w:lang w:val="es-CR" w:eastAsia="zh-CN"/>
        </w:rPr>
        <w:t>b. Avance de los planes remediales formulados por los despachos a cargo del CACMFJ, para atender las audiencias que no se han podido realizar por la pandemia respecto al COVID-19</w:t>
      </w:r>
    </w:p>
    <w:p w14:paraId="4D3A1528" w14:textId="77777777" w:rsidR="002C0DC3" w:rsidRPr="002C0DC3" w:rsidRDefault="002C0DC3" w:rsidP="002C0DC3">
      <w:pPr>
        <w:suppressAutoHyphens w:val="0"/>
        <w:ind w:left="851" w:right="851" w:firstLine="709"/>
        <w:jc w:val="both"/>
        <w:rPr>
          <w:rFonts w:eastAsia="Calibri"/>
          <w:lang w:val="es-CR" w:eastAsia="en-US"/>
        </w:rPr>
      </w:pPr>
    </w:p>
    <w:p w14:paraId="484A8F53" w14:textId="242958E6" w:rsidR="002C0DC3" w:rsidRDefault="002C0DC3" w:rsidP="002C0DC3">
      <w:pPr>
        <w:suppressAutoHyphens w:val="0"/>
        <w:ind w:left="851" w:right="851" w:firstLine="709"/>
        <w:jc w:val="both"/>
        <w:rPr>
          <w:rFonts w:eastAsia="Calibri"/>
          <w:i/>
          <w:iCs/>
          <w:lang w:val="es-CR" w:eastAsia="en-US"/>
        </w:rPr>
      </w:pPr>
      <w:r w:rsidRPr="002C0DC3">
        <w:rPr>
          <w:rFonts w:eastAsia="Calibri"/>
          <w:i/>
          <w:iCs/>
          <w:lang w:val="es-CR" w:eastAsia="en-US"/>
        </w:rPr>
        <w:t xml:space="preserve">“Sobre el avance de los planes remediales formulados por el CAMFJ, se consigna lo siguiente en el informe 301-PLA-MI-2021: “En cumplimiento de lo dispuesto por la Corte Plena en las sesiones 50-2020 y 55-2020 del 7 y 28 de setiembre de 2020, artículos XII y XIV respectivamente, comunicado mediante Circulares 214-2020 y 217-2020, lo cual en lo que interesa indica:  </w:t>
      </w:r>
    </w:p>
    <w:p w14:paraId="614441C0" w14:textId="77777777" w:rsidR="00B31AC4" w:rsidRPr="002C0DC3" w:rsidRDefault="00B31AC4" w:rsidP="002C0DC3">
      <w:pPr>
        <w:suppressAutoHyphens w:val="0"/>
        <w:ind w:left="851" w:right="851" w:firstLine="709"/>
        <w:jc w:val="both"/>
        <w:rPr>
          <w:rFonts w:eastAsia="Calibri"/>
          <w:i/>
          <w:iCs/>
          <w:lang w:val="es-CR" w:eastAsia="en-US"/>
        </w:rPr>
      </w:pPr>
    </w:p>
    <w:p w14:paraId="6F693D4A" w14:textId="129B468F" w:rsidR="002C0DC3" w:rsidRDefault="002C0DC3" w:rsidP="002C0DC3">
      <w:pPr>
        <w:suppressAutoHyphens w:val="0"/>
        <w:ind w:left="851" w:right="851" w:firstLine="709"/>
        <w:jc w:val="both"/>
        <w:rPr>
          <w:rFonts w:eastAsia="Calibri"/>
          <w:i/>
          <w:iCs/>
          <w:lang w:val="es-CR" w:eastAsia="en-US"/>
        </w:rPr>
      </w:pPr>
      <w:r w:rsidRPr="002C0DC3">
        <w:rPr>
          <w:rFonts w:eastAsia="Calibri"/>
          <w:i/>
          <w:iCs/>
          <w:lang w:val="es-CR" w:eastAsia="en-US"/>
        </w:rPr>
        <w:t>“...solicitar a cada una de las jurisdicciones remitir a esta Corte Plena un plan de trabajo remedial para las audiencias que no se han podido realizar, para los próximos seis meses…”.</w:t>
      </w:r>
    </w:p>
    <w:p w14:paraId="69EE8D53" w14:textId="77777777" w:rsidR="00B31AC4" w:rsidRPr="002C0DC3" w:rsidRDefault="00B31AC4" w:rsidP="002C0DC3">
      <w:pPr>
        <w:suppressAutoHyphens w:val="0"/>
        <w:ind w:left="851" w:right="851" w:firstLine="709"/>
        <w:jc w:val="both"/>
        <w:rPr>
          <w:rFonts w:eastAsia="Calibri"/>
          <w:i/>
          <w:iCs/>
          <w:lang w:val="es-CR" w:eastAsia="en-US"/>
        </w:rPr>
      </w:pPr>
    </w:p>
    <w:p w14:paraId="33612D6E" w14:textId="7FB09DE3" w:rsidR="002C0DC3" w:rsidRDefault="002C0DC3" w:rsidP="002C0DC3">
      <w:pPr>
        <w:suppressAutoHyphens w:val="0"/>
        <w:ind w:left="851" w:right="851" w:firstLine="709"/>
        <w:jc w:val="both"/>
        <w:rPr>
          <w:rFonts w:eastAsia="Calibri"/>
          <w:i/>
          <w:iCs/>
          <w:lang w:val="es-CR" w:eastAsia="en-US"/>
        </w:rPr>
      </w:pPr>
      <w:r w:rsidRPr="002C0DC3">
        <w:rPr>
          <w:rFonts w:eastAsia="Calibri"/>
          <w:i/>
          <w:iCs/>
          <w:lang w:val="es-CR" w:eastAsia="en-US"/>
        </w:rPr>
        <w:t>El Centro de Apoyo, Coordinación y Mejoramiento de la Función Jurisdiccional (CACMFJ) elaboró una plantilla de manera conjunta con la Dirección de Planificación para recopilar la información requerida respecto a los planes remediales que en acatamiento de los acuerdos citados debían formular las jurisdicciones, asimismo se les facilitó una guía para la correcta alimentación de la herramienta.</w:t>
      </w:r>
    </w:p>
    <w:p w14:paraId="35A60D85" w14:textId="77777777" w:rsidR="00B31AC4" w:rsidRPr="002C0DC3" w:rsidRDefault="00B31AC4" w:rsidP="002C0DC3">
      <w:pPr>
        <w:suppressAutoHyphens w:val="0"/>
        <w:ind w:left="851" w:right="851" w:firstLine="709"/>
        <w:jc w:val="both"/>
        <w:rPr>
          <w:rFonts w:eastAsia="Calibri"/>
          <w:i/>
          <w:iCs/>
          <w:lang w:val="es-CR" w:eastAsia="en-US"/>
        </w:rPr>
      </w:pPr>
    </w:p>
    <w:p w14:paraId="32189E04" w14:textId="3E616B20" w:rsidR="002C0DC3" w:rsidRDefault="002C0DC3" w:rsidP="002C0DC3">
      <w:pPr>
        <w:suppressAutoHyphens w:val="0"/>
        <w:ind w:left="851" w:right="851" w:firstLine="709"/>
        <w:contextualSpacing/>
        <w:jc w:val="both"/>
        <w:rPr>
          <w:rFonts w:eastAsia="Calibri"/>
          <w:i/>
          <w:iCs/>
          <w:lang w:val="es-CR" w:eastAsia="en-US"/>
        </w:rPr>
      </w:pPr>
      <w:r w:rsidRPr="002C0DC3">
        <w:rPr>
          <w:rFonts w:eastAsia="Calibri"/>
          <w:i/>
          <w:iCs/>
          <w:lang w:val="es-CR" w:eastAsia="en-US"/>
        </w:rPr>
        <w:lastRenderedPageBreak/>
        <w:t>Para la solicitud de formulación de los planes remediales, se omitió el envío a aquellos tribunales que por la naturaleza de sus funciones no realizan audiencias.</w:t>
      </w:r>
    </w:p>
    <w:p w14:paraId="3A57933A" w14:textId="77777777" w:rsidR="00B31AC4" w:rsidRPr="002C0DC3" w:rsidRDefault="00B31AC4" w:rsidP="002C0DC3">
      <w:pPr>
        <w:suppressAutoHyphens w:val="0"/>
        <w:ind w:left="851" w:right="851" w:firstLine="709"/>
        <w:contextualSpacing/>
        <w:jc w:val="both"/>
        <w:rPr>
          <w:rFonts w:eastAsia="Calibri"/>
          <w:i/>
          <w:iCs/>
          <w:lang w:val="es-CR" w:eastAsia="en-US"/>
        </w:rPr>
      </w:pPr>
    </w:p>
    <w:p w14:paraId="454FE5C5" w14:textId="77777777" w:rsidR="00B31AC4" w:rsidRDefault="002C0DC3" w:rsidP="002C0DC3">
      <w:pPr>
        <w:suppressAutoHyphens w:val="0"/>
        <w:ind w:left="851" w:right="851" w:firstLine="709"/>
        <w:jc w:val="both"/>
        <w:rPr>
          <w:rFonts w:eastAsia="Calibri"/>
          <w:i/>
          <w:iCs/>
          <w:lang w:eastAsia="en-US"/>
        </w:rPr>
      </w:pPr>
      <w:r w:rsidRPr="002C0DC3">
        <w:rPr>
          <w:rFonts w:eastAsia="Calibri"/>
          <w:i/>
          <w:iCs/>
          <w:lang w:eastAsia="en-US"/>
        </w:rPr>
        <w:t>Entre las estrategias generales propuestas por los despachos judiciales para atender las audiencias pendientes de reagendar por la pandemia, se tiene:</w:t>
      </w:r>
    </w:p>
    <w:p w14:paraId="7572DD1C" w14:textId="4CB7E16D" w:rsidR="002C0DC3" w:rsidRPr="002C0DC3" w:rsidRDefault="002C0DC3" w:rsidP="002C0DC3">
      <w:pPr>
        <w:suppressAutoHyphens w:val="0"/>
        <w:ind w:left="851" w:right="851" w:firstLine="709"/>
        <w:jc w:val="both"/>
        <w:rPr>
          <w:rFonts w:eastAsia="Calibri"/>
          <w:i/>
          <w:iCs/>
          <w:lang w:eastAsia="en-US"/>
        </w:rPr>
      </w:pPr>
      <w:r w:rsidRPr="002C0DC3">
        <w:rPr>
          <w:rFonts w:eastAsia="Calibri"/>
          <w:i/>
          <w:iCs/>
          <w:lang w:eastAsia="en-US"/>
        </w:rPr>
        <w:t xml:space="preserve"> </w:t>
      </w:r>
    </w:p>
    <w:p w14:paraId="52997D52" w14:textId="77777777" w:rsidR="002C0DC3" w:rsidRPr="002C0DC3" w:rsidRDefault="002C0DC3" w:rsidP="00CE3D95">
      <w:pPr>
        <w:numPr>
          <w:ilvl w:val="0"/>
          <w:numId w:val="16"/>
        </w:numPr>
        <w:suppressAutoHyphens w:val="0"/>
        <w:ind w:left="851" w:right="851" w:firstLine="709"/>
        <w:contextualSpacing/>
        <w:jc w:val="both"/>
        <w:rPr>
          <w:rFonts w:eastAsia="Calibri"/>
          <w:i/>
          <w:iCs/>
          <w:lang w:val="es-CR" w:eastAsia="en-US"/>
        </w:rPr>
      </w:pPr>
      <w:r w:rsidRPr="002C0DC3">
        <w:rPr>
          <w:rFonts w:eastAsia="Calibri"/>
          <w:i/>
          <w:iCs/>
          <w:lang w:val="es-CR" w:eastAsia="en-US"/>
        </w:rPr>
        <w:t>Dar prioridad a la reprogramación de audiencias, para luego programar las pendientes de señalar por primera vez.</w:t>
      </w:r>
    </w:p>
    <w:p w14:paraId="6569A042" w14:textId="77777777" w:rsidR="002C0DC3" w:rsidRPr="002C0DC3" w:rsidRDefault="002C0DC3" w:rsidP="002C0DC3">
      <w:pPr>
        <w:suppressAutoHyphens w:val="0"/>
        <w:ind w:left="851" w:right="851" w:firstLine="709"/>
        <w:jc w:val="both"/>
        <w:rPr>
          <w:rFonts w:eastAsia="Calibri"/>
          <w:lang w:val="es-CR" w:eastAsia="en-US"/>
        </w:rPr>
      </w:pPr>
    </w:p>
    <w:p w14:paraId="2035EC47" w14:textId="77777777" w:rsidR="002C0DC3" w:rsidRPr="002C0DC3" w:rsidRDefault="002C0DC3" w:rsidP="00CE3D95">
      <w:pPr>
        <w:numPr>
          <w:ilvl w:val="0"/>
          <w:numId w:val="16"/>
        </w:numPr>
        <w:suppressAutoHyphens w:val="0"/>
        <w:ind w:left="851" w:right="851" w:firstLine="709"/>
        <w:contextualSpacing/>
        <w:jc w:val="both"/>
        <w:rPr>
          <w:rFonts w:eastAsia="Calibri"/>
          <w:i/>
          <w:iCs/>
          <w:lang w:val="es-CR" w:eastAsia="en-US"/>
        </w:rPr>
      </w:pPr>
      <w:r w:rsidRPr="002C0DC3">
        <w:rPr>
          <w:rFonts w:eastAsia="Calibri"/>
          <w:i/>
          <w:iCs/>
          <w:lang w:val="es-CR" w:eastAsia="en-US"/>
        </w:rPr>
        <w:t>Aplicar las medidas sanitarias en las audiencias que se realizan en la oficina de la persona juzgadora.</w:t>
      </w:r>
    </w:p>
    <w:p w14:paraId="4FB633A3" w14:textId="77777777" w:rsidR="002C0DC3" w:rsidRPr="002C0DC3" w:rsidRDefault="002C0DC3" w:rsidP="002C0DC3">
      <w:pPr>
        <w:suppressAutoHyphens w:val="0"/>
        <w:ind w:left="851" w:right="851" w:firstLine="709"/>
        <w:jc w:val="both"/>
        <w:rPr>
          <w:rFonts w:eastAsia="Calibri"/>
          <w:lang w:val="es-CR" w:eastAsia="en-US"/>
        </w:rPr>
      </w:pPr>
    </w:p>
    <w:p w14:paraId="1BE7D7DF" w14:textId="77777777" w:rsidR="002C0DC3" w:rsidRPr="002C0DC3" w:rsidRDefault="002C0DC3" w:rsidP="00CE3D95">
      <w:pPr>
        <w:numPr>
          <w:ilvl w:val="0"/>
          <w:numId w:val="16"/>
        </w:numPr>
        <w:suppressAutoHyphens w:val="0"/>
        <w:ind w:left="851" w:right="851" w:firstLine="709"/>
        <w:contextualSpacing/>
        <w:jc w:val="both"/>
        <w:rPr>
          <w:rFonts w:eastAsia="Calibri"/>
          <w:i/>
          <w:iCs/>
          <w:lang w:val="es-CR" w:eastAsia="en-US"/>
        </w:rPr>
      </w:pPr>
      <w:r w:rsidRPr="002C0DC3">
        <w:rPr>
          <w:rFonts w:eastAsia="Calibri"/>
          <w:i/>
          <w:iCs/>
          <w:lang w:val="es-CR" w:eastAsia="en-US"/>
        </w:rPr>
        <w:t>Aumentar la cantidad de señalamientos a celebrarse durante la semana.</w:t>
      </w:r>
    </w:p>
    <w:p w14:paraId="28514FD1" w14:textId="77777777" w:rsidR="002C0DC3" w:rsidRPr="002C0DC3" w:rsidRDefault="002C0DC3" w:rsidP="002C0DC3">
      <w:pPr>
        <w:suppressAutoHyphens w:val="0"/>
        <w:ind w:left="851" w:right="851" w:firstLine="709"/>
        <w:jc w:val="both"/>
        <w:rPr>
          <w:rFonts w:eastAsia="Calibri"/>
          <w:lang w:val="es-CR" w:eastAsia="en-US"/>
        </w:rPr>
      </w:pPr>
    </w:p>
    <w:p w14:paraId="526FDB8B" w14:textId="77777777" w:rsidR="002C0DC3" w:rsidRPr="002C0DC3" w:rsidRDefault="002C0DC3" w:rsidP="00CE3D95">
      <w:pPr>
        <w:numPr>
          <w:ilvl w:val="0"/>
          <w:numId w:val="16"/>
        </w:numPr>
        <w:suppressAutoHyphens w:val="0"/>
        <w:ind w:left="851" w:right="851" w:firstLine="709"/>
        <w:contextualSpacing/>
        <w:jc w:val="both"/>
        <w:rPr>
          <w:rFonts w:eastAsia="Calibri"/>
          <w:i/>
          <w:iCs/>
          <w:lang w:val="es-CR" w:eastAsia="en-US"/>
        </w:rPr>
      </w:pPr>
      <w:r w:rsidRPr="002C0DC3">
        <w:rPr>
          <w:rFonts w:eastAsia="Calibri"/>
          <w:i/>
          <w:iCs/>
          <w:lang w:val="es-CR" w:eastAsia="en-US"/>
        </w:rPr>
        <w:t>Coordinar con las administraciones regionales, para la asignación de jueces supernumerarios.</w:t>
      </w:r>
    </w:p>
    <w:p w14:paraId="28463C70" w14:textId="77777777" w:rsidR="002C0DC3" w:rsidRPr="002C0DC3" w:rsidRDefault="002C0DC3" w:rsidP="002C0DC3">
      <w:pPr>
        <w:suppressAutoHyphens w:val="0"/>
        <w:ind w:left="851" w:right="851" w:firstLine="709"/>
        <w:jc w:val="both"/>
        <w:rPr>
          <w:rFonts w:eastAsia="Calibri"/>
          <w:lang w:val="es-CR" w:eastAsia="en-US"/>
        </w:rPr>
      </w:pPr>
    </w:p>
    <w:p w14:paraId="29895F78" w14:textId="252E81DF" w:rsidR="002C0DC3" w:rsidRDefault="002C0DC3" w:rsidP="00CE3D95">
      <w:pPr>
        <w:numPr>
          <w:ilvl w:val="0"/>
          <w:numId w:val="16"/>
        </w:numPr>
        <w:suppressAutoHyphens w:val="0"/>
        <w:ind w:left="851" w:right="851" w:firstLine="709"/>
        <w:contextualSpacing/>
        <w:jc w:val="both"/>
        <w:rPr>
          <w:rFonts w:eastAsia="Calibri"/>
          <w:i/>
          <w:iCs/>
          <w:lang w:val="es-CR" w:eastAsia="en-US"/>
        </w:rPr>
      </w:pPr>
      <w:r w:rsidRPr="002C0DC3">
        <w:rPr>
          <w:rFonts w:eastAsia="Calibri"/>
          <w:i/>
          <w:iCs/>
          <w:lang w:val="es-CR" w:eastAsia="en-US"/>
        </w:rPr>
        <w:t>Realización de audiencias orales por medios tecnológicos o bimodales (presencial – virtual).</w:t>
      </w:r>
    </w:p>
    <w:p w14:paraId="0439108C" w14:textId="77777777" w:rsidR="00B31AC4" w:rsidRPr="002C0DC3" w:rsidRDefault="00B31AC4" w:rsidP="00B31AC4">
      <w:pPr>
        <w:suppressAutoHyphens w:val="0"/>
        <w:ind w:right="851"/>
        <w:contextualSpacing/>
        <w:jc w:val="both"/>
        <w:rPr>
          <w:rFonts w:eastAsia="Calibri"/>
          <w:i/>
          <w:iCs/>
          <w:lang w:val="es-CR" w:eastAsia="en-US"/>
        </w:rPr>
      </w:pPr>
    </w:p>
    <w:p w14:paraId="16203CB6" w14:textId="51F03CB4" w:rsidR="002C0DC3" w:rsidRDefault="002C0DC3" w:rsidP="00CE3D95">
      <w:pPr>
        <w:numPr>
          <w:ilvl w:val="0"/>
          <w:numId w:val="16"/>
        </w:numPr>
        <w:suppressAutoHyphens w:val="0"/>
        <w:ind w:left="851" w:right="851" w:firstLine="709"/>
        <w:contextualSpacing/>
        <w:jc w:val="both"/>
        <w:rPr>
          <w:rFonts w:eastAsia="Calibri"/>
          <w:i/>
          <w:iCs/>
          <w:lang w:val="es-CR" w:eastAsia="en-US"/>
        </w:rPr>
      </w:pPr>
      <w:r w:rsidRPr="002C0DC3">
        <w:rPr>
          <w:rFonts w:eastAsia="Calibri"/>
          <w:i/>
          <w:iCs/>
          <w:lang w:val="es-CR" w:eastAsia="en-US"/>
        </w:rPr>
        <w:t>Solicitar colaboración al Centro de Conciliación de la zona respectiva para reagendar los señalamientos que se puedan conciliar.”</w:t>
      </w:r>
    </w:p>
    <w:p w14:paraId="08559844" w14:textId="77777777" w:rsidR="00B31AC4" w:rsidRPr="002C0DC3" w:rsidRDefault="00B31AC4" w:rsidP="00B31AC4">
      <w:pPr>
        <w:suppressAutoHyphens w:val="0"/>
        <w:ind w:right="851"/>
        <w:contextualSpacing/>
        <w:jc w:val="both"/>
        <w:rPr>
          <w:rFonts w:eastAsia="Calibri"/>
          <w:i/>
          <w:iCs/>
          <w:lang w:val="es-CR" w:eastAsia="en-US"/>
        </w:rPr>
      </w:pPr>
    </w:p>
    <w:p w14:paraId="6DC5DBD8" w14:textId="77777777" w:rsidR="002C0DC3" w:rsidRPr="002C0DC3" w:rsidRDefault="002C0DC3" w:rsidP="002C0DC3">
      <w:pPr>
        <w:suppressAutoHyphens w:val="0"/>
        <w:ind w:left="851" w:right="851" w:firstLine="709"/>
        <w:jc w:val="both"/>
        <w:rPr>
          <w:rFonts w:eastAsia="Calibri"/>
          <w:lang w:val="es-CR" w:eastAsia="en-US"/>
        </w:rPr>
      </w:pPr>
      <w:r w:rsidRPr="002C0DC3">
        <w:rPr>
          <w:rFonts w:eastAsia="Calibri"/>
          <w:lang w:val="es-CR" w:eastAsia="en-US"/>
        </w:rPr>
        <w:t xml:space="preserve">Respecto al avance de los planes propuestos y expuestos el 26 de octubre pasado ante la Corte Plena, a continuación, se presenta el detalle de la información recopilada por jurisdicción y por materia por el CAMFJ:  </w:t>
      </w:r>
    </w:p>
    <w:p w14:paraId="5A8FE37B" w14:textId="77777777" w:rsidR="002C0DC3" w:rsidRPr="002C0DC3" w:rsidRDefault="002C0DC3" w:rsidP="002C0DC3">
      <w:pPr>
        <w:suppressAutoHyphens w:val="0"/>
        <w:ind w:left="851" w:right="851" w:firstLine="709"/>
        <w:jc w:val="both"/>
        <w:rPr>
          <w:rFonts w:eastAsia="Calibri"/>
          <w:lang w:val="es-CR" w:eastAsia="en-US"/>
        </w:rPr>
      </w:pPr>
    </w:p>
    <w:p w14:paraId="5D16C2D1" w14:textId="77777777" w:rsidR="002C0DC3" w:rsidRPr="002C0DC3" w:rsidRDefault="002C0DC3" w:rsidP="002C0DC3">
      <w:pPr>
        <w:suppressAutoHyphens w:val="0"/>
        <w:ind w:left="851" w:right="851" w:firstLine="709"/>
        <w:jc w:val="center"/>
        <w:rPr>
          <w:rFonts w:eastAsia="Calibri"/>
          <w:lang w:eastAsia="en-US"/>
        </w:rPr>
      </w:pPr>
      <w:r w:rsidRPr="002C0DC3">
        <w:rPr>
          <w:rFonts w:eastAsia="Calibri"/>
          <w:lang w:eastAsia="en-US"/>
        </w:rPr>
        <w:t>Gráfico 10</w:t>
      </w:r>
    </w:p>
    <w:p w14:paraId="4D3CC3A9" w14:textId="77777777" w:rsidR="002C0DC3" w:rsidRPr="002C0DC3" w:rsidRDefault="002C0DC3" w:rsidP="002C0DC3">
      <w:pPr>
        <w:suppressAutoHyphens w:val="0"/>
        <w:ind w:left="851" w:right="851" w:firstLine="709"/>
        <w:jc w:val="center"/>
        <w:rPr>
          <w:rFonts w:eastAsia="Calibri"/>
          <w:lang w:eastAsia="en-US"/>
        </w:rPr>
      </w:pPr>
      <w:r w:rsidRPr="002C0DC3">
        <w:rPr>
          <w:rFonts w:eastAsia="Calibri"/>
          <w:lang w:eastAsia="en-US"/>
        </w:rPr>
        <w:t>Cantidad de audiencias señaladas de octubre 2020 a enero 2021</w:t>
      </w:r>
    </w:p>
    <w:p w14:paraId="2F2B0E46" w14:textId="77777777" w:rsidR="002C0DC3" w:rsidRPr="002C0DC3" w:rsidRDefault="002C0DC3" w:rsidP="002C0DC3">
      <w:pPr>
        <w:suppressAutoHyphens w:val="0"/>
        <w:ind w:left="284" w:right="-141"/>
        <w:jc w:val="both"/>
        <w:rPr>
          <w:rFonts w:eastAsia="Calibri"/>
          <w:lang w:eastAsia="en-US"/>
        </w:rPr>
      </w:pPr>
    </w:p>
    <w:p w14:paraId="21CF7224" w14:textId="77777777" w:rsidR="002C0DC3" w:rsidRPr="002C0DC3" w:rsidRDefault="002C0DC3" w:rsidP="002C0DC3">
      <w:pPr>
        <w:tabs>
          <w:tab w:val="left" w:pos="741"/>
        </w:tabs>
        <w:suppressAutoHyphens w:val="0"/>
        <w:jc w:val="both"/>
        <w:rPr>
          <w:rFonts w:eastAsia="Calibri"/>
          <w:lang w:val="es-CR" w:eastAsia="zh-CN"/>
        </w:rPr>
      </w:pPr>
      <w:r w:rsidRPr="002C0DC3">
        <w:rPr>
          <w:rFonts w:eastAsia="Calibri"/>
          <w:noProof/>
          <w:lang w:val="es-CR" w:eastAsia="es-CR"/>
        </w:rPr>
        <w:lastRenderedPageBreak/>
        <w:drawing>
          <wp:inline distT="0" distB="0" distL="0" distR="0" wp14:anchorId="67C657B9" wp14:editId="3F204234">
            <wp:extent cx="5694218" cy="2998470"/>
            <wp:effectExtent l="0" t="0" r="1905" b="0"/>
            <wp:docPr id="217" name="Imagen 21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n 217" descr="Escala de tiempo&#10;&#10;Descripción generada automáticamente"/>
                    <pic:cNvPicPr/>
                  </pic:nvPicPr>
                  <pic:blipFill>
                    <a:blip r:embed="rId32"/>
                    <a:stretch>
                      <a:fillRect/>
                    </a:stretch>
                  </pic:blipFill>
                  <pic:spPr>
                    <a:xfrm>
                      <a:off x="0" y="0"/>
                      <a:ext cx="5698496" cy="3000723"/>
                    </a:xfrm>
                    <a:prstGeom prst="rect">
                      <a:avLst/>
                    </a:prstGeom>
                  </pic:spPr>
                </pic:pic>
              </a:graphicData>
            </a:graphic>
          </wp:inline>
        </w:drawing>
      </w:r>
    </w:p>
    <w:p w14:paraId="2E5A9955" w14:textId="77777777" w:rsidR="002C0DC3" w:rsidRPr="002C0DC3" w:rsidRDefault="002C0DC3" w:rsidP="002C0DC3">
      <w:pPr>
        <w:suppressAutoHyphens w:val="0"/>
        <w:jc w:val="both"/>
        <w:rPr>
          <w:rFonts w:eastAsia="Calibri"/>
          <w:lang w:val="es-CR" w:eastAsia="en-US"/>
        </w:rPr>
      </w:pPr>
    </w:p>
    <w:p w14:paraId="64B92BF1" w14:textId="77777777" w:rsidR="002C0DC3" w:rsidRPr="002C0DC3" w:rsidRDefault="002C0DC3" w:rsidP="002C0DC3">
      <w:pPr>
        <w:keepNext/>
        <w:keepLines/>
        <w:suppressAutoHyphens w:val="0"/>
        <w:ind w:left="851" w:right="851" w:firstLine="709"/>
        <w:jc w:val="both"/>
        <w:rPr>
          <w:b/>
          <w:lang w:val="es-CR" w:eastAsia="es-CR"/>
        </w:rPr>
      </w:pPr>
      <w:bookmarkStart w:id="58" w:name="_Toc76646233"/>
      <w:bookmarkStart w:id="59" w:name="_Toc78467047"/>
      <w:bookmarkStart w:id="60" w:name="_Toc80351037"/>
      <w:r w:rsidRPr="002C0DC3">
        <w:rPr>
          <w:b/>
          <w:lang w:val="es-CR" w:eastAsia="es-CR"/>
        </w:rPr>
        <w:t>Conclusiones</w:t>
      </w:r>
      <w:bookmarkEnd w:id="58"/>
      <w:bookmarkEnd w:id="59"/>
      <w:bookmarkEnd w:id="60"/>
    </w:p>
    <w:p w14:paraId="2ED7A321" w14:textId="77777777" w:rsidR="002C0DC3" w:rsidRPr="002C0DC3" w:rsidRDefault="002C0DC3" w:rsidP="002C0DC3">
      <w:pPr>
        <w:suppressAutoHyphens w:val="0"/>
        <w:ind w:left="851" w:right="851" w:firstLine="709"/>
        <w:jc w:val="both"/>
        <w:rPr>
          <w:rFonts w:eastAsia="Calibri"/>
          <w:lang w:val="es-CR" w:eastAsia="en-US"/>
        </w:rPr>
      </w:pPr>
    </w:p>
    <w:p w14:paraId="2199F604"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El rendimiento del personal judicial en los juzgados de cobro donde se encuentra implementado el modelo de sostenibilidad tanto a nivel de personas juzgadoras como a nivel de personas técnicas judiciales, superó en todos los circuitos judiciales el 100%, lo que significa que tanto jueces y juezas, como técnicas superan las cuotas de trabajo establecidas en los indicadores de gestión.  La única excepción reportada durante el 2020 fue el Juzgado de Cobro de Cartago, en el cual, las personas técnicas judiciales reportaron un rendimiento de 93%.</w:t>
      </w:r>
    </w:p>
    <w:p w14:paraId="2A7FC6CE" w14:textId="77777777" w:rsidR="002C0DC3" w:rsidRPr="002C0DC3" w:rsidRDefault="002C0DC3" w:rsidP="002C0DC3">
      <w:pPr>
        <w:suppressAutoHyphens w:val="0"/>
        <w:ind w:left="851" w:right="851" w:firstLine="709"/>
        <w:contextualSpacing/>
        <w:jc w:val="both"/>
        <w:rPr>
          <w:rFonts w:eastAsia="Calibri"/>
          <w:lang w:val="es-CR" w:eastAsia="en-US"/>
        </w:rPr>
      </w:pPr>
    </w:p>
    <w:p w14:paraId="02FA8E07"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En cuanto a las audiencias realizadas y no realizadas, se observa que en la mayoría de los meses y circuitos, las audiencias no realizadas superan a las realizadas, lo cual puede entenderse por las mismas razones mencionadas con anterioridad sobre el impacto de la declaratoria de emergencia nacional, a lo cual se suman otras razones como inasistencia de las partes, declaratorias de zona naranja y cierres de los despachos para aplicación de protocolos COVID-19 para desinfección de las oficinas ante alertas de contagio.</w:t>
      </w:r>
    </w:p>
    <w:p w14:paraId="61275711" w14:textId="77777777" w:rsidR="002C0DC3" w:rsidRPr="002C0DC3" w:rsidRDefault="002C0DC3" w:rsidP="002C0DC3">
      <w:pPr>
        <w:suppressAutoHyphens w:val="0"/>
        <w:ind w:left="851" w:right="851" w:firstLine="709"/>
        <w:contextualSpacing/>
        <w:jc w:val="both"/>
        <w:rPr>
          <w:rFonts w:eastAsia="Calibri"/>
          <w:lang w:val="es-CR" w:eastAsia="en-US"/>
        </w:rPr>
      </w:pPr>
    </w:p>
    <w:p w14:paraId="3D440DAE"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 xml:space="preserve">En cuanto a la clasificación mensual de los despachos de cobro mediante la aplicación del modelo MAIC, se observa que durante varios meses, en todos los circuitos analizados, predomina la clasificación “E”, lo cual indica </w:t>
      </w:r>
      <w:r w:rsidRPr="002C0DC3">
        <w:rPr>
          <w:rFonts w:eastAsia="Calibri"/>
          <w:lang w:val="es-CR" w:eastAsia="en-US"/>
        </w:rPr>
        <w:lastRenderedPageBreak/>
        <w:t xml:space="preserve">que son despachos que a pesar de que al menos el 80% de su personal cumple con las cuotas de trabajo establecidas, se encuentran en una situación crítica, ya que sus cargas de trabajo sobrepasan su capacidad instalada. </w:t>
      </w:r>
    </w:p>
    <w:p w14:paraId="76CDA945" w14:textId="77777777" w:rsidR="002C0DC3" w:rsidRPr="002C0DC3" w:rsidRDefault="002C0DC3" w:rsidP="002C0DC3">
      <w:pPr>
        <w:suppressAutoHyphens w:val="0"/>
        <w:ind w:left="851" w:right="851" w:firstLine="709"/>
        <w:contextualSpacing/>
        <w:jc w:val="both"/>
        <w:rPr>
          <w:rFonts w:eastAsia="Calibri"/>
          <w:lang w:val="es-CR" w:eastAsia="en-US"/>
        </w:rPr>
      </w:pPr>
    </w:p>
    <w:p w14:paraId="4AE3ACD5"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En cuanto a los indicadores que más afectan dicha clasificación, se observa que en la mayoría de los casos corresponden al plazo para el trámite de escritos y el trámite de demandas nuevas, razón por la cual a los despachos que se les ha apoyado mediante planes de trabajo en los diferentes circuitos, se han atendido estas áreas.</w:t>
      </w:r>
    </w:p>
    <w:p w14:paraId="1B6A4F75" w14:textId="77777777" w:rsidR="002C0DC3" w:rsidRPr="002C0DC3" w:rsidRDefault="002C0DC3" w:rsidP="002C0DC3">
      <w:pPr>
        <w:suppressAutoHyphens w:val="0"/>
        <w:ind w:left="851" w:right="851" w:firstLine="709"/>
        <w:contextualSpacing/>
        <w:jc w:val="both"/>
        <w:rPr>
          <w:rFonts w:eastAsia="Calibri"/>
          <w:lang w:val="es-CR" w:eastAsia="en-US"/>
        </w:rPr>
      </w:pPr>
    </w:p>
    <w:p w14:paraId="5876FA71"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Los planes remediales desarrollados en esta materia estuvieron enfocados en estabilizar los porcentajes de rendimiento de las personas técnicas judiciales y mejorar los plazos de trámite de demandas nuevas y la resolución de escritos, además de aprobaciones de liquidaciones y remates, entre otros.</w:t>
      </w:r>
    </w:p>
    <w:p w14:paraId="6772B111" w14:textId="77777777" w:rsidR="002C0DC3" w:rsidRPr="002C0DC3" w:rsidRDefault="002C0DC3" w:rsidP="002C0DC3">
      <w:pPr>
        <w:suppressAutoHyphens w:val="0"/>
        <w:ind w:left="851" w:right="851" w:firstLine="709"/>
        <w:contextualSpacing/>
        <w:jc w:val="both"/>
        <w:rPr>
          <w:rFonts w:eastAsia="Calibri"/>
          <w:lang w:val="es-CR" w:eastAsia="en-US"/>
        </w:rPr>
      </w:pPr>
    </w:p>
    <w:p w14:paraId="35FFC838"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Los Juzgados de Cobro reúnen una característica idónea para brindar apoyo a través de los planes de trabajo que se desarrollan en los circuitos, en tanto se continúe cumpliendo con al menos un 80% de su personal que cumplan las cuotas de trabajo, pues se evidencia un compromiso de los funcionarios del despacho por cumplir con las cuotas establecidas.</w:t>
      </w:r>
    </w:p>
    <w:p w14:paraId="30B0ED87" w14:textId="77777777" w:rsidR="002C0DC3" w:rsidRPr="002C0DC3" w:rsidRDefault="002C0DC3" w:rsidP="002C0DC3">
      <w:pPr>
        <w:suppressAutoHyphens w:val="0"/>
        <w:ind w:left="851" w:right="851" w:firstLine="709"/>
        <w:jc w:val="both"/>
        <w:rPr>
          <w:rFonts w:eastAsia="Calibri"/>
          <w:lang w:val="es-CR" w:eastAsia="zh-CN"/>
        </w:rPr>
      </w:pPr>
    </w:p>
    <w:p w14:paraId="0E951E13" w14:textId="77777777" w:rsidR="002C0DC3" w:rsidRPr="002C0DC3" w:rsidRDefault="002C0DC3" w:rsidP="002C0DC3">
      <w:pPr>
        <w:suppressAutoHyphens w:val="0"/>
        <w:ind w:left="851" w:right="851" w:firstLine="709"/>
        <w:jc w:val="both"/>
        <w:rPr>
          <w:rFonts w:eastAsia="Book Antiqua"/>
          <w:lang w:val="es-CR" w:eastAsia="en-US"/>
        </w:rPr>
      </w:pPr>
      <w:r w:rsidRPr="002C0DC3">
        <w:rPr>
          <w:rFonts w:eastAsia="Book Antiqua"/>
          <w:lang w:val="es-CR" w:eastAsia="en-US"/>
        </w:rPr>
        <w:t xml:space="preserve">Las siguientes son conclusiones contenidas en el informe de </w:t>
      </w:r>
      <w:r w:rsidRPr="002C0DC3">
        <w:rPr>
          <w:rFonts w:eastAsia="Book Antiqua"/>
          <w:i/>
          <w:iCs/>
          <w:lang w:val="es-CR" w:eastAsia="en-US"/>
        </w:rPr>
        <w:t xml:space="preserve">“Seguimiento a cargo del Centro de Apoyo, Coordinación y Mejoramiento de la Función Jurisdiccional” </w:t>
      </w:r>
      <w:r w:rsidRPr="002C0DC3">
        <w:rPr>
          <w:rFonts w:eastAsia="Book Antiqua"/>
          <w:lang w:val="es-CR" w:eastAsia="en-US"/>
        </w:rPr>
        <w:t>contenido en el informe 301-PLA-MI-2020:</w:t>
      </w:r>
    </w:p>
    <w:p w14:paraId="09AF8411" w14:textId="77777777" w:rsidR="002C0DC3" w:rsidRPr="002C0DC3" w:rsidRDefault="002C0DC3" w:rsidP="002C0DC3">
      <w:pPr>
        <w:tabs>
          <w:tab w:val="left" w:pos="741"/>
        </w:tabs>
        <w:suppressAutoHyphens w:val="0"/>
        <w:ind w:left="851" w:right="851" w:firstLine="709"/>
        <w:jc w:val="both"/>
        <w:rPr>
          <w:rFonts w:eastAsia="Calibri"/>
          <w:lang w:val="es-CR" w:eastAsia="zh-CN"/>
        </w:rPr>
      </w:pPr>
    </w:p>
    <w:p w14:paraId="2D6A2664"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Los juzgados de Cobro Judicial se han mantenido laborando casi de forma normalizada, cumpliendo de manera general las cuotas de trabajo y acatando las disposiciones emitidas por los Órganos Superiores respecto a la situación que atraviesa el país, continuando con las labores sustanciales de manera efectiva, tales como la realización de giros de dinero, celebración de audiencias y remates, anotaciones en el SREM, además del trámite, firma y fallo de expedientes, entre otras.</w:t>
      </w:r>
    </w:p>
    <w:p w14:paraId="5C4F963B" w14:textId="77777777" w:rsidR="002C0DC3" w:rsidRPr="002C0DC3" w:rsidRDefault="002C0DC3" w:rsidP="002C0DC3">
      <w:pPr>
        <w:suppressAutoHyphens w:val="0"/>
        <w:ind w:left="851" w:right="851" w:firstLine="709"/>
        <w:contextualSpacing/>
        <w:jc w:val="both"/>
        <w:rPr>
          <w:rFonts w:eastAsia="Calibri"/>
          <w:lang w:val="es-CR" w:eastAsia="en-US"/>
        </w:rPr>
      </w:pPr>
    </w:p>
    <w:p w14:paraId="74432F58"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 xml:space="preserve">La materia de Cobro mostró mensualmente, de enero 2020 a enero 2021, una efectividad global en el fallo y en la firma de expedientes mayor al 100%, inclusive realizando en ambos indicadores mayor cantidad de asuntos que los esperados y sin aplicarse ningún tipo de rebajo por motivos o inconvenientes justificables que pudo haber presentado el personal, tales como; vacaciones, permisos con o sin goce de salario, incapacidades, entre otros, debido a que la matriz de seguimiento no lo contempla. </w:t>
      </w:r>
    </w:p>
    <w:p w14:paraId="507C41F9" w14:textId="77777777" w:rsidR="002C0DC3" w:rsidRPr="002C0DC3" w:rsidRDefault="002C0DC3" w:rsidP="002C0DC3">
      <w:pPr>
        <w:suppressAutoHyphens w:val="0"/>
        <w:ind w:left="851" w:right="851" w:firstLine="709"/>
        <w:contextualSpacing/>
        <w:jc w:val="both"/>
        <w:rPr>
          <w:rFonts w:eastAsia="Calibri"/>
          <w:lang w:val="es-CR" w:eastAsia="en-US"/>
        </w:rPr>
      </w:pPr>
    </w:p>
    <w:p w14:paraId="49FBC2CD"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lastRenderedPageBreak/>
        <w:t xml:space="preserve">Los juzgados de Cobro Judicial han mostrado mayor apertura en la utilización del Protocolo de audiencias orales por medios tecnológicos, lo que ha producido un incremento en el resultado de la cantidad de audiencias virtuales realizadas en los últimos meses analizados respecto al inicio del uso del protocolo, que en algunos de estos despachos se determinó que respondía a la resistencia al cambio. </w:t>
      </w:r>
    </w:p>
    <w:p w14:paraId="5A6D080A" w14:textId="77777777" w:rsidR="002C0DC3" w:rsidRPr="002C0DC3" w:rsidRDefault="002C0DC3" w:rsidP="002C0DC3">
      <w:pPr>
        <w:suppressAutoHyphens w:val="0"/>
        <w:ind w:left="851" w:right="851" w:firstLine="709"/>
        <w:contextualSpacing/>
        <w:jc w:val="both"/>
        <w:rPr>
          <w:rFonts w:eastAsia="Calibri"/>
          <w:lang w:val="es-CR" w:eastAsia="en-US"/>
        </w:rPr>
      </w:pPr>
    </w:p>
    <w:p w14:paraId="23DA521C"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De las 58 audiencias pendientes los juzgados cobratorios lograron reprogramar 52 audiencias a enero 2021, entre las cuales una de ellas fue suspendida, alcanzándose un 90% de efectividad del plan, quedando pendiente 2 de realizar ya reprogramadas en la Agenda Cronos, 4 por agendar y 1 por reprogramar que fue suspendida por COVID, las cuales se espera sean realizadas en el tiempo restante del plan.</w:t>
      </w:r>
    </w:p>
    <w:p w14:paraId="098CB3EC" w14:textId="77777777" w:rsidR="002C0DC3" w:rsidRPr="002C0DC3" w:rsidRDefault="002C0DC3" w:rsidP="002C0DC3">
      <w:pPr>
        <w:suppressAutoHyphens w:val="0"/>
        <w:ind w:left="851" w:right="851" w:firstLine="709"/>
        <w:contextualSpacing/>
        <w:jc w:val="both"/>
        <w:rPr>
          <w:rFonts w:eastAsia="Calibri"/>
          <w:lang w:val="es-CR" w:eastAsia="en-US"/>
        </w:rPr>
      </w:pPr>
    </w:p>
    <w:p w14:paraId="75DF1D9A" w14:textId="77777777" w:rsidR="002C0DC3" w:rsidRPr="002C0DC3" w:rsidRDefault="002C0DC3" w:rsidP="00CE3D95">
      <w:pPr>
        <w:numPr>
          <w:ilvl w:val="0"/>
          <w:numId w:val="25"/>
        </w:numPr>
        <w:suppressAutoHyphens w:val="0"/>
        <w:ind w:left="851" w:right="851" w:firstLine="709"/>
        <w:contextualSpacing/>
        <w:jc w:val="both"/>
        <w:rPr>
          <w:rFonts w:eastAsia="Calibri"/>
          <w:lang w:val="es-CR" w:eastAsia="en-US"/>
        </w:rPr>
      </w:pPr>
      <w:r w:rsidRPr="002C0DC3">
        <w:rPr>
          <w:rFonts w:eastAsia="Calibri"/>
          <w:lang w:val="es-CR" w:eastAsia="en-US"/>
        </w:rPr>
        <w:t xml:space="preserve">La declaratoria de emergencia nacional relacionada con la adopción de una serie de medidas por parte de la Institución con ocasión del decreto ejecutivo 42227-MS del COVID-19, emitido el día 16 de marzo de 2020, en que se declara estado de emergencia nacional sanitaria en todo el territorio de la República de Costa Rica, debido a la enfermedad denominada COVID-19, tuvo su impacto en el porcentaje de efectividad de las audiencias que se realizaron en los Juzgados de Cobro de los Circuitos Judiciales de Puntarenas, ICJ de Guanacaste, ICJ de Alajuela, ICJ de la Zona Atlántica, II CJ de Alajuela y Circuito Judicial de Heredia, ya que se registraron descensos en los porcentajes de efectividad en la realización de las audiencias. </w:t>
      </w:r>
    </w:p>
    <w:p w14:paraId="0B7F97FB" w14:textId="77777777" w:rsidR="002C0DC3" w:rsidRPr="002C0DC3" w:rsidRDefault="002C0DC3" w:rsidP="002C0DC3">
      <w:pPr>
        <w:suppressAutoHyphens w:val="0"/>
        <w:ind w:left="851" w:right="851" w:firstLine="709"/>
        <w:jc w:val="both"/>
        <w:rPr>
          <w:rFonts w:eastAsia="Calibri"/>
          <w:lang w:val="es-CR" w:eastAsia="en-US"/>
        </w:rPr>
      </w:pPr>
    </w:p>
    <w:p w14:paraId="38F6358D" w14:textId="77777777" w:rsidR="002C0DC3" w:rsidRPr="002C0DC3" w:rsidRDefault="002C0DC3" w:rsidP="002C0DC3">
      <w:pPr>
        <w:suppressAutoHyphens w:val="0"/>
        <w:ind w:left="851" w:right="851" w:firstLine="709"/>
        <w:contextualSpacing/>
        <w:jc w:val="both"/>
        <w:rPr>
          <w:rFonts w:eastAsia="Calibri"/>
          <w:lang w:val="es-CR" w:eastAsia="en-US"/>
        </w:rPr>
      </w:pPr>
      <w:r w:rsidRPr="002C0DC3">
        <w:rPr>
          <w:rFonts w:eastAsia="Calibri"/>
          <w:lang w:val="es-CR" w:eastAsia="en-US"/>
        </w:rPr>
        <w:t>Debe recordarse que se suspendieron las actividades presenciales para los puestos teletrabajables  a partir del día lunes 23 de marzo de 2020  a fin de que las personas servidoras se mantuvieran en sus hogares para reducir los riesgos de contagio de la enfermedad COVID-Además se generaron una serie de restricciones a partir del 17 de marzo de 2020, las cuales consistieron en cierres de oficinas temporales para la aplicación de los protocolos emitidos por el Ministerio de Salud, se redujo la cantidad de personas laborando de manera presencial,  se inició la valoración de puestos que aplicaran al teletrabajo con licencias VDI o VPN, o las distintas formas que se han aplicado a nivel institucional que ha variado, lo cual vino a impactar significativamente la manera habitual de atención en cada una de las oficinas.  Se exceptúan de este descenso en el porcentaje de efectividad de las audiencias para los meses de marzo y abril, el Circuito Judicial de Cartago, el cual mantuvo prácticamente igual el porcentaje mencionado.</w:t>
      </w:r>
    </w:p>
    <w:p w14:paraId="587132FF" w14:textId="77777777" w:rsidR="002C0DC3" w:rsidRPr="002C0DC3" w:rsidRDefault="002C0DC3" w:rsidP="002C0DC3">
      <w:pPr>
        <w:suppressAutoHyphens w:val="0"/>
        <w:ind w:right="851"/>
        <w:jc w:val="both"/>
        <w:rPr>
          <w:rFonts w:eastAsia="Calibri"/>
          <w:lang w:val="es-CR" w:eastAsia="en-US"/>
        </w:rPr>
      </w:pPr>
    </w:p>
    <w:p w14:paraId="09BE3323" w14:textId="77777777" w:rsidR="002C0DC3" w:rsidRPr="002C0DC3" w:rsidRDefault="002C0DC3" w:rsidP="002C0DC3">
      <w:pPr>
        <w:keepNext/>
        <w:keepLines/>
        <w:suppressAutoHyphens w:val="0"/>
        <w:ind w:left="851" w:right="851" w:firstLine="709"/>
        <w:jc w:val="both"/>
        <w:rPr>
          <w:b/>
          <w:lang w:val="es-CR" w:eastAsia="es-CR"/>
        </w:rPr>
      </w:pPr>
      <w:bookmarkStart w:id="61" w:name="_Toc76646234"/>
      <w:bookmarkStart w:id="62" w:name="_Toc78467048"/>
      <w:bookmarkStart w:id="63" w:name="_Toc80351038"/>
      <w:r w:rsidRPr="002C0DC3">
        <w:rPr>
          <w:b/>
          <w:lang w:val="es-CR" w:eastAsia="es-CR"/>
        </w:rPr>
        <w:lastRenderedPageBreak/>
        <w:t>Recomendaciones</w:t>
      </w:r>
      <w:bookmarkEnd w:id="61"/>
      <w:bookmarkEnd w:id="62"/>
      <w:bookmarkEnd w:id="63"/>
    </w:p>
    <w:p w14:paraId="60BC78AA" w14:textId="77777777" w:rsidR="002C0DC3" w:rsidRPr="002C0DC3" w:rsidRDefault="002C0DC3" w:rsidP="002C0DC3">
      <w:pPr>
        <w:suppressAutoHyphens w:val="0"/>
        <w:ind w:left="851" w:right="851" w:firstLine="709"/>
        <w:jc w:val="both"/>
        <w:rPr>
          <w:rFonts w:eastAsia="Calibri"/>
          <w:lang w:val="es-CR" w:eastAsia="es-CR"/>
        </w:rPr>
      </w:pPr>
    </w:p>
    <w:p w14:paraId="396DFF61" w14:textId="77777777" w:rsidR="002C0DC3" w:rsidRPr="002C0DC3" w:rsidRDefault="002C0DC3" w:rsidP="00CE3D95">
      <w:pPr>
        <w:numPr>
          <w:ilvl w:val="0"/>
          <w:numId w:val="35"/>
        </w:numPr>
        <w:suppressAutoHyphens w:val="0"/>
        <w:ind w:left="851" w:right="851" w:firstLine="709"/>
        <w:contextualSpacing/>
        <w:jc w:val="both"/>
        <w:rPr>
          <w:rFonts w:eastAsia="Calibri"/>
          <w:lang w:val="es-CR" w:eastAsia="zh-CN"/>
        </w:rPr>
      </w:pPr>
      <w:r w:rsidRPr="002C0DC3">
        <w:rPr>
          <w:rFonts w:eastAsia="Calibri"/>
          <w:lang w:val="es-CR" w:eastAsia="zh-CN"/>
        </w:rPr>
        <w:t xml:space="preserve"> Considerar a los Juzgados de Cobro por la Administración Regional y la Dirección de Planificación como prioritarios para la asignación de recurso supernumerario y creación de planes de trabajo, ya que se valora el compromiso y esfuerzo del personal para mejorar la gestión del despacho, siempre que la asignación de recurso de apoyo no afecte otras áreas sociales de mayor sensibilidad e impacto a nivel nacional.</w:t>
      </w:r>
    </w:p>
    <w:p w14:paraId="4BEAFC1D" w14:textId="77777777" w:rsidR="002C0DC3" w:rsidRPr="002C0DC3" w:rsidRDefault="002C0DC3" w:rsidP="002C0DC3">
      <w:pPr>
        <w:suppressAutoHyphens w:val="0"/>
        <w:ind w:left="851" w:right="851" w:firstLine="709"/>
        <w:jc w:val="both"/>
        <w:rPr>
          <w:rFonts w:eastAsia="Calibri"/>
          <w:lang w:val="es-CR" w:eastAsia="en-US"/>
        </w:rPr>
      </w:pPr>
    </w:p>
    <w:p w14:paraId="10D6B024" w14:textId="77777777" w:rsidR="002C0DC3" w:rsidRPr="002C0DC3" w:rsidRDefault="002C0DC3" w:rsidP="00CE3D95">
      <w:pPr>
        <w:numPr>
          <w:ilvl w:val="0"/>
          <w:numId w:val="35"/>
        </w:numPr>
        <w:suppressAutoHyphens w:val="0"/>
        <w:ind w:left="851" w:right="851" w:firstLine="709"/>
        <w:contextualSpacing/>
        <w:jc w:val="both"/>
        <w:rPr>
          <w:rFonts w:eastAsia="Calibri"/>
          <w:lang w:val="es-CR" w:eastAsia="zh-CN"/>
        </w:rPr>
      </w:pPr>
      <w:r w:rsidRPr="002C0DC3">
        <w:rPr>
          <w:rFonts w:eastAsia="Calibri"/>
          <w:lang w:val="es-CR" w:eastAsia="zh-CN"/>
        </w:rPr>
        <w:t>Ante la situación de pandemia nacional que aún enfrenta el país, se debe instar a los Juzgados de Cobro a utilizar y promover los mecanismos de audiencias virtuales para fomentar un mayor aprovechamiento de los recursos institucionales y que los procesos de cobro fluyan con la mayor normalidad posible; todo dentro de las limitaciones que la aplicación de estas herramientas tecnológicas puedan generar.</w:t>
      </w:r>
    </w:p>
    <w:p w14:paraId="1730131F" w14:textId="77777777" w:rsidR="002C0DC3" w:rsidRPr="002C0DC3" w:rsidRDefault="002C0DC3" w:rsidP="002C0DC3">
      <w:pPr>
        <w:suppressAutoHyphens w:val="0"/>
        <w:ind w:left="851" w:right="851" w:firstLine="709"/>
        <w:jc w:val="both"/>
        <w:rPr>
          <w:rFonts w:eastAsia="Calibri"/>
          <w:lang w:val="es-CR" w:eastAsia="en-US"/>
        </w:rPr>
      </w:pPr>
    </w:p>
    <w:p w14:paraId="2A5A4F06" w14:textId="77777777" w:rsidR="002C0DC3" w:rsidRPr="002C0DC3" w:rsidRDefault="002C0DC3" w:rsidP="00CE3D95">
      <w:pPr>
        <w:numPr>
          <w:ilvl w:val="0"/>
          <w:numId w:val="35"/>
        </w:numPr>
        <w:suppressAutoHyphens w:val="0"/>
        <w:ind w:left="851" w:right="851" w:firstLine="709"/>
        <w:contextualSpacing/>
        <w:jc w:val="both"/>
        <w:rPr>
          <w:rFonts w:eastAsia="Calibri"/>
          <w:lang w:val="es-CR" w:eastAsia="zh-CN"/>
        </w:rPr>
      </w:pPr>
      <w:r w:rsidRPr="002C0DC3">
        <w:rPr>
          <w:rFonts w:eastAsia="Calibri"/>
          <w:lang w:val="es-CR" w:eastAsia="zh-CN"/>
        </w:rPr>
        <w:t>Replicar los planes de trabajo aprobados en el informe 963-PLA-EV-2020 relacionado con el plan de trabajo 2020 del Juzgado de Cobro y Juzgado Civil del Primer Circuito Judicial de Alajuela y Juzgado de Cobro y Juzgado Civil del Segundo Circuito Judicial de Alajuela, los cuales han resultado muy positivos como apoyo a las elevadas cargas de trabajo que estos despachos enfrentar, con la finalidad de hacer un mejor aprovechamiento del recurso disponible en materia civil y buscar impactar las cargas de trabajo de los Juzgados de Cobro.</w:t>
      </w:r>
    </w:p>
    <w:p w14:paraId="65966CF3" w14:textId="77777777" w:rsidR="002C0DC3" w:rsidRPr="002C0DC3" w:rsidRDefault="002C0DC3" w:rsidP="002C0DC3">
      <w:pPr>
        <w:suppressAutoHyphens w:val="0"/>
        <w:ind w:left="851" w:right="851" w:firstLine="709"/>
        <w:contextualSpacing/>
        <w:jc w:val="both"/>
        <w:rPr>
          <w:rFonts w:eastAsia="Calibri"/>
          <w:lang w:val="es-CR" w:eastAsia="zh-CN"/>
        </w:rPr>
      </w:pPr>
    </w:p>
    <w:p w14:paraId="56DE82F6" w14:textId="77777777" w:rsidR="002C0DC3" w:rsidRPr="002C0DC3" w:rsidRDefault="002C0DC3" w:rsidP="00CE3D95">
      <w:pPr>
        <w:numPr>
          <w:ilvl w:val="0"/>
          <w:numId w:val="35"/>
        </w:numPr>
        <w:suppressAutoHyphens w:val="0"/>
        <w:ind w:left="851" w:right="851" w:firstLine="709"/>
        <w:contextualSpacing/>
        <w:jc w:val="both"/>
        <w:rPr>
          <w:rFonts w:eastAsia="Calibri"/>
          <w:lang w:val="es-CR" w:eastAsia="zh-CN"/>
        </w:rPr>
      </w:pPr>
      <w:r w:rsidRPr="002C0DC3">
        <w:rPr>
          <w:rFonts w:eastAsia="Calibri"/>
          <w:lang w:val="es-CR" w:eastAsia="zh-CN"/>
        </w:rPr>
        <w:t>Considerar las circulares institucionales relacionadas a población vulnerables:</w:t>
      </w:r>
    </w:p>
    <w:p w14:paraId="31530BA8" w14:textId="77777777" w:rsidR="002C0DC3" w:rsidRPr="002C0DC3" w:rsidRDefault="002C0DC3" w:rsidP="002C0DC3">
      <w:pPr>
        <w:suppressAutoHyphens w:val="0"/>
        <w:jc w:val="both"/>
        <w:rPr>
          <w:rFonts w:eastAsia="Calibri"/>
          <w:lang w:val="es-CR" w:eastAsia="es-CR"/>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1"/>
        <w:gridCol w:w="7868"/>
      </w:tblGrid>
      <w:tr w:rsidR="002C0DC3" w:rsidRPr="002C0DC3" w14:paraId="7026F136" w14:textId="77777777" w:rsidTr="002C0DC3">
        <w:trPr>
          <w:trHeight w:val="547"/>
          <w:tblHeader/>
          <w:jc w:val="center"/>
        </w:trPr>
        <w:tc>
          <w:tcPr>
            <w:tcW w:w="810" w:type="pct"/>
            <w:tcBorders>
              <w:top w:val="single" w:sz="6" w:space="0" w:color="auto"/>
              <w:left w:val="single" w:sz="6" w:space="0" w:color="auto"/>
              <w:bottom w:val="single" w:sz="6" w:space="0" w:color="auto"/>
              <w:right w:val="single" w:sz="6" w:space="0" w:color="auto"/>
            </w:tcBorders>
            <w:shd w:val="clear" w:color="auto" w:fill="44546A"/>
            <w:vAlign w:val="center"/>
            <w:hideMark/>
          </w:tcPr>
          <w:p w14:paraId="59F30246"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b/>
                <w:bCs/>
                <w:lang w:val="es-CR" w:eastAsia="es-CR"/>
              </w:rPr>
              <w:t>Circular</w:t>
            </w:r>
          </w:p>
        </w:tc>
        <w:tc>
          <w:tcPr>
            <w:tcW w:w="4190" w:type="pct"/>
            <w:tcBorders>
              <w:top w:val="single" w:sz="6" w:space="0" w:color="auto"/>
              <w:left w:val="nil"/>
              <w:bottom w:val="single" w:sz="6" w:space="0" w:color="auto"/>
              <w:right w:val="single" w:sz="6" w:space="0" w:color="auto"/>
            </w:tcBorders>
            <w:shd w:val="clear" w:color="auto" w:fill="44546A"/>
            <w:vAlign w:val="center"/>
            <w:hideMark/>
          </w:tcPr>
          <w:p w14:paraId="5AAB13E4"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b/>
                <w:bCs/>
                <w:lang w:val="es-CR" w:eastAsia="es-CR"/>
              </w:rPr>
              <w:t>Asunto</w:t>
            </w:r>
          </w:p>
        </w:tc>
      </w:tr>
      <w:tr w:rsidR="002C0DC3" w:rsidRPr="002C0DC3" w14:paraId="250D9CF2" w14:textId="77777777" w:rsidTr="002C0DC3">
        <w:trPr>
          <w:trHeight w:val="900"/>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2100873A"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101-2005</w:t>
            </w:r>
          </w:p>
        </w:tc>
        <w:tc>
          <w:tcPr>
            <w:tcW w:w="4190" w:type="pct"/>
            <w:tcBorders>
              <w:top w:val="nil"/>
              <w:left w:val="nil"/>
              <w:bottom w:val="single" w:sz="6" w:space="0" w:color="auto"/>
              <w:right w:val="single" w:sz="6" w:space="0" w:color="auto"/>
            </w:tcBorders>
            <w:shd w:val="clear" w:color="auto" w:fill="auto"/>
            <w:vAlign w:val="center"/>
            <w:hideMark/>
          </w:tcPr>
          <w:p w14:paraId="2C50710C"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Obligación de dar trato preferencial a personas con discapacidad, adultos mayores, menores de edad, indígenas, víctimas y personas en situación especial.</w:t>
            </w:r>
          </w:p>
        </w:tc>
      </w:tr>
      <w:tr w:rsidR="002C0DC3" w:rsidRPr="002C0DC3" w14:paraId="06F18761" w14:textId="77777777" w:rsidTr="002C0DC3">
        <w:trPr>
          <w:trHeight w:val="900"/>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164AC39D"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182-2005</w:t>
            </w:r>
          </w:p>
        </w:tc>
        <w:tc>
          <w:tcPr>
            <w:tcW w:w="4190" w:type="pct"/>
            <w:tcBorders>
              <w:top w:val="nil"/>
              <w:left w:val="nil"/>
              <w:bottom w:val="single" w:sz="6" w:space="0" w:color="auto"/>
              <w:right w:val="single" w:sz="6" w:space="0" w:color="auto"/>
            </w:tcBorders>
            <w:shd w:val="clear" w:color="auto" w:fill="auto"/>
            <w:vAlign w:val="center"/>
            <w:hideMark/>
          </w:tcPr>
          <w:p w14:paraId="4D3F0D64"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Obligación de brindar un trato preferencial a las personas con discapacidad, adultos mayores, menores de edad, indígenas, víctimas y personas con una situación especial. -</w:t>
            </w:r>
          </w:p>
        </w:tc>
      </w:tr>
      <w:tr w:rsidR="002C0DC3" w:rsidRPr="002C0DC3" w14:paraId="5E2F0A6D" w14:textId="77777777" w:rsidTr="002C0DC3">
        <w:trPr>
          <w:trHeight w:val="900"/>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7AE343BD"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33-2010</w:t>
            </w:r>
          </w:p>
        </w:tc>
        <w:tc>
          <w:tcPr>
            <w:tcW w:w="4190" w:type="pct"/>
            <w:tcBorders>
              <w:top w:val="nil"/>
              <w:left w:val="nil"/>
              <w:bottom w:val="single" w:sz="6" w:space="0" w:color="auto"/>
              <w:right w:val="single" w:sz="6" w:space="0" w:color="auto"/>
            </w:tcBorders>
            <w:shd w:val="clear" w:color="auto" w:fill="auto"/>
            <w:vAlign w:val="center"/>
            <w:hideMark/>
          </w:tcPr>
          <w:p w14:paraId="7BAAB001"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Reiteración de la Circular Nº 92-2005, sobre "Reglas Prácticas para reducir la Revictimización de las Personas Menores de edad en los procesos penales".</w:t>
            </w:r>
          </w:p>
        </w:tc>
      </w:tr>
      <w:tr w:rsidR="002C0DC3" w:rsidRPr="002C0DC3" w14:paraId="34389D7A" w14:textId="77777777" w:rsidTr="002C0DC3">
        <w:trPr>
          <w:trHeight w:val="585"/>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4DAFDF5F"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lastRenderedPageBreak/>
              <w:t>63-2011</w:t>
            </w:r>
          </w:p>
        </w:tc>
        <w:tc>
          <w:tcPr>
            <w:tcW w:w="4190" w:type="pct"/>
            <w:tcBorders>
              <w:top w:val="nil"/>
              <w:left w:val="nil"/>
              <w:bottom w:val="single" w:sz="6" w:space="0" w:color="auto"/>
              <w:right w:val="single" w:sz="6" w:space="0" w:color="auto"/>
            </w:tcBorders>
            <w:shd w:val="clear" w:color="auto" w:fill="auto"/>
            <w:vAlign w:val="center"/>
            <w:hideMark/>
          </w:tcPr>
          <w:p w14:paraId="6F192F4D"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Acceso a la Justicia, Comisión Nacional para el Mejoramiento de la Administración de Justicia (CONAMAJ), Menores</w:t>
            </w:r>
          </w:p>
        </w:tc>
      </w:tr>
      <w:tr w:rsidR="002C0DC3" w:rsidRPr="002C0DC3" w14:paraId="39A22055" w14:textId="77777777" w:rsidTr="002C0DC3">
        <w:trPr>
          <w:trHeight w:val="1200"/>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7AFE1893"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35-2014</w:t>
            </w:r>
          </w:p>
        </w:tc>
        <w:tc>
          <w:tcPr>
            <w:tcW w:w="4190" w:type="pct"/>
            <w:tcBorders>
              <w:top w:val="nil"/>
              <w:left w:val="nil"/>
              <w:bottom w:val="single" w:sz="6" w:space="0" w:color="auto"/>
              <w:right w:val="single" w:sz="6" w:space="0" w:color="auto"/>
            </w:tcBorders>
            <w:shd w:val="clear" w:color="auto" w:fill="auto"/>
            <w:vAlign w:val="center"/>
            <w:hideMark/>
          </w:tcPr>
          <w:p w14:paraId="0101B5A5"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Reiteración de la circular No 182-2005, sobre la “Obligación de brindar un trato preferencial a las personas con discapacidad, adultos mayores, menores de edad, indígenas, víctimas y personas con una situación especial”.-</w:t>
            </w:r>
          </w:p>
        </w:tc>
      </w:tr>
      <w:tr w:rsidR="002C0DC3" w:rsidRPr="002C0DC3" w14:paraId="0679A1C9" w14:textId="77777777" w:rsidTr="002C0DC3">
        <w:trPr>
          <w:trHeight w:val="585"/>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1BBF28DC"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192-2015</w:t>
            </w:r>
          </w:p>
        </w:tc>
        <w:tc>
          <w:tcPr>
            <w:tcW w:w="4190" w:type="pct"/>
            <w:tcBorders>
              <w:top w:val="nil"/>
              <w:left w:val="nil"/>
              <w:bottom w:val="single" w:sz="6" w:space="0" w:color="auto"/>
              <w:right w:val="single" w:sz="6" w:space="0" w:color="auto"/>
            </w:tcBorders>
            <w:shd w:val="clear" w:color="auto" w:fill="auto"/>
            <w:vAlign w:val="center"/>
            <w:hideMark/>
          </w:tcPr>
          <w:p w14:paraId="0F8F45E8"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“Protocolo de Atención Inmediata a personas menores de edad, víctimas y testigos en sede penal”.-</w:t>
            </w:r>
          </w:p>
        </w:tc>
      </w:tr>
      <w:tr w:rsidR="002C0DC3" w:rsidRPr="002C0DC3" w14:paraId="06DB1B1F" w14:textId="77777777" w:rsidTr="002C0DC3">
        <w:trPr>
          <w:trHeight w:val="585"/>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034060F5"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174-2017</w:t>
            </w:r>
          </w:p>
        </w:tc>
        <w:tc>
          <w:tcPr>
            <w:tcW w:w="4190" w:type="pct"/>
            <w:tcBorders>
              <w:top w:val="nil"/>
              <w:left w:val="nil"/>
              <w:bottom w:val="single" w:sz="6" w:space="0" w:color="auto"/>
              <w:right w:val="single" w:sz="6" w:space="0" w:color="auto"/>
            </w:tcBorders>
            <w:shd w:val="clear" w:color="auto" w:fill="auto"/>
            <w:vAlign w:val="center"/>
            <w:hideMark/>
          </w:tcPr>
          <w:p w14:paraId="57D44EAD" w14:textId="77777777" w:rsidR="002C0DC3" w:rsidRPr="002C0DC3" w:rsidRDefault="002C0DC3" w:rsidP="002C0DC3">
            <w:pPr>
              <w:suppressAutoHyphens w:val="0"/>
              <w:jc w:val="both"/>
              <w:textAlignment w:val="baseline"/>
              <w:rPr>
                <w:rFonts w:eastAsia="Calibri"/>
                <w:lang w:val="es-CR" w:eastAsia="es-CR"/>
              </w:rPr>
            </w:pPr>
            <w:r w:rsidRPr="002C0DC3">
              <w:rPr>
                <w:rFonts w:eastAsia="Calibri"/>
                <w:lang w:val="es-CR" w:eastAsia="es-CR"/>
              </w:rPr>
              <w:t>Reiterar las circulares emitidas por la Corte Plena atinentes al “Acceso a la Justicia de las Personas en Vulnerabilidad Social”.</w:t>
            </w:r>
          </w:p>
        </w:tc>
      </w:tr>
    </w:tbl>
    <w:p w14:paraId="1EAC1755" w14:textId="77777777" w:rsidR="002C0DC3" w:rsidRPr="002C0DC3" w:rsidRDefault="002C0DC3" w:rsidP="002C0DC3">
      <w:pPr>
        <w:suppressAutoHyphens w:val="0"/>
        <w:jc w:val="both"/>
        <w:rPr>
          <w:rFonts w:eastAsia="Calibri"/>
          <w:lang w:val="es-CR" w:eastAsia="es-CR"/>
        </w:rPr>
      </w:pPr>
    </w:p>
    <w:p w14:paraId="4B07CBA7" w14:textId="77777777" w:rsidR="002C0DC3" w:rsidRPr="002C0DC3" w:rsidRDefault="002C0DC3" w:rsidP="002C0DC3">
      <w:pPr>
        <w:suppressAutoHyphens w:val="0"/>
        <w:ind w:left="851" w:right="851" w:firstLine="709"/>
        <w:jc w:val="both"/>
        <w:rPr>
          <w:rFonts w:eastAsia="Book Antiqua"/>
          <w:lang w:val="es-CR" w:eastAsia="en-US"/>
        </w:rPr>
      </w:pPr>
      <w:r w:rsidRPr="002C0DC3">
        <w:rPr>
          <w:rFonts w:eastAsia="Calibri"/>
          <w:lang w:val="es-CR" w:eastAsia="en-US"/>
        </w:rPr>
        <w:t xml:space="preserve">Finalmente se presentan las recomendaciones contenidas en </w:t>
      </w:r>
      <w:r w:rsidRPr="002C0DC3">
        <w:rPr>
          <w:rFonts w:eastAsia="Book Antiqua"/>
          <w:lang w:val="es-CR" w:eastAsia="en-US"/>
        </w:rPr>
        <w:t>informe de “Seguimiento a cargo del Centro de Apoyo, Coordinación y Mejoramiento de la Función Jurisdiccional” contenido en el informe 301-PLA-MI-2020:</w:t>
      </w:r>
    </w:p>
    <w:p w14:paraId="051CB338" w14:textId="77777777" w:rsidR="002C0DC3" w:rsidRPr="002C0DC3" w:rsidRDefault="002C0DC3" w:rsidP="002C0DC3">
      <w:pPr>
        <w:tabs>
          <w:tab w:val="left" w:pos="426"/>
          <w:tab w:val="left" w:pos="993"/>
          <w:tab w:val="left" w:pos="1276"/>
          <w:tab w:val="left" w:pos="3130"/>
          <w:tab w:val="center" w:pos="4419"/>
        </w:tabs>
        <w:suppressAutoHyphens w:val="0"/>
        <w:ind w:left="851" w:right="851" w:firstLine="709"/>
        <w:contextualSpacing/>
        <w:jc w:val="both"/>
        <w:rPr>
          <w:rFonts w:eastAsia="Calibri"/>
          <w:b/>
          <w:bCs/>
          <w:lang w:val="es-CR" w:eastAsia="en-US"/>
        </w:rPr>
      </w:pPr>
    </w:p>
    <w:p w14:paraId="39140DE3" w14:textId="77777777" w:rsidR="002C0DC3" w:rsidRPr="002C0DC3" w:rsidRDefault="002C0DC3" w:rsidP="00CE3D95">
      <w:pPr>
        <w:numPr>
          <w:ilvl w:val="0"/>
          <w:numId w:val="35"/>
        </w:numPr>
        <w:suppressAutoHyphens w:val="0"/>
        <w:ind w:left="851" w:right="851" w:firstLine="709"/>
        <w:contextualSpacing/>
        <w:jc w:val="both"/>
        <w:rPr>
          <w:rFonts w:eastAsia="Calibri"/>
          <w:lang w:val="es-CR" w:eastAsia="zh-CN"/>
        </w:rPr>
      </w:pPr>
      <w:r w:rsidRPr="002C0DC3">
        <w:rPr>
          <w:rFonts w:eastAsia="Calibri"/>
          <w:lang w:val="es-CR" w:eastAsia="zh-CN"/>
        </w:rPr>
        <w:t>Instar al personal a continuar con los esfuerzos y el compromiso realizado hasta el momento para velar por el cumplimiento de los planes de trabajo planteados y continuar con el cumplimiento de las cuotas establecidas.</w:t>
      </w:r>
    </w:p>
    <w:p w14:paraId="51658D30" w14:textId="77777777" w:rsidR="002C0DC3" w:rsidRPr="002C0DC3" w:rsidRDefault="002C0DC3" w:rsidP="002C0DC3">
      <w:pPr>
        <w:suppressAutoHyphens w:val="0"/>
        <w:ind w:left="851" w:right="851" w:firstLine="709"/>
        <w:jc w:val="both"/>
        <w:rPr>
          <w:rFonts w:eastAsia="Calibri"/>
          <w:lang w:val="es-CR" w:eastAsia="en-US"/>
        </w:rPr>
      </w:pPr>
    </w:p>
    <w:p w14:paraId="3FE64E78" w14:textId="77777777" w:rsidR="002C0DC3" w:rsidRPr="002C0DC3" w:rsidRDefault="002C0DC3" w:rsidP="00CE3D95">
      <w:pPr>
        <w:numPr>
          <w:ilvl w:val="0"/>
          <w:numId w:val="35"/>
        </w:numPr>
        <w:suppressAutoHyphens w:val="0"/>
        <w:ind w:left="851" w:right="851" w:firstLine="709"/>
        <w:contextualSpacing/>
        <w:jc w:val="both"/>
        <w:rPr>
          <w:rFonts w:eastAsia="Calibri"/>
          <w:lang w:val="es-CR" w:eastAsia="zh-CN"/>
        </w:rPr>
      </w:pPr>
      <w:r w:rsidRPr="002C0DC3">
        <w:rPr>
          <w:rFonts w:eastAsia="Calibri"/>
          <w:lang w:val="es-CR" w:eastAsia="zh-CN"/>
        </w:rPr>
        <w:t>En cumplimiento a lo dispuesto por los Órganos Superiores deberán los despachos Cobratorios continuar priorizando la utilización del Protocolo de audiencias orales por medios tecnológicos conforme a lo dispuesto en el citado protocolo.</w:t>
      </w:r>
    </w:p>
    <w:p w14:paraId="015D17E1" w14:textId="77777777" w:rsidR="002C0DC3" w:rsidRPr="002C0DC3" w:rsidRDefault="002C0DC3" w:rsidP="002C0DC3">
      <w:pPr>
        <w:suppressAutoHyphens w:val="0"/>
        <w:ind w:left="851" w:right="851" w:firstLine="709"/>
        <w:jc w:val="both"/>
        <w:rPr>
          <w:rFonts w:eastAsia="Calibri"/>
          <w:lang w:val="es-CR" w:eastAsia="en-US"/>
        </w:rPr>
      </w:pPr>
    </w:p>
    <w:p w14:paraId="6B69D4BF" w14:textId="77078008" w:rsidR="002C0DC3" w:rsidRDefault="002C0DC3" w:rsidP="00CE3D95">
      <w:pPr>
        <w:numPr>
          <w:ilvl w:val="0"/>
          <w:numId w:val="35"/>
        </w:numPr>
        <w:suppressAutoHyphens w:val="0"/>
        <w:ind w:left="851" w:right="851" w:firstLine="709"/>
        <w:contextualSpacing/>
        <w:jc w:val="both"/>
        <w:rPr>
          <w:rFonts w:eastAsia="Calibri"/>
          <w:lang w:val="es-CR" w:eastAsia="zh-CN"/>
        </w:rPr>
      </w:pPr>
      <w:r w:rsidRPr="002C0DC3">
        <w:rPr>
          <w:rFonts w:eastAsia="Calibri"/>
          <w:lang w:val="es-CR" w:eastAsia="zh-CN"/>
        </w:rPr>
        <w:t>En atención a las Circulares 47-2020 y 51-2020 de la Secretaría General de la Corte, deberán los juzgados de Cobro revisar y actualizar los apuntes incorporados en la Agenda Cronos con la finalidad de contar con la información de los sistemas institucionales debidamente actualizada para la toma de decisiones.</w:t>
      </w:r>
      <w:r w:rsidRPr="002C0DC3" w:rsidDel="00C56239">
        <w:rPr>
          <w:rFonts w:eastAsia="Calibri"/>
          <w:lang w:val="es-CR" w:eastAsia="zh-CN"/>
        </w:rPr>
        <w:t xml:space="preserve"> </w:t>
      </w:r>
    </w:p>
    <w:p w14:paraId="75C7979B" w14:textId="77777777" w:rsidR="00B31AC4" w:rsidRPr="002C0DC3" w:rsidRDefault="00B31AC4" w:rsidP="00B31AC4">
      <w:pPr>
        <w:suppressAutoHyphens w:val="0"/>
        <w:ind w:right="851"/>
        <w:contextualSpacing/>
        <w:jc w:val="both"/>
        <w:rPr>
          <w:rFonts w:eastAsia="Calibri"/>
          <w:lang w:val="es-CR" w:eastAsia="zh-CN"/>
        </w:rPr>
      </w:pPr>
    </w:p>
    <w:p w14:paraId="5613A490" w14:textId="77777777" w:rsidR="002C0DC3" w:rsidRPr="002C0DC3" w:rsidRDefault="002C0DC3" w:rsidP="00CE3D95">
      <w:pPr>
        <w:numPr>
          <w:ilvl w:val="0"/>
          <w:numId w:val="35"/>
        </w:numPr>
        <w:suppressAutoHyphens w:val="0"/>
        <w:ind w:left="851" w:right="851" w:firstLine="709"/>
        <w:contextualSpacing/>
        <w:jc w:val="both"/>
        <w:rPr>
          <w:rFonts w:eastAsia="Calibri"/>
          <w:lang w:val="es-CR" w:eastAsia="zh-CN"/>
        </w:rPr>
      </w:pPr>
      <w:r w:rsidRPr="002C0DC3">
        <w:rPr>
          <w:rFonts w:eastAsia="Calibri"/>
          <w:lang w:val="es-CR" w:eastAsia="zh-CN"/>
        </w:rPr>
        <w:t>Los Juzgados de Cobro deberán actualizar mensualmente la plantilla de formulación y seguimiento del plan remedial de audiencias, brindando mayor énfasis al apunte o resultado de las audiencias celebradas que incluyeron dentro del plan, así como la fecha de realización y fecha de actualización de la plantilla, con la finalidad de determinar el avance de los planes dispuestos por la Corte Plena y comunicado mediante las Circulares 214-2020 y 217-2020.”</w:t>
      </w:r>
    </w:p>
    <w:p w14:paraId="4A9D1362" w14:textId="77777777" w:rsidR="002C0DC3" w:rsidRPr="002C0DC3" w:rsidRDefault="002C0DC3" w:rsidP="002C0DC3">
      <w:pPr>
        <w:suppressAutoHyphens w:val="0"/>
        <w:ind w:left="851" w:right="851" w:firstLine="709"/>
        <w:jc w:val="both"/>
        <w:rPr>
          <w:rFonts w:eastAsia="Calibri"/>
          <w:lang w:val="es-CR" w:eastAsia="en-US"/>
        </w:rPr>
      </w:pPr>
    </w:p>
    <w:p w14:paraId="06FD8619" w14:textId="77777777" w:rsidR="002C0DC3" w:rsidRPr="002C0DC3" w:rsidRDefault="002C0DC3" w:rsidP="002C0DC3">
      <w:pPr>
        <w:suppressAutoHyphens w:val="0"/>
        <w:jc w:val="center"/>
        <w:rPr>
          <w:lang w:val="es-CR" w:eastAsia="es-ES"/>
        </w:rPr>
      </w:pPr>
      <w:r w:rsidRPr="002C0DC3">
        <w:rPr>
          <w:lang w:val="es-CR" w:eastAsia="es-ES"/>
        </w:rPr>
        <w:lastRenderedPageBreak/>
        <w:t>-0-</w:t>
      </w:r>
    </w:p>
    <w:p w14:paraId="470E2B59" w14:textId="77777777" w:rsidR="002C0DC3" w:rsidRPr="002C0DC3" w:rsidRDefault="002C0DC3" w:rsidP="002C0DC3">
      <w:pPr>
        <w:suppressAutoHyphens w:val="0"/>
        <w:jc w:val="center"/>
        <w:rPr>
          <w:lang w:val="es-CR" w:eastAsia="es-ES"/>
        </w:rPr>
      </w:pPr>
    </w:p>
    <w:p w14:paraId="31C6CF0A" w14:textId="42EEDED5" w:rsidR="00294863" w:rsidRPr="002C0DC3" w:rsidRDefault="002C0DC3" w:rsidP="002C0DC3">
      <w:pPr>
        <w:suppressAutoHyphens w:val="0"/>
        <w:ind w:firstLine="709"/>
        <w:jc w:val="both"/>
        <w:rPr>
          <w:lang w:val="es-CR" w:eastAsia="es-ES"/>
        </w:rPr>
      </w:pPr>
      <w:r w:rsidRPr="002C0DC3">
        <w:rPr>
          <w:rFonts w:eastAsia="Calibri"/>
          <w:b/>
          <w:lang w:eastAsia="en-US"/>
        </w:rPr>
        <w:t>Se acordó: 1)</w:t>
      </w:r>
      <w:r w:rsidRPr="002C0DC3">
        <w:rPr>
          <w:rFonts w:eastAsia="Calibri"/>
          <w:bCs/>
          <w:lang w:eastAsia="en-US"/>
        </w:rPr>
        <w:t xml:space="preserve"> Tener por rendido el informe No. 1003-PLA-ES-EV-AJ-2021, </w:t>
      </w:r>
      <w:r w:rsidRPr="002C0DC3">
        <w:rPr>
          <w:rFonts w:eastAsia="Calibri"/>
          <w:bCs/>
          <w:lang w:val="es-CR" w:eastAsia="en-US"/>
        </w:rPr>
        <w:t xml:space="preserve">relacionado con </w:t>
      </w:r>
      <w:r w:rsidRPr="002C0DC3">
        <w:rPr>
          <w:lang w:val="es-CR" w:eastAsia="es-ES"/>
        </w:rPr>
        <w:t>el análisis y cuadros estadísticos, sobre los movimientos de trabajo en los Juzgados de Cobro, durante el 2020</w:t>
      </w:r>
      <w:r w:rsidRPr="002C0DC3">
        <w:rPr>
          <w:rFonts w:eastAsia="Calibri"/>
          <w:bCs/>
          <w:lang w:val="es-CR" w:eastAsia="en-US"/>
        </w:rPr>
        <w:t xml:space="preserve">. </w:t>
      </w:r>
      <w:r w:rsidRPr="002C0DC3">
        <w:rPr>
          <w:rFonts w:eastAsia="Calibri"/>
          <w:b/>
          <w:lang w:val="es-CR" w:eastAsia="en-US"/>
        </w:rPr>
        <w:t xml:space="preserve">2) </w:t>
      </w:r>
      <w:r w:rsidRPr="002C0DC3">
        <w:rPr>
          <w:rFonts w:eastAsia="Calibri"/>
          <w:bCs/>
          <w:lang w:val="es-CR" w:eastAsia="en-US"/>
        </w:rPr>
        <w:t xml:space="preserve">Aprobar las recomendaciones señaladas en el presente informe respecto a los Juzgados de Cobro. </w:t>
      </w:r>
      <w:r w:rsidRPr="002C0DC3">
        <w:rPr>
          <w:rFonts w:eastAsia="Calibri"/>
          <w:b/>
          <w:lang w:val="es-CR" w:eastAsia="en-US"/>
        </w:rPr>
        <w:t>3)</w:t>
      </w:r>
      <w:r w:rsidRPr="002C0DC3">
        <w:rPr>
          <w:rFonts w:eastAsia="Calibri"/>
          <w:bCs/>
          <w:lang w:val="es-CR" w:eastAsia="en-US"/>
        </w:rPr>
        <w:t xml:space="preserve"> Se insta </w:t>
      </w:r>
      <w:r w:rsidRPr="002C0DC3">
        <w:rPr>
          <w:rFonts w:eastAsia="Calibri"/>
          <w:lang w:val="es-CR" w:eastAsia="zh-CN"/>
        </w:rPr>
        <w:t xml:space="preserve">a los Juzgados de Cobro a utilizar y promover los mecanismos de audiencias virtuales para fomentar un mayor aprovechamiento de los recursos institucionales y que los procesos de cobro fluyan con la mayor normalidad posible. </w:t>
      </w:r>
      <w:r w:rsidRPr="002C0DC3">
        <w:rPr>
          <w:rFonts w:eastAsia="Calibri"/>
          <w:bCs/>
          <w:lang w:val="es-CR" w:eastAsia="en-US"/>
        </w:rPr>
        <w:t xml:space="preserve"> Asimismo, se insta </w:t>
      </w:r>
      <w:r w:rsidRPr="002C0DC3">
        <w:rPr>
          <w:rFonts w:eastAsia="Calibri"/>
          <w:lang w:val="es-CR" w:eastAsia="zh-CN"/>
        </w:rPr>
        <w:t xml:space="preserve">al personal a continuar con los esfuerzos y el compromiso realizado hasta el momento para velar por el cumplimiento de los planes de trabajo planteados y continuar con el cumplimiento de las cuotas establecidas. </w:t>
      </w:r>
      <w:r w:rsidRPr="002C0DC3">
        <w:rPr>
          <w:rFonts w:eastAsia="Calibri"/>
          <w:b/>
          <w:bCs/>
          <w:lang w:val="es-CR" w:eastAsia="zh-CN"/>
        </w:rPr>
        <w:t>4)</w:t>
      </w:r>
      <w:r w:rsidRPr="002C0DC3">
        <w:rPr>
          <w:rFonts w:eastAsia="Calibri"/>
          <w:lang w:val="es-CR" w:eastAsia="zh-CN"/>
        </w:rPr>
        <w:t xml:space="preserve"> Se ordena a los Juzgados de Cobro dar cumplimiento a las Circulares 47-2020, 51-2020, 214-2020 y 217-2020, para el registro de datos, seguimiento y toma de decisiones. </w:t>
      </w:r>
      <w:r w:rsidRPr="002C0DC3">
        <w:rPr>
          <w:rFonts w:eastAsia="Calibri"/>
          <w:b/>
          <w:lang w:val="es-CR" w:eastAsia="es-419"/>
        </w:rPr>
        <w:t>5</w:t>
      </w:r>
      <w:r w:rsidRPr="002C0DC3">
        <w:rPr>
          <w:rFonts w:eastAsia="Calibri"/>
          <w:b/>
          <w:lang w:val="es-CR" w:eastAsia="en-US"/>
        </w:rPr>
        <w:t>)</w:t>
      </w:r>
      <w:r w:rsidRPr="002C0DC3">
        <w:rPr>
          <w:rFonts w:eastAsia="Calibri"/>
          <w:bCs/>
          <w:lang w:val="es-CR" w:eastAsia="en-US"/>
        </w:rPr>
        <w:t xml:space="preserve"> Comunicar el presente informe a la </w:t>
      </w:r>
      <w:bookmarkStart w:id="64" w:name="_Hlk86838962"/>
      <w:r w:rsidRPr="002C0DC3">
        <w:rPr>
          <w:rFonts w:eastAsia="Calibri"/>
          <w:bCs/>
          <w:lang w:val="es-CR" w:eastAsia="en-US"/>
        </w:rPr>
        <w:t xml:space="preserve">Dirección de Planificación, a la magistrada Damaris Vargas Vásquez, Coordinadora de la Comisión de la Jurisdicción Civil. </w:t>
      </w:r>
      <w:r w:rsidRPr="002C0DC3">
        <w:rPr>
          <w:rFonts w:eastAsia="Calibri"/>
          <w:b/>
          <w:lang w:val="es-CR" w:eastAsia="en-US"/>
        </w:rPr>
        <w:t>Se declara acuerdo firme.</w:t>
      </w:r>
      <w:bookmarkEnd w:id="64"/>
      <w:r w:rsidR="009F45D2" w:rsidRPr="002C0DC3">
        <w:t>”</w:t>
      </w:r>
    </w:p>
    <w:p w14:paraId="5C125FAA" w14:textId="77777777" w:rsidR="009033DA" w:rsidRPr="002C0DC3" w:rsidRDefault="009033DA" w:rsidP="002C0DC3">
      <w:pPr>
        <w:widowControl w:val="0"/>
        <w:autoSpaceDE w:val="0"/>
        <w:autoSpaceDN w:val="0"/>
        <w:adjustRightInd w:val="0"/>
        <w:ind w:right="851"/>
        <w:jc w:val="both"/>
      </w:pPr>
    </w:p>
    <w:p w14:paraId="47ECE26F" w14:textId="77777777" w:rsidR="003D6337" w:rsidRPr="002C0DC3" w:rsidRDefault="00561024" w:rsidP="002C0DC3">
      <w:pPr>
        <w:tabs>
          <w:tab w:val="left" w:pos="4295"/>
        </w:tabs>
        <w:ind w:left="4248"/>
        <w:jc w:val="both"/>
        <w:rPr>
          <w:b/>
          <w:bCs/>
        </w:rPr>
      </w:pPr>
      <w:r w:rsidRPr="002C0DC3">
        <w:rPr>
          <w:b/>
          <w:bCs/>
        </w:rPr>
        <w:t>A</w:t>
      </w:r>
      <w:r w:rsidR="003D6337" w:rsidRPr="002C0DC3">
        <w:rPr>
          <w:b/>
          <w:bCs/>
        </w:rPr>
        <w:t xml:space="preserve">tentamente, </w:t>
      </w:r>
    </w:p>
    <w:p w14:paraId="65B7A8D2" w14:textId="77777777" w:rsidR="003D6337" w:rsidRPr="002C0DC3" w:rsidRDefault="003D6337" w:rsidP="002C0DC3">
      <w:pPr>
        <w:ind w:left="-708"/>
        <w:jc w:val="both"/>
        <w:rPr>
          <w:b/>
          <w:bCs/>
        </w:rPr>
      </w:pPr>
    </w:p>
    <w:p w14:paraId="51D45ABA" w14:textId="77777777" w:rsidR="003D6337" w:rsidRPr="002C0DC3" w:rsidRDefault="003D6337" w:rsidP="002C0DC3">
      <w:pPr>
        <w:ind w:left="-708"/>
        <w:jc w:val="both"/>
        <w:rPr>
          <w:b/>
          <w:bCs/>
        </w:rPr>
      </w:pPr>
    </w:p>
    <w:p w14:paraId="5AA974A0" w14:textId="77777777" w:rsidR="003D6337" w:rsidRPr="002C0DC3" w:rsidRDefault="003D6337" w:rsidP="002C0DC3">
      <w:pPr>
        <w:ind w:left="708"/>
        <w:jc w:val="both"/>
        <w:rPr>
          <w:b/>
          <w:bCs/>
          <w:lang w:val="es-ES_tradnl"/>
        </w:rPr>
      </w:pPr>
    </w:p>
    <w:p w14:paraId="31EBFCE9" w14:textId="77777777" w:rsidR="00910D0C" w:rsidRPr="002C0DC3" w:rsidRDefault="00910D0C" w:rsidP="002C0DC3">
      <w:pPr>
        <w:ind w:left="708"/>
        <w:jc w:val="both"/>
        <w:rPr>
          <w:b/>
          <w:bCs/>
          <w:lang w:val="es-ES_tradnl"/>
        </w:rPr>
      </w:pPr>
    </w:p>
    <w:p w14:paraId="6D1D9BA6" w14:textId="77777777" w:rsidR="007E1A44" w:rsidRPr="00D64B63" w:rsidRDefault="007E1A44" w:rsidP="007E1A44">
      <w:pPr>
        <w:autoSpaceDE w:val="0"/>
        <w:autoSpaceDN w:val="0"/>
        <w:jc w:val="center"/>
        <w:rPr>
          <w:b/>
          <w:bCs/>
        </w:rPr>
      </w:pPr>
      <w:r w:rsidRPr="00D64B63">
        <w:rPr>
          <w:b/>
          <w:bCs/>
        </w:rPr>
        <w:t>Lic. Carlos T.  Mora Rodríguez</w:t>
      </w:r>
    </w:p>
    <w:p w14:paraId="23E929F7" w14:textId="77777777" w:rsidR="007E1A44" w:rsidRPr="00D64B63" w:rsidRDefault="007E1A44" w:rsidP="007E1A44">
      <w:pPr>
        <w:autoSpaceDE w:val="0"/>
        <w:autoSpaceDN w:val="0"/>
        <w:jc w:val="center"/>
        <w:rPr>
          <w:b/>
          <w:bCs/>
        </w:rPr>
      </w:pPr>
      <w:r w:rsidRPr="00D64B63">
        <w:rPr>
          <w:b/>
          <w:bCs/>
        </w:rPr>
        <w:t>Subsecretario General Interino</w:t>
      </w:r>
    </w:p>
    <w:p w14:paraId="42FBA98B" w14:textId="77777777" w:rsidR="007E1A44" w:rsidRPr="00D64B63" w:rsidRDefault="007E1A44" w:rsidP="007E1A44">
      <w:pPr>
        <w:autoSpaceDE w:val="0"/>
        <w:autoSpaceDN w:val="0"/>
        <w:jc w:val="center"/>
        <w:rPr>
          <w:b/>
          <w:bCs/>
        </w:rPr>
      </w:pPr>
      <w:r w:rsidRPr="00D64B63">
        <w:rPr>
          <w:b/>
          <w:bCs/>
        </w:rPr>
        <w:t>Corte Suprema de Justicia</w:t>
      </w:r>
    </w:p>
    <w:p w14:paraId="6CFD6FA5" w14:textId="77777777" w:rsidR="009033DA" w:rsidRPr="002C0DC3" w:rsidRDefault="00477DCD" w:rsidP="002C0DC3">
      <w:pPr>
        <w:pStyle w:val="Ttulo51"/>
        <w:keepNext w:val="0"/>
        <w:tabs>
          <w:tab w:val="clear" w:pos="0"/>
        </w:tabs>
        <w:jc w:val="both"/>
        <w:rPr>
          <w:rFonts w:eastAsia="Times New Roman"/>
          <w:i w:val="0"/>
          <w:iCs w:val="0"/>
          <w:sz w:val="24"/>
          <w:szCs w:val="24"/>
          <w:u w:val="none"/>
          <w:shd w:val="clear" w:color="auto" w:fill="auto"/>
          <w:lang w:val="es-CR"/>
        </w:rPr>
      </w:pPr>
      <w:r w:rsidRPr="002C0DC3">
        <w:rPr>
          <w:rFonts w:eastAsia="Times New Roman"/>
          <w:i w:val="0"/>
          <w:iCs w:val="0"/>
          <w:sz w:val="24"/>
          <w:szCs w:val="24"/>
          <w:u w:val="none"/>
          <w:shd w:val="clear" w:color="auto" w:fill="auto"/>
          <w:lang w:val="es-CR"/>
        </w:rPr>
        <w:t xml:space="preserve"> </w:t>
      </w:r>
    </w:p>
    <w:p w14:paraId="10A0C67F" w14:textId="24E74DF4" w:rsidR="002C0DC3" w:rsidRPr="002C0DC3" w:rsidRDefault="00790B81" w:rsidP="002C0DC3">
      <w:pPr>
        <w:autoSpaceDE w:val="0"/>
        <w:autoSpaceDN w:val="0"/>
        <w:jc w:val="both"/>
      </w:pPr>
      <w:r w:rsidRPr="002C0DC3">
        <w:t>C</w:t>
      </w:r>
      <w:r w:rsidR="00B46B14" w:rsidRPr="002C0DC3">
        <w:t>c</w:t>
      </w:r>
      <w:r w:rsidR="0029216A" w:rsidRPr="002C0DC3">
        <w:t>:</w:t>
      </w:r>
      <w:r w:rsidR="009033DA" w:rsidRPr="002C0DC3">
        <w:t xml:space="preserve"> </w:t>
      </w:r>
    </w:p>
    <w:p w14:paraId="02EBBB4D" w14:textId="651D068A" w:rsidR="002C0DC3" w:rsidRPr="002A2512" w:rsidRDefault="002C0DC3" w:rsidP="002A2512">
      <w:pPr>
        <w:ind w:firstLine="708"/>
        <w:jc w:val="both"/>
      </w:pPr>
      <w:r w:rsidRPr="002A2512">
        <w:t>Comisión de la Jurisdicción Civil</w:t>
      </w:r>
    </w:p>
    <w:p w14:paraId="2590DA17" w14:textId="468745B9" w:rsidR="00B31AC4" w:rsidRPr="002A2512" w:rsidRDefault="00C419CA" w:rsidP="002A2512">
      <w:pPr>
        <w:ind w:firstLine="708"/>
        <w:jc w:val="both"/>
      </w:pPr>
      <w:bookmarkStart w:id="65" w:name="_Hlk86912108"/>
      <w:r w:rsidRPr="002A2512">
        <w:t>Juzgado Primero</w:t>
      </w:r>
      <w:r w:rsidR="00B31AC4" w:rsidRPr="002A2512">
        <w:t xml:space="preserve"> Especializado de Cobro </w:t>
      </w:r>
      <w:r w:rsidRPr="002A2512">
        <w:t>del Primero Circuito Judicial de San José</w:t>
      </w:r>
    </w:p>
    <w:p w14:paraId="35968B1F" w14:textId="0597F77E" w:rsidR="00C419CA" w:rsidRPr="002A2512" w:rsidRDefault="00C419CA" w:rsidP="002A2512">
      <w:pPr>
        <w:ind w:firstLine="708"/>
        <w:jc w:val="both"/>
      </w:pPr>
      <w:r w:rsidRPr="002A2512">
        <w:t>Juzgado Segundo Especializado de Cobro del Primero Circuito Judicial de San José</w:t>
      </w:r>
    </w:p>
    <w:p w14:paraId="31FE47C9" w14:textId="76571ACF" w:rsidR="00C419CA" w:rsidRPr="002A2512" w:rsidRDefault="00C419CA" w:rsidP="002A2512">
      <w:pPr>
        <w:ind w:firstLine="708"/>
        <w:jc w:val="both"/>
      </w:pPr>
      <w:r w:rsidRPr="002A2512">
        <w:t>Juzgado Tercero Especializado de Cobro del Primero Circuito Judicial de San José</w:t>
      </w:r>
    </w:p>
    <w:p w14:paraId="7D43FC76" w14:textId="723789D9" w:rsidR="00B31AC4" w:rsidRPr="002A2512" w:rsidRDefault="00B31AC4" w:rsidP="002A2512">
      <w:pPr>
        <w:ind w:left="708"/>
      </w:pPr>
      <w:r w:rsidRPr="002A2512">
        <w:t>J</w:t>
      </w:r>
      <w:r w:rsidR="004E1CD8" w:rsidRPr="002A2512">
        <w:t>uzgado</w:t>
      </w:r>
      <w:r w:rsidRPr="002A2512">
        <w:t xml:space="preserve"> Especializado de Cobro</w:t>
      </w:r>
      <w:r w:rsidR="004E1CD8" w:rsidRPr="002A2512">
        <w:t>s Sección Primera del Segundo Circuito Judicial de San José</w:t>
      </w:r>
    </w:p>
    <w:p w14:paraId="0BFBAF4E" w14:textId="57B0440A" w:rsidR="004E1CD8" w:rsidRPr="002A2512" w:rsidRDefault="004E1CD8" w:rsidP="002A2512">
      <w:pPr>
        <w:ind w:left="708"/>
      </w:pPr>
      <w:r w:rsidRPr="002A2512">
        <w:t>Juzgado Especializado de Cobros Sección Segunda del Segundo Circuito Judicial de San José</w:t>
      </w:r>
    </w:p>
    <w:p w14:paraId="412234A9" w14:textId="49A01B8F" w:rsidR="00C419CA" w:rsidRPr="002A2512" w:rsidRDefault="00C419CA" w:rsidP="002A2512">
      <w:pPr>
        <w:ind w:left="708"/>
      </w:pPr>
      <w:r w:rsidRPr="002A2512">
        <w:t>Juzgado Especializado de Cobros Sección Tercera del Segundo Circuito Judicial de San José</w:t>
      </w:r>
    </w:p>
    <w:p w14:paraId="0A102036" w14:textId="77777777" w:rsidR="002A2512" w:rsidRPr="002A2512" w:rsidRDefault="002A2512" w:rsidP="002A2512">
      <w:pPr>
        <w:ind w:firstLine="708"/>
      </w:pPr>
      <w:r w:rsidRPr="002A2512">
        <w:t>Juzgado de Cobro del Primer Circuito Judicial de Alajuela</w:t>
      </w:r>
    </w:p>
    <w:p w14:paraId="1B2C3C71" w14:textId="77777777" w:rsidR="002A2512" w:rsidRPr="002A2512" w:rsidRDefault="002A2512" w:rsidP="002A2512">
      <w:pPr>
        <w:ind w:firstLine="708"/>
      </w:pPr>
      <w:r w:rsidRPr="002A2512">
        <w:t>Juzgado de Cobro del Segundo Circuito Judicial de Guanacaste (Santa Cruz)</w:t>
      </w:r>
    </w:p>
    <w:p w14:paraId="0B178622" w14:textId="77777777" w:rsidR="002A2512" w:rsidRPr="002A2512" w:rsidRDefault="002A2512" w:rsidP="002A2512">
      <w:pPr>
        <w:ind w:firstLine="708"/>
      </w:pPr>
      <w:r w:rsidRPr="002A2512">
        <w:t xml:space="preserve">Juzgado de Cobro del Primer Circuito Judicial de la Zona Sur </w:t>
      </w:r>
      <w:r>
        <w:t>(Pérez Zeledón)</w:t>
      </w:r>
    </w:p>
    <w:p w14:paraId="6096A0D2" w14:textId="5E71972D" w:rsidR="00B31AC4" w:rsidRPr="002A2512" w:rsidRDefault="00B31AC4" w:rsidP="002A2512">
      <w:pPr>
        <w:ind w:firstLine="708"/>
      </w:pPr>
      <w:r w:rsidRPr="002A2512">
        <w:t>J</w:t>
      </w:r>
      <w:r w:rsidR="004E1CD8" w:rsidRPr="002A2512">
        <w:t xml:space="preserve">uzgado </w:t>
      </w:r>
      <w:r w:rsidRPr="002A2512">
        <w:t>de Cobro</w:t>
      </w:r>
      <w:r w:rsidR="004E1CD8" w:rsidRPr="002A2512">
        <w:t>s</w:t>
      </w:r>
      <w:r w:rsidRPr="002A2512">
        <w:t xml:space="preserve"> de</w:t>
      </w:r>
      <w:r w:rsidR="004E1CD8" w:rsidRPr="002A2512">
        <w:t xml:space="preserve"> </w:t>
      </w:r>
      <w:r w:rsidRPr="002A2512">
        <w:t>San Carlos</w:t>
      </w:r>
    </w:p>
    <w:p w14:paraId="0DA4841D" w14:textId="3FB0F79D" w:rsidR="00B31AC4" w:rsidRPr="002A2512" w:rsidRDefault="00B31AC4" w:rsidP="002A2512">
      <w:pPr>
        <w:ind w:firstLine="708"/>
      </w:pPr>
      <w:r w:rsidRPr="002A2512">
        <w:t>J</w:t>
      </w:r>
      <w:r w:rsidR="004E1CD8" w:rsidRPr="002A2512">
        <w:t xml:space="preserve">uzgado </w:t>
      </w:r>
      <w:r w:rsidRPr="002A2512">
        <w:t>de Cobro de</w:t>
      </w:r>
      <w:r w:rsidR="004E1CD8" w:rsidRPr="002A2512">
        <w:t xml:space="preserve"> </w:t>
      </w:r>
      <w:r w:rsidRPr="002A2512">
        <w:t>San Ramon</w:t>
      </w:r>
    </w:p>
    <w:p w14:paraId="7B6D0E9E" w14:textId="1200266B" w:rsidR="00B31AC4" w:rsidRPr="002A2512" w:rsidRDefault="00B31AC4" w:rsidP="002A2512">
      <w:pPr>
        <w:ind w:firstLine="708"/>
      </w:pPr>
      <w:r w:rsidRPr="002A2512">
        <w:t>Juzgado de Cobro</w:t>
      </w:r>
      <w:r w:rsidR="004E1CD8" w:rsidRPr="002A2512">
        <w:t>s</w:t>
      </w:r>
      <w:r w:rsidRPr="002A2512">
        <w:t xml:space="preserve"> de Grecia</w:t>
      </w:r>
    </w:p>
    <w:p w14:paraId="21D6CB8C" w14:textId="6DD84476" w:rsidR="00B31AC4" w:rsidRPr="002A2512" w:rsidRDefault="00B31AC4" w:rsidP="002A2512">
      <w:pPr>
        <w:ind w:firstLine="708"/>
      </w:pPr>
      <w:r w:rsidRPr="002A2512">
        <w:lastRenderedPageBreak/>
        <w:t>J</w:t>
      </w:r>
      <w:r w:rsidR="004E1CD8" w:rsidRPr="002A2512">
        <w:t>uzgado</w:t>
      </w:r>
      <w:r w:rsidRPr="002A2512">
        <w:t xml:space="preserve"> de Cobro</w:t>
      </w:r>
      <w:r w:rsidR="004E1CD8" w:rsidRPr="002A2512">
        <w:t>s</w:t>
      </w:r>
      <w:r w:rsidRPr="002A2512">
        <w:t xml:space="preserve"> de Cartago</w:t>
      </w:r>
    </w:p>
    <w:p w14:paraId="484B6EFC" w14:textId="77777777" w:rsidR="00B31AC4" w:rsidRPr="002A2512" w:rsidRDefault="00B31AC4" w:rsidP="002A2512">
      <w:pPr>
        <w:ind w:firstLine="708"/>
      </w:pPr>
      <w:r w:rsidRPr="002A2512">
        <w:t>Juzgado de Cobro de Heredia</w:t>
      </w:r>
    </w:p>
    <w:p w14:paraId="10ED8B12" w14:textId="1FD5ACC1" w:rsidR="00B31AC4" w:rsidRPr="002A2512" w:rsidRDefault="00B31AC4" w:rsidP="002A2512">
      <w:pPr>
        <w:ind w:firstLine="708"/>
      </w:pPr>
      <w:r w:rsidRPr="002A2512">
        <w:t>Juzgado de Cobro</w:t>
      </w:r>
      <w:r w:rsidR="004E1CD8" w:rsidRPr="002A2512">
        <w:t>s</w:t>
      </w:r>
      <w:r w:rsidRPr="002A2512">
        <w:t xml:space="preserve"> de Puntarenas</w:t>
      </w:r>
    </w:p>
    <w:p w14:paraId="03FCFCFF" w14:textId="17D8F322" w:rsidR="00B31AC4" w:rsidRPr="002A2512" w:rsidRDefault="00B31AC4" w:rsidP="002A2512">
      <w:pPr>
        <w:ind w:firstLine="708"/>
      </w:pPr>
      <w:r w:rsidRPr="002A2512">
        <w:t>J</w:t>
      </w:r>
      <w:r w:rsidR="004E1CD8" w:rsidRPr="002A2512">
        <w:t xml:space="preserve">uzgado </w:t>
      </w:r>
      <w:r w:rsidRPr="002A2512">
        <w:t>de Cobro</w:t>
      </w:r>
      <w:r w:rsidR="004E1CD8" w:rsidRPr="002A2512">
        <w:t>s</w:t>
      </w:r>
      <w:r w:rsidRPr="002A2512">
        <w:t xml:space="preserve"> de</w:t>
      </w:r>
      <w:r w:rsidR="004E1CD8" w:rsidRPr="002A2512">
        <w:t xml:space="preserve"> Liberia </w:t>
      </w:r>
    </w:p>
    <w:p w14:paraId="7678AE06" w14:textId="63874C2B" w:rsidR="00B31AC4" w:rsidRPr="002A2512" w:rsidRDefault="00B31AC4" w:rsidP="002A2512">
      <w:pPr>
        <w:ind w:firstLine="708"/>
      </w:pPr>
      <w:r w:rsidRPr="002A2512">
        <w:t>J</w:t>
      </w:r>
      <w:r w:rsidR="004E1CD8" w:rsidRPr="002A2512">
        <w:t xml:space="preserve">uzgado de Cobro de Limón </w:t>
      </w:r>
    </w:p>
    <w:p w14:paraId="0EB91591" w14:textId="681C7229" w:rsidR="00B31AC4" w:rsidRPr="002A2512" w:rsidRDefault="00B31AC4" w:rsidP="002A2512">
      <w:pPr>
        <w:ind w:firstLine="708"/>
      </w:pPr>
      <w:r w:rsidRPr="002A2512">
        <w:t>Juzgado de Cobro</w:t>
      </w:r>
      <w:r w:rsidR="004E1CD8" w:rsidRPr="002A2512">
        <w:t>s</w:t>
      </w:r>
      <w:r w:rsidRPr="002A2512">
        <w:t xml:space="preserve"> de Pococí</w:t>
      </w:r>
    </w:p>
    <w:p w14:paraId="73368BC4" w14:textId="26547B05" w:rsidR="00B31AC4" w:rsidRDefault="00B31AC4" w:rsidP="002A2512">
      <w:pPr>
        <w:ind w:firstLine="708"/>
      </w:pPr>
      <w:r w:rsidRPr="002A2512">
        <w:t>Juzgado de Cobro</w:t>
      </w:r>
      <w:r w:rsidR="004E1CD8" w:rsidRPr="002A2512">
        <w:t>s</w:t>
      </w:r>
      <w:r w:rsidRPr="002A2512">
        <w:t xml:space="preserve"> de Golfito</w:t>
      </w:r>
    </w:p>
    <w:bookmarkEnd w:id="65"/>
    <w:p w14:paraId="63224057" w14:textId="3C068417" w:rsidR="002C0DC3" w:rsidRPr="002C0DC3" w:rsidRDefault="002C0DC3" w:rsidP="002A2512">
      <w:pPr>
        <w:ind w:firstLine="708"/>
        <w:jc w:val="both"/>
      </w:pPr>
      <w:r w:rsidRPr="002C0DC3">
        <w:t>Dirección de Planificación</w:t>
      </w:r>
    </w:p>
    <w:p w14:paraId="0B7B2DDB" w14:textId="10218370" w:rsidR="0029216A" w:rsidRPr="00B31AC4" w:rsidRDefault="0029216A" w:rsidP="00B31AC4">
      <w:pPr>
        <w:autoSpaceDE w:val="0"/>
        <w:autoSpaceDN w:val="0"/>
        <w:ind w:firstLine="708"/>
        <w:jc w:val="both"/>
        <w:rPr>
          <w:b/>
          <w:bCs/>
          <w:color w:val="FF0000"/>
          <w:lang w:val="es-ES_tradnl"/>
        </w:rPr>
      </w:pPr>
      <w:r w:rsidRPr="002C0DC3">
        <w:t>Diligencias / Refs: (</w:t>
      </w:r>
      <w:r w:rsidR="002C0DC3" w:rsidRPr="002C0DC3">
        <w:rPr>
          <w:rFonts w:eastAsia="Calibri"/>
          <w:b/>
          <w:lang w:val="es-CR" w:eastAsia="en-US"/>
        </w:rPr>
        <w:t>9472-2021</w:t>
      </w:r>
      <w:r w:rsidRPr="002C0DC3">
        <w:t xml:space="preserve">) </w:t>
      </w:r>
    </w:p>
    <w:p w14:paraId="44EB5DEE" w14:textId="3BFFA355" w:rsidR="009F45D2" w:rsidRPr="002C0DC3" w:rsidRDefault="00BE2779" w:rsidP="00B31AC4">
      <w:pPr>
        <w:ind w:firstLine="708"/>
        <w:jc w:val="both"/>
        <w:rPr>
          <w:b/>
          <w:shd w:val="clear" w:color="auto" w:fill="FFFFFF"/>
          <w:lang w:val="es-ES_tradnl"/>
        </w:rPr>
      </w:pPr>
      <w:r w:rsidRPr="002C0DC3">
        <w:rPr>
          <w:b/>
          <w:shd w:val="clear" w:color="auto" w:fill="FFFFFF"/>
          <w:lang w:val="es-ES_tradnl"/>
        </w:rPr>
        <w:t>ediazo</w:t>
      </w:r>
    </w:p>
    <w:sectPr w:rsidR="009F45D2" w:rsidRPr="002C0DC3" w:rsidSect="00186ADE">
      <w:headerReference w:type="even" r:id="rId33"/>
      <w:headerReference w:type="default" r:id="rId34"/>
      <w:footerReference w:type="even" r:id="rId35"/>
      <w:footerReference w:type="default" r:id="rId36"/>
      <w:headerReference w:type="first" r:id="rId37"/>
      <w:footerReference w:type="first" r:id="rId38"/>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9073D" w14:textId="77777777" w:rsidR="00C45786" w:rsidRDefault="00C45786">
      <w:r>
        <w:separator/>
      </w:r>
    </w:p>
  </w:endnote>
  <w:endnote w:type="continuationSeparator" w:id="0">
    <w:p w14:paraId="79E042CF" w14:textId="77777777" w:rsidR="00C45786" w:rsidRDefault="00C4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pranq eco sans">
    <w:altName w:val="Microsoft YaHei"/>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2C0DC3" w:rsidRDefault="002C0D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2C0DC3" w:rsidRDefault="002C0DC3">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2C0DC3" w:rsidRDefault="002C0DC3">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2C0DC3" w:rsidRDefault="002C0DC3">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2C0DC3" w:rsidRDefault="002C0D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DE678" w14:textId="77777777" w:rsidR="00C45786" w:rsidRDefault="00C45786">
      <w:r>
        <w:separator/>
      </w:r>
    </w:p>
  </w:footnote>
  <w:footnote w:type="continuationSeparator" w:id="0">
    <w:p w14:paraId="3BA4CEC0" w14:textId="77777777" w:rsidR="00C45786" w:rsidRDefault="00C45786">
      <w:r>
        <w:continuationSeparator/>
      </w:r>
    </w:p>
  </w:footnote>
  <w:footnote w:id="1">
    <w:p w14:paraId="5398913E" w14:textId="77777777" w:rsidR="002C0DC3" w:rsidRPr="00E6544B" w:rsidRDefault="002C0DC3" w:rsidP="002C0DC3">
      <w:pPr>
        <w:pStyle w:val="al1"/>
        <w:rPr>
          <w:i/>
          <w:iCs/>
        </w:rPr>
      </w:pPr>
      <w:r>
        <w:rPr>
          <w:rStyle w:val="Refdenotaalpie"/>
        </w:rPr>
        <w:footnoteRef/>
      </w:r>
      <w:r>
        <w:t xml:space="preserve"> Se refiere a la suma de incidentes </w:t>
      </w:r>
      <w:r>
        <w:rPr>
          <w:i/>
          <w:iCs/>
        </w:rPr>
        <w:t>entrados+reentrados+reactivados.</w:t>
      </w:r>
    </w:p>
  </w:footnote>
  <w:footnote w:id="2">
    <w:p w14:paraId="1F08D4E3" w14:textId="77777777" w:rsidR="002C0DC3" w:rsidRPr="00E6544B" w:rsidRDefault="002C0DC3" w:rsidP="002C0DC3">
      <w:pPr>
        <w:pStyle w:val="al1"/>
        <w:rPr>
          <w:i/>
          <w:iCs/>
        </w:rPr>
      </w:pPr>
      <w:r>
        <w:rPr>
          <w:rStyle w:val="Refdenotaalpie"/>
        </w:rPr>
        <w:footnoteRef/>
      </w:r>
      <w:r>
        <w:t xml:space="preserve"> Se refiere a la suma de incident16es </w:t>
      </w:r>
      <w:r>
        <w:rPr>
          <w:i/>
          <w:iCs/>
        </w:rPr>
        <w:t>entrados+reentrados+reactivados.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2C0DC3" w:rsidRDefault="002C0D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140C6E33" w:rsidR="002C0DC3" w:rsidRDefault="002C0DC3">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2A582EE9">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2C0DC3" w:rsidRDefault="002C0DC3"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2C0DC3" w:rsidRDefault="002C0DC3"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1203DAE7" w14:textId="77777777" w:rsidR="002C0DC3" w:rsidRDefault="002C0DC3">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2C0DC3" w:rsidRDefault="002C0D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B"/>
    <w:multiLevelType w:val="singleLevel"/>
    <w:tmpl w:val="0000000B"/>
    <w:name w:val="WW8Num7"/>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3C3627"/>
    <w:multiLevelType w:val="hybridMultilevel"/>
    <w:tmpl w:val="5FD49FDE"/>
    <w:lvl w:ilvl="0" w:tplc="EAA67958">
      <w:start w:val="1"/>
      <w:numFmt w:val="bullet"/>
      <w:lvlText w:val=""/>
      <w:lvlJc w:val="left"/>
      <w:pPr>
        <w:ind w:left="1144" w:hanging="360"/>
      </w:pPr>
      <w:rPr>
        <w:rFonts w:ascii="Symbol" w:hAnsi="Symbol" w:hint="default"/>
      </w:rPr>
    </w:lvl>
    <w:lvl w:ilvl="1" w:tplc="140A0003" w:tentative="1">
      <w:start w:val="1"/>
      <w:numFmt w:val="bullet"/>
      <w:lvlText w:val="o"/>
      <w:lvlJc w:val="left"/>
      <w:pPr>
        <w:ind w:left="1504" w:hanging="360"/>
      </w:pPr>
      <w:rPr>
        <w:rFonts w:ascii="Courier New" w:hAnsi="Courier New" w:cs="Courier New" w:hint="default"/>
      </w:rPr>
    </w:lvl>
    <w:lvl w:ilvl="2" w:tplc="140A0005" w:tentative="1">
      <w:start w:val="1"/>
      <w:numFmt w:val="bullet"/>
      <w:lvlText w:val=""/>
      <w:lvlJc w:val="left"/>
      <w:pPr>
        <w:ind w:left="2224" w:hanging="360"/>
      </w:pPr>
      <w:rPr>
        <w:rFonts w:ascii="Wingdings" w:hAnsi="Wingdings" w:hint="default"/>
      </w:rPr>
    </w:lvl>
    <w:lvl w:ilvl="3" w:tplc="140A0001" w:tentative="1">
      <w:start w:val="1"/>
      <w:numFmt w:val="bullet"/>
      <w:lvlText w:val=""/>
      <w:lvlJc w:val="left"/>
      <w:pPr>
        <w:ind w:left="2944" w:hanging="360"/>
      </w:pPr>
      <w:rPr>
        <w:rFonts w:ascii="Symbol" w:hAnsi="Symbol" w:hint="default"/>
      </w:rPr>
    </w:lvl>
    <w:lvl w:ilvl="4" w:tplc="140A0003" w:tentative="1">
      <w:start w:val="1"/>
      <w:numFmt w:val="bullet"/>
      <w:lvlText w:val="o"/>
      <w:lvlJc w:val="left"/>
      <w:pPr>
        <w:ind w:left="3664" w:hanging="360"/>
      </w:pPr>
      <w:rPr>
        <w:rFonts w:ascii="Courier New" w:hAnsi="Courier New" w:cs="Courier New" w:hint="default"/>
      </w:rPr>
    </w:lvl>
    <w:lvl w:ilvl="5" w:tplc="140A0005" w:tentative="1">
      <w:start w:val="1"/>
      <w:numFmt w:val="bullet"/>
      <w:lvlText w:val=""/>
      <w:lvlJc w:val="left"/>
      <w:pPr>
        <w:ind w:left="4384" w:hanging="360"/>
      </w:pPr>
      <w:rPr>
        <w:rFonts w:ascii="Wingdings" w:hAnsi="Wingdings" w:hint="default"/>
      </w:rPr>
    </w:lvl>
    <w:lvl w:ilvl="6" w:tplc="140A0001" w:tentative="1">
      <w:start w:val="1"/>
      <w:numFmt w:val="bullet"/>
      <w:lvlText w:val=""/>
      <w:lvlJc w:val="left"/>
      <w:pPr>
        <w:ind w:left="5104" w:hanging="360"/>
      </w:pPr>
      <w:rPr>
        <w:rFonts w:ascii="Symbol" w:hAnsi="Symbol" w:hint="default"/>
      </w:rPr>
    </w:lvl>
    <w:lvl w:ilvl="7" w:tplc="140A0003" w:tentative="1">
      <w:start w:val="1"/>
      <w:numFmt w:val="bullet"/>
      <w:lvlText w:val="o"/>
      <w:lvlJc w:val="left"/>
      <w:pPr>
        <w:ind w:left="5824" w:hanging="360"/>
      </w:pPr>
      <w:rPr>
        <w:rFonts w:ascii="Courier New" w:hAnsi="Courier New" w:cs="Courier New" w:hint="default"/>
      </w:rPr>
    </w:lvl>
    <w:lvl w:ilvl="8" w:tplc="140A0005" w:tentative="1">
      <w:start w:val="1"/>
      <w:numFmt w:val="bullet"/>
      <w:lvlText w:val=""/>
      <w:lvlJc w:val="left"/>
      <w:pPr>
        <w:ind w:left="6544" w:hanging="360"/>
      </w:pPr>
      <w:rPr>
        <w:rFonts w:ascii="Wingdings" w:hAnsi="Wingdings" w:hint="default"/>
      </w:r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0E1B79"/>
    <w:multiLevelType w:val="hybridMultilevel"/>
    <w:tmpl w:val="300C9A1A"/>
    <w:styleLink w:val="Estilo3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E215D4"/>
    <w:multiLevelType w:val="multilevel"/>
    <w:tmpl w:val="1744E60E"/>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3C174F2"/>
    <w:multiLevelType w:val="multilevel"/>
    <w:tmpl w:val="3648C1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E51415"/>
    <w:multiLevelType w:val="multilevel"/>
    <w:tmpl w:val="1F100F8C"/>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3" w15:restartNumberingAfterBreak="0">
    <w:nsid w:val="222108C7"/>
    <w:multiLevelType w:val="hybridMultilevel"/>
    <w:tmpl w:val="B6FC6292"/>
    <w:styleLink w:val="Estilo311"/>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14" w15:restartNumberingAfterBreak="0">
    <w:nsid w:val="22526883"/>
    <w:multiLevelType w:val="multilevel"/>
    <w:tmpl w:val="2C5C0AE8"/>
    <w:styleLink w:val="Estilo211"/>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6"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7FA4BDB"/>
    <w:multiLevelType w:val="hybridMultilevel"/>
    <w:tmpl w:val="C38AFB5E"/>
    <w:styleLink w:val="WW8Num22"/>
    <w:lvl w:ilvl="0" w:tplc="E9560686">
      <w:start w:val="1"/>
      <w:numFmt w:val="upperLetter"/>
      <w:lvlText w:val="%1."/>
      <w:lvlJc w:val="left"/>
      <w:pPr>
        <w:ind w:left="1164"/>
      </w:pPr>
      <w:rPr>
        <w:rFonts w:ascii="Times New Roman" w:eastAsia="Arial" w:hAnsi="Times New Roman" w:cs="Times New Roman" w:hint="default"/>
        <w:b w:val="0"/>
        <w:i/>
        <w:iCs/>
        <w:strike w:val="0"/>
        <w:dstrike w:val="0"/>
        <w:color w:val="000099"/>
        <w:sz w:val="26"/>
        <w:szCs w:val="26"/>
        <w:u w:val="none" w:color="000000"/>
        <w:bdr w:val="none" w:sz="0" w:space="0" w:color="auto"/>
        <w:shd w:val="clear" w:color="auto" w:fill="auto"/>
        <w:vertAlign w:val="baseline"/>
      </w:rPr>
    </w:lvl>
    <w:lvl w:ilvl="1" w:tplc="641E6C2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E3C51E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13C01B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39CC16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C6E06A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5D23DA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B90BAD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82048A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D539F3"/>
    <w:multiLevelType w:val="hybridMultilevel"/>
    <w:tmpl w:val="C5329CB8"/>
    <w:lvl w:ilvl="0" w:tplc="472CB0A2">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344067E"/>
    <w:multiLevelType w:val="multilevel"/>
    <w:tmpl w:val="D230FA58"/>
    <w:styleLink w:val="Estilo111"/>
    <w:lvl w:ilvl="0">
      <w:start w:val="7"/>
      <w:numFmt w:val="decimal"/>
      <w:lvlText w:val="%1."/>
      <w:lvlJc w:val="left"/>
      <w:pPr>
        <w:ind w:left="360" w:hanging="360"/>
      </w:pPr>
      <w:rPr>
        <w:rFonts w:ascii="Times New Roman" w:hAnsi="Times New Roman" w:cs="Times New Roman" w:hint="default"/>
        <w:i w:val="0"/>
      </w:rPr>
    </w:lvl>
    <w:lvl w:ilvl="1">
      <w:start w:val="1"/>
      <w:numFmt w:val="decimal"/>
      <w:lvlText w:val="%1.%2."/>
      <w:lvlJc w:val="left"/>
      <w:pPr>
        <w:ind w:left="792" w:hanging="432"/>
      </w:pPr>
      <w:rPr>
        <w:rFonts w:ascii="Times New Roman" w:hAnsi="Times New Roman" w:cs="Times New Roman"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5D60154"/>
    <w:multiLevelType w:val="hybridMultilevel"/>
    <w:tmpl w:val="38882C6A"/>
    <w:styleLink w:val="WW8Num32"/>
    <w:lvl w:ilvl="0" w:tplc="2BCA42E6">
      <w:start w:val="5"/>
      <w:numFmt w:val="decimal"/>
      <w:lvlText w:val="%1)"/>
      <w:lvlJc w:val="left"/>
      <w:pPr>
        <w:ind w:left="87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E9DC4EB4">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E04C7862">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A59258F6">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34F27B6A">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0C1046BE">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506A6550">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2474D70C">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6526B758">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841EFB"/>
    <w:multiLevelType w:val="hybridMultilevel"/>
    <w:tmpl w:val="D480EA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35E2C12"/>
    <w:multiLevelType w:val="hybridMultilevel"/>
    <w:tmpl w:val="C374AF94"/>
    <w:styleLink w:val="WW8Num31"/>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5" w15:restartNumberingAfterBreak="0">
    <w:nsid w:val="43DD416A"/>
    <w:multiLevelType w:val="hybridMultilevel"/>
    <w:tmpl w:val="8EE6792C"/>
    <w:lvl w:ilvl="0" w:tplc="BE869040">
      <w:start w:val="1"/>
      <w:numFmt w:val="decimal"/>
      <w:isLgl/>
      <w:lvlText w:val="7.%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9C543DB"/>
    <w:multiLevelType w:val="hybridMultilevel"/>
    <w:tmpl w:val="0F0CC088"/>
    <w:styleLink w:val="Estilo31"/>
    <w:lvl w:ilvl="0" w:tplc="140A000B">
      <w:start w:val="1"/>
      <w:numFmt w:val="bullet"/>
      <w:lvlText w:val=""/>
      <w:lvlJc w:val="left"/>
      <w:pPr>
        <w:ind w:left="2148" w:hanging="360"/>
      </w:pPr>
      <w:rPr>
        <w:rFonts w:ascii="Wingdings" w:hAnsi="Wingdings" w:hint="default"/>
      </w:rPr>
    </w:lvl>
    <w:lvl w:ilvl="1" w:tplc="140A0003">
      <w:start w:val="1"/>
      <w:numFmt w:val="bullet"/>
      <w:lvlText w:val="o"/>
      <w:lvlJc w:val="left"/>
      <w:pPr>
        <w:ind w:left="2868" w:hanging="360"/>
      </w:pPr>
      <w:rPr>
        <w:rFonts w:ascii="Courier New" w:hAnsi="Courier New" w:cs="Courier New" w:hint="default"/>
      </w:rPr>
    </w:lvl>
    <w:lvl w:ilvl="2" w:tplc="140A0005" w:tentative="1">
      <w:start w:val="1"/>
      <w:numFmt w:val="bullet"/>
      <w:lvlText w:val=""/>
      <w:lvlJc w:val="left"/>
      <w:pPr>
        <w:ind w:left="3588" w:hanging="360"/>
      </w:pPr>
      <w:rPr>
        <w:rFonts w:ascii="Wingdings" w:hAnsi="Wingdings" w:hint="default"/>
      </w:rPr>
    </w:lvl>
    <w:lvl w:ilvl="3" w:tplc="140A0001" w:tentative="1">
      <w:start w:val="1"/>
      <w:numFmt w:val="bullet"/>
      <w:lvlText w:val=""/>
      <w:lvlJc w:val="left"/>
      <w:pPr>
        <w:ind w:left="4308" w:hanging="360"/>
      </w:pPr>
      <w:rPr>
        <w:rFonts w:ascii="Symbol" w:hAnsi="Symbol" w:hint="default"/>
      </w:rPr>
    </w:lvl>
    <w:lvl w:ilvl="4" w:tplc="140A0003" w:tentative="1">
      <w:start w:val="1"/>
      <w:numFmt w:val="bullet"/>
      <w:lvlText w:val="o"/>
      <w:lvlJc w:val="left"/>
      <w:pPr>
        <w:ind w:left="5028" w:hanging="360"/>
      </w:pPr>
      <w:rPr>
        <w:rFonts w:ascii="Courier New" w:hAnsi="Courier New" w:cs="Courier New" w:hint="default"/>
      </w:rPr>
    </w:lvl>
    <w:lvl w:ilvl="5" w:tplc="140A0005" w:tentative="1">
      <w:start w:val="1"/>
      <w:numFmt w:val="bullet"/>
      <w:lvlText w:val=""/>
      <w:lvlJc w:val="left"/>
      <w:pPr>
        <w:ind w:left="5748" w:hanging="360"/>
      </w:pPr>
      <w:rPr>
        <w:rFonts w:ascii="Wingdings" w:hAnsi="Wingdings" w:hint="default"/>
      </w:rPr>
    </w:lvl>
    <w:lvl w:ilvl="6" w:tplc="140A0001" w:tentative="1">
      <w:start w:val="1"/>
      <w:numFmt w:val="bullet"/>
      <w:lvlText w:val=""/>
      <w:lvlJc w:val="left"/>
      <w:pPr>
        <w:ind w:left="6468" w:hanging="360"/>
      </w:pPr>
      <w:rPr>
        <w:rFonts w:ascii="Symbol" w:hAnsi="Symbol" w:hint="default"/>
      </w:rPr>
    </w:lvl>
    <w:lvl w:ilvl="7" w:tplc="140A0003" w:tentative="1">
      <w:start w:val="1"/>
      <w:numFmt w:val="bullet"/>
      <w:lvlText w:val="o"/>
      <w:lvlJc w:val="left"/>
      <w:pPr>
        <w:ind w:left="7188" w:hanging="360"/>
      </w:pPr>
      <w:rPr>
        <w:rFonts w:ascii="Courier New" w:hAnsi="Courier New" w:cs="Courier New" w:hint="default"/>
      </w:rPr>
    </w:lvl>
    <w:lvl w:ilvl="8" w:tplc="140A0005" w:tentative="1">
      <w:start w:val="1"/>
      <w:numFmt w:val="bullet"/>
      <w:lvlText w:val=""/>
      <w:lvlJc w:val="left"/>
      <w:pPr>
        <w:ind w:left="7908" w:hanging="360"/>
      </w:pPr>
      <w:rPr>
        <w:rFonts w:ascii="Wingdings" w:hAnsi="Wingdings" w:hint="default"/>
      </w:rPr>
    </w:lvl>
  </w:abstractNum>
  <w:abstractNum w:abstractNumId="27" w15:restartNumberingAfterBreak="0">
    <w:nsid w:val="4B4B52CC"/>
    <w:multiLevelType w:val="multilevel"/>
    <w:tmpl w:val="74F4239A"/>
    <w:lvl w:ilvl="0">
      <w:start w:val="1"/>
      <w:numFmt w:val="upperRoman"/>
      <w:lvlText w:val="%1."/>
      <w:lvlJc w:val="right"/>
      <w:pPr>
        <w:ind w:left="36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D0B534E"/>
    <w:multiLevelType w:val="hybridMultilevel"/>
    <w:tmpl w:val="FFA4BC7E"/>
    <w:styleLink w:val="Estilo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0B27C7F"/>
    <w:multiLevelType w:val="hybridMultilevel"/>
    <w:tmpl w:val="D3D42910"/>
    <w:name w:val="List1339519059_1"/>
    <w:styleLink w:val="WW8Num2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0"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3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4" w15:restartNumberingAfterBreak="0">
    <w:nsid w:val="569C71C9"/>
    <w:multiLevelType w:val="hybridMultilevel"/>
    <w:tmpl w:val="05887742"/>
    <w:lvl w:ilvl="0" w:tplc="EAA67958">
      <w:start w:val="1"/>
      <w:numFmt w:val="bullet"/>
      <w:lvlText w:val=""/>
      <w:lvlJc w:val="left"/>
      <w:pPr>
        <w:ind w:left="1134" w:hanging="360"/>
      </w:pPr>
      <w:rPr>
        <w:rFonts w:ascii="Symbol" w:hAnsi="Symbol" w:hint="default"/>
      </w:rPr>
    </w:lvl>
    <w:lvl w:ilvl="1" w:tplc="140A0003" w:tentative="1">
      <w:start w:val="1"/>
      <w:numFmt w:val="bullet"/>
      <w:lvlText w:val="o"/>
      <w:lvlJc w:val="left"/>
      <w:pPr>
        <w:ind w:left="1494" w:hanging="360"/>
      </w:pPr>
      <w:rPr>
        <w:rFonts w:ascii="Courier New" w:hAnsi="Courier New" w:cs="Courier New" w:hint="default"/>
      </w:rPr>
    </w:lvl>
    <w:lvl w:ilvl="2" w:tplc="140A0005" w:tentative="1">
      <w:start w:val="1"/>
      <w:numFmt w:val="bullet"/>
      <w:lvlText w:val=""/>
      <w:lvlJc w:val="left"/>
      <w:pPr>
        <w:ind w:left="2214" w:hanging="360"/>
      </w:pPr>
      <w:rPr>
        <w:rFonts w:ascii="Wingdings" w:hAnsi="Wingdings" w:hint="default"/>
      </w:rPr>
    </w:lvl>
    <w:lvl w:ilvl="3" w:tplc="140A0001" w:tentative="1">
      <w:start w:val="1"/>
      <w:numFmt w:val="bullet"/>
      <w:lvlText w:val=""/>
      <w:lvlJc w:val="left"/>
      <w:pPr>
        <w:ind w:left="2934" w:hanging="360"/>
      </w:pPr>
      <w:rPr>
        <w:rFonts w:ascii="Symbol" w:hAnsi="Symbol" w:hint="default"/>
      </w:rPr>
    </w:lvl>
    <w:lvl w:ilvl="4" w:tplc="140A0003" w:tentative="1">
      <w:start w:val="1"/>
      <w:numFmt w:val="bullet"/>
      <w:lvlText w:val="o"/>
      <w:lvlJc w:val="left"/>
      <w:pPr>
        <w:ind w:left="3654" w:hanging="360"/>
      </w:pPr>
      <w:rPr>
        <w:rFonts w:ascii="Courier New" w:hAnsi="Courier New" w:cs="Courier New" w:hint="default"/>
      </w:rPr>
    </w:lvl>
    <w:lvl w:ilvl="5" w:tplc="140A0005" w:tentative="1">
      <w:start w:val="1"/>
      <w:numFmt w:val="bullet"/>
      <w:lvlText w:val=""/>
      <w:lvlJc w:val="left"/>
      <w:pPr>
        <w:ind w:left="4374" w:hanging="360"/>
      </w:pPr>
      <w:rPr>
        <w:rFonts w:ascii="Wingdings" w:hAnsi="Wingdings" w:hint="default"/>
      </w:rPr>
    </w:lvl>
    <w:lvl w:ilvl="6" w:tplc="140A0001" w:tentative="1">
      <w:start w:val="1"/>
      <w:numFmt w:val="bullet"/>
      <w:lvlText w:val=""/>
      <w:lvlJc w:val="left"/>
      <w:pPr>
        <w:ind w:left="5094" w:hanging="360"/>
      </w:pPr>
      <w:rPr>
        <w:rFonts w:ascii="Symbol" w:hAnsi="Symbol" w:hint="default"/>
      </w:rPr>
    </w:lvl>
    <w:lvl w:ilvl="7" w:tplc="140A0003" w:tentative="1">
      <w:start w:val="1"/>
      <w:numFmt w:val="bullet"/>
      <w:lvlText w:val="o"/>
      <w:lvlJc w:val="left"/>
      <w:pPr>
        <w:ind w:left="5814" w:hanging="360"/>
      </w:pPr>
      <w:rPr>
        <w:rFonts w:ascii="Courier New" w:hAnsi="Courier New" w:cs="Courier New" w:hint="default"/>
      </w:rPr>
    </w:lvl>
    <w:lvl w:ilvl="8" w:tplc="140A0005" w:tentative="1">
      <w:start w:val="1"/>
      <w:numFmt w:val="bullet"/>
      <w:lvlText w:val=""/>
      <w:lvlJc w:val="left"/>
      <w:pPr>
        <w:ind w:left="6534" w:hanging="360"/>
      </w:pPr>
      <w:rPr>
        <w:rFonts w:ascii="Wingdings" w:hAnsi="Wingdings" w:hint="default"/>
      </w:rPr>
    </w:lvl>
  </w:abstractNum>
  <w:abstractNum w:abstractNumId="35" w15:restartNumberingAfterBreak="0">
    <w:nsid w:val="57133078"/>
    <w:multiLevelType w:val="multilevel"/>
    <w:tmpl w:val="72B06326"/>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602B1613"/>
    <w:multiLevelType w:val="hybridMultilevel"/>
    <w:tmpl w:val="FCC4A5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67B3B17"/>
    <w:multiLevelType w:val="hybridMultilevel"/>
    <w:tmpl w:val="42A871D6"/>
    <w:styleLink w:val="WW8Num311"/>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DE7C9E"/>
    <w:multiLevelType w:val="hybridMultilevel"/>
    <w:tmpl w:val="A830DC48"/>
    <w:lvl w:ilvl="0" w:tplc="F42CFB2C">
      <w:start w:val="1"/>
      <w:numFmt w:val="decimal"/>
      <w:isLgl/>
      <w:lvlText w:val="6.%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9F122CA"/>
    <w:multiLevelType w:val="hybridMultilevel"/>
    <w:tmpl w:val="D5E0ACEC"/>
    <w:styleLink w:val="WW8Num2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0"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15:restartNumberingAfterBreak="0">
    <w:nsid w:val="777B6ED8"/>
    <w:multiLevelType w:val="hybridMultilevel"/>
    <w:tmpl w:val="2946D8E2"/>
    <w:lvl w:ilvl="0" w:tplc="EAA67958">
      <w:start w:val="1"/>
      <w:numFmt w:val="bullet"/>
      <w:lvlText w:val=""/>
      <w:lvlJc w:val="left"/>
      <w:pPr>
        <w:ind w:left="108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A665E8D"/>
    <w:multiLevelType w:val="multilevel"/>
    <w:tmpl w:val="C8BA08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C3A0E27"/>
    <w:multiLevelType w:val="multilevel"/>
    <w:tmpl w:val="140A001F"/>
    <w:styleLink w:val="Estilo2"/>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C9C377F"/>
    <w:multiLevelType w:val="hybridMultilevel"/>
    <w:tmpl w:val="4B3A582C"/>
    <w:lvl w:ilvl="0" w:tplc="76DC446A">
      <w:start w:val="1"/>
      <w:numFmt w:val="decimal"/>
      <w:pStyle w:val="EstiloTextodegloboBookAntiqua12pto"/>
      <w:lvlText w:val="13.1%1"/>
      <w:lvlJc w:val="left"/>
      <w:pPr>
        <w:ind w:left="7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D6428C0"/>
    <w:multiLevelType w:val="multilevel"/>
    <w:tmpl w:val="18C6E01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23"/>
  </w:num>
  <w:num w:numId="3">
    <w:abstractNumId w:val="9"/>
  </w:num>
  <w:num w:numId="4">
    <w:abstractNumId w:val="37"/>
  </w:num>
  <w:num w:numId="5">
    <w:abstractNumId w:val="1"/>
  </w:num>
  <w:num w:numId="6">
    <w:abstractNumId w:val="24"/>
  </w:num>
  <w:num w:numId="7">
    <w:abstractNumId w:val="0"/>
  </w:num>
  <w:num w:numId="8">
    <w:abstractNumId w:val="21"/>
  </w:num>
  <w:num w:numId="9">
    <w:abstractNumId w:val="29"/>
  </w:num>
  <w:num w:numId="10">
    <w:abstractNumId w:val="39"/>
  </w:num>
  <w:num w:numId="11">
    <w:abstractNumId w:val="28"/>
  </w:num>
  <w:num w:numId="12">
    <w:abstractNumId w:val="8"/>
  </w:num>
  <w:num w:numId="13">
    <w:abstractNumId w:val="44"/>
  </w:num>
  <w:num w:numId="14">
    <w:abstractNumId w:val="19"/>
  </w:num>
  <w:num w:numId="15">
    <w:abstractNumId w:val="14"/>
  </w:num>
  <w:num w:numId="16">
    <w:abstractNumId w:val="13"/>
  </w:num>
  <w:num w:numId="17">
    <w:abstractNumId w:val="26"/>
  </w:num>
  <w:num w:numId="18">
    <w:abstractNumId w:val="45"/>
  </w:num>
  <w:num w:numId="19">
    <w:abstractNumId w:val="20"/>
  </w:num>
  <w:num w:numId="20">
    <w:abstractNumId w:val="17"/>
  </w:num>
  <w:num w:numId="21">
    <w:abstractNumId w:val="35"/>
  </w:num>
  <w:num w:numId="22">
    <w:abstractNumId w:val="12"/>
  </w:num>
  <w:num w:numId="23">
    <w:abstractNumId w:val="43"/>
  </w:num>
  <w:num w:numId="24">
    <w:abstractNumId w:val="22"/>
  </w:num>
  <w:num w:numId="25">
    <w:abstractNumId w:val="38"/>
  </w:num>
  <w:num w:numId="26">
    <w:abstractNumId w:val="3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8"/>
  </w:num>
  <w:num w:numId="30">
    <w:abstractNumId w:val="46"/>
  </w:num>
  <w:num w:numId="31">
    <w:abstractNumId w:val="4"/>
  </w:num>
  <w:num w:numId="32">
    <w:abstractNumId w:val="34"/>
  </w:num>
  <w:num w:numId="33">
    <w:abstractNumId w:val="42"/>
  </w:num>
  <w:num w:numId="34">
    <w:abstractNumId w:val="10"/>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2512"/>
    <w:rsid w:val="002A6286"/>
    <w:rsid w:val="002A72A4"/>
    <w:rsid w:val="002B0089"/>
    <w:rsid w:val="002B2482"/>
    <w:rsid w:val="002B25DE"/>
    <w:rsid w:val="002B4078"/>
    <w:rsid w:val="002B4FAC"/>
    <w:rsid w:val="002B5738"/>
    <w:rsid w:val="002C0DC3"/>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17D"/>
    <w:rsid w:val="00324E8D"/>
    <w:rsid w:val="00325E9D"/>
    <w:rsid w:val="0032634B"/>
    <w:rsid w:val="00327CE2"/>
    <w:rsid w:val="00330900"/>
    <w:rsid w:val="003318B5"/>
    <w:rsid w:val="00331C62"/>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65B2"/>
    <w:rsid w:val="003B7827"/>
    <w:rsid w:val="003C1B14"/>
    <w:rsid w:val="003C1D06"/>
    <w:rsid w:val="003C1F66"/>
    <w:rsid w:val="003C2151"/>
    <w:rsid w:val="003C383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1CD8"/>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B7FFC"/>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6AD0"/>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1B89"/>
    <w:rsid w:val="00732F11"/>
    <w:rsid w:val="007331DC"/>
    <w:rsid w:val="00735606"/>
    <w:rsid w:val="00735891"/>
    <w:rsid w:val="007410C4"/>
    <w:rsid w:val="00741726"/>
    <w:rsid w:val="00746B73"/>
    <w:rsid w:val="00746FCB"/>
    <w:rsid w:val="00751CA6"/>
    <w:rsid w:val="00760DC3"/>
    <w:rsid w:val="00760DD1"/>
    <w:rsid w:val="0076119D"/>
    <w:rsid w:val="00762BCF"/>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1A44"/>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4F3"/>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2F7A"/>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37A85"/>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1904"/>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AC4"/>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3C89"/>
    <w:rsid w:val="00BD481D"/>
    <w:rsid w:val="00BD601E"/>
    <w:rsid w:val="00BE0E9D"/>
    <w:rsid w:val="00BE2779"/>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7457"/>
    <w:rsid w:val="00C4166D"/>
    <w:rsid w:val="00C4187C"/>
    <w:rsid w:val="00C419CA"/>
    <w:rsid w:val="00C44059"/>
    <w:rsid w:val="00C44302"/>
    <w:rsid w:val="00C44FDA"/>
    <w:rsid w:val="00C45786"/>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3D95"/>
    <w:rsid w:val="00CE5E6E"/>
    <w:rsid w:val="00CE63F0"/>
    <w:rsid w:val="00CE7A74"/>
    <w:rsid w:val="00CE7F7F"/>
    <w:rsid w:val="00CF25F4"/>
    <w:rsid w:val="00CF2942"/>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16B"/>
    <w:rsid w:val="00D86BE7"/>
    <w:rsid w:val="00D922BB"/>
    <w:rsid w:val="00D930B6"/>
    <w:rsid w:val="00D939E7"/>
    <w:rsid w:val="00D93E61"/>
    <w:rsid w:val="00D969BA"/>
    <w:rsid w:val="00DA2A3B"/>
    <w:rsid w:val="00DA68B3"/>
    <w:rsid w:val="00DA6B0B"/>
    <w:rsid w:val="00DA7BDC"/>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1CF"/>
    <w:rsid w:val="00E8254C"/>
    <w:rsid w:val="00E82A69"/>
    <w:rsid w:val="00E83FBA"/>
    <w:rsid w:val="00E845FE"/>
    <w:rsid w:val="00E90F1E"/>
    <w:rsid w:val="00E92B73"/>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qFormat="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List Paragraph 1,Bullets,List_Paragraph,Footnote"/>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ootnote Reference"/>
    <w:uiPriority w:val="99"/>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qFormat/>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uiPriority w:val="99"/>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0">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uiPriority w:val="99"/>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Lista vistosa - Énfasis 11 Car,Footnote Car,List Paragraph2 Car,3 Car,Bullet 1 Car,Use Case List Paragraph Car,List Paragraph Car,Párrafo de lista Car Car Car Car,Lista multicolor - Énfasis 11 Car,Segundo nivel de viñetas Car"/>
    <w:link w:val="Prrafodelista2"/>
    <w:uiPriority w:val="99"/>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qFormat/>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uiPriority w:val="99"/>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
    <w:uiPriority w:val="99"/>
    <w:qFormat/>
    <w:rsid w:val="00A70E73"/>
    <w:rPr>
      <w:rFonts w:ascii="MS Sans Serif" w:hAnsi="MS Sans Serif"/>
      <w:sz w:val="24"/>
      <w:lang w:val="es-ES_tradnl" w:eastAsia="es-ES" w:bidi="ar-SA"/>
    </w:rPr>
  </w:style>
  <w:style w:type="paragraph" w:customStyle="1" w:styleId="Informal1">
    <w:name w:val="Informal1"/>
    <w:uiPriority w:val="99"/>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styleId="TDC2">
    <w:name w:val="toc 2"/>
    <w:basedOn w:val="Normal"/>
    <w:next w:val="Normal"/>
    <w:autoRedefine/>
    <w:uiPriority w:val="39"/>
    <w:rsid w:val="002C0DC3"/>
    <w:pPr>
      <w:tabs>
        <w:tab w:val="right" w:leader="dot" w:pos="9396"/>
      </w:tabs>
      <w:jc w:val="both"/>
    </w:pPr>
    <w:rPr>
      <w:b/>
      <w:noProof/>
      <w:color w:val="000099"/>
      <w:sz w:val="28"/>
      <w:szCs w:val="28"/>
      <w:u w:val="single"/>
      <w:lang w:val="es-ES_tradnl"/>
    </w:rPr>
  </w:style>
  <w:style w:type="character" w:customStyle="1" w:styleId="Ttulo4Car">
    <w:name w:val="Título 4 Car"/>
    <w:aliases w:val="h4 Car"/>
    <w:basedOn w:val="Fuentedeprrafopredeter"/>
    <w:link w:val="Ttulo4"/>
    <w:rsid w:val="002C0DC3"/>
    <w:rPr>
      <w:b/>
      <w:bCs/>
      <w:sz w:val="28"/>
      <w:szCs w:val="28"/>
      <w:lang w:val="es-ES_tradnl" w:eastAsia="ar-SA"/>
    </w:rPr>
  </w:style>
  <w:style w:type="character" w:customStyle="1" w:styleId="Ttulo5Car">
    <w:name w:val="Título 5 Car"/>
    <w:basedOn w:val="Fuentedeprrafopredeter"/>
    <w:link w:val="Ttulo5"/>
    <w:rsid w:val="002C0DC3"/>
    <w:rPr>
      <w:b/>
      <w:bCs/>
      <w:iCs/>
      <w:sz w:val="44"/>
      <w:szCs w:val="26"/>
      <w:u w:val="single"/>
      <w:lang w:val="es-ES_tradnl" w:eastAsia="ar-SA"/>
    </w:rPr>
  </w:style>
  <w:style w:type="character" w:customStyle="1" w:styleId="Ttulo6Car">
    <w:name w:val="Título 6 Car"/>
    <w:basedOn w:val="Fuentedeprrafopredeter"/>
    <w:link w:val="Ttulo6"/>
    <w:rsid w:val="002C0DC3"/>
    <w:rPr>
      <w:b/>
      <w:bCs/>
      <w:sz w:val="22"/>
      <w:szCs w:val="22"/>
      <w:lang w:eastAsia="ar-SA"/>
    </w:rPr>
  </w:style>
  <w:style w:type="character" w:customStyle="1" w:styleId="Ttulo9Car">
    <w:name w:val="Título 9 Car"/>
    <w:basedOn w:val="Fuentedeprrafopredeter"/>
    <w:link w:val="Ttulo9"/>
    <w:rsid w:val="002C0DC3"/>
    <w:rPr>
      <w:rFonts w:ascii="Arial" w:hAnsi="Arial" w:cs="Arial"/>
      <w:sz w:val="22"/>
      <w:szCs w:val="22"/>
      <w:lang w:eastAsia="ar-SA"/>
    </w:rPr>
  </w:style>
  <w:style w:type="numbering" w:customStyle="1" w:styleId="Sinlista1">
    <w:name w:val="Sin lista1"/>
    <w:next w:val="Sinlista"/>
    <w:uiPriority w:val="99"/>
    <w:semiHidden/>
    <w:unhideWhenUsed/>
    <w:rsid w:val="002C0DC3"/>
  </w:style>
  <w:style w:type="character" w:customStyle="1" w:styleId="NormalWebCar1">
    <w:name w:val="Normal (Web) Car1"/>
    <w:uiPriority w:val="99"/>
    <w:locked/>
    <w:rsid w:val="002C0DC3"/>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rsid w:val="002C0DC3"/>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2C0DC3"/>
    <w:rPr>
      <w:lang w:val="es-ES_tradnl" w:eastAsia="ar-SA"/>
    </w:rPr>
  </w:style>
  <w:style w:type="character" w:customStyle="1" w:styleId="TextodegloboCar">
    <w:name w:val="Texto de globo Car"/>
    <w:basedOn w:val="Fuentedeprrafopredeter"/>
    <w:link w:val="Textodeglobo"/>
    <w:qFormat/>
    <w:rsid w:val="002C0DC3"/>
    <w:rPr>
      <w:rFonts w:ascii="Tahoma" w:hAnsi="Tahoma" w:cs="Tahoma"/>
      <w:sz w:val="16"/>
      <w:szCs w:val="16"/>
      <w:lang w:eastAsia="ar-SA"/>
    </w:rPr>
  </w:style>
  <w:style w:type="paragraph" w:customStyle="1" w:styleId="CarCarCarCar">
    <w:name w:val="Car Car Car Car"/>
    <w:basedOn w:val="Normal"/>
    <w:semiHidden/>
    <w:rsid w:val="002C0DC3"/>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2C0DC3"/>
    <w:pPr>
      <w:suppressAutoHyphens w:val="0"/>
      <w:spacing w:after="160" w:line="240" w:lineRule="exact"/>
    </w:pPr>
    <w:rPr>
      <w:rFonts w:ascii="Verdana" w:hAnsi="Verdana" w:cs="Verdana"/>
      <w:sz w:val="20"/>
      <w:szCs w:val="20"/>
      <w:lang w:val="en-AU" w:eastAsia="en-US"/>
    </w:rPr>
  </w:style>
  <w:style w:type="paragraph" w:styleId="TDC3">
    <w:name w:val="toc 3"/>
    <w:basedOn w:val="Normal"/>
    <w:next w:val="Normal"/>
    <w:autoRedefine/>
    <w:uiPriority w:val="39"/>
    <w:rsid w:val="002C0DC3"/>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2C0DC3"/>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semiHidden/>
    <w:locked/>
    <w:rsid w:val="002C0DC3"/>
    <w:rPr>
      <w:lang w:val="es-ES" w:eastAsia="es-ES" w:bidi="ar-SA"/>
    </w:rPr>
  </w:style>
  <w:style w:type="character" w:customStyle="1" w:styleId="EstiloCorreo771">
    <w:name w:val="EstiloCorreo771"/>
    <w:semiHidden/>
    <w:rsid w:val="002C0DC3"/>
    <w:rPr>
      <w:rFonts w:ascii="Arial" w:hAnsi="Arial" w:cs="Arial"/>
      <w:color w:val="000080"/>
      <w:sz w:val="20"/>
      <w:szCs w:val="20"/>
    </w:rPr>
  </w:style>
  <w:style w:type="paragraph" w:styleId="TDC4">
    <w:name w:val="toc 4"/>
    <w:basedOn w:val="Normal"/>
    <w:next w:val="Normal"/>
    <w:autoRedefine/>
    <w:uiPriority w:val="39"/>
    <w:rsid w:val="002C0DC3"/>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2C0DC3"/>
    <w:rPr>
      <w:sz w:val="22"/>
      <w:szCs w:val="22"/>
      <w:lang w:val="es-ES_tradnl"/>
    </w:rPr>
  </w:style>
  <w:style w:type="paragraph" w:styleId="TDC7">
    <w:name w:val="toc 7"/>
    <w:basedOn w:val="Normal"/>
    <w:next w:val="Normal"/>
    <w:autoRedefine/>
    <w:uiPriority w:val="39"/>
    <w:rsid w:val="002C0DC3"/>
    <w:rPr>
      <w:sz w:val="22"/>
      <w:szCs w:val="22"/>
      <w:lang w:val="es-ES_tradnl"/>
    </w:rPr>
  </w:style>
  <w:style w:type="paragraph" w:styleId="TDC8">
    <w:name w:val="toc 8"/>
    <w:basedOn w:val="Normal"/>
    <w:next w:val="Normal"/>
    <w:autoRedefine/>
    <w:uiPriority w:val="39"/>
    <w:rsid w:val="002C0DC3"/>
    <w:rPr>
      <w:sz w:val="22"/>
      <w:szCs w:val="22"/>
      <w:lang w:val="es-ES_tradnl"/>
    </w:rPr>
  </w:style>
  <w:style w:type="paragraph" w:styleId="TDC9">
    <w:name w:val="toc 9"/>
    <w:basedOn w:val="Normal"/>
    <w:next w:val="Normal"/>
    <w:autoRedefine/>
    <w:uiPriority w:val="39"/>
    <w:rsid w:val="002C0DC3"/>
    <w:rPr>
      <w:sz w:val="22"/>
      <w:szCs w:val="22"/>
      <w:lang w:val="es-ES_tradnl"/>
    </w:rPr>
  </w:style>
  <w:style w:type="character" w:customStyle="1" w:styleId="PiedepginaCar">
    <w:name w:val="Pie de página Car"/>
    <w:basedOn w:val="Fuentedeprrafopredeter"/>
    <w:link w:val="Piedepgina"/>
    <w:uiPriority w:val="99"/>
    <w:qFormat/>
    <w:rsid w:val="002C0DC3"/>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rsid w:val="002C0DC3"/>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2C0DC3"/>
    <w:rPr>
      <w:lang w:eastAsia="ar-SA"/>
    </w:rPr>
  </w:style>
  <w:style w:type="character" w:customStyle="1" w:styleId="wjimenez">
    <w:name w:val="wjimenez"/>
    <w:semiHidden/>
    <w:rsid w:val="002C0DC3"/>
    <w:rPr>
      <w:rFonts w:ascii="Arial" w:hAnsi="Arial" w:cs="Arial"/>
      <w:color w:val="auto"/>
      <w:sz w:val="20"/>
      <w:szCs w:val="20"/>
    </w:rPr>
  </w:style>
  <w:style w:type="character" w:customStyle="1" w:styleId="mherreras">
    <w:name w:val="mherreras"/>
    <w:semiHidden/>
    <w:rsid w:val="002C0DC3"/>
    <w:rPr>
      <w:rFonts w:ascii="Arial" w:hAnsi="Arial" w:cs="Arial"/>
      <w:color w:val="000080"/>
      <w:sz w:val="20"/>
      <w:szCs w:val="20"/>
    </w:rPr>
  </w:style>
  <w:style w:type="paragraph" w:customStyle="1" w:styleId="3">
    <w:name w:val="3"/>
    <w:basedOn w:val="Normal"/>
    <w:semiHidden/>
    <w:qFormat/>
    <w:rsid w:val="002C0DC3"/>
    <w:pPr>
      <w:suppressAutoHyphens w:val="0"/>
      <w:spacing w:after="160" w:line="240" w:lineRule="exact"/>
    </w:pPr>
    <w:rPr>
      <w:rFonts w:ascii="Verdana" w:hAnsi="Verdana"/>
      <w:sz w:val="20"/>
      <w:szCs w:val="21"/>
      <w:lang w:val="en-AU" w:eastAsia="en-US"/>
    </w:rPr>
  </w:style>
  <w:style w:type="paragraph" w:customStyle="1" w:styleId="1">
    <w:name w:val="1"/>
    <w:basedOn w:val="Normal"/>
    <w:semiHidden/>
    <w:rsid w:val="002C0DC3"/>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2C0DC3"/>
    <w:rPr>
      <w:sz w:val="16"/>
      <w:szCs w:val="16"/>
      <w:lang w:val="es-CR"/>
    </w:rPr>
  </w:style>
  <w:style w:type="character" w:customStyle="1" w:styleId="TtuloCar">
    <w:name w:val="Título Car"/>
    <w:basedOn w:val="Fuentedeprrafopredeter"/>
    <w:link w:val="Ttulo"/>
    <w:uiPriority w:val="10"/>
    <w:rsid w:val="002C0DC3"/>
    <w:rPr>
      <w:rFonts w:ascii="Arial" w:hAnsi="Arial" w:cs="Arial"/>
      <w:b/>
      <w:bCs/>
      <w:sz w:val="28"/>
      <w:szCs w:val="28"/>
    </w:rPr>
  </w:style>
  <w:style w:type="character" w:customStyle="1" w:styleId="CarCar4">
    <w:name w:val="Car Car4"/>
    <w:semiHidden/>
    <w:rsid w:val="002C0DC3"/>
    <w:rPr>
      <w:rFonts w:ascii="Calibri" w:eastAsia="Times New Roman" w:hAnsi="Calibri" w:cs="Times New Roman"/>
      <w:b/>
      <w:bCs/>
      <w:sz w:val="28"/>
      <w:szCs w:val="28"/>
      <w:lang w:val="es-ES_tradnl" w:eastAsia="ar-SA"/>
    </w:rPr>
  </w:style>
  <w:style w:type="character" w:customStyle="1" w:styleId="EstiloCorreo17">
    <w:name w:val="EstiloCorreo17"/>
    <w:semiHidden/>
    <w:rsid w:val="002C0DC3"/>
    <w:rPr>
      <w:rFonts w:ascii="Arial" w:hAnsi="Arial" w:cs="Arial"/>
      <w:color w:val="auto"/>
      <w:sz w:val="20"/>
      <w:szCs w:val="20"/>
    </w:rPr>
  </w:style>
  <w:style w:type="character" w:customStyle="1" w:styleId="EstiloCorreo171">
    <w:name w:val="EstiloCorreo171"/>
    <w:semiHidden/>
    <w:rsid w:val="002C0DC3"/>
    <w:rPr>
      <w:rFonts w:ascii="Arial" w:hAnsi="Arial" w:cs="Arial"/>
      <w:color w:val="auto"/>
      <w:sz w:val="20"/>
      <w:szCs w:val="20"/>
    </w:rPr>
  </w:style>
  <w:style w:type="table" w:styleId="Tablaprofesional">
    <w:name w:val="Table Professional"/>
    <w:basedOn w:val="Tablanormal"/>
    <w:rsid w:val="002C0DC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2C0DC3"/>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qFormat/>
    <w:rsid w:val="002C0DC3"/>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2C0DC3"/>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2C0DC3"/>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2C0DC3"/>
    <w:rPr>
      <w:lang w:val="es-ES_tradnl" w:eastAsia="ar-SA" w:bidi="ar-SA"/>
    </w:rPr>
  </w:style>
  <w:style w:type="paragraph" w:styleId="Textonotaalfinal">
    <w:name w:val="endnote text"/>
    <w:basedOn w:val="Normal"/>
    <w:link w:val="TextonotaalfinalCar"/>
    <w:unhideWhenUsed/>
    <w:qFormat/>
    <w:rsid w:val="002C0DC3"/>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rsid w:val="002C0DC3"/>
    <w:rPr>
      <w:rFonts w:ascii="Calibri" w:eastAsia="Calibri" w:hAnsi="Calibri"/>
      <w:lang w:val="en-US" w:eastAsia="en-US"/>
    </w:rPr>
  </w:style>
  <w:style w:type="character" w:styleId="Refdenotaalfinal">
    <w:name w:val="endnote reference"/>
    <w:unhideWhenUsed/>
    <w:rsid w:val="002C0DC3"/>
    <w:rPr>
      <w:vertAlign w:val="superscript"/>
    </w:rPr>
  </w:style>
  <w:style w:type="character" w:customStyle="1" w:styleId="FechaCar">
    <w:name w:val="Fecha Car"/>
    <w:basedOn w:val="Fuentedeprrafopredeter"/>
    <w:link w:val="Fecha"/>
    <w:rsid w:val="002C0DC3"/>
    <w:rPr>
      <w:rFonts w:ascii="Courier New" w:hAnsi="Courier New"/>
      <w:sz w:val="24"/>
      <w:lang w:val="es-ES_tradnl"/>
    </w:rPr>
  </w:style>
  <w:style w:type="table" w:styleId="Tablaweb1">
    <w:name w:val="Table Web 1"/>
    <w:basedOn w:val="Tablanormal"/>
    <w:rsid w:val="002C0DC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2C0DC3"/>
    <w:rPr>
      <w:rFonts w:ascii="Palatino Linotype" w:hAnsi="Palatino Linotype" w:cs="Arial" w:hint="default"/>
      <w:b/>
      <w:bCs w:val="0"/>
      <w:color w:val="auto"/>
      <w:sz w:val="26"/>
      <w:szCs w:val="26"/>
    </w:rPr>
  </w:style>
  <w:style w:type="character" w:customStyle="1" w:styleId="a0">
    <w:name w:val="."/>
    <w:semiHidden/>
    <w:rsid w:val="002C0DC3"/>
    <w:rPr>
      <w:color w:val="000000"/>
    </w:rPr>
  </w:style>
  <w:style w:type="character" w:customStyle="1" w:styleId="estilocorreo21">
    <w:name w:val="estilocorreo21"/>
    <w:semiHidden/>
    <w:rsid w:val="002C0DC3"/>
    <w:rPr>
      <w:rFonts w:ascii="Arial" w:hAnsi="Arial" w:cs="Arial" w:hint="default"/>
      <w:color w:val="000080"/>
    </w:rPr>
  </w:style>
  <w:style w:type="character" w:customStyle="1" w:styleId="yvalverdech">
    <w:name w:val="yvalverdech"/>
    <w:semiHidden/>
    <w:rsid w:val="002C0DC3"/>
    <w:rPr>
      <w:rFonts w:ascii="Arial" w:hAnsi="Arial" w:cs="Arial"/>
      <w:color w:val="auto"/>
      <w:sz w:val="20"/>
      <w:szCs w:val="20"/>
    </w:rPr>
  </w:style>
  <w:style w:type="character" w:customStyle="1" w:styleId="estilocorreo22">
    <w:name w:val="estilocorreo22"/>
    <w:semiHidden/>
    <w:rsid w:val="002C0DC3"/>
    <w:rPr>
      <w:rFonts w:ascii="Arial" w:hAnsi="Arial" w:cs="Arial" w:hint="default"/>
      <w:color w:val="000080"/>
    </w:rPr>
  </w:style>
  <w:style w:type="paragraph" w:customStyle="1" w:styleId="Style11">
    <w:name w:val="Style1"/>
    <w:basedOn w:val="Prrafodelista10"/>
    <w:rsid w:val="002C0DC3"/>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2C0DC3"/>
    <w:rPr>
      <w:sz w:val="28"/>
      <w:szCs w:val="28"/>
      <w:lang w:val="es-ES" w:eastAsia="ar-SA" w:bidi="ar-SA"/>
    </w:rPr>
  </w:style>
  <w:style w:type="paragraph" w:customStyle="1" w:styleId="CarCarCarCarCarCarCarCar">
    <w:name w:val="Car Car Car Car Car Car Car Car"/>
    <w:basedOn w:val="Normal"/>
    <w:semiHidden/>
    <w:rsid w:val="002C0DC3"/>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2C0DC3"/>
    <w:rPr>
      <w:rFonts w:ascii="Arial" w:hAnsi="Arial" w:cs="Arial"/>
      <w:b/>
      <w:bCs/>
      <w:kern w:val="1"/>
      <w:sz w:val="28"/>
      <w:szCs w:val="28"/>
      <w:lang w:val="es-ES" w:eastAsia="ar-SA" w:bidi="ar-SA"/>
    </w:rPr>
  </w:style>
  <w:style w:type="character" w:customStyle="1" w:styleId="CarCar20">
    <w:name w:val="Car Car20"/>
    <w:rsid w:val="002C0DC3"/>
    <w:rPr>
      <w:b/>
      <w:bCs/>
      <w:sz w:val="28"/>
      <w:szCs w:val="28"/>
      <w:u w:val="single"/>
      <w:lang w:val="es-ES" w:eastAsia="ar-SA" w:bidi="ar-SA"/>
    </w:rPr>
  </w:style>
  <w:style w:type="character" w:customStyle="1" w:styleId="SubttulosdeHallazgoCarCar">
    <w:name w:val="Subtítulos de Hallazgo Car Car"/>
    <w:rsid w:val="002C0DC3"/>
    <w:rPr>
      <w:rFonts w:ascii="Arial" w:hAnsi="Arial" w:cs="Arial"/>
      <w:b/>
      <w:bCs/>
      <w:sz w:val="26"/>
      <w:szCs w:val="26"/>
      <w:lang w:val="es-ES" w:eastAsia="ar-SA" w:bidi="ar-SA"/>
    </w:rPr>
  </w:style>
  <w:style w:type="character" w:customStyle="1" w:styleId="CarCar15">
    <w:name w:val="Car Car15"/>
    <w:rsid w:val="002C0DC3"/>
    <w:rPr>
      <w:i/>
      <w:iCs/>
      <w:sz w:val="24"/>
      <w:szCs w:val="24"/>
      <w:lang w:val="es-ES" w:eastAsia="ar-SA" w:bidi="ar-SA"/>
    </w:rPr>
  </w:style>
  <w:style w:type="character" w:customStyle="1" w:styleId="CarCar9">
    <w:name w:val="Car Car9"/>
    <w:locked/>
    <w:rsid w:val="002C0DC3"/>
    <w:rPr>
      <w:lang w:val="es-ES" w:eastAsia="es-ES" w:bidi="ar-SA"/>
    </w:rPr>
  </w:style>
  <w:style w:type="paragraph" w:customStyle="1" w:styleId="BodyTextIndent21">
    <w:name w:val="Body Text Indent 21"/>
    <w:rsid w:val="002C0DC3"/>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2C0DC3"/>
  </w:style>
  <w:style w:type="character" w:customStyle="1" w:styleId="h4CarCar">
    <w:name w:val="h4 Car Car"/>
    <w:rsid w:val="002C0DC3"/>
    <w:rPr>
      <w:rFonts w:ascii="Book Antiqua" w:hAnsi="Book Antiqua" w:cs="Book Antiqua"/>
      <w:b/>
      <w:bCs/>
      <w:sz w:val="24"/>
      <w:szCs w:val="24"/>
      <w:u w:color="000000"/>
      <w:lang w:val="es-ES" w:eastAsia="es-ES" w:bidi="ar-SA"/>
    </w:rPr>
  </w:style>
  <w:style w:type="character" w:customStyle="1" w:styleId="CarCar18">
    <w:name w:val="Car Car18"/>
    <w:rsid w:val="002C0DC3"/>
    <w:rPr>
      <w:rFonts w:ascii="Arial" w:hAnsi="Arial" w:cs="Arial"/>
      <w:sz w:val="24"/>
      <w:szCs w:val="24"/>
      <w:lang w:val="es-ES" w:eastAsia="es-ES" w:bidi="ar-SA"/>
    </w:rPr>
  </w:style>
  <w:style w:type="character" w:customStyle="1" w:styleId="CarCar10">
    <w:name w:val="Car Car10"/>
    <w:rsid w:val="002C0DC3"/>
    <w:rPr>
      <w:rFonts w:ascii="Arial" w:hAnsi="Arial" w:cs="Arial"/>
      <w:lang w:val="es-ES" w:eastAsia="es-ES" w:bidi="ar-SA"/>
    </w:rPr>
  </w:style>
  <w:style w:type="paragraph" w:styleId="Mapadeldocumento">
    <w:name w:val="Document Map"/>
    <w:basedOn w:val="Normal"/>
    <w:link w:val="MapadeldocumentoCar"/>
    <w:rsid w:val="002C0DC3"/>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2C0DC3"/>
    <w:rPr>
      <w:rFonts w:ascii="Tahoma" w:hAnsi="Tahoma" w:cs="Tahoma"/>
      <w:color w:val="000000"/>
      <w:u w:color="000000"/>
      <w:shd w:val="clear" w:color="auto" w:fill="000080"/>
    </w:rPr>
  </w:style>
  <w:style w:type="character" w:customStyle="1" w:styleId="estilo51">
    <w:name w:val="estilo51"/>
    <w:rsid w:val="002C0DC3"/>
    <w:rPr>
      <w:b/>
      <w:bCs/>
    </w:rPr>
  </w:style>
  <w:style w:type="character" w:customStyle="1" w:styleId="estilo41">
    <w:name w:val="estilo41"/>
    <w:basedOn w:val="Fuentedeprrafopredeter"/>
    <w:rsid w:val="002C0DC3"/>
  </w:style>
  <w:style w:type="paragraph" w:styleId="Saludo">
    <w:name w:val="Salutation"/>
    <w:basedOn w:val="Normal"/>
    <w:next w:val="Normal"/>
    <w:link w:val="SaludoCar"/>
    <w:rsid w:val="002C0DC3"/>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2C0DC3"/>
    <w:rPr>
      <w:rFonts w:ascii="Calibri" w:hAnsi="Calibri"/>
      <w:lang w:val="es-CR" w:eastAsia="en-US"/>
    </w:rPr>
  </w:style>
  <w:style w:type="character" w:customStyle="1" w:styleId="z-FinaldelformularioCar">
    <w:name w:val="z-Final del formulario Car"/>
    <w:basedOn w:val="Fuentedeprrafopredeter"/>
    <w:link w:val="z-Finaldelformulario"/>
    <w:rsid w:val="002C0DC3"/>
  </w:style>
  <w:style w:type="character" w:customStyle="1" w:styleId="z-PrincipiodelformularioCar">
    <w:name w:val="z-Principio del formulario Car"/>
    <w:basedOn w:val="Fuentedeprrafopredeter"/>
    <w:link w:val="z-Principiodelformulario"/>
    <w:rsid w:val="002C0DC3"/>
    <w:rPr>
      <w:b/>
      <w:bCs/>
      <w:i/>
      <w:iCs/>
      <w:sz w:val="24"/>
      <w:szCs w:val="24"/>
      <w:lang w:val="es-CR"/>
    </w:rPr>
  </w:style>
  <w:style w:type="paragraph" w:customStyle="1" w:styleId="ListaconvietasTabla">
    <w:name w:val="Lista con viñetas Tabla"/>
    <w:basedOn w:val="Listaconvietas"/>
    <w:rsid w:val="002C0DC3"/>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2C0DC3"/>
    <w:rPr>
      <w:sz w:val="24"/>
      <w:szCs w:val="24"/>
      <w:lang w:val="es-ES" w:eastAsia="es-ES"/>
    </w:rPr>
  </w:style>
  <w:style w:type="paragraph" w:customStyle="1" w:styleId="BodyText21">
    <w:name w:val="Body Text 21"/>
    <w:basedOn w:val="Normal"/>
    <w:rsid w:val="002C0DC3"/>
    <w:pPr>
      <w:suppressAutoHyphens w:val="0"/>
      <w:ind w:right="334" w:hanging="283"/>
      <w:jc w:val="both"/>
    </w:pPr>
    <w:rPr>
      <w:rFonts w:ascii="Arial" w:hAnsi="Arial"/>
      <w:szCs w:val="20"/>
      <w:lang w:val="es-CR" w:eastAsia="es-ES"/>
    </w:rPr>
  </w:style>
  <w:style w:type="paragraph" w:customStyle="1" w:styleId="BlockText1">
    <w:name w:val="Block Text1"/>
    <w:basedOn w:val="Normal"/>
    <w:rsid w:val="002C0DC3"/>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2C0DC3"/>
    <w:pPr>
      <w:suppressAutoHyphens w:val="0"/>
      <w:ind w:right="334"/>
      <w:jc w:val="both"/>
    </w:pPr>
    <w:rPr>
      <w:rFonts w:ascii="Arial" w:hAnsi="Arial"/>
      <w:b/>
      <w:szCs w:val="20"/>
      <w:lang w:val="es-CR" w:eastAsia="es-ES"/>
    </w:rPr>
  </w:style>
  <w:style w:type="paragraph" w:styleId="Cierre">
    <w:name w:val="Closing"/>
    <w:basedOn w:val="Normal"/>
    <w:link w:val="CierreCar"/>
    <w:rsid w:val="002C0DC3"/>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2C0DC3"/>
    <w:rPr>
      <w:rFonts w:ascii="Century Schoolbook" w:hAnsi="Century Schoolbook"/>
      <w:i/>
      <w:sz w:val="24"/>
      <w:lang w:val="es-CR"/>
    </w:rPr>
  </w:style>
  <w:style w:type="paragraph" w:styleId="Firma">
    <w:name w:val="Signature"/>
    <w:basedOn w:val="Normal"/>
    <w:link w:val="FirmaCar"/>
    <w:rsid w:val="002C0DC3"/>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2C0DC3"/>
    <w:rPr>
      <w:rFonts w:ascii="Century Schoolbook" w:hAnsi="Century Schoolbook"/>
      <w:i/>
      <w:sz w:val="24"/>
      <w:lang w:val="es-CR"/>
    </w:rPr>
  </w:style>
  <w:style w:type="paragraph" w:customStyle="1" w:styleId="toa">
    <w:name w:val="toa"/>
    <w:basedOn w:val="Normal"/>
    <w:qFormat/>
    <w:rsid w:val="002C0DC3"/>
    <w:pPr>
      <w:tabs>
        <w:tab w:val="left" w:pos="9000"/>
        <w:tab w:val="right" w:pos="9360"/>
      </w:tabs>
    </w:pPr>
    <w:rPr>
      <w:rFonts w:ascii="Courier New" w:hAnsi="Courier New"/>
      <w:szCs w:val="20"/>
      <w:lang w:val="en-US" w:eastAsia="es-ES"/>
    </w:rPr>
  </w:style>
  <w:style w:type="paragraph" w:styleId="Continuarlista2">
    <w:name w:val="List Continue 2"/>
    <w:basedOn w:val="Normal"/>
    <w:rsid w:val="002C0DC3"/>
    <w:pPr>
      <w:suppressAutoHyphens w:val="0"/>
      <w:spacing w:after="120"/>
      <w:ind w:left="566"/>
    </w:pPr>
    <w:rPr>
      <w:lang w:val="es-CR" w:eastAsia="es-ES"/>
    </w:rPr>
  </w:style>
  <w:style w:type="paragraph" w:customStyle="1" w:styleId="Lneadeasunto">
    <w:name w:val="Línea de asunto"/>
    <w:basedOn w:val="Normal"/>
    <w:rsid w:val="002C0DC3"/>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2C0DC3"/>
    <w:rPr>
      <w:rFonts w:ascii="Tahoma" w:hAnsi="Tahoma" w:cs="Tahoma" w:hint="default"/>
      <w:b w:val="0"/>
      <w:bCs w:val="0"/>
      <w:i w:val="0"/>
      <w:iCs w:val="0"/>
      <w:color w:val="auto"/>
    </w:rPr>
  </w:style>
  <w:style w:type="character" w:customStyle="1" w:styleId="estilocorreo23">
    <w:name w:val="estilocorreo23"/>
    <w:semiHidden/>
    <w:rsid w:val="002C0DC3"/>
    <w:rPr>
      <w:rFonts w:ascii="Tahoma" w:hAnsi="Tahoma" w:cs="Tahoma" w:hint="default"/>
      <w:b w:val="0"/>
      <w:bCs w:val="0"/>
      <w:i w:val="0"/>
      <w:iCs w:val="0"/>
      <w:color w:val="auto"/>
    </w:rPr>
  </w:style>
  <w:style w:type="paragraph" w:customStyle="1" w:styleId="antecedente">
    <w:name w:val="antecedente"/>
    <w:basedOn w:val="Normal"/>
    <w:link w:val="antecedenteCar"/>
    <w:qFormat/>
    <w:rsid w:val="002C0DC3"/>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2C0DC3"/>
    <w:rPr>
      <w:bCs/>
      <w:sz w:val="28"/>
      <w:szCs w:val="28"/>
      <w:lang w:eastAsia="es-CR"/>
    </w:rPr>
  </w:style>
  <w:style w:type="paragraph" w:customStyle="1" w:styleId="Antecedente0">
    <w:name w:val="Antecedente"/>
    <w:basedOn w:val="antecedente"/>
    <w:link w:val="AntecedenteCar0"/>
    <w:qFormat/>
    <w:rsid w:val="002C0DC3"/>
  </w:style>
  <w:style w:type="character" w:customStyle="1" w:styleId="AntecedenteCar0">
    <w:name w:val="Antecedente Car"/>
    <w:basedOn w:val="antecedenteCar"/>
    <w:link w:val="Antecedente0"/>
    <w:rsid w:val="002C0DC3"/>
    <w:rPr>
      <w:bCs/>
      <w:sz w:val="28"/>
      <w:szCs w:val="28"/>
      <w:lang w:eastAsia="es-CR"/>
    </w:rPr>
  </w:style>
  <w:style w:type="paragraph" w:customStyle="1" w:styleId="dispositiva">
    <w:name w:val="dispositiva"/>
    <w:basedOn w:val="Normal"/>
    <w:link w:val="dispositivaCar"/>
    <w:qFormat/>
    <w:rsid w:val="002C0DC3"/>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2C0DC3"/>
    <w:rPr>
      <w:sz w:val="28"/>
      <w:szCs w:val="28"/>
      <w:lang w:val="es-ES_tradnl" w:eastAsia="ar-SA"/>
    </w:rPr>
  </w:style>
  <w:style w:type="paragraph" w:customStyle="1" w:styleId="encabezadodela">
    <w:name w:val="encabezado de la"/>
    <w:basedOn w:val="Normal"/>
    <w:link w:val="encabezadodelaCar"/>
    <w:qFormat/>
    <w:rsid w:val="002C0DC3"/>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2C0DC3"/>
    <w:rPr>
      <w:color w:val="000099"/>
      <w:sz w:val="28"/>
      <w:szCs w:val="28"/>
      <w:lang w:val="es-ES_tradnl" w:eastAsia="ar-SA"/>
    </w:rPr>
  </w:style>
  <w:style w:type="paragraph" w:customStyle="1" w:styleId="gestion">
    <w:name w:val="gestion"/>
    <w:basedOn w:val="Normal"/>
    <w:link w:val="gestionCar"/>
    <w:qFormat/>
    <w:rsid w:val="002C0DC3"/>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2C0DC3"/>
    <w:rPr>
      <w:color w:val="000099"/>
      <w:sz w:val="26"/>
      <w:szCs w:val="26"/>
      <w:lang w:val="es-ES_tradnl" w:eastAsia="ar-SA"/>
    </w:rPr>
  </w:style>
  <w:style w:type="paragraph" w:customStyle="1" w:styleId="resumen">
    <w:name w:val="resumen"/>
    <w:basedOn w:val="Ttulo3"/>
    <w:link w:val="resumenCar"/>
    <w:qFormat/>
    <w:rsid w:val="002C0DC3"/>
  </w:style>
  <w:style w:type="character" w:customStyle="1" w:styleId="resumenCar">
    <w:name w:val="resumen Car"/>
    <w:basedOn w:val="Ttulo3Car"/>
    <w:link w:val="resumen"/>
    <w:rsid w:val="002C0DC3"/>
    <w:rPr>
      <w:rFonts w:cs="Arial"/>
      <w:b/>
      <w:bCs/>
      <w:sz w:val="28"/>
      <w:szCs w:val="26"/>
      <w:lang w:val="es-ES_tradnl" w:eastAsia="ar-SA" w:bidi="ar-SA"/>
    </w:rPr>
  </w:style>
  <w:style w:type="paragraph" w:customStyle="1" w:styleId="articulo">
    <w:name w:val="articulo"/>
    <w:basedOn w:val="Ttulo2"/>
    <w:link w:val="articuloCar"/>
    <w:qFormat/>
    <w:rsid w:val="002C0DC3"/>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2C0DC3"/>
    <w:rPr>
      <w:rFonts w:ascii="Arial" w:hAnsi="Arial" w:cs="Arial"/>
      <w:b/>
      <w:bCs/>
      <w:i w:val="0"/>
      <w:iCs w:val="0"/>
      <w:sz w:val="28"/>
      <w:szCs w:val="28"/>
      <w:u w:val="single"/>
      <w:lang w:val="es-ES" w:eastAsia="ar-SA" w:bidi="ar-SA"/>
    </w:rPr>
  </w:style>
  <w:style w:type="character" w:customStyle="1" w:styleId="EstiloCorreo29">
    <w:name w:val="EstiloCorreo29"/>
    <w:semiHidden/>
    <w:rsid w:val="002C0DC3"/>
    <w:rPr>
      <w:rFonts w:ascii="Arial" w:hAnsi="Arial" w:cs="Arial" w:hint="default"/>
      <w:color w:val="000080"/>
      <w:sz w:val="20"/>
      <w:szCs w:val="20"/>
    </w:rPr>
  </w:style>
  <w:style w:type="character" w:customStyle="1" w:styleId="EstiloCorreo30">
    <w:name w:val="EstiloCorreo30"/>
    <w:semiHidden/>
    <w:rsid w:val="002C0DC3"/>
    <w:rPr>
      <w:rFonts w:ascii="Arial" w:hAnsi="Arial" w:cs="Arial" w:hint="default"/>
      <w:color w:val="000080"/>
      <w:sz w:val="20"/>
      <w:szCs w:val="20"/>
    </w:rPr>
  </w:style>
  <w:style w:type="table" w:customStyle="1" w:styleId="Cuadrculaclara-nfasis11">
    <w:name w:val="Cuadrícula clara - Énfasis 11"/>
    <w:basedOn w:val="Tablanormal"/>
    <w:uiPriority w:val="62"/>
    <w:rsid w:val="002C0DC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2C0DC3"/>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2C0DC3"/>
    <w:rPr>
      <w:rFonts w:ascii="Book Antiqua" w:hAnsi="Book Antiqua"/>
      <w:b/>
      <w:color w:val="FF0000"/>
      <w:sz w:val="28"/>
      <w:szCs w:val="28"/>
      <w:u w:val="single"/>
      <w:lang w:val="es-ES_tradnl" w:eastAsia="ar-SA" w:bidi="ar-SA"/>
    </w:rPr>
  </w:style>
  <w:style w:type="paragraph" w:customStyle="1" w:styleId="xmsonormal">
    <w:name w:val="x_msonormal"/>
    <w:basedOn w:val="Normal"/>
    <w:qFormat/>
    <w:rsid w:val="002C0DC3"/>
    <w:pPr>
      <w:suppressAutoHyphens w:val="0"/>
    </w:pPr>
    <w:rPr>
      <w:rFonts w:ascii="Calibri" w:eastAsia="Calibri" w:hAnsi="Calibri" w:cs="Calibri"/>
      <w:sz w:val="22"/>
      <w:szCs w:val="22"/>
      <w:lang w:val="es-CR" w:eastAsia="es-CR"/>
    </w:rPr>
  </w:style>
  <w:style w:type="character" w:customStyle="1" w:styleId="AENCABEZADOCar">
    <w:name w:val="A ENCABEZADO Car"/>
    <w:link w:val="AENCABEZADO"/>
    <w:qFormat/>
    <w:rsid w:val="002C0DC3"/>
    <w:rPr>
      <w:color w:val="000099"/>
      <w:sz w:val="28"/>
      <w:szCs w:val="28"/>
      <w:lang w:eastAsia="ar-SA"/>
    </w:rPr>
  </w:style>
  <w:style w:type="paragraph" w:customStyle="1" w:styleId="AENCABEZADO">
    <w:name w:val="A ENCABEZADO"/>
    <w:basedOn w:val="Normal1"/>
    <w:link w:val="AENCABEZADOCar"/>
    <w:qFormat/>
    <w:rsid w:val="002C0DC3"/>
    <w:pPr>
      <w:spacing w:before="120" w:after="120" w:line="480" w:lineRule="auto"/>
      <w:ind w:firstLine="709"/>
      <w:jc w:val="both"/>
    </w:pPr>
    <w:rPr>
      <w:rFonts w:eastAsia="Times New Roman"/>
      <w:color w:val="000099"/>
      <w:lang w:val="es-ES"/>
    </w:rPr>
  </w:style>
  <w:style w:type="paragraph" w:customStyle="1" w:styleId="Aencabezado0">
    <w:name w:val="A encabezado"/>
    <w:basedOn w:val="Normal1"/>
    <w:qFormat/>
    <w:rsid w:val="002C0DC3"/>
    <w:pPr>
      <w:spacing w:line="480" w:lineRule="auto"/>
      <w:ind w:firstLine="708"/>
      <w:jc w:val="both"/>
    </w:pPr>
    <w:rPr>
      <w:rFonts w:ascii="Arial" w:eastAsia="Times New Roman" w:hAnsi="Arial" w:cs="Arial"/>
      <w:color w:val="000099"/>
      <w:lang w:val="es-ES" w:eastAsia="es-ES"/>
    </w:rPr>
  </w:style>
  <w:style w:type="paragraph" w:customStyle="1" w:styleId="app-page-detaildocumentany">
    <w:name w:val="app-page-detail_document_any"/>
    <w:basedOn w:val="Normal"/>
    <w:rsid w:val="002C0DC3"/>
    <w:pPr>
      <w:widowControl w:val="0"/>
      <w:suppressAutoHyphens w:val="0"/>
      <w:spacing w:line="300" w:lineRule="atLeast"/>
    </w:pPr>
    <w:rPr>
      <w:rFonts w:ascii="Arial" w:hAnsi="Arial" w:cs="Arial"/>
      <w:color w:val="000000"/>
      <w:sz w:val="21"/>
      <w:szCs w:val="21"/>
      <w:lang w:val="es-CR" w:eastAsia="es-CR"/>
    </w:rPr>
  </w:style>
  <w:style w:type="character" w:customStyle="1" w:styleId="app-page-detaildocumentanyCharacter">
    <w:name w:val="app-page-detail_document_any Character"/>
    <w:basedOn w:val="Fuentedeprrafopredeter"/>
    <w:rsid w:val="002C0DC3"/>
    <w:rPr>
      <w:rFonts w:ascii="Arial" w:eastAsia="Times New Roman" w:hAnsi="Arial" w:cs="Arial"/>
      <w:color w:val="000000"/>
      <w:sz w:val="21"/>
      <w:szCs w:val="21"/>
    </w:rPr>
  </w:style>
  <w:style w:type="paragraph" w:customStyle="1" w:styleId="Standard0">
    <w:name w:val="Standard"/>
    <w:qFormat/>
    <w:rsid w:val="002C0DC3"/>
    <w:pPr>
      <w:widowControl w:val="0"/>
      <w:suppressAutoHyphens/>
      <w:textAlignment w:val="baseline"/>
    </w:pPr>
    <w:rPr>
      <w:rFonts w:eastAsia="SimSun" w:cs="Mangal"/>
      <w:kern w:val="1"/>
      <w:sz w:val="24"/>
      <w:szCs w:val="24"/>
      <w:lang w:eastAsia="hi-IN" w:bidi="hi-IN"/>
    </w:rPr>
  </w:style>
  <w:style w:type="table" w:customStyle="1" w:styleId="TableGrid">
    <w:name w:val="TableGrid"/>
    <w:rsid w:val="002C0DC3"/>
    <w:rPr>
      <w:rFonts w:asciiTheme="minorHAnsi" w:hAnsiTheme="minorHAnsi" w:cstheme="minorBidi"/>
      <w:sz w:val="22"/>
      <w:szCs w:val="22"/>
      <w:lang w:val="es-CR" w:eastAsia="es-CR"/>
    </w:rPr>
    <w:tblPr>
      <w:tblCellMar>
        <w:top w:w="0" w:type="dxa"/>
        <w:left w:w="0" w:type="dxa"/>
        <w:bottom w:w="0" w:type="dxa"/>
        <w:right w:w="0" w:type="dxa"/>
      </w:tblCellMar>
    </w:tblPr>
  </w:style>
  <w:style w:type="paragraph" w:customStyle="1" w:styleId="Ttulo61">
    <w:name w:val="Título 61"/>
    <w:basedOn w:val="Normal"/>
    <w:next w:val="Normal"/>
    <w:unhideWhenUsed/>
    <w:qFormat/>
    <w:rsid w:val="002C0DC3"/>
    <w:pPr>
      <w:keepNext/>
      <w:keepLines/>
      <w:spacing w:before="40"/>
      <w:outlineLvl w:val="5"/>
    </w:pPr>
    <w:rPr>
      <w:rFonts w:ascii="Cambria" w:hAnsi="Cambria"/>
      <w:color w:val="243F60"/>
    </w:rPr>
  </w:style>
  <w:style w:type="table" w:customStyle="1" w:styleId="TableGrid1">
    <w:name w:val="TableGrid1"/>
    <w:rsid w:val="002C0DC3"/>
    <w:rPr>
      <w:rFonts w:ascii="Calibri" w:hAnsi="Calibri"/>
      <w:sz w:val="22"/>
      <w:szCs w:val="22"/>
      <w:lang w:val="es-CR" w:eastAsia="es-CR"/>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2C0DC3"/>
  </w:style>
  <w:style w:type="paragraph" w:customStyle="1" w:styleId="Ttulo11">
    <w:name w:val="Título 11"/>
    <w:basedOn w:val="Normal"/>
    <w:next w:val="Normal"/>
    <w:qFormat/>
    <w:rsid w:val="002C0DC3"/>
    <w:pPr>
      <w:keepNext/>
      <w:keepLines/>
      <w:suppressAutoHyphens w:val="0"/>
      <w:spacing w:after="120" w:line="276" w:lineRule="auto"/>
      <w:jc w:val="both"/>
      <w:outlineLvl w:val="0"/>
    </w:pPr>
    <w:rPr>
      <w:b/>
      <w:sz w:val="28"/>
      <w:szCs w:val="32"/>
      <w:lang w:val="es-CR" w:eastAsia="en-US"/>
    </w:rPr>
  </w:style>
  <w:style w:type="paragraph" w:customStyle="1" w:styleId="Ttulo21">
    <w:name w:val="Título 21"/>
    <w:basedOn w:val="Normal"/>
    <w:next w:val="Normal"/>
    <w:autoRedefine/>
    <w:unhideWhenUsed/>
    <w:qFormat/>
    <w:rsid w:val="002C0DC3"/>
    <w:pPr>
      <w:keepNext/>
      <w:keepLines/>
      <w:suppressAutoHyphens w:val="0"/>
      <w:spacing w:before="40" w:after="40" w:line="276" w:lineRule="auto"/>
      <w:ind w:left="360" w:hanging="360"/>
      <w:jc w:val="both"/>
      <w:outlineLvl w:val="1"/>
    </w:pPr>
    <w:rPr>
      <w:b/>
      <w:szCs w:val="26"/>
      <w:lang w:val="es-CR" w:eastAsia="es-CR"/>
    </w:rPr>
  </w:style>
  <w:style w:type="paragraph" w:customStyle="1" w:styleId="Ttulo71">
    <w:name w:val="Título 71"/>
    <w:basedOn w:val="Normal"/>
    <w:next w:val="Normal"/>
    <w:semiHidden/>
    <w:unhideWhenUsed/>
    <w:qFormat/>
    <w:rsid w:val="002C0DC3"/>
    <w:pPr>
      <w:keepNext/>
      <w:keepLines/>
      <w:suppressAutoHyphens w:val="0"/>
      <w:spacing w:before="200"/>
      <w:outlineLvl w:val="6"/>
    </w:pPr>
    <w:rPr>
      <w:rFonts w:ascii="Calibri Light" w:hAnsi="Calibri Light"/>
      <w:i/>
      <w:iCs/>
      <w:color w:val="404040"/>
      <w:sz w:val="20"/>
      <w:szCs w:val="20"/>
      <w:lang w:val="es-CR" w:eastAsia="es-ES"/>
    </w:rPr>
  </w:style>
  <w:style w:type="numbering" w:customStyle="1" w:styleId="Sinlista111">
    <w:name w:val="Sin lista111"/>
    <w:next w:val="Sinlista"/>
    <w:uiPriority w:val="99"/>
    <w:semiHidden/>
    <w:unhideWhenUsed/>
    <w:rsid w:val="002C0DC3"/>
  </w:style>
  <w:style w:type="paragraph" w:customStyle="1" w:styleId="paragraph">
    <w:name w:val="paragraph"/>
    <w:basedOn w:val="Normal"/>
    <w:rsid w:val="002C0DC3"/>
    <w:pPr>
      <w:suppressAutoHyphens w:val="0"/>
      <w:spacing w:before="100" w:beforeAutospacing="1" w:after="100" w:afterAutospacing="1"/>
      <w:jc w:val="both"/>
    </w:pPr>
    <w:rPr>
      <w:lang w:val="es-CR" w:eastAsia="es-CR"/>
    </w:rPr>
  </w:style>
  <w:style w:type="character" w:customStyle="1" w:styleId="normaltextrun">
    <w:name w:val="normaltextrun"/>
    <w:basedOn w:val="Fuentedeprrafopredeter"/>
    <w:rsid w:val="002C0DC3"/>
  </w:style>
  <w:style w:type="character" w:customStyle="1" w:styleId="eop">
    <w:name w:val="eop"/>
    <w:basedOn w:val="Fuentedeprrafopredeter"/>
    <w:rsid w:val="002C0DC3"/>
  </w:style>
  <w:style w:type="paragraph" w:styleId="ndice2">
    <w:name w:val="index 2"/>
    <w:basedOn w:val="Normal"/>
    <w:next w:val="Normal"/>
    <w:autoRedefine/>
    <w:uiPriority w:val="99"/>
    <w:unhideWhenUsed/>
    <w:rsid w:val="002C0DC3"/>
    <w:pPr>
      <w:suppressAutoHyphens w:val="0"/>
      <w:spacing w:line="276" w:lineRule="auto"/>
      <w:ind w:left="440" w:hanging="220"/>
      <w:jc w:val="both"/>
    </w:pPr>
    <w:rPr>
      <w:rFonts w:eastAsia="Calibri"/>
      <w:sz w:val="18"/>
      <w:szCs w:val="18"/>
      <w:lang w:val="es-CR" w:eastAsia="en-US"/>
    </w:rPr>
  </w:style>
  <w:style w:type="paragraph" w:styleId="ndice3">
    <w:name w:val="index 3"/>
    <w:basedOn w:val="Normal"/>
    <w:next w:val="Normal"/>
    <w:autoRedefine/>
    <w:uiPriority w:val="99"/>
    <w:unhideWhenUsed/>
    <w:rsid w:val="002C0DC3"/>
    <w:pPr>
      <w:suppressAutoHyphens w:val="0"/>
      <w:spacing w:line="276" w:lineRule="auto"/>
      <w:ind w:left="660" w:hanging="220"/>
      <w:jc w:val="both"/>
    </w:pPr>
    <w:rPr>
      <w:rFonts w:eastAsia="Calibri"/>
      <w:sz w:val="18"/>
      <w:szCs w:val="18"/>
      <w:lang w:val="es-CR" w:eastAsia="en-US"/>
    </w:rPr>
  </w:style>
  <w:style w:type="paragraph" w:styleId="ndice4">
    <w:name w:val="index 4"/>
    <w:basedOn w:val="Normal"/>
    <w:next w:val="Normal"/>
    <w:autoRedefine/>
    <w:uiPriority w:val="99"/>
    <w:unhideWhenUsed/>
    <w:rsid w:val="002C0DC3"/>
    <w:pPr>
      <w:suppressAutoHyphens w:val="0"/>
      <w:spacing w:line="276" w:lineRule="auto"/>
      <w:ind w:left="880" w:hanging="220"/>
      <w:jc w:val="both"/>
    </w:pPr>
    <w:rPr>
      <w:rFonts w:eastAsia="Calibri"/>
      <w:sz w:val="18"/>
      <w:szCs w:val="18"/>
      <w:lang w:val="es-CR" w:eastAsia="en-US"/>
    </w:rPr>
  </w:style>
  <w:style w:type="paragraph" w:styleId="ndice5">
    <w:name w:val="index 5"/>
    <w:basedOn w:val="Normal"/>
    <w:next w:val="Normal"/>
    <w:autoRedefine/>
    <w:uiPriority w:val="99"/>
    <w:unhideWhenUsed/>
    <w:rsid w:val="002C0DC3"/>
    <w:pPr>
      <w:suppressAutoHyphens w:val="0"/>
      <w:spacing w:line="276" w:lineRule="auto"/>
      <w:ind w:left="1100" w:hanging="220"/>
      <w:jc w:val="both"/>
    </w:pPr>
    <w:rPr>
      <w:rFonts w:eastAsia="Calibri"/>
      <w:sz w:val="18"/>
      <w:szCs w:val="18"/>
      <w:lang w:val="es-CR" w:eastAsia="en-US"/>
    </w:rPr>
  </w:style>
  <w:style w:type="paragraph" w:styleId="ndice6">
    <w:name w:val="index 6"/>
    <w:basedOn w:val="Normal"/>
    <w:next w:val="Normal"/>
    <w:autoRedefine/>
    <w:uiPriority w:val="99"/>
    <w:unhideWhenUsed/>
    <w:rsid w:val="002C0DC3"/>
    <w:pPr>
      <w:suppressAutoHyphens w:val="0"/>
      <w:spacing w:line="276" w:lineRule="auto"/>
      <w:ind w:left="1320" w:hanging="220"/>
      <w:jc w:val="both"/>
    </w:pPr>
    <w:rPr>
      <w:rFonts w:eastAsia="Calibri"/>
      <w:sz w:val="18"/>
      <w:szCs w:val="18"/>
      <w:lang w:val="es-CR" w:eastAsia="en-US"/>
    </w:rPr>
  </w:style>
  <w:style w:type="paragraph" w:styleId="ndice7">
    <w:name w:val="index 7"/>
    <w:basedOn w:val="Normal"/>
    <w:next w:val="Normal"/>
    <w:autoRedefine/>
    <w:uiPriority w:val="99"/>
    <w:unhideWhenUsed/>
    <w:rsid w:val="002C0DC3"/>
    <w:pPr>
      <w:suppressAutoHyphens w:val="0"/>
      <w:spacing w:line="276" w:lineRule="auto"/>
      <w:ind w:left="1540" w:hanging="220"/>
      <w:jc w:val="both"/>
    </w:pPr>
    <w:rPr>
      <w:rFonts w:eastAsia="Calibri"/>
      <w:sz w:val="18"/>
      <w:szCs w:val="18"/>
      <w:lang w:val="es-CR" w:eastAsia="en-US"/>
    </w:rPr>
  </w:style>
  <w:style w:type="paragraph" w:styleId="ndice8">
    <w:name w:val="index 8"/>
    <w:basedOn w:val="Normal"/>
    <w:next w:val="Normal"/>
    <w:autoRedefine/>
    <w:uiPriority w:val="99"/>
    <w:unhideWhenUsed/>
    <w:rsid w:val="002C0DC3"/>
    <w:pPr>
      <w:suppressAutoHyphens w:val="0"/>
      <w:spacing w:line="276" w:lineRule="auto"/>
      <w:ind w:left="1760" w:hanging="220"/>
      <w:jc w:val="both"/>
    </w:pPr>
    <w:rPr>
      <w:rFonts w:eastAsia="Calibri"/>
      <w:sz w:val="18"/>
      <w:szCs w:val="18"/>
      <w:lang w:val="es-CR" w:eastAsia="en-US"/>
    </w:rPr>
  </w:style>
  <w:style w:type="paragraph" w:styleId="ndice9">
    <w:name w:val="index 9"/>
    <w:basedOn w:val="Normal"/>
    <w:next w:val="Normal"/>
    <w:autoRedefine/>
    <w:uiPriority w:val="99"/>
    <w:unhideWhenUsed/>
    <w:rsid w:val="002C0DC3"/>
    <w:pPr>
      <w:suppressAutoHyphens w:val="0"/>
      <w:spacing w:line="276" w:lineRule="auto"/>
      <w:ind w:left="1980" w:hanging="220"/>
      <w:jc w:val="both"/>
    </w:pPr>
    <w:rPr>
      <w:rFonts w:eastAsia="Calibri"/>
      <w:sz w:val="18"/>
      <w:szCs w:val="18"/>
      <w:lang w:val="es-CR" w:eastAsia="en-US"/>
    </w:rPr>
  </w:style>
  <w:style w:type="paragraph" w:styleId="Ttulodendice">
    <w:name w:val="index heading"/>
    <w:basedOn w:val="Normal"/>
    <w:next w:val="ndice1"/>
    <w:uiPriority w:val="99"/>
    <w:unhideWhenUsed/>
    <w:rsid w:val="002C0DC3"/>
    <w:pPr>
      <w:suppressAutoHyphens w:val="0"/>
      <w:spacing w:before="240" w:after="120" w:line="276" w:lineRule="auto"/>
      <w:jc w:val="center"/>
    </w:pPr>
    <w:rPr>
      <w:rFonts w:eastAsia="Calibri"/>
      <w:b/>
      <w:bCs/>
      <w:sz w:val="26"/>
      <w:szCs w:val="26"/>
      <w:lang w:val="es-CR" w:eastAsia="en-US"/>
    </w:rPr>
  </w:style>
  <w:style w:type="character" w:customStyle="1" w:styleId="Ttulo1Car1">
    <w:name w:val="Título 1 Car1"/>
    <w:basedOn w:val="Fuentedeprrafopredeter"/>
    <w:uiPriority w:val="9"/>
    <w:rsid w:val="002C0DC3"/>
    <w:rPr>
      <w:rFonts w:ascii="Calibri Light" w:eastAsia="Times New Roman" w:hAnsi="Calibri Light" w:cs="Times New Roman"/>
      <w:color w:val="2E74B5"/>
      <w:sz w:val="32"/>
      <w:szCs w:val="32"/>
    </w:rPr>
  </w:style>
  <w:style w:type="character" w:customStyle="1" w:styleId="Hipervnculo1">
    <w:name w:val="Hipervínculo1"/>
    <w:basedOn w:val="Fuentedeprrafopredeter"/>
    <w:uiPriority w:val="99"/>
    <w:unhideWhenUsed/>
    <w:rsid w:val="002C0DC3"/>
    <w:rPr>
      <w:color w:val="0563C1"/>
      <w:u w:val="single"/>
    </w:rPr>
  </w:style>
  <w:style w:type="paragraph" w:customStyle="1" w:styleId="Puesto1">
    <w:name w:val="Puesto1"/>
    <w:basedOn w:val="Normal"/>
    <w:next w:val="Normal"/>
    <w:qFormat/>
    <w:rsid w:val="002C0DC3"/>
    <w:pPr>
      <w:suppressAutoHyphens w:val="0"/>
      <w:spacing w:line="276" w:lineRule="auto"/>
      <w:contextualSpacing/>
      <w:jc w:val="both"/>
    </w:pPr>
    <w:rPr>
      <w:b/>
      <w:spacing w:val="-10"/>
      <w:kern w:val="28"/>
      <w:sz w:val="32"/>
      <w:szCs w:val="56"/>
      <w:lang w:val="es-CR" w:eastAsia="en-US"/>
    </w:rPr>
  </w:style>
  <w:style w:type="table" w:customStyle="1" w:styleId="Tablaconcuadrcula1">
    <w:name w:val="Tabla con cuadrícula1"/>
    <w:basedOn w:val="Tablanormal"/>
    <w:next w:val="Tablaconcuadrcula"/>
    <w:uiPriority w:val="39"/>
    <w:rsid w:val="002C0DC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1">
    <w:name w:val="Subtítulo1"/>
    <w:basedOn w:val="Normal"/>
    <w:next w:val="Normal"/>
    <w:uiPriority w:val="11"/>
    <w:qFormat/>
    <w:rsid w:val="002C0DC3"/>
    <w:pPr>
      <w:numPr>
        <w:ilvl w:val="1"/>
      </w:numPr>
      <w:suppressAutoHyphens w:val="0"/>
      <w:spacing w:after="160"/>
      <w:jc w:val="both"/>
    </w:pPr>
    <w:rPr>
      <w:spacing w:val="15"/>
      <w:szCs w:val="22"/>
      <w:lang w:val="es-CR" w:eastAsia="en-US"/>
    </w:rPr>
  </w:style>
  <w:style w:type="character" w:customStyle="1" w:styleId="FUENTESCar">
    <w:name w:val="FUENTES Car"/>
    <w:basedOn w:val="Fuentedeprrafopredeter"/>
    <w:link w:val="FUENTES"/>
    <w:locked/>
    <w:rsid w:val="002C0DC3"/>
    <w:rPr>
      <w:b/>
      <w:bCs/>
    </w:rPr>
  </w:style>
  <w:style w:type="paragraph" w:customStyle="1" w:styleId="FUENTES">
    <w:name w:val="FUENTES"/>
    <w:basedOn w:val="Normal"/>
    <w:link w:val="FUENTESCar"/>
    <w:qFormat/>
    <w:rsid w:val="002C0DC3"/>
    <w:pPr>
      <w:suppressAutoHyphens w:val="0"/>
      <w:jc w:val="both"/>
    </w:pPr>
    <w:rPr>
      <w:b/>
      <w:bCs/>
      <w:sz w:val="20"/>
      <w:szCs w:val="20"/>
      <w:lang w:eastAsia="es-ES"/>
    </w:rPr>
  </w:style>
  <w:style w:type="character" w:customStyle="1" w:styleId="AsuntodelcomentarioCar">
    <w:name w:val="Asunto del comentario Car"/>
    <w:basedOn w:val="TextocomentarioCar"/>
    <w:link w:val="Asuntodelcomentario"/>
    <w:uiPriority w:val="99"/>
    <w:qFormat/>
    <w:rsid w:val="002C0DC3"/>
    <w:rPr>
      <w:b/>
      <w:bCs/>
      <w:lang w:val="es-ES" w:eastAsia="ar-SA" w:bidi="ar-SA"/>
    </w:rPr>
  </w:style>
  <w:style w:type="paragraph" w:styleId="Revisin">
    <w:name w:val="Revision"/>
    <w:hidden/>
    <w:uiPriority w:val="99"/>
    <w:semiHidden/>
    <w:qFormat/>
    <w:rsid w:val="002C0DC3"/>
    <w:rPr>
      <w:rFonts w:eastAsia="Calibri"/>
      <w:sz w:val="24"/>
      <w:szCs w:val="22"/>
      <w:lang w:val="es-CR" w:eastAsia="en-US"/>
    </w:rPr>
  </w:style>
  <w:style w:type="character" w:customStyle="1" w:styleId="EnlacedeInternet">
    <w:name w:val="Enlace de Internet"/>
    <w:basedOn w:val="Fuentedeprrafopredeter"/>
    <w:uiPriority w:val="99"/>
    <w:unhideWhenUsed/>
    <w:rsid w:val="002C0DC3"/>
    <w:rPr>
      <w:color w:val="0563C1"/>
      <w:u w:val="single"/>
    </w:rPr>
  </w:style>
  <w:style w:type="character" w:customStyle="1" w:styleId="Ancladenotaalpie">
    <w:name w:val="Ancla de nota al pie"/>
    <w:rsid w:val="002C0DC3"/>
    <w:rPr>
      <w:vertAlign w:val="superscript"/>
    </w:rPr>
  </w:style>
  <w:style w:type="character" w:customStyle="1" w:styleId="FootnoteCharacters">
    <w:name w:val="Footnote Characters"/>
    <w:basedOn w:val="Fuentedeprrafopredeter"/>
    <w:uiPriority w:val="99"/>
    <w:semiHidden/>
    <w:unhideWhenUsed/>
    <w:qFormat/>
    <w:rsid w:val="002C0DC3"/>
    <w:rPr>
      <w:vertAlign w:val="superscript"/>
    </w:rPr>
  </w:style>
  <w:style w:type="character" w:customStyle="1" w:styleId="Ancladenotafinal">
    <w:name w:val="Ancla de nota final"/>
    <w:rsid w:val="002C0DC3"/>
    <w:rPr>
      <w:vertAlign w:val="superscript"/>
    </w:rPr>
  </w:style>
  <w:style w:type="character" w:customStyle="1" w:styleId="Caracteresdenotafinal">
    <w:name w:val="Caracteres de nota final"/>
    <w:qFormat/>
    <w:rsid w:val="002C0DC3"/>
  </w:style>
  <w:style w:type="character" w:customStyle="1" w:styleId="TextoindependienteCar1">
    <w:name w:val="Texto independiente Car1"/>
    <w:basedOn w:val="Fuentedeprrafopredeter"/>
    <w:uiPriority w:val="99"/>
    <w:semiHidden/>
    <w:rsid w:val="002C0DC3"/>
  </w:style>
  <w:style w:type="character" w:customStyle="1" w:styleId="Textoindependiente2Car1">
    <w:name w:val="Texto independiente 2 Car1"/>
    <w:basedOn w:val="Fuentedeprrafopredeter"/>
    <w:uiPriority w:val="99"/>
    <w:semiHidden/>
    <w:rsid w:val="002C0DC3"/>
  </w:style>
  <w:style w:type="paragraph" w:customStyle="1" w:styleId="Cabeceraypie">
    <w:name w:val="Cabecera y pie"/>
    <w:basedOn w:val="Normal"/>
    <w:qFormat/>
    <w:rsid w:val="002C0DC3"/>
    <w:pPr>
      <w:suppressAutoHyphens w:val="0"/>
    </w:pPr>
    <w:rPr>
      <w:sz w:val="20"/>
      <w:szCs w:val="20"/>
      <w:lang w:val="es-CR" w:eastAsia="es-ES"/>
    </w:rPr>
  </w:style>
  <w:style w:type="character" w:customStyle="1" w:styleId="TextodegloboCar1">
    <w:name w:val="Texto de globo Car1"/>
    <w:basedOn w:val="Fuentedeprrafopredeter"/>
    <w:uiPriority w:val="99"/>
    <w:semiHidden/>
    <w:rsid w:val="002C0DC3"/>
    <w:rPr>
      <w:rFonts w:ascii="Segoe UI" w:hAnsi="Segoe UI" w:cs="Segoe UI"/>
      <w:sz w:val="18"/>
      <w:szCs w:val="18"/>
    </w:rPr>
  </w:style>
  <w:style w:type="paragraph" w:customStyle="1" w:styleId="xmsobodytext">
    <w:name w:val="x_msobodytext"/>
    <w:basedOn w:val="Normal"/>
    <w:qFormat/>
    <w:rsid w:val="002C0DC3"/>
    <w:pPr>
      <w:suppressAutoHyphens w:val="0"/>
      <w:spacing w:beforeAutospacing="1" w:afterAutospacing="1" w:line="360" w:lineRule="auto"/>
      <w:jc w:val="both"/>
    </w:pPr>
    <w:rPr>
      <w:lang w:val="es-CR" w:eastAsia="es-CR"/>
    </w:rPr>
  </w:style>
  <w:style w:type="paragraph" w:customStyle="1" w:styleId="Trabajo2">
    <w:name w:val="Trabajo2"/>
    <w:qFormat/>
    <w:rsid w:val="002C0DC3"/>
    <w:pPr>
      <w:suppressAutoHyphens/>
      <w:spacing w:line="360" w:lineRule="auto"/>
      <w:jc w:val="both"/>
    </w:pPr>
    <w:rPr>
      <w:rFonts w:ascii="Arial" w:hAnsi="Arial" w:cs="Arial"/>
      <w:lang w:eastAsia="ar-SA"/>
    </w:rPr>
  </w:style>
  <w:style w:type="character" w:customStyle="1" w:styleId="Textoindependiente3Car1">
    <w:name w:val="Texto independiente 3 Car1"/>
    <w:basedOn w:val="Fuentedeprrafopredeter"/>
    <w:uiPriority w:val="99"/>
    <w:semiHidden/>
    <w:rsid w:val="002C0DC3"/>
    <w:rPr>
      <w:sz w:val="16"/>
      <w:szCs w:val="16"/>
    </w:rPr>
  </w:style>
  <w:style w:type="paragraph" w:customStyle="1" w:styleId="al1">
    <w:name w:val="al1"/>
    <w:basedOn w:val="Normal"/>
    <w:next w:val="Textonotapie"/>
    <w:uiPriority w:val="99"/>
    <w:unhideWhenUsed/>
    <w:rsid w:val="002C0DC3"/>
    <w:pPr>
      <w:suppressAutoHyphens w:val="0"/>
    </w:pPr>
    <w:rPr>
      <w:rFonts w:ascii="Calibri" w:eastAsia="Calibri" w:hAnsi="Calibri"/>
      <w:sz w:val="20"/>
      <w:szCs w:val="20"/>
      <w:lang w:val="es-CR" w:eastAsia="en-US"/>
    </w:rPr>
  </w:style>
  <w:style w:type="table" w:customStyle="1" w:styleId="Listamedia2-nfasis21">
    <w:name w:val="Lista media 2 - Énfasis 21"/>
    <w:basedOn w:val="Tablanormal"/>
    <w:next w:val="Listamedia2-nfasis2"/>
    <w:uiPriority w:val="66"/>
    <w:rsid w:val="002C0DC3"/>
    <w:rPr>
      <w:rFonts w:ascii="Calibri Light" w:hAnsi="Calibri Light"/>
      <w:color w:val="000000"/>
      <w:szCs w:val="22"/>
      <w:lang w:val="es-CR" w:eastAsia="es-CR"/>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1-nfasis61">
    <w:name w:val="Lista media 1 - Énfasis 61"/>
    <w:basedOn w:val="Tablanormal"/>
    <w:next w:val="Listamedia1-nfasis6"/>
    <w:uiPriority w:val="65"/>
    <w:rsid w:val="002C0DC3"/>
    <w:rPr>
      <w:rFonts w:ascii="Calibri" w:eastAsia="Calibri" w:hAnsi="Calibri"/>
      <w:color w:val="000000"/>
      <w:szCs w:val="22"/>
      <w:lang w:val="es-CR" w:eastAsia="es-C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ombreadoclaro-nfasis21">
    <w:name w:val="Sombreado claro - Énfasis 21"/>
    <w:basedOn w:val="Tablanormal"/>
    <w:next w:val="Sombreadoclaro-nfasis2"/>
    <w:uiPriority w:val="60"/>
    <w:rsid w:val="002C0DC3"/>
    <w:rPr>
      <w:rFonts w:ascii="Calibri" w:eastAsia="Calibri" w:hAnsi="Calibri"/>
      <w:color w:val="C45911"/>
      <w:szCs w:val="22"/>
      <w:lang w:val="es-CR" w:eastAsia="es-C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staclara-nfasis21">
    <w:name w:val="Lista clara - Énfasis 21"/>
    <w:basedOn w:val="Tablanormal"/>
    <w:next w:val="Listaclara-nfasis2"/>
    <w:uiPriority w:val="61"/>
    <w:rsid w:val="002C0DC3"/>
    <w:rPr>
      <w:rFonts w:ascii="Calibri" w:eastAsia="Calibri" w:hAnsi="Calibri"/>
      <w:szCs w:val="22"/>
      <w:lang w:val="es-CR" w:eastAsia="es-CR"/>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uadrculaclara-nfasis31">
    <w:name w:val="Cuadrícula clara - Énfasis 31"/>
    <w:basedOn w:val="Tablanormal"/>
    <w:next w:val="Cuadrculaclara-nfasis3"/>
    <w:uiPriority w:val="62"/>
    <w:rsid w:val="002C0DC3"/>
    <w:rPr>
      <w:rFonts w:ascii="Calibri" w:eastAsia="Calibri" w:hAnsi="Calibri"/>
      <w:szCs w:val="22"/>
      <w:lang w:val="es-CR" w:eastAsia="es-CR"/>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Cuadrculaclara-nfasis51">
    <w:name w:val="Cuadrícula clara - Énfasis 51"/>
    <w:basedOn w:val="Tablanormal"/>
    <w:next w:val="Cuadrculaclara-nfasis5"/>
    <w:uiPriority w:val="62"/>
    <w:rsid w:val="002C0DC3"/>
    <w:rPr>
      <w:rFonts w:ascii="Calibri" w:eastAsia="Calibri" w:hAnsi="Calibri"/>
      <w:szCs w:val="22"/>
      <w:lang w:val="es-CR" w:eastAsia="es-C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nfasis21">
    <w:name w:val="Cuadrícula clara - Énfasis 21"/>
    <w:basedOn w:val="Tablanormal"/>
    <w:next w:val="Cuadrculaclara-nfasis2"/>
    <w:uiPriority w:val="62"/>
    <w:rsid w:val="002C0DC3"/>
    <w:rPr>
      <w:rFonts w:ascii="Calibri" w:eastAsia="Calibri" w:hAnsi="Calibri"/>
      <w:szCs w:val="22"/>
      <w:lang w:val="es-CR" w:eastAsia="es-C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ombreadomedio2-nfasis21">
    <w:name w:val="Sombreado medio 2 - Énfasis 21"/>
    <w:basedOn w:val="Tablanormal"/>
    <w:next w:val="Sombreadomedio2-nfasis2"/>
    <w:uiPriority w:val="64"/>
    <w:rsid w:val="002C0DC3"/>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nfasis21">
    <w:name w:val="Lista media 1 - Énfasis 21"/>
    <w:basedOn w:val="Tablanormal"/>
    <w:next w:val="Listamedia1-nfasis2"/>
    <w:uiPriority w:val="65"/>
    <w:rsid w:val="002C0DC3"/>
    <w:rPr>
      <w:rFonts w:ascii="Calibri" w:eastAsia="Calibri" w:hAnsi="Calibri"/>
      <w:color w:val="000000"/>
      <w:szCs w:val="22"/>
      <w:lang w:val="es-CR" w:eastAsia="es-CR"/>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Cuadrculamedia1-nfasis21">
    <w:name w:val="Cuadrícula media 1 - Énfasis 21"/>
    <w:basedOn w:val="Tablanormal"/>
    <w:next w:val="Cuadrculamedia1-nfasis2"/>
    <w:uiPriority w:val="67"/>
    <w:rsid w:val="002C0DC3"/>
    <w:rPr>
      <w:rFonts w:ascii="Calibri" w:eastAsia="Calibri" w:hAnsi="Calibri"/>
      <w:szCs w:val="22"/>
      <w:lang w:val="es-CR" w:eastAsia="es-C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Cuadrculamedia2-nfasis21">
    <w:name w:val="Cuadrícula media 2 - Énfasis 21"/>
    <w:basedOn w:val="Tablanormal"/>
    <w:next w:val="Cuadrculamedia2-nfasis2"/>
    <w:uiPriority w:val="68"/>
    <w:rsid w:val="002C0DC3"/>
    <w:rPr>
      <w:rFonts w:ascii="Calibri Light" w:hAnsi="Calibri Light"/>
      <w:color w:val="000000"/>
      <w:szCs w:val="22"/>
      <w:lang w:val="es-CR" w:eastAsia="es-C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Cuadrculamedia2-nfasis51">
    <w:name w:val="Cuadrícula media 2 - Énfasis 51"/>
    <w:basedOn w:val="Tablanormal"/>
    <w:next w:val="Cuadrculamedia2-nfasis5"/>
    <w:uiPriority w:val="68"/>
    <w:rsid w:val="002C0DC3"/>
    <w:rPr>
      <w:rFonts w:ascii="Calibri Light" w:hAnsi="Calibri Light"/>
      <w:color w:val="000000"/>
      <w:szCs w:val="22"/>
      <w:lang w:val="es-CR" w:eastAsia="es-C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Listaoscura-nfasis21">
    <w:name w:val="Lista oscura - Énfasis 21"/>
    <w:basedOn w:val="Tablanormal"/>
    <w:next w:val="Listaoscura-nfasis2"/>
    <w:uiPriority w:val="70"/>
    <w:rsid w:val="002C0DC3"/>
    <w:rPr>
      <w:rFonts w:ascii="Calibri" w:eastAsia="Calibri" w:hAnsi="Calibri"/>
      <w:color w:val="FFFFFF"/>
      <w:szCs w:val="22"/>
      <w:lang w:val="es-CR" w:eastAsia="es-CR"/>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Cuadrculamedia3-nfasis21">
    <w:name w:val="Cuadrícula media 3 - Énfasis 21"/>
    <w:basedOn w:val="Tablanormal"/>
    <w:next w:val="Cuadrculamedia3-nfasis2"/>
    <w:uiPriority w:val="69"/>
    <w:rsid w:val="002C0DC3"/>
    <w:rPr>
      <w:rFonts w:ascii="Calibri" w:eastAsia="Calibri" w:hAnsi="Calibri"/>
      <w:szCs w:val="22"/>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ombreadovistoso-nfasis21">
    <w:name w:val="Sombreado vistoso - Énfasis 21"/>
    <w:basedOn w:val="Tablanormal"/>
    <w:next w:val="Sombreadovistoso-nfasis2"/>
    <w:uiPriority w:val="71"/>
    <w:rsid w:val="002C0DC3"/>
    <w:rPr>
      <w:rFonts w:ascii="Calibri" w:eastAsia="Calibri" w:hAnsi="Calibri"/>
      <w:color w:val="000000"/>
      <w:szCs w:val="22"/>
      <w:lang w:val="es-CR" w:eastAsia="es-CR"/>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Listavistosa-nfasis21">
    <w:name w:val="Lista vistosa - Énfasis 21"/>
    <w:basedOn w:val="Tablanormal"/>
    <w:next w:val="Listavistosa-nfasis2"/>
    <w:uiPriority w:val="72"/>
    <w:rsid w:val="002C0DC3"/>
    <w:rPr>
      <w:rFonts w:ascii="Calibri" w:eastAsia="Calibri" w:hAnsi="Calibri"/>
      <w:color w:val="000000"/>
      <w:szCs w:val="22"/>
      <w:lang w:val="es-CR" w:eastAsia="es-CR"/>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uadrculavistosa-nfasis21">
    <w:name w:val="Cuadrícula vistosa - Énfasis 21"/>
    <w:basedOn w:val="Tablanormal"/>
    <w:next w:val="Cuadrculavistosa-nfasis2"/>
    <w:uiPriority w:val="73"/>
    <w:rsid w:val="002C0DC3"/>
    <w:rPr>
      <w:rFonts w:ascii="Calibri" w:eastAsia="Calibri" w:hAnsi="Calibri"/>
      <w:color w:val="000000"/>
      <w:szCs w:val="22"/>
      <w:lang w:val="es-CR" w:eastAsia="es-CR"/>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Tablaconcuadrcula5oscura-nfasis11">
    <w:name w:val="Tabla con cuadrícula 5 oscura - Énfasis 11"/>
    <w:basedOn w:val="Tablanormal"/>
    <w:uiPriority w:val="50"/>
    <w:rsid w:val="002C0DC3"/>
    <w:rPr>
      <w:rFonts w:ascii="Calibri" w:eastAsia="Calibri" w:hAnsi="Calibri"/>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aclara-nfasis11">
    <w:name w:val="Lista clara - Énfasis 11"/>
    <w:basedOn w:val="Tablanormal"/>
    <w:next w:val="Listaclara-nfasis1"/>
    <w:uiPriority w:val="61"/>
    <w:rsid w:val="002C0DC3"/>
    <w:rPr>
      <w:rFonts w:ascii="Calibri" w:eastAsia="Calibri" w:hAnsi="Calibri"/>
      <w:szCs w:val="22"/>
      <w:lang w:val="es-CR" w:eastAsia="es-C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1">
    <w:name w:val="Lista clara1"/>
    <w:basedOn w:val="Tablanormal"/>
    <w:next w:val="Listaclara"/>
    <w:uiPriority w:val="61"/>
    <w:rsid w:val="002C0DC3"/>
    <w:rPr>
      <w:rFonts w:ascii="Calibri" w:eastAsia="Calibri" w:hAnsi="Calibri"/>
      <w:szCs w:val="22"/>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2C0DC3"/>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1">
    <w:name w:val="Sombreado medio 2 - Énfasis 31"/>
    <w:basedOn w:val="Tablanormal"/>
    <w:next w:val="Sombreadomedio2-nfasis3"/>
    <w:uiPriority w:val="64"/>
    <w:rsid w:val="002C0DC3"/>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41">
    <w:name w:val="Lista clara - Énfasis 41"/>
    <w:basedOn w:val="Tablanormal"/>
    <w:next w:val="Listaclara-nfasis4"/>
    <w:uiPriority w:val="61"/>
    <w:rsid w:val="002C0DC3"/>
    <w:rPr>
      <w:rFonts w:ascii="Calibri" w:eastAsia="Calibri" w:hAnsi="Calibri"/>
      <w:szCs w:val="22"/>
      <w:lang w:val="es-CR" w:eastAsia="es-C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aconcuadrcula11">
    <w:name w:val="Tabla con cuadrícula11"/>
    <w:basedOn w:val="Tablanormal"/>
    <w:next w:val="Tablaconcuadrcula"/>
    <w:uiPriority w:val="39"/>
    <w:rsid w:val="002C0DC3"/>
    <w:rPr>
      <w:rFonts w:ascii="Calibri" w:eastAsia="Calibri" w:hAnsi="Calibri"/>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6">
    <w:name w:val="xl76"/>
    <w:basedOn w:val="Normal"/>
    <w:rsid w:val="002C0DC3"/>
    <w:pPr>
      <w:pBdr>
        <w:top w:val="single" w:sz="4" w:space="0" w:color="auto"/>
        <w:left w:val="single" w:sz="4" w:space="0" w:color="auto"/>
        <w:bottom w:val="single" w:sz="4" w:space="0" w:color="auto"/>
        <w:right w:val="single" w:sz="4" w:space="0" w:color="auto"/>
      </w:pBdr>
      <w:shd w:val="clear" w:color="000000" w:fill="1F4E78"/>
      <w:suppressAutoHyphens w:val="0"/>
      <w:spacing w:before="100" w:beforeAutospacing="1" w:after="100" w:afterAutospacing="1"/>
      <w:jc w:val="center"/>
      <w:textAlignment w:val="center"/>
    </w:pPr>
    <w:rPr>
      <w:b/>
      <w:bCs/>
      <w:color w:val="F2F2F2"/>
      <w:lang w:val="es-CR" w:eastAsia="es-CR"/>
    </w:rPr>
  </w:style>
  <w:style w:type="paragraph" w:customStyle="1" w:styleId="xl77">
    <w:name w:val="xl77"/>
    <w:basedOn w:val="Normal"/>
    <w:rsid w:val="002C0D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es-CR" w:eastAsia="es-CR"/>
    </w:rPr>
  </w:style>
  <w:style w:type="paragraph" w:customStyle="1" w:styleId="xl78">
    <w:name w:val="xl78"/>
    <w:basedOn w:val="Normal"/>
    <w:rsid w:val="002C0DC3"/>
    <w:pPr>
      <w:suppressAutoHyphens w:val="0"/>
      <w:spacing w:before="100" w:beforeAutospacing="1" w:after="100" w:afterAutospacing="1"/>
    </w:pPr>
    <w:rPr>
      <w:lang w:val="es-CR" w:eastAsia="es-CR"/>
    </w:rPr>
  </w:style>
  <w:style w:type="paragraph" w:customStyle="1" w:styleId="xl79">
    <w:name w:val="xl79"/>
    <w:basedOn w:val="Normal"/>
    <w:rsid w:val="002C0D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val="es-CR" w:eastAsia="es-CR"/>
    </w:rPr>
  </w:style>
  <w:style w:type="paragraph" w:customStyle="1" w:styleId="xl80">
    <w:name w:val="xl80"/>
    <w:basedOn w:val="Normal"/>
    <w:rsid w:val="002C0DC3"/>
    <w:pPr>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81">
    <w:name w:val="xl81"/>
    <w:basedOn w:val="Normal"/>
    <w:rsid w:val="002C0DC3"/>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pPr>
    <w:rPr>
      <w:b/>
      <w:bCs/>
      <w:lang w:val="es-CR" w:eastAsia="es-CR"/>
    </w:rPr>
  </w:style>
  <w:style w:type="paragraph" w:customStyle="1" w:styleId="xl82">
    <w:name w:val="xl82"/>
    <w:basedOn w:val="Normal"/>
    <w:rsid w:val="002C0DC3"/>
    <w:pPr>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83">
    <w:name w:val="xl83"/>
    <w:basedOn w:val="Normal"/>
    <w:rsid w:val="002C0DC3"/>
    <w:pPr>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84">
    <w:name w:val="xl84"/>
    <w:basedOn w:val="Normal"/>
    <w:rsid w:val="002C0DC3"/>
    <w:pPr>
      <w:pBdr>
        <w:top w:val="single" w:sz="4" w:space="0" w:color="auto"/>
        <w:left w:val="single" w:sz="4" w:space="0" w:color="auto"/>
        <w:bottom w:val="single" w:sz="4" w:space="0" w:color="auto"/>
        <w:right w:val="single" w:sz="4" w:space="0" w:color="auto"/>
      </w:pBdr>
      <w:shd w:val="clear" w:color="000000" w:fill="AEAAAA"/>
      <w:suppressAutoHyphens w:val="0"/>
      <w:spacing w:before="100" w:beforeAutospacing="1" w:after="100" w:afterAutospacing="1"/>
      <w:jc w:val="center"/>
      <w:textAlignment w:val="center"/>
    </w:pPr>
    <w:rPr>
      <w:sz w:val="20"/>
      <w:szCs w:val="20"/>
      <w:lang w:val="es-CR" w:eastAsia="es-CR"/>
    </w:rPr>
  </w:style>
  <w:style w:type="numbering" w:customStyle="1" w:styleId="Estilo2">
    <w:name w:val="Estilo2"/>
    <w:uiPriority w:val="99"/>
    <w:rsid w:val="002C0DC3"/>
    <w:pPr>
      <w:numPr>
        <w:numId w:val="13"/>
      </w:numPr>
    </w:pPr>
  </w:style>
  <w:style w:type="paragraph" w:customStyle="1" w:styleId="msonormal0">
    <w:name w:val="msonormal"/>
    <w:basedOn w:val="Normal"/>
    <w:uiPriority w:val="99"/>
    <w:qFormat/>
    <w:rsid w:val="002C0DC3"/>
    <w:pPr>
      <w:suppressAutoHyphens w:val="0"/>
      <w:spacing w:before="100" w:beforeAutospacing="1" w:after="100" w:afterAutospacing="1"/>
    </w:pPr>
    <w:rPr>
      <w:lang w:val="es-CR" w:eastAsia="es-CR"/>
    </w:rPr>
  </w:style>
  <w:style w:type="paragraph" w:customStyle="1" w:styleId="xl85">
    <w:name w:val="xl85"/>
    <w:basedOn w:val="Normal"/>
    <w:rsid w:val="002C0DC3"/>
    <w:pPr>
      <w:pBdr>
        <w:top w:val="single" w:sz="4" w:space="0" w:color="auto"/>
        <w:lef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86">
    <w:name w:val="xl86"/>
    <w:basedOn w:val="Normal"/>
    <w:rsid w:val="002C0DC3"/>
    <w:pPr>
      <w:pBdr>
        <w:top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87">
    <w:name w:val="xl87"/>
    <w:basedOn w:val="Normal"/>
    <w:rsid w:val="002C0DC3"/>
    <w:pPr>
      <w:pBdr>
        <w:top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88">
    <w:name w:val="xl88"/>
    <w:basedOn w:val="Normal"/>
    <w:rsid w:val="002C0DC3"/>
    <w:pPr>
      <w:pBdr>
        <w:lef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89">
    <w:name w:val="xl89"/>
    <w:basedOn w:val="Normal"/>
    <w:rsid w:val="002C0DC3"/>
    <w:pP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0">
    <w:name w:val="xl90"/>
    <w:basedOn w:val="Normal"/>
    <w:rsid w:val="002C0DC3"/>
    <w:pPr>
      <w:pBdr>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1">
    <w:name w:val="xl91"/>
    <w:basedOn w:val="Normal"/>
    <w:rsid w:val="002C0DC3"/>
    <w:pPr>
      <w:pBdr>
        <w:left w:val="single" w:sz="4" w:space="0" w:color="auto"/>
        <w:bottom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2">
    <w:name w:val="xl92"/>
    <w:basedOn w:val="Normal"/>
    <w:rsid w:val="002C0DC3"/>
    <w:pPr>
      <w:pBdr>
        <w:bottom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3">
    <w:name w:val="xl93"/>
    <w:basedOn w:val="Normal"/>
    <w:rsid w:val="002C0DC3"/>
    <w:pPr>
      <w:pBdr>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4">
    <w:name w:val="xl94"/>
    <w:basedOn w:val="Normal"/>
    <w:rsid w:val="002C0DC3"/>
    <w:pPr>
      <w:pBdr>
        <w:top w:val="single" w:sz="4" w:space="0" w:color="auto"/>
        <w:left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5">
    <w:name w:val="xl95"/>
    <w:basedOn w:val="Normal"/>
    <w:rsid w:val="002C0DC3"/>
    <w:pPr>
      <w:pBdr>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6">
    <w:name w:val="xl96"/>
    <w:basedOn w:val="Normal"/>
    <w:rsid w:val="002C0DC3"/>
    <w:pPr>
      <w:pBdr>
        <w:top w:val="single" w:sz="4" w:space="0" w:color="auto"/>
        <w:left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7">
    <w:name w:val="xl97"/>
    <w:basedOn w:val="Normal"/>
    <w:rsid w:val="002C0DC3"/>
    <w:pPr>
      <w:pBdr>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8">
    <w:name w:val="xl98"/>
    <w:basedOn w:val="Normal"/>
    <w:rsid w:val="002C0DC3"/>
    <w:pPr>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99">
    <w:name w:val="xl99"/>
    <w:basedOn w:val="Normal"/>
    <w:rsid w:val="002C0DC3"/>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color w:val="000000"/>
      <w:lang w:val="es-CR" w:eastAsia="es-CR"/>
    </w:rPr>
  </w:style>
  <w:style w:type="paragraph" w:customStyle="1" w:styleId="xl100">
    <w:name w:val="xl100"/>
    <w:basedOn w:val="Normal"/>
    <w:rsid w:val="002C0DC3"/>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pPr>
    <w:rPr>
      <w:b/>
      <w:bCs/>
      <w:lang w:val="es-CR" w:eastAsia="es-CR"/>
    </w:rPr>
  </w:style>
  <w:style w:type="paragraph" w:customStyle="1" w:styleId="xl101">
    <w:name w:val="xl101"/>
    <w:basedOn w:val="Normal"/>
    <w:rsid w:val="002C0DC3"/>
    <w:pPr>
      <w:pBdr>
        <w:top w:val="single" w:sz="4" w:space="0" w:color="auto"/>
        <w:left w:val="single" w:sz="4" w:space="0" w:color="auto"/>
        <w:bottom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02">
    <w:name w:val="xl102"/>
    <w:basedOn w:val="Normal"/>
    <w:rsid w:val="002C0DC3"/>
    <w:pPr>
      <w:pBdr>
        <w:top w:val="single" w:sz="4" w:space="0" w:color="auto"/>
        <w:bottom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03">
    <w:name w:val="xl103"/>
    <w:basedOn w:val="Normal"/>
    <w:rsid w:val="002C0DC3"/>
    <w:pPr>
      <w:pBdr>
        <w:top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04">
    <w:name w:val="xl104"/>
    <w:basedOn w:val="Normal"/>
    <w:rsid w:val="002C0DC3"/>
    <w:pPr>
      <w:pBdr>
        <w:top w:val="single" w:sz="4" w:space="0" w:color="auto"/>
        <w:lef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05">
    <w:name w:val="xl105"/>
    <w:basedOn w:val="Normal"/>
    <w:rsid w:val="002C0DC3"/>
    <w:pPr>
      <w:pBdr>
        <w:top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06">
    <w:name w:val="xl106"/>
    <w:basedOn w:val="Normal"/>
    <w:rsid w:val="002C0DC3"/>
    <w:pPr>
      <w:pBdr>
        <w:top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07">
    <w:name w:val="xl107"/>
    <w:basedOn w:val="Normal"/>
    <w:rsid w:val="002C0DC3"/>
    <w:pPr>
      <w:pBdr>
        <w:lef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08">
    <w:name w:val="xl108"/>
    <w:basedOn w:val="Normal"/>
    <w:rsid w:val="002C0DC3"/>
    <w:pP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09">
    <w:name w:val="xl109"/>
    <w:basedOn w:val="Normal"/>
    <w:rsid w:val="002C0DC3"/>
    <w:pPr>
      <w:pBdr>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10">
    <w:name w:val="xl110"/>
    <w:basedOn w:val="Normal"/>
    <w:rsid w:val="002C0DC3"/>
    <w:pPr>
      <w:pBdr>
        <w:left w:val="single" w:sz="4" w:space="0" w:color="auto"/>
        <w:bottom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11">
    <w:name w:val="xl111"/>
    <w:basedOn w:val="Normal"/>
    <w:rsid w:val="002C0DC3"/>
    <w:pPr>
      <w:pBdr>
        <w:bottom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12">
    <w:name w:val="xl112"/>
    <w:basedOn w:val="Normal"/>
    <w:rsid w:val="002C0DC3"/>
    <w:pPr>
      <w:pBdr>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color w:val="000000"/>
      <w:sz w:val="20"/>
      <w:szCs w:val="20"/>
      <w:lang w:val="es-CR" w:eastAsia="es-CR"/>
    </w:rPr>
  </w:style>
  <w:style w:type="paragraph" w:customStyle="1" w:styleId="xl113">
    <w:name w:val="xl113"/>
    <w:basedOn w:val="Normal"/>
    <w:rsid w:val="002C0DC3"/>
    <w:pPr>
      <w:pBdr>
        <w:top w:val="single" w:sz="4" w:space="0" w:color="auto"/>
        <w:left w:val="single" w:sz="4" w:space="0" w:color="auto"/>
        <w:bottom w:val="single" w:sz="4" w:space="0" w:color="auto"/>
        <w:right w:val="single" w:sz="4" w:space="0" w:color="auto"/>
      </w:pBdr>
      <w:shd w:val="clear" w:color="000000" w:fill="1F4E78"/>
      <w:suppressAutoHyphens w:val="0"/>
      <w:spacing w:before="100" w:beforeAutospacing="1" w:after="100" w:afterAutospacing="1"/>
      <w:jc w:val="center"/>
      <w:textAlignment w:val="center"/>
    </w:pPr>
    <w:rPr>
      <w:b/>
      <w:bCs/>
      <w:color w:val="F2F2F2"/>
      <w:lang w:val="es-CR" w:eastAsia="es-CR"/>
    </w:rPr>
  </w:style>
  <w:style w:type="paragraph" w:customStyle="1" w:styleId="xl114">
    <w:name w:val="xl114"/>
    <w:basedOn w:val="Normal"/>
    <w:rsid w:val="002C0DC3"/>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color w:val="000000"/>
      <w:lang w:val="es-CR" w:eastAsia="es-CR"/>
    </w:rPr>
  </w:style>
  <w:style w:type="paragraph" w:customStyle="1" w:styleId="xl115">
    <w:name w:val="xl115"/>
    <w:basedOn w:val="Normal"/>
    <w:rsid w:val="002C0DC3"/>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jc w:val="center"/>
      <w:textAlignment w:val="center"/>
    </w:pPr>
    <w:rPr>
      <w:color w:val="000000"/>
      <w:lang w:val="es-CR" w:eastAsia="es-CR"/>
    </w:rPr>
  </w:style>
  <w:style w:type="numbering" w:customStyle="1" w:styleId="Estilo3">
    <w:name w:val="Estilo3"/>
    <w:uiPriority w:val="99"/>
    <w:rsid w:val="002C0DC3"/>
  </w:style>
  <w:style w:type="paragraph" w:customStyle="1" w:styleId="Textodecampo">
    <w:name w:val="Texto de campo"/>
    <w:basedOn w:val="Normal"/>
    <w:rsid w:val="002C0DC3"/>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rsid w:val="002C0DC3"/>
    <w:pPr>
      <w:suppressAutoHyphens w:val="0"/>
      <w:spacing w:before="60" w:after="60"/>
      <w:ind w:left="397"/>
      <w:jc w:val="both"/>
    </w:pPr>
    <w:rPr>
      <w:rFonts w:ascii="Arial" w:hAnsi="Arial" w:cs="Arial"/>
      <w:b/>
      <w:sz w:val="19"/>
      <w:szCs w:val="19"/>
      <w:lang w:val="en-US" w:eastAsia="en-US" w:bidi="en-US"/>
    </w:rPr>
  </w:style>
  <w:style w:type="character" w:customStyle="1" w:styleId="Mencinsinresolver1">
    <w:name w:val="Mención sin resolver1"/>
    <w:basedOn w:val="Fuentedeprrafopredeter"/>
    <w:uiPriority w:val="99"/>
    <w:semiHidden/>
    <w:unhideWhenUsed/>
    <w:rsid w:val="002C0DC3"/>
    <w:rPr>
      <w:color w:val="605E5C"/>
      <w:shd w:val="clear" w:color="auto" w:fill="E1DFDD"/>
    </w:rPr>
  </w:style>
  <w:style w:type="paragraph" w:customStyle="1" w:styleId="Tablas">
    <w:name w:val="Tablas"/>
    <w:basedOn w:val="Tabladeilustraciones"/>
    <w:link w:val="TablasCar"/>
    <w:qFormat/>
    <w:rsid w:val="002C0DC3"/>
    <w:pPr>
      <w:spacing w:line="360" w:lineRule="auto"/>
      <w:jc w:val="center"/>
    </w:pPr>
    <w:rPr>
      <w:rFonts w:ascii="Book Antiqua" w:hAnsi="Book Antiqua"/>
      <w:b/>
      <w:i/>
      <w:iCs/>
    </w:rPr>
  </w:style>
  <w:style w:type="character" w:customStyle="1" w:styleId="TablasCar">
    <w:name w:val="Tablas Car"/>
    <w:basedOn w:val="Fuentedeprrafopredeter"/>
    <w:link w:val="Tablas"/>
    <w:rsid w:val="002C0DC3"/>
    <w:rPr>
      <w:rFonts w:ascii="Book Antiqua" w:hAnsi="Book Antiqua"/>
      <w:b/>
      <w:i/>
      <w:iCs/>
      <w:lang w:val="es-CR"/>
    </w:rPr>
  </w:style>
  <w:style w:type="paragraph" w:styleId="Tabladeilustraciones">
    <w:name w:val="table of figures"/>
    <w:basedOn w:val="Normal"/>
    <w:next w:val="Normal"/>
    <w:uiPriority w:val="99"/>
    <w:semiHidden/>
    <w:unhideWhenUsed/>
    <w:rsid w:val="002C0DC3"/>
    <w:pPr>
      <w:suppressAutoHyphens w:val="0"/>
    </w:pPr>
    <w:rPr>
      <w:sz w:val="20"/>
      <w:szCs w:val="20"/>
      <w:lang w:val="es-CR" w:eastAsia="es-ES"/>
    </w:rPr>
  </w:style>
  <w:style w:type="table" w:customStyle="1" w:styleId="Tabladecuadrcula4-nfasis51">
    <w:name w:val="Tabla de cuadrícula 4 - Énfasis 51"/>
    <w:basedOn w:val="Tablanormal"/>
    <w:next w:val="Tablaconcuadrcula4-nfasis5"/>
    <w:uiPriority w:val="49"/>
    <w:rsid w:val="002C0DC3"/>
    <w:rPr>
      <w:rFonts w:ascii="Calibri" w:eastAsia="Calibri" w:hAnsi="Calibri"/>
      <w:szCs w:val="22"/>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Ttulodellibro">
    <w:name w:val="Book Title"/>
    <w:basedOn w:val="Fuentedeprrafopredeter"/>
    <w:uiPriority w:val="33"/>
    <w:qFormat/>
    <w:rsid w:val="002C0DC3"/>
    <w:rPr>
      <w:b/>
      <w:bCs/>
      <w:i/>
      <w:iCs/>
      <w:spacing w:val="5"/>
    </w:rPr>
  </w:style>
  <w:style w:type="paragraph" w:customStyle="1" w:styleId="TableParagraph">
    <w:name w:val="Table Paragraph"/>
    <w:basedOn w:val="Normal"/>
    <w:uiPriority w:val="1"/>
    <w:qFormat/>
    <w:rsid w:val="002C0DC3"/>
    <w:pPr>
      <w:widowControl w:val="0"/>
      <w:suppressAutoHyphens w:val="0"/>
      <w:autoSpaceDE w:val="0"/>
      <w:autoSpaceDN w:val="0"/>
      <w:spacing w:before="13" w:line="177" w:lineRule="exact"/>
      <w:ind w:left="19"/>
      <w:jc w:val="center"/>
    </w:pPr>
    <w:rPr>
      <w:rFonts w:ascii="Cambria" w:eastAsia="Cambria" w:hAnsi="Cambria" w:cs="Cambria"/>
      <w:sz w:val="22"/>
      <w:szCs w:val="22"/>
      <w:lang w:eastAsia="en-US"/>
    </w:rPr>
  </w:style>
  <w:style w:type="paragraph" w:customStyle="1" w:styleId="EstiloTextodegloboBookAntiqua12pto">
    <w:name w:val="Estilo Texto de globo + Book Antiqua 12 pto"/>
    <w:basedOn w:val="Normal"/>
    <w:rsid w:val="002C0DC3"/>
    <w:pPr>
      <w:numPr>
        <w:numId w:val="18"/>
      </w:numPr>
      <w:suppressAutoHyphens w:val="0"/>
    </w:pPr>
    <w:rPr>
      <w:sz w:val="20"/>
      <w:szCs w:val="20"/>
      <w:lang w:val="es-CR" w:eastAsia="es-ES"/>
    </w:rPr>
  </w:style>
  <w:style w:type="table" w:customStyle="1" w:styleId="TableNormal1">
    <w:name w:val="Table Normal1"/>
    <w:uiPriority w:val="2"/>
    <w:semiHidden/>
    <w:unhideWhenUsed/>
    <w:qFormat/>
    <w:rsid w:val="002C0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111">
    <w:name w:val="Sin lista1111"/>
    <w:next w:val="Sinlista"/>
    <w:uiPriority w:val="99"/>
    <w:semiHidden/>
    <w:unhideWhenUsed/>
    <w:rsid w:val="002C0DC3"/>
  </w:style>
  <w:style w:type="table" w:customStyle="1" w:styleId="Tablaconcuadrcula2">
    <w:name w:val="Tabla con cuadrícula2"/>
    <w:basedOn w:val="Tablanormal"/>
    <w:next w:val="Tablaconcuadrcula"/>
    <w:rsid w:val="002C0DC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11">
    <w:name w:val="Tabla con cuadrícula 5 oscura - Énfasis 111"/>
    <w:basedOn w:val="Tablanormal"/>
    <w:uiPriority w:val="50"/>
    <w:rsid w:val="002C0DC3"/>
    <w:rPr>
      <w:rFonts w:ascii="Calibri" w:eastAsia="Calibri" w:hAnsi="Calibri"/>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Estilo11">
    <w:name w:val="Estilo11"/>
    <w:uiPriority w:val="99"/>
    <w:rsid w:val="002C0DC3"/>
  </w:style>
  <w:style w:type="numbering" w:customStyle="1" w:styleId="Estilo21">
    <w:name w:val="Estilo21"/>
    <w:uiPriority w:val="99"/>
    <w:rsid w:val="002C0DC3"/>
  </w:style>
  <w:style w:type="numbering" w:customStyle="1" w:styleId="Estilo31">
    <w:name w:val="Estilo31"/>
    <w:uiPriority w:val="99"/>
    <w:rsid w:val="002C0DC3"/>
    <w:pPr>
      <w:numPr>
        <w:numId w:val="17"/>
      </w:numPr>
    </w:pPr>
  </w:style>
  <w:style w:type="table" w:customStyle="1" w:styleId="Tablaconcuadrcula4-nfasis51">
    <w:name w:val="Tabla con cuadrícula 4 - Énfasis 51"/>
    <w:basedOn w:val="Tablanormal"/>
    <w:next w:val="Tablaconcuadrcula4-nfasis5"/>
    <w:uiPriority w:val="49"/>
    <w:rsid w:val="002C0DC3"/>
    <w:rPr>
      <w:rFonts w:ascii="Calibri" w:eastAsia="Calibri" w:hAnsi="Calibri"/>
      <w:szCs w:val="22"/>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1">
    <w:name w:val="Table Normal11"/>
    <w:uiPriority w:val="2"/>
    <w:semiHidden/>
    <w:unhideWhenUsed/>
    <w:qFormat/>
    <w:rsid w:val="002C0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2C0DC3"/>
    <w:rPr>
      <w:rFonts w:ascii="Calibri Light" w:eastAsia="Times New Roman" w:hAnsi="Calibri Light" w:cs="Times New Roman"/>
      <w:color w:val="2E74B5"/>
      <w:sz w:val="26"/>
      <w:szCs w:val="26"/>
    </w:rPr>
  </w:style>
  <w:style w:type="character" w:customStyle="1" w:styleId="PuestoCar1">
    <w:name w:val="Puesto Car1"/>
    <w:basedOn w:val="Fuentedeprrafopredeter"/>
    <w:uiPriority w:val="10"/>
    <w:rsid w:val="002C0DC3"/>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uiPriority w:val="11"/>
    <w:rsid w:val="002C0DC3"/>
    <w:rPr>
      <w:rFonts w:eastAsia="Times New Roman"/>
      <w:color w:val="5A5A5A"/>
      <w:spacing w:val="15"/>
    </w:rPr>
  </w:style>
  <w:style w:type="character" w:customStyle="1" w:styleId="TextonotapieCar2">
    <w:name w:val="Texto nota pie Car2"/>
    <w:basedOn w:val="Fuentedeprrafopredeter"/>
    <w:uiPriority w:val="99"/>
    <w:semiHidden/>
    <w:rsid w:val="002C0DC3"/>
    <w:rPr>
      <w:sz w:val="20"/>
      <w:szCs w:val="20"/>
    </w:rPr>
  </w:style>
  <w:style w:type="table" w:customStyle="1" w:styleId="Listamedia2-nfasis22">
    <w:name w:val="Lista media 2 - Énfasis 22"/>
    <w:basedOn w:val="Tablanormal"/>
    <w:next w:val="Listamedia2-nfasis2"/>
    <w:uiPriority w:val="66"/>
    <w:semiHidden/>
    <w:unhideWhenUsed/>
    <w:rsid w:val="002C0DC3"/>
    <w:rPr>
      <w:rFonts w:ascii="Calibri Light" w:hAnsi="Calibri Light"/>
      <w:color w:val="000000"/>
      <w:sz w:val="22"/>
      <w:szCs w:val="22"/>
      <w:lang w:val="es-CR"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1-nfasis62">
    <w:name w:val="Lista media 1 - Énfasis 62"/>
    <w:basedOn w:val="Tablanormal"/>
    <w:next w:val="Listamedia1-nfasis6"/>
    <w:uiPriority w:val="65"/>
    <w:semiHidden/>
    <w:unhideWhenUsed/>
    <w:rsid w:val="002C0DC3"/>
    <w:rPr>
      <w:rFonts w:ascii="Calibri" w:eastAsia="Calibri" w:hAnsi="Calibri"/>
      <w:color w:val="000000"/>
      <w:sz w:val="22"/>
      <w:szCs w:val="22"/>
      <w:lang w:val="es-CR" w:eastAsia="en-US"/>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ombreadoclaro-nfasis22">
    <w:name w:val="Sombreado claro - Énfasis 22"/>
    <w:basedOn w:val="Tablanormal"/>
    <w:next w:val="Sombreadoclaro-nfasis2"/>
    <w:uiPriority w:val="60"/>
    <w:semiHidden/>
    <w:unhideWhenUsed/>
    <w:rsid w:val="002C0DC3"/>
    <w:rPr>
      <w:rFonts w:ascii="Calibri" w:eastAsia="Calibri" w:hAnsi="Calibri"/>
      <w:color w:val="C45911"/>
      <w:sz w:val="22"/>
      <w:szCs w:val="22"/>
      <w:lang w:val="es-CR"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staclara-nfasis22">
    <w:name w:val="Lista clara - Énfasis 22"/>
    <w:basedOn w:val="Tablanormal"/>
    <w:next w:val="Listaclara-nfasis2"/>
    <w:uiPriority w:val="61"/>
    <w:semiHidden/>
    <w:unhideWhenUsed/>
    <w:rsid w:val="002C0DC3"/>
    <w:rPr>
      <w:rFonts w:ascii="Calibri" w:eastAsia="Calibri" w:hAnsi="Calibri"/>
      <w:sz w:val="22"/>
      <w:szCs w:val="22"/>
      <w:lang w:val="es-CR"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uadrculaclara-nfasis32">
    <w:name w:val="Cuadrícula clara - Énfasis 32"/>
    <w:basedOn w:val="Tablanormal"/>
    <w:next w:val="Cuadrculaclara-nfasis3"/>
    <w:uiPriority w:val="62"/>
    <w:semiHidden/>
    <w:unhideWhenUsed/>
    <w:rsid w:val="002C0DC3"/>
    <w:rPr>
      <w:rFonts w:ascii="Calibri" w:eastAsia="Calibri" w:hAnsi="Calibri"/>
      <w:sz w:val="22"/>
      <w:szCs w:val="22"/>
      <w:lang w:val="es-CR"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Cuadrculaclara-nfasis52">
    <w:name w:val="Cuadrícula clara - Énfasis 52"/>
    <w:basedOn w:val="Tablanormal"/>
    <w:next w:val="Cuadrculaclara-nfasis5"/>
    <w:uiPriority w:val="62"/>
    <w:semiHidden/>
    <w:unhideWhenUsed/>
    <w:rsid w:val="002C0DC3"/>
    <w:rPr>
      <w:rFonts w:ascii="Calibri" w:eastAsia="Calibri" w:hAnsi="Calibri"/>
      <w:sz w:val="22"/>
      <w:szCs w:val="22"/>
      <w:lang w:val="es-CR"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Cuadrculaclara-nfasis22">
    <w:name w:val="Cuadrícula clara - Énfasis 22"/>
    <w:basedOn w:val="Tablanormal"/>
    <w:next w:val="Cuadrculaclara-nfasis2"/>
    <w:uiPriority w:val="62"/>
    <w:semiHidden/>
    <w:unhideWhenUsed/>
    <w:rsid w:val="002C0DC3"/>
    <w:rPr>
      <w:rFonts w:ascii="Calibri" w:eastAsia="Calibri" w:hAnsi="Calibri"/>
      <w:sz w:val="22"/>
      <w:szCs w:val="22"/>
      <w:lang w:val="es-CR"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ombreadomedio2-nfasis22">
    <w:name w:val="Sombreado medio 2 - Énfasis 22"/>
    <w:basedOn w:val="Tablanormal"/>
    <w:next w:val="Sombreadomedio2-nfasis2"/>
    <w:uiPriority w:val="64"/>
    <w:semiHidden/>
    <w:unhideWhenUsed/>
    <w:rsid w:val="002C0DC3"/>
    <w:rPr>
      <w:rFonts w:ascii="Calibri" w:eastAsia="Calibri" w:hAnsi="Calibri"/>
      <w:sz w:val="22"/>
      <w:szCs w:val="22"/>
      <w:lang w:val="es-C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nfasis22">
    <w:name w:val="Lista media 1 - Énfasis 22"/>
    <w:basedOn w:val="Tablanormal"/>
    <w:next w:val="Listamedia1-nfasis2"/>
    <w:uiPriority w:val="65"/>
    <w:semiHidden/>
    <w:unhideWhenUsed/>
    <w:rsid w:val="002C0DC3"/>
    <w:rPr>
      <w:rFonts w:ascii="Calibri" w:eastAsia="Calibri" w:hAnsi="Calibri"/>
      <w:color w:val="000000"/>
      <w:sz w:val="22"/>
      <w:szCs w:val="22"/>
      <w:lang w:val="es-CR" w:eastAsia="en-US"/>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Cuadrculamedia1-nfasis22">
    <w:name w:val="Cuadrícula media 1 - Énfasis 22"/>
    <w:basedOn w:val="Tablanormal"/>
    <w:next w:val="Cuadrculamedia1-nfasis2"/>
    <w:uiPriority w:val="67"/>
    <w:semiHidden/>
    <w:unhideWhenUsed/>
    <w:rsid w:val="002C0DC3"/>
    <w:rPr>
      <w:rFonts w:ascii="Calibri" w:eastAsia="Calibri" w:hAnsi="Calibri"/>
      <w:sz w:val="22"/>
      <w:szCs w:val="22"/>
      <w:lang w:val="es-CR"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Cuadrculamedia2-nfasis22">
    <w:name w:val="Cuadrícula media 2 - Énfasis 22"/>
    <w:basedOn w:val="Tablanormal"/>
    <w:next w:val="Cuadrculamedia2-nfasis2"/>
    <w:uiPriority w:val="68"/>
    <w:semiHidden/>
    <w:unhideWhenUsed/>
    <w:rsid w:val="002C0DC3"/>
    <w:rPr>
      <w:rFonts w:ascii="Calibri Light" w:hAnsi="Calibri Light"/>
      <w:color w:val="000000"/>
      <w:sz w:val="22"/>
      <w:szCs w:val="22"/>
      <w:lang w:val="es-CR"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Cuadrculamedia2-nfasis52">
    <w:name w:val="Cuadrícula media 2 - Énfasis 52"/>
    <w:basedOn w:val="Tablanormal"/>
    <w:next w:val="Cuadrculamedia2-nfasis5"/>
    <w:uiPriority w:val="68"/>
    <w:semiHidden/>
    <w:unhideWhenUsed/>
    <w:rsid w:val="002C0DC3"/>
    <w:rPr>
      <w:rFonts w:ascii="Calibri Light" w:hAnsi="Calibri Light"/>
      <w:color w:val="000000"/>
      <w:sz w:val="22"/>
      <w:szCs w:val="22"/>
      <w:lang w:val="es-CR"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staoscura-nfasis22">
    <w:name w:val="Lista oscura - Énfasis 22"/>
    <w:basedOn w:val="Tablanormal"/>
    <w:next w:val="Listaoscura-nfasis2"/>
    <w:uiPriority w:val="70"/>
    <w:semiHidden/>
    <w:unhideWhenUsed/>
    <w:rsid w:val="002C0DC3"/>
    <w:rPr>
      <w:rFonts w:ascii="Calibri" w:eastAsia="Calibri" w:hAnsi="Calibri"/>
      <w:color w:val="FFFFFF"/>
      <w:sz w:val="22"/>
      <w:szCs w:val="22"/>
      <w:lang w:val="es-CR"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Cuadrculamedia3-nfasis22">
    <w:name w:val="Cuadrícula media 3 - Énfasis 22"/>
    <w:basedOn w:val="Tablanormal"/>
    <w:next w:val="Cuadrculamedia3-nfasis2"/>
    <w:uiPriority w:val="69"/>
    <w:semiHidden/>
    <w:unhideWhenUsed/>
    <w:rsid w:val="002C0DC3"/>
    <w:rPr>
      <w:rFonts w:ascii="Calibri" w:eastAsia="Calibri" w:hAnsi="Calibri"/>
      <w:sz w:val="22"/>
      <w:szCs w:val="22"/>
      <w:lang w:val="es-CR"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ombreadovistoso-nfasis22">
    <w:name w:val="Sombreado vistoso - Énfasis 22"/>
    <w:basedOn w:val="Tablanormal"/>
    <w:next w:val="Sombreadovistoso-nfasis2"/>
    <w:uiPriority w:val="71"/>
    <w:semiHidden/>
    <w:unhideWhenUsed/>
    <w:rsid w:val="002C0DC3"/>
    <w:rPr>
      <w:rFonts w:ascii="Calibri" w:eastAsia="Calibri" w:hAnsi="Calibri"/>
      <w:color w:val="000000"/>
      <w:sz w:val="22"/>
      <w:szCs w:val="22"/>
      <w:lang w:val="es-CR"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Listavistosa-nfasis22">
    <w:name w:val="Lista vistosa - Énfasis 22"/>
    <w:basedOn w:val="Tablanormal"/>
    <w:next w:val="Listavistosa-nfasis2"/>
    <w:uiPriority w:val="72"/>
    <w:semiHidden/>
    <w:unhideWhenUsed/>
    <w:rsid w:val="002C0DC3"/>
    <w:rPr>
      <w:rFonts w:ascii="Calibri" w:eastAsia="Calibri" w:hAnsi="Calibri"/>
      <w:color w:val="000000"/>
      <w:sz w:val="22"/>
      <w:szCs w:val="22"/>
      <w:lang w:val="es-CR"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uadrculavistosa-nfasis22">
    <w:name w:val="Cuadrícula vistosa - Énfasis 22"/>
    <w:basedOn w:val="Tablanormal"/>
    <w:next w:val="Cuadrculavistosa-nfasis2"/>
    <w:uiPriority w:val="73"/>
    <w:semiHidden/>
    <w:unhideWhenUsed/>
    <w:rsid w:val="002C0DC3"/>
    <w:rPr>
      <w:rFonts w:ascii="Calibri" w:eastAsia="Calibri" w:hAnsi="Calibri"/>
      <w:color w:val="000000"/>
      <w:sz w:val="22"/>
      <w:szCs w:val="22"/>
      <w:lang w:val="es-CR"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Listaclara-nfasis12">
    <w:name w:val="Lista clara - Énfasis 12"/>
    <w:basedOn w:val="Tablanormal"/>
    <w:next w:val="Listaclara-nfasis1"/>
    <w:uiPriority w:val="61"/>
    <w:semiHidden/>
    <w:unhideWhenUsed/>
    <w:rsid w:val="002C0DC3"/>
    <w:rPr>
      <w:rFonts w:ascii="Calibri" w:eastAsia="Calibri" w:hAnsi="Calibri"/>
      <w:sz w:val="22"/>
      <w:szCs w:val="22"/>
      <w:lang w:val="es-CR"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2">
    <w:name w:val="Lista clara2"/>
    <w:basedOn w:val="Tablanormal"/>
    <w:next w:val="Listaclara"/>
    <w:uiPriority w:val="61"/>
    <w:semiHidden/>
    <w:unhideWhenUsed/>
    <w:rsid w:val="002C0DC3"/>
    <w:rPr>
      <w:rFonts w:ascii="Calibri" w:eastAsia="Calibri" w:hAnsi="Calibri"/>
      <w:sz w:val="22"/>
      <w:szCs w:val="22"/>
      <w:lang w:val="es-CR"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next w:val="Sombreadomedio2-nfasis1"/>
    <w:uiPriority w:val="64"/>
    <w:semiHidden/>
    <w:unhideWhenUsed/>
    <w:rsid w:val="002C0DC3"/>
    <w:rPr>
      <w:rFonts w:ascii="Calibri" w:eastAsia="Calibri" w:hAnsi="Calibri"/>
      <w:sz w:val="22"/>
      <w:szCs w:val="22"/>
      <w:lang w:val="es-C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2">
    <w:name w:val="Sombreado medio 2 - Énfasis 32"/>
    <w:basedOn w:val="Tablanormal"/>
    <w:next w:val="Sombreadomedio2-nfasis3"/>
    <w:uiPriority w:val="64"/>
    <w:semiHidden/>
    <w:unhideWhenUsed/>
    <w:rsid w:val="002C0DC3"/>
    <w:rPr>
      <w:rFonts w:ascii="Calibri" w:eastAsia="Calibri" w:hAnsi="Calibri"/>
      <w:sz w:val="22"/>
      <w:szCs w:val="22"/>
      <w:lang w:val="es-C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42">
    <w:name w:val="Lista clara - Énfasis 42"/>
    <w:basedOn w:val="Tablanormal"/>
    <w:next w:val="Listaclara-nfasis4"/>
    <w:uiPriority w:val="61"/>
    <w:semiHidden/>
    <w:unhideWhenUsed/>
    <w:rsid w:val="002C0DC3"/>
    <w:rPr>
      <w:rFonts w:ascii="Calibri" w:eastAsia="Calibri" w:hAnsi="Calibri"/>
      <w:sz w:val="22"/>
      <w:szCs w:val="22"/>
      <w:lang w:val="es-CR"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adecuadrcula4-nfasis52">
    <w:name w:val="Tabla de cuadrícula 4 - Énfasis 52"/>
    <w:basedOn w:val="Tablanormal"/>
    <w:next w:val="Tablaconcuadrcula4-nfasis5"/>
    <w:uiPriority w:val="49"/>
    <w:rsid w:val="002C0DC3"/>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amedia2-nfasis23">
    <w:name w:val="Lista media 2 - Énfasis 23"/>
    <w:basedOn w:val="Tablanormal"/>
    <w:next w:val="Listamedia2-nfasis2"/>
    <w:uiPriority w:val="66"/>
    <w:semiHidden/>
    <w:unhideWhenUsed/>
    <w:rsid w:val="002C0DC3"/>
    <w:rPr>
      <w:rFonts w:ascii="Cambria" w:hAnsi="Cambria"/>
      <w:color w:val="000000"/>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stamedia1-nfasis63">
    <w:name w:val="Lista media 1 - Énfasis 63"/>
    <w:basedOn w:val="Tablanormal"/>
    <w:next w:val="Listamedia1-nfasis6"/>
    <w:uiPriority w:val="65"/>
    <w:semiHidden/>
    <w:unhideWhenUsed/>
    <w:rsid w:val="002C0DC3"/>
    <w:rPr>
      <w:color w:val="000000"/>
      <w:lang w:val="es-CR" w:eastAsia="es-C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ombreadoclaro-nfasis23">
    <w:name w:val="Sombreado claro - Énfasis 23"/>
    <w:basedOn w:val="Tablanormal"/>
    <w:next w:val="Sombreadoclaro-nfasis2"/>
    <w:uiPriority w:val="60"/>
    <w:semiHidden/>
    <w:unhideWhenUsed/>
    <w:rsid w:val="002C0DC3"/>
    <w:rPr>
      <w:color w:val="943634"/>
      <w:lang w:val="es-CR" w:eastAsia="es-C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clara-nfasis23">
    <w:name w:val="Lista clara - Énfasis 23"/>
    <w:basedOn w:val="Tablanormal"/>
    <w:next w:val="Listaclara-nfasis2"/>
    <w:uiPriority w:val="61"/>
    <w:semiHidden/>
    <w:unhideWhenUsed/>
    <w:rsid w:val="002C0DC3"/>
    <w:rPr>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uadrculaclara-nfasis33">
    <w:name w:val="Cuadrícula clara - Énfasis 33"/>
    <w:basedOn w:val="Tablanormal"/>
    <w:next w:val="Cuadrculaclara-nfasis3"/>
    <w:uiPriority w:val="62"/>
    <w:semiHidden/>
    <w:unhideWhenUsed/>
    <w:rsid w:val="002C0DC3"/>
    <w:rPr>
      <w:lang w:val="es-CR" w:eastAsia="es-C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53">
    <w:name w:val="Cuadrícula clara - Énfasis 53"/>
    <w:basedOn w:val="Tablanormal"/>
    <w:next w:val="Cuadrculaclara-nfasis5"/>
    <w:uiPriority w:val="62"/>
    <w:semiHidden/>
    <w:unhideWhenUsed/>
    <w:rsid w:val="002C0DC3"/>
    <w:rPr>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uadrculaclara-nfasis23">
    <w:name w:val="Cuadrícula clara - Énfasis 23"/>
    <w:basedOn w:val="Tablanormal"/>
    <w:next w:val="Cuadrculaclara-nfasis2"/>
    <w:uiPriority w:val="62"/>
    <w:semiHidden/>
    <w:unhideWhenUsed/>
    <w:rsid w:val="002C0DC3"/>
    <w:rPr>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2-nfasis23">
    <w:name w:val="Sombreado medio 2 - Énfasis 23"/>
    <w:basedOn w:val="Tablanormal"/>
    <w:next w:val="Sombreadomedio2-nfasis2"/>
    <w:uiPriority w:val="64"/>
    <w:semiHidden/>
    <w:unhideWhenUsed/>
    <w:rsid w:val="002C0DC3"/>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nfasis23">
    <w:name w:val="Lista media 1 - Énfasis 23"/>
    <w:basedOn w:val="Tablanormal"/>
    <w:next w:val="Listamedia1-nfasis2"/>
    <w:uiPriority w:val="65"/>
    <w:semiHidden/>
    <w:unhideWhenUsed/>
    <w:rsid w:val="002C0DC3"/>
    <w:rPr>
      <w:color w:val="000000"/>
      <w:lang w:val="es-CR" w:eastAsia="es-C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Cuadrculamedia1-nfasis23">
    <w:name w:val="Cuadrícula media 1 - Énfasis 23"/>
    <w:basedOn w:val="Tablanormal"/>
    <w:next w:val="Cuadrculamedia1-nfasis2"/>
    <w:uiPriority w:val="67"/>
    <w:semiHidden/>
    <w:unhideWhenUsed/>
    <w:rsid w:val="002C0DC3"/>
    <w:rPr>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media2-nfasis23">
    <w:name w:val="Cuadrícula media 2 - Énfasis 23"/>
    <w:basedOn w:val="Tablanormal"/>
    <w:next w:val="Cuadrculamedia2-nfasis2"/>
    <w:uiPriority w:val="68"/>
    <w:semiHidden/>
    <w:unhideWhenUsed/>
    <w:rsid w:val="002C0DC3"/>
    <w:rPr>
      <w:rFonts w:ascii="Cambria" w:hAnsi="Cambria"/>
      <w:color w:val="000000"/>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media2-nfasis53">
    <w:name w:val="Cuadrícula media 2 - Énfasis 53"/>
    <w:basedOn w:val="Tablanormal"/>
    <w:next w:val="Cuadrculamedia2-nfasis5"/>
    <w:uiPriority w:val="68"/>
    <w:semiHidden/>
    <w:unhideWhenUsed/>
    <w:rsid w:val="002C0DC3"/>
    <w:rPr>
      <w:rFonts w:ascii="Cambria" w:hAnsi="Cambria"/>
      <w:color w:val="000000"/>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staoscura-nfasis23">
    <w:name w:val="Lista oscura - Énfasis 23"/>
    <w:basedOn w:val="Tablanormal"/>
    <w:next w:val="Listaoscura-nfasis2"/>
    <w:uiPriority w:val="70"/>
    <w:semiHidden/>
    <w:unhideWhenUsed/>
    <w:rsid w:val="002C0DC3"/>
    <w:rPr>
      <w:color w:val="FFFFFF"/>
      <w:lang w:val="es-CR" w:eastAsia="es-C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uadrculamedia3-nfasis23">
    <w:name w:val="Cuadrícula media 3 - Énfasis 23"/>
    <w:basedOn w:val="Tablanormal"/>
    <w:next w:val="Cuadrculamedia3-nfasis2"/>
    <w:uiPriority w:val="69"/>
    <w:semiHidden/>
    <w:unhideWhenUsed/>
    <w:rsid w:val="002C0DC3"/>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ombreadovistoso-nfasis23">
    <w:name w:val="Sombreado vistoso - Énfasis 23"/>
    <w:basedOn w:val="Tablanormal"/>
    <w:next w:val="Sombreadovistoso-nfasis2"/>
    <w:uiPriority w:val="71"/>
    <w:semiHidden/>
    <w:unhideWhenUsed/>
    <w:rsid w:val="002C0DC3"/>
    <w:rPr>
      <w:color w:val="000000"/>
      <w:lang w:val="es-CR" w:eastAsia="es-C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stavistosa-nfasis23">
    <w:name w:val="Lista vistosa - Énfasis 23"/>
    <w:basedOn w:val="Tablanormal"/>
    <w:next w:val="Listavistosa-nfasis2"/>
    <w:uiPriority w:val="72"/>
    <w:semiHidden/>
    <w:unhideWhenUsed/>
    <w:rsid w:val="002C0DC3"/>
    <w:rPr>
      <w:color w:val="000000"/>
      <w:lang w:val="es-CR" w:eastAsia="es-CR"/>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uadrculavistosa-nfasis23">
    <w:name w:val="Cuadrícula vistosa - Énfasis 23"/>
    <w:basedOn w:val="Tablanormal"/>
    <w:next w:val="Cuadrculavistosa-nfasis2"/>
    <w:uiPriority w:val="73"/>
    <w:semiHidden/>
    <w:unhideWhenUsed/>
    <w:rsid w:val="002C0DC3"/>
    <w:rPr>
      <w:color w:val="000000"/>
      <w:lang w:val="es-CR" w:eastAsia="es-C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Listaclara-nfasis13">
    <w:name w:val="Lista clara - Énfasis 13"/>
    <w:basedOn w:val="Tablanormal"/>
    <w:next w:val="Listaclara-nfasis1"/>
    <w:uiPriority w:val="61"/>
    <w:semiHidden/>
    <w:unhideWhenUsed/>
    <w:rsid w:val="002C0DC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3">
    <w:name w:val="Lista clara3"/>
    <w:basedOn w:val="Tablanormal"/>
    <w:next w:val="Listaclara"/>
    <w:uiPriority w:val="61"/>
    <w:semiHidden/>
    <w:unhideWhenUsed/>
    <w:rsid w:val="002C0DC3"/>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3">
    <w:name w:val="Sombreado medio 2 - Énfasis 13"/>
    <w:basedOn w:val="Tablanormal"/>
    <w:next w:val="Sombreadomedio2-nfasis1"/>
    <w:uiPriority w:val="64"/>
    <w:semiHidden/>
    <w:unhideWhenUsed/>
    <w:rsid w:val="002C0DC3"/>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3">
    <w:name w:val="Sombreado medio 2 - Énfasis 33"/>
    <w:basedOn w:val="Tablanormal"/>
    <w:next w:val="Sombreadomedio2-nfasis3"/>
    <w:uiPriority w:val="64"/>
    <w:semiHidden/>
    <w:unhideWhenUsed/>
    <w:rsid w:val="002C0DC3"/>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43">
    <w:name w:val="Lista clara - Énfasis 43"/>
    <w:basedOn w:val="Tablanormal"/>
    <w:next w:val="Listaclara-nfasis4"/>
    <w:uiPriority w:val="61"/>
    <w:semiHidden/>
    <w:unhideWhenUsed/>
    <w:rsid w:val="002C0DC3"/>
    <w:rPr>
      <w:lang w:val="es-CR" w:eastAsia="es-C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cuadrcula4-nfasis52">
    <w:name w:val="Tabla con cuadrícula 4 - Énfasis 52"/>
    <w:basedOn w:val="Tablanormal"/>
    <w:next w:val="Tablaconcuadrcula4-nfasis5"/>
    <w:uiPriority w:val="49"/>
    <w:rsid w:val="002C0DC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2">
    <w:name w:val="Sin lista2"/>
    <w:next w:val="Sinlista"/>
    <w:uiPriority w:val="99"/>
    <w:semiHidden/>
    <w:unhideWhenUsed/>
    <w:rsid w:val="002C0DC3"/>
  </w:style>
  <w:style w:type="character" w:customStyle="1" w:styleId="EstiloCorreo351">
    <w:name w:val="EstiloCorreo351"/>
    <w:semiHidden/>
    <w:rsid w:val="002C0DC3"/>
    <w:rPr>
      <w:rFonts w:ascii="Arial" w:hAnsi="Arial" w:cs="Arial"/>
      <w:color w:val="000080"/>
      <w:sz w:val="20"/>
      <w:szCs w:val="20"/>
    </w:rPr>
  </w:style>
  <w:style w:type="paragraph" w:customStyle="1" w:styleId="xmsolistparagraph">
    <w:name w:val="x_msolistparagraph"/>
    <w:basedOn w:val="Normal"/>
    <w:rsid w:val="002C0DC3"/>
    <w:pPr>
      <w:suppressAutoHyphens w:val="0"/>
    </w:pPr>
    <w:rPr>
      <w:rFonts w:eastAsia="Calibri"/>
      <w:lang w:val="es-CR" w:eastAsia="es-CR"/>
    </w:rPr>
  </w:style>
  <w:style w:type="paragraph" w:customStyle="1" w:styleId="AAgestin">
    <w:name w:val="A A gestión"/>
    <w:basedOn w:val="Normal"/>
    <w:link w:val="AAgestinCar"/>
    <w:qFormat/>
    <w:rsid w:val="002C0DC3"/>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2C0DC3"/>
    <w:rPr>
      <w:color w:val="000099"/>
      <w:sz w:val="26"/>
      <w:szCs w:val="26"/>
      <w:lang w:val="es-ES_tradnl" w:eastAsia="ar-SA"/>
    </w:rPr>
  </w:style>
  <w:style w:type="table" w:customStyle="1" w:styleId="Tablaconcuadrcula21">
    <w:name w:val="Tabla con cuadrícula21"/>
    <w:basedOn w:val="Tablanormal"/>
    <w:next w:val="Tablaconcuadrcula"/>
    <w:uiPriority w:val="39"/>
    <w:rsid w:val="002C0DC3"/>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C0DC3"/>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basedOn w:val="Tablanormal"/>
    <w:next w:val="Tabladelista3-nfasis3"/>
    <w:uiPriority w:val="48"/>
    <w:rsid w:val="002C0DC3"/>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Cierre1">
    <w:name w:val="Cierre1"/>
    <w:basedOn w:val="Normal"/>
    <w:qFormat/>
    <w:rsid w:val="002C0DC3"/>
    <w:pPr>
      <w:widowControl w:val="0"/>
      <w:ind w:left="4252"/>
    </w:pPr>
    <w:rPr>
      <w:rFonts w:eastAsia="Arial" w:cs="Mangal"/>
      <w:kern w:val="1"/>
      <w:lang w:val="es-CR" w:eastAsia="zh-CN" w:bidi="hi-IN"/>
    </w:rPr>
  </w:style>
  <w:style w:type="character" w:customStyle="1" w:styleId="Refdecomentario2">
    <w:name w:val="Ref. de comentario2"/>
    <w:rsid w:val="002C0DC3"/>
    <w:rPr>
      <w:sz w:val="16"/>
      <w:szCs w:val="16"/>
    </w:rPr>
  </w:style>
  <w:style w:type="character" w:customStyle="1" w:styleId="WW8Num4z2">
    <w:name w:val="WW8Num4z2"/>
    <w:rsid w:val="002C0DC3"/>
    <w:rPr>
      <w:rFonts w:ascii="Arial" w:eastAsia="Spranq eco sans" w:hAnsi="Arial" w:cs="Spranq eco sans"/>
      <w:b/>
      <w:spacing w:val="0"/>
      <w:sz w:val="20"/>
      <w:lang w:val="es-CR"/>
    </w:rPr>
  </w:style>
  <w:style w:type="character" w:customStyle="1" w:styleId="WW8Num2z1">
    <w:name w:val="WW8Num2z1"/>
    <w:rsid w:val="002C0DC3"/>
  </w:style>
  <w:style w:type="character" w:styleId="Mencinsinresolver">
    <w:name w:val="Unresolved Mention"/>
    <w:uiPriority w:val="99"/>
    <w:semiHidden/>
    <w:unhideWhenUsed/>
    <w:rsid w:val="002C0DC3"/>
    <w:rPr>
      <w:color w:val="808080"/>
      <w:shd w:val="clear" w:color="auto" w:fill="E6E6E6"/>
    </w:rPr>
  </w:style>
  <w:style w:type="character" w:customStyle="1" w:styleId="TextocomentarioCar1">
    <w:name w:val="Texto comentario Car1"/>
    <w:uiPriority w:val="99"/>
    <w:rsid w:val="002C0DC3"/>
    <w:rPr>
      <w:lang w:val="x-none" w:eastAsia="zh-CN"/>
    </w:rPr>
  </w:style>
  <w:style w:type="table" w:customStyle="1" w:styleId="Tablaconcuadrcula4-nfasis11">
    <w:name w:val="Tabla con cuadrícula 4 - Énfasis 11"/>
    <w:basedOn w:val="Tablanormal"/>
    <w:uiPriority w:val="49"/>
    <w:rsid w:val="002C0DC3"/>
    <w:rPr>
      <w:rFonts w:ascii="Calibri" w:hAnsi="Calibri"/>
      <w:sz w:val="21"/>
      <w:szCs w:val="21"/>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istParagraph1">
    <w:name w:val="List Paragraph1"/>
    <w:basedOn w:val="Normal"/>
    <w:rsid w:val="002C0DC3"/>
    <w:pPr>
      <w:ind w:left="720"/>
    </w:pPr>
    <w:rPr>
      <w:rFonts w:ascii="Liberation Serif" w:eastAsia="SimSun" w:hAnsi="Liberation Serif" w:cs="Arial"/>
      <w:color w:val="00000A"/>
      <w:kern w:val="2"/>
      <w:lang w:eastAsia="zh-CN" w:bidi="hi-IN"/>
    </w:rPr>
  </w:style>
  <w:style w:type="paragraph" w:customStyle="1" w:styleId="Car01">
    <w:name w:val="Car0"/>
    <w:basedOn w:val="Normal"/>
    <w:semiHidden/>
    <w:rsid w:val="002C0DC3"/>
    <w:pPr>
      <w:suppressAutoHyphens w:val="0"/>
      <w:spacing w:after="160" w:line="240" w:lineRule="exact"/>
    </w:pPr>
    <w:rPr>
      <w:rFonts w:ascii="Verdana" w:hAnsi="Verdana" w:cs="Verdana"/>
      <w:sz w:val="20"/>
      <w:szCs w:val="20"/>
      <w:lang w:val="en-AU" w:eastAsia="en-US"/>
    </w:rPr>
  </w:style>
  <w:style w:type="paragraph" w:customStyle="1" w:styleId="Lista31">
    <w:name w:val="Lista 31"/>
    <w:basedOn w:val="Normal"/>
    <w:qFormat/>
    <w:rsid w:val="002C0DC3"/>
    <w:pPr>
      <w:widowControl w:val="0"/>
      <w:shd w:val="clear" w:color="auto" w:fill="FFFFFF"/>
      <w:autoSpaceDE w:val="0"/>
      <w:jc w:val="both"/>
    </w:pPr>
    <w:rPr>
      <w:rFonts w:ascii="Arial" w:hAnsi="Arial" w:cs="Arial"/>
      <w:lang w:eastAsia="zh-CN"/>
    </w:rPr>
  </w:style>
  <w:style w:type="paragraph" w:customStyle="1" w:styleId="xmsobodytext2">
    <w:name w:val="x_msobodytext2"/>
    <w:basedOn w:val="Normal"/>
    <w:qFormat/>
    <w:rsid w:val="002C0DC3"/>
    <w:pPr>
      <w:suppressAutoHyphens w:val="0"/>
      <w:jc w:val="both"/>
    </w:pPr>
    <w:rPr>
      <w:rFonts w:ascii="Comic Sans MS" w:eastAsia="Calibri" w:hAnsi="Comic Sans MS" w:cs="Calibri"/>
      <w:color w:val="000000"/>
      <w:sz w:val="22"/>
      <w:szCs w:val="22"/>
      <w:lang w:val="es-CR" w:eastAsia="es-CR"/>
    </w:rPr>
  </w:style>
  <w:style w:type="paragraph" w:customStyle="1" w:styleId="xmsonormal0">
    <w:name w:val="xmsonormal"/>
    <w:basedOn w:val="Normal"/>
    <w:qFormat/>
    <w:rsid w:val="002C0DC3"/>
    <w:pPr>
      <w:suppressAutoHyphens w:val="0"/>
    </w:pPr>
    <w:rPr>
      <w:rFonts w:ascii="Calibri" w:eastAsia="Calibri" w:hAnsi="Calibri" w:cs="Calibri"/>
      <w:sz w:val="22"/>
      <w:szCs w:val="22"/>
      <w:lang w:val="es-CR" w:eastAsia="es-CR"/>
    </w:rPr>
  </w:style>
  <w:style w:type="character" w:customStyle="1" w:styleId="h10">
    <w:name w:val="h1"/>
    <w:rsid w:val="002C0DC3"/>
  </w:style>
  <w:style w:type="character" w:customStyle="1" w:styleId="hgkelc">
    <w:name w:val="hgkelc"/>
    <w:rsid w:val="002C0DC3"/>
  </w:style>
  <w:style w:type="table" w:styleId="Tablaconcuadrcula4-nfasis1">
    <w:name w:val="Grid Table 4 Accent 1"/>
    <w:basedOn w:val="Tablanormal"/>
    <w:uiPriority w:val="49"/>
    <w:rsid w:val="002C0DC3"/>
    <w:rPr>
      <w:rFonts w:ascii="Calibri" w:eastAsia="Calibri" w:hAnsi="Calibri"/>
      <w:sz w:val="22"/>
      <w:szCs w:val="22"/>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1">
    <w:name w:val="Grid Table 5 Dark Accent 1"/>
    <w:basedOn w:val="Tablanormal"/>
    <w:uiPriority w:val="50"/>
    <w:rsid w:val="002C0DC3"/>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
    <w:name w:val="Tabla con cuadrícula4"/>
    <w:basedOn w:val="Tablanormal"/>
    <w:uiPriority w:val="39"/>
    <w:rsid w:val="002C0DC3"/>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C0DC3"/>
  </w:style>
  <w:style w:type="table" w:customStyle="1" w:styleId="TableNormal">
    <w:name w:val="Table Normal"/>
    <w:uiPriority w:val="2"/>
    <w:semiHidden/>
    <w:unhideWhenUsed/>
    <w:qFormat/>
    <w:rsid w:val="002C0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4">
    <w:name w:val="Sin lista4"/>
    <w:next w:val="Sinlista"/>
    <w:uiPriority w:val="99"/>
    <w:semiHidden/>
    <w:unhideWhenUsed/>
    <w:rsid w:val="002C0DC3"/>
  </w:style>
  <w:style w:type="paragraph" w:customStyle="1" w:styleId="TIT2">
    <w:name w:val="TIT2"/>
    <w:basedOn w:val="Normal"/>
    <w:next w:val="Normal"/>
    <w:rsid w:val="002C0DC3"/>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rsid w:val="002C0DC3"/>
    <w:pPr>
      <w:widowControl w:val="0"/>
      <w:suppressAutoHyphens w:val="0"/>
      <w:spacing w:before="240" w:after="240"/>
      <w:jc w:val="center"/>
    </w:pPr>
    <w:rPr>
      <w:b/>
      <w:i/>
      <w:sz w:val="32"/>
      <w:szCs w:val="20"/>
      <w:u w:val="words"/>
      <w:lang w:val="es-CR" w:eastAsia="es-ES"/>
    </w:rPr>
  </w:style>
  <w:style w:type="paragraph" w:customStyle="1" w:styleId="TIT3">
    <w:name w:val="TIT3"/>
    <w:basedOn w:val="Normal"/>
    <w:rsid w:val="002C0DC3"/>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2C0DC3"/>
  </w:style>
  <w:style w:type="character" w:styleId="CitaHTML">
    <w:name w:val="HTML Cite"/>
    <w:rsid w:val="002C0DC3"/>
    <w:rPr>
      <w:i/>
      <w:iCs/>
    </w:rPr>
  </w:style>
  <w:style w:type="paragraph" w:customStyle="1" w:styleId="xxmsolistparagraph">
    <w:name w:val="x_x_msolistparagraph"/>
    <w:basedOn w:val="Normal"/>
    <w:rsid w:val="002C0DC3"/>
    <w:pPr>
      <w:suppressAutoHyphens w:val="0"/>
      <w:spacing w:before="100" w:beforeAutospacing="1" w:after="100" w:afterAutospacing="1"/>
    </w:pPr>
    <w:rPr>
      <w:lang w:eastAsia="es-ES"/>
    </w:rPr>
  </w:style>
  <w:style w:type="paragraph" w:customStyle="1" w:styleId="xxmsonormal">
    <w:name w:val="x_x_msonormal"/>
    <w:basedOn w:val="Normal"/>
    <w:rsid w:val="002C0DC3"/>
    <w:pPr>
      <w:suppressAutoHyphens w:val="0"/>
      <w:spacing w:before="100" w:beforeAutospacing="1" w:after="100" w:afterAutospacing="1"/>
    </w:pPr>
    <w:rPr>
      <w:lang w:eastAsia="es-ES"/>
    </w:rPr>
  </w:style>
  <w:style w:type="paragraph" w:customStyle="1" w:styleId="xxmsolistparagraph0">
    <w:name w:val="x_xmsolistparagraph"/>
    <w:basedOn w:val="Normal"/>
    <w:rsid w:val="002C0DC3"/>
    <w:pPr>
      <w:suppressAutoHyphens w:val="0"/>
      <w:spacing w:before="100" w:beforeAutospacing="1" w:after="100" w:afterAutospacing="1"/>
    </w:pPr>
    <w:rPr>
      <w:lang w:eastAsia="es-ES"/>
    </w:rPr>
  </w:style>
  <w:style w:type="paragraph" w:customStyle="1" w:styleId="xxmsonormal0">
    <w:name w:val="x_xmsonormal"/>
    <w:basedOn w:val="Normal"/>
    <w:rsid w:val="002C0DC3"/>
    <w:pPr>
      <w:suppressAutoHyphens w:val="0"/>
      <w:spacing w:before="100" w:beforeAutospacing="1" w:after="100" w:afterAutospacing="1"/>
    </w:pPr>
    <w:rPr>
      <w:lang w:eastAsia="es-ES"/>
    </w:rPr>
  </w:style>
  <w:style w:type="table" w:customStyle="1" w:styleId="Tablaconcuadrcula5">
    <w:name w:val="Tabla con cuadrícula5"/>
    <w:basedOn w:val="Tablanormal"/>
    <w:next w:val="Tablaconcuadrcula"/>
    <w:uiPriority w:val="39"/>
    <w:rsid w:val="002C0DC3"/>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spacing">
    <w:name w:val="x_xmsonospacing"/>
    <w:basedOn w:val="Normal"/>
    <w:rsid w:val="002C0DC3"/>
    <w:pPr>
      <w:suppressAutoHyphens w:val="0"/>
    </w:pPr>
    <w:rPr>
      <w:rFonts w:ascii="Calibri" w:hAnsi="Calibri" w:cs="Calibri"/>
      <w:sz w:val="22"/>
      <w:szCs w:val="22"/>
      <w:lang w:val="es-CR" w:eastAsia="es-CR"/>
    </w:rPr>
  </w:style>
  <w:style w:type="paragraph" w:customStyle="1" w:styleId="Epgrafe0">
    <w:name w:val="Epígrafe"/>
    <w:basedOn w:val="Normal"/>
    <w:next w:val="Normal"/>
    <w:unhideWhenUsed/>
    <w:qFormat/>
    <w:rsid w:val="002C0DC3"/>
    <w:pPr>
      <w:widowControl w:val="0"/>
      <w:suppressAutoHyphens w:val="0"/>
      <w:spacing w:after="200"/>
    </w:pPr>
    <w:rPr>
      <w:i/>
      <w:iCs/>
      <w:color w:val="1F497D"/>
      <w:sz w:val="18"/>
      <w:szCs w:val="18"/>
      <w:lang w:val="es-CR" w:eastAsia="es-ES"/>
    </w:rPr>
  </w:style>
  <w:style w:type="paragraph" w:customStyle="1" w:styleId="section1">
    <w:name w:val="section1"/>
    <w:basedOn w:val="Normal"/>
    <w:uiPriority w:val="99"/>
    <w:rsid w:val="002C0DC3"/>
    <w:pPr>
      <w:suppressAutoHyphens w:val="0"/>
      <w:spacing w:before="100" w:beforeAutospacing="1" w:after="100" w:afterAutospacing="1"/>
    </w:pPr>
    <w:rPr>
      <w:rFonts w:eastAsia="Calibri"/>
      <w:lang w:val="es-CR" w:eastAsia="es-CR"/>
    </w:rPr>
  </w:style>
  <w:style w:type="character" w:customStyle="1" w:styleId="findhit">
    <w:name w:val="findhit"/>
    <w:basedOn w:val="Fuentedeprrafopredeter"/>
    <w:rsid w:val="002C0DC3"/>
  </w:style>
  <w:style w:type="character" w:customStyle="1" w:styleId="AsuntodelcomentarioCar1">
    <w:name w:val="Asunto del comentario Car1"/>
    <w:basedOn w:val="TextocomentarioCar"/>
    <w:uiPriority w:val="99"/>
    <w:semiHidden/>
    <w:rsid w:val="002C0DC3"/>
    <w:rPr>
      <w:rFonts w:ascii="Times New Roman" w:eastAsia="Times New Roman" w:hAnsi="Times New Roman" w:cs="Times New Roman"/>
      <w:b/>
      <w:bCs/>
      <w:sz w:val="20"/>
      <w:szCs w:val="20"/>
      <w:lang w:val="es-ES" w:eastAsia="ar-SA" w:bidi="ar-SA"/>
    </w:rPr>
  </w:style>
  <w:style w:type="paragraph" w:customStyle="1" w:styleId="pf0">
    <w:name w:val="pf0"/>
    <w:basedOn w:val="Normal"/>
    <w:rsid w:val="002C0DC3"/>
    <w:pPr>
      <w:suppressAutoHyphens w:val="0"/>
      <w:spacing w:before="100" w:beforeAutospacing="1" w:after="100" w:afterAutospacing="1"/>
    </w:pPr>
    <w:rPr>
      <w:lang w:val="es-CR" w:eastAsia="es-CR"/>
    </w:rPr>
  </w:style>
  <w:style w:type="character" w:customStyle="1" w:styleId="cf01">
    <w:name w:val="cf01"/>
    <w:basedOn w:val="Fuentedeprrafopredeter"/>
    <w:rsid w:val="002C0DC3"/>
    <w:rPr>
      <w:rFonts w:ascii="Segoe UI" w:hAnsi="Segoe UI" w:cs="Segoe UI" w:hint="default"/>
      <w:sz w:val="18"/>
      <w:szCs w:val="18"/>
    </w:rPr>
  </w:style>
  <w:style w:type="paragraph" w:customStyle="1" w:styleId="Heading">
    <w:name w:val="Heading"/>
    <w:basedOn w:val="Standard0"/>
    <w:next w:val="Textbody"/>
    <w:rsid w:val="002C0DC3"/>
    <w:pPr>
      <w:keepNext/>
      <w:widowControl/>
      <w:autoSpaceDN w:val="0"/>
      <w:spacing w:before="240" w:after="120"/>
    </w:pPr>
    <w:rPr>
      <w:rFonts w:ascii="Liberation Sans" w:eastAsia="Microsoft YaHei" w:hAnsi="Liberation Sans" w:cs="Liberation Sans"/>
      <w:kern w:val="3"/>
      <w:sz w:val="28"/>
      <w:szCs w:val="28"/>
      <w:lang w:val="es-CR" w:eastAsia="zh-CN"/>
    </w:rPr>
  </w:style>
  <w:style w:type="paragraph" w:customStyle="1" w:styleId="Textbody">
    <w:name w:val="Text body"/>
    <w:basedOn w:val="Standard0"/>
    <w:rsid w:val="002C0DC3"/>
    <w:pPr>
      <w:widowControl/>
      <w:autoSpaceDN w:val="0"/>
      <w:spacing w:after="140" w:line="276" w:lineRule="auto"/>
    </w:pPr>
    <w:rPr>
      <w:rFonts w:ascii="Liberation Serif" w:hAnsi="Liberation Serif" w:cs="Lucida Sans"/>
      <w:kern w:val="3"/>
      <w:lang w:val="es-CR" w:eastAsia="zh-CN"/>
    </w:rPr>
  </w:style>
  <w:style w:type="paragraph" w:customStyle="1" w:styleId="Index">
    <w:name w:val="Index"/>
    <w:basedOn w:val="Standard0"/>
    <w:rsid w:val="002C0DC3"/>
    <w:pPr>
      <w:widowControl/>
      <w:suppressLineNumbers/>
      <w:autoSpaceDN w:val="0"/>
    </w:pPr>
    <w:rPr>
      <w:rFonts w:ascii="Liberation Serif" w:hAnsi="Liberation Serif" w:cs="Lucida Sans"/>
      <w:kern w:val="3"/>
      <w:lang w:val="es-CR" w:eastAsia="zh-CN"/>
    </w:rPr>
  </w:style>
  <w:style w:type="paragraph" w:customStyle="1" w:styleId="Epgrafe1">
    <w:name w:val="Epígrafe1"/>
    <w:next w:val="Standard0"/>
    <w:rsid w:val="002C0DC3"/>
    <w:pPr>
      <w:widowControl w:val="0"/>
      <w:suppressAutoHyphens/>
      <w:autoSpaceDE w:val="0"/>
      <w:autoSpaceDN w:val="0"/>
      <w:jc w:val="center"/>
      <w:textAlignment w:val="baseline"/>
    </w:pPr>
    <w:rPr>
      <w:rFonts w:ascii="Book Antiqua" w:eastAsia="Book Antiqua" w:hAnsi="Book Antiqua" w:cs="Book Antiqua"/>
      <w:b/>
      <w:bCs/>
      <w:kern w:val="3"/>
      <w:sz w:val="22"/>
      <w:szCs w:val="22"/>
      <w:lang w:val="es-CR" w:eastAsia="zh-CN" w:bidi="es-CR"/>
    </w:rPr>
  </w:style>
  <w:style w:type="paragraph" w:customStyle="1" w:styleId="TableContentsuseruser">
    <w:name w:val="Table Contents (user) (user)"/>
    <w:rsid w:val="002C0DC3"/>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tandarduser">
    <w:name w:val="Standard (user)"/>
    <w:rsid w:val="002C0DC3"/>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Framecontents0">
    <w:name w:val="Frame contents"/>
    <w:basedOn w:val="Standard0"/>
    <w:rsid w:val="002C0DC3"/>
    <w:pPr>
      <w:widowControl/>
      <w:autoSpaceDN w:val="0"/>
    </w:pPr>
    <w:rPr>
      <w:rFonts w:ascii="Liberation Serif" w:hAnsi="Liberation Serif" w:cs="Lucida Sans"/>
      <w:kern w:val="3"/>
      <w:lang w:val="es-CR" w:eastAsia="zh-CN"/>
    </w:rPr>
  </w:style>
  <w:style w:type="paragraph" w:customStyle="1" w:styleId="TableContentsuser">
    <w:name w:val="Table Contents (user)"/>
    <w:basedOn w:val="Standarduser"/>
    <w:rsid w:val="002C0DC3"/>
    <w:pPr>
      <w:suppressLineNumbers/>
    </w:pPr>
  </w:style>
  <w:style w:type="paragraph" w:customStyle="1" w:styleId="DocumentMap">
    <w:name w:val="DocumentMap"/>
    <w:rsid w:val="002C0DC3"/>
    <w:pPr>
      <w:suppressAutoHyphens/>
      <w:autoSpaceDN w:val="0"/>
      <w:spacing w:after="160"/>
    </w:pPr>
    <w:rPr>
      <w:rFonts w:ascii="Calibri" w:hAnsi="Calibri" w:cs="Calibri"/>
      <w:kern w:val="3"/>
      <w:sz w:val="22"/>
      <w:szCs w:val="22"/>
      <w:lang w:val="es-CR" w:eastAsia="es-CR"/>
    </w:rPr>
  </w:style>
  <w:style w:type="character" w:customStyle="1" w:styleId="WW8Num3z0">
    <w:name w:val="WW8Num3z0"/>
    <w:rsid w:val="002C0DC3"/>
    <w:rPr>
      <w:sz w:val="24"/>
      <w:szCs w:val="24"/>
    </w:rPr>
  </w:style>
  <w:style w:type="character" w:customStyle="1" w:styleId="WW8Num2z0">
    <w:name w:val="WW8Num2z0"/>
    <w:rsid w:val="002C0DC3"/>
    <w:rPr>
      <w:rFonts w:ascii="Calibri" w:eastAsia="Calibri" w:hAnsi="Calibri" w:cs="Calibri"/>
      <w:b/>
      <w:bCs/>
      <w:i/>
      <w:iCs/>
      <w:sz w:val="24"/>
      <w:szCs w:val="24"/>
      <w:lang w:val="es-ES"/>
    </w:rPr>
  </w:style>
  <w:style w:type="character" w:customStyle="1" w:styleId="BulletSymbols">
    <w:name w:val="Bullet Symbols"/>
    <w:rsid w:val="002C0DC3"/>
    <w:rPr>
      <w:rFonts w:ascii="OpenSymbol" w:eastAsia="OpenSymbol" w:hAnsi="OpenSymbol" w:cs="OpenSymbol"/>
    </w:rPr>
  </w:style>
  <w:style w:type="character" w:customStyle="1" w:styleId="c9c9nfasis1">
    <w:name w:val="Éc9c9nfasis1"/>
    <w:rsid w:val="002C0DC3"/>
    <w:rPr>
      <w:rFonts w:eastAsia="Times New Roman"/>
      <w:i/>
      <w:iCs/>
    </w:rPr>
  </w:style>
  <w:style w:type="character" w:customStyle="1" w:styleId="Internetlink">
    <w:name w:val="Internet link"/>
    <w:rsid w:val="002C0DC3"/>
    <w:rPr>
      <w:color w:val="000080"/>
      <w:u w:val="single"/>
    </w:rPr>
  </w:style>
  <w:style w:type="numbering" w:customStyle="1" w:styleId="WW8Num3">
    <w:name w:val="WW8Num3"/>
    <w:basedOn w:val="Sinlista"/>
    <w:rsid w:val="002C0DC3"/>
    <w:pPr>
      <w:numPr>
        <w:numId w:val="21"/>
      </w:numPr>
    </w:pPr>
  </w:style>
  <w:style w:type="numbering" w:customStyle="1" w:styleId="WW8Num2">
    <w:name w:val="WW8Num2"/>
    <w:basedOn w:val="Sinlista"/>
    <w:rsid w:val="002C0DC3"/>
    <w:pPr>
      <w:numPr>
        <w:numId w:val="22"/>
      </w:numPr>
    </w:pPr>
  </w:style>
  <w:style w:type="paragraph" w:customStyle="1" w:styleId="yiv7449395583msonormal">
    <w:name w:val="yiv7449395583msonormal"/>
    <w:basedOn w:val="Normal"/>
    <w:rsid w:val="002C0DC3"/>
    <w:pPr>
      <w:suppressAutoHyphens w:val="0"/>
      <w:spacing w:before="100" w:beforeAutospacing="1" w:after="100" w:afterAutospacing="1"/>
    </w:pPr>
    <w:rPr>
      <w:rFonts w:ascii="Calibri" w:eastAsia="Calibri" w:hAnsi="Calibri" w:cs="Calibri"/>
      <w:sz w:val="22"/>
      <w:szCs w:val="22"/>
      <w:lang w:val="es-419" w:eastAsia="es-419"/>
    </w:rPr>
  </w:style>
  <w:style w:type="paragraph" w:customStyle="1" w:styleId="xxxmsonormal">
    <w:name w:val="x_x_xmsonormal"/>
    <w:basedOn w:val="Normal"/>
    <w:rsid w:val="002C0DC3"/>
    <w:pPr>
      <w:suppressAutoHyphens w:val="0"/>
    </w:pPr>
    <w:rPr>
      <w:rFonts w:ascii="Calibri" w:eastAsia="Calibri" w:hAnsi="Calibri" w:cs="Calibri"/>
      <w:sz w:val="22"/>
      <w:szCs w:val="22"/>
      <w:lang w:val="es-CR" w:eastAsia="es-CR"/>
    </w:rPr>
  </w:style>
  <w:style w:type="numbering" w:customStyle="1" w:styleId="Sinlista5">
    <w:name w:val="Sin lista5"/>
    <w:next w:val="Sinlista"/>
    <w:uiPriority w:val="99"/>
    <w:semiHidden/>
    <w:unhideWhenUsed/>
    <w:rsid w:val="002C0DC3"/>
  </w:style>
  <w:style w:type="table" w:customStyle="1" w:styleId="Tablaconcuadrcula6">
    <w:name w:val="Tabla con cuadrícula6"/>
    <w:basedOn w:val="Tablanormal"/>
    <w:next w:val="Tablaconcuadrcula"/>
    <w:uiPriority w:val="39"/>
    <w:rsid w:val="002C0DC3"/>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
    <w:name w:val="WW8Num31"/>
    <w:basedOn w:val="Sinlista"/>
    <w:rsid w:val="002C0DC3"/>
    <w:pPr>
      <w:numPr>
        <w:numId w:val="2"/>
      </w:numPr>
    </w:pPr>
  </w:style>
  <w:style w:type="numbering" w:customStyle="1" w:styleId="WW8Num21">
    <w:name w:val="WW8Num21"/>
    <w:basedOn w:val="Sinlista"/>
    <w:rsid w:val="002C0DC3"/>
    <w:pPr>
      <w:numPr>
        <w:numId w:val="9"/>
      </w:numPr>
    </w:pPr>
  </w:style>
  <w:style w:type="table" w:styleId="Listamedia2-nfasis2">
    <w:name w:val="Medium List 2 Accent 2"/>
    <w:basedOn w:val="Tablanormal"/>
    <w:uiPriority w:val="66"/>
    <w:semiHidden/>
    <w:unhideWhenUsed/>
    <w:rsid w:val="002C0DC3"/>
    <w:rPr>
      <w:rFonts w:asciiTheme="majorHAnsi" w:eastAsiaTheme="majorEastAsia" w:hAnsiTheme="majorHAnsi" w:cstheme="majorBidi"/>
      <w:color w:val="000000" w:themeColor="text1"/>
      <w:sz w:val="22"/>
      <w:szCs w:val="22"/>
      <w:lang w:val="es-CR"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6">
    <w:name w:val="Medium List 1 Accent 6"/>
    <w:basedOn w:val="Tablanormal"/>
    <w:uiPriority w:val="65"/>
    <w:semiHidden/>
    <w:unhideWhenUsed/>
    <w:rsid w:val="002C0DC3"/>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ombreadoclaro-nfasis2">
    <w:name w:val="Light Shading Accent 2"/>
    <w:basedOn w:val="Tablanormal"/>
    <w:uiPriority w:val="60"/>
    <w:semiHidden/>
    <w:unhideWhenUsed/>
    <w:rsid w:val="002C0DC3"/>
    <w:rPr>
      <w:rFonts w:asciiTheme="minorHAnsi" w:eastAsiaTheme="minorHAnsi" w:hAnsiTheme="minorHAnsi" w:cstheme="minorBidi"/>
      <w:color w:val="943634" w:themeColor="accent2" w:themeShade="BF"/>
      <w:sz w:val="22"/>
      <w:szCs w:val="22"/>
      <w:lang w:val="es-CR"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3">
    <w:name w:val="Light Grid Accent 3"/>
    <w:basedOn w:val="Tablanormal"/>
    <w:uiPriority w:val="62"/>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2">
    <w:name w:val="Light Grid Accent 2"/>
    <w:basedOn w:val="Tablanormal"/>
    <w:uiPriority w:val="62"/>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2-nfasis2">
    <w:name w:val="Medium Shading 2 Accent 2"/>
    <w:basedOn w:val="Tablanormal"/>
    <w:uiPriority w:val="64"/>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semiHidden/>
    <w:unhideWhenUsed/>
    <w:rsid w:val="002C0DC3"/>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Cuadrculamedia1-nfasis2">
    <w:name w:val="Medium Grid 1 Accent 2"/>
    <w:basedOn w:val="Tablanormal"/>
    <w:uiPriority w:val="67"/>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2-nfasis2">
    <w:name w:val="Medium Grid 2 Accent 2"/>
    <w:basedOn w:val="Tablanormal"/>
    <w:uiPriority w:val="68"/>
    <w:semiHidden/>
    <w:unhideWhenUsed/>
    <w:rsid w:val="002C0DC3"/>
    <w:rPr>
      <w:rFonts w:asciiTheme="majorHAnsi" w:eastAsiaTheme="majorEastAsia" w:hAnsiTheme="majorHAnsi" w:cstheme="majorBidi"/>
      <w:color w:val="000000" w:themeColor="text1"/>
      <w:sz w:val="22"/>
      <w:szCs w:val="22"/>
      <w:lang w:val="es-CR"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2C0DC3"/>
    <w:rPr>
      <w:rFonts w:asciiTheme="majorHAnsi" w:eastAsiaTheme="majorEastAsia" w:hAnsiTheme="majorHAnsi" w:cstheme="majorBidi"/>
      <w:color w:val="000000" w:themeColor="text1"/>
      <w:sz w:val="22"/>
      <w:szCs w:val="22"/>
      <w:lang w:val="es-CR"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oscura-nfasis2">
    <w:name w:val="Dark List Accent 2"/>
    <w:basedOn w:val="Tablanormal"/>
    <w:uiPriority w:val="70"/>
    <w:semiHidden/>
    <w:unhideWhenUsed/>
    <w:rsid w:val="002C0DC3"/>
    <w:rPr>
      <w:rFonts w:asciiTheme="minorHAnsi" w:eastAsiaTheme="minorHAnsi" w:hAnsiTheme="minorHAnsi" w:cstheme="minorBidi"/>
      <w:color w:val="FFFFFF" w:themeColor="background1"/>
      <w:sz w:val="22"/>
      <w:szCs w:val="22"/>
      <w:lang w:val="es-CR"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uadrculamedia3-nfasis2">
    <w:name w:val="Medium Grid 3 Accent 2"/>
    <w:basedOn w:val="Tablanormal"/>
    <w:uiPriority w:val="69"/>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vistoso-nfasis2">
    <w:name w:val="Colorful Shading Accent 2"/>
    <w:basedOn w:val="Tablanormal"/>
    <w:uiPriority w:val="71"/>
    <w:semiHidden/>
    <w:unhideWhenUsed/>
    <w:rsid w:val="002C0DC3"/>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vistosa-nfasis2">
    <w:name w:val="Colorful List Accent 2"/>
    <w:basedOn w:val="Tablanormal"/>
    <w:uiPriority w:val="72"/>
    <w:semiHidden/>
    <w:unhideWhenUsed/>
    <w:rsid w:val="002C0DC3"/>
    <w:rPr>
      <w:rFonts w:asciiTheme="minorHAnsi" w:eastAsiaTheme="minorHAnsi" w:hAnsiTheme="minorHAnsi" w:cstheme="minorBidi"/>
      <w:color w:val="000000" w:themeColor="text1"/>
      <w:sz w:val="22"/>
      <w:szCs w:val="22"/>
      <w:lang w:val="es-CR"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uadrculavistosa-nfasis2">
    <w:name w:val="Colorful Grid Accent 2"/>
    <w:basedOn w:val="Tablanormal"/>
    <w:uiPriority w:val="73"/>
    <w:semiHidden/>
    <w:unhideWhenUsed/>
    <w:rsid w:val="002C0DC3"/>
    <w:rPr>
      <w:rFonts w:asciiTheme="minorHAnsi" w:eastAsiaTheme="minorHAnsi" w:hAnsiTheme="minorHAnsi" w:cstheme="minorBidi"/>
      <w:color w:val="000000" w:themeColor="text1"/>
      <w:sz w:val="22"/>
      <w:szCs w:val="22"/>
      <w:lang w:val="es-CR"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clara-nfasis1">
    <w:name w:val="Light List Accent 1"/>
    <w:basedOn w:val="Tablanormal"/>
    <w:uiPriority w:val="61"/>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2-nfasis1">
    <w:name w:val="Medium Shading 2 Accent 1"/>
    <w:basedOn w:val="Tablanormal"/>
    <w:uiPriority w:val="64"/>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4">
    <w:name w:val="Light List Accent 4"/>
    <w:basedOn w:val="Tablanormal"/>
    <w:uiPriority w:val="61"/>
    <w:semiHidden/>
    <w:unhideWhenUsed/>
    <w:rsid w:val="002C0DC3"/>
    <w:rPr>
      <w:rFonts w:asciiTheme="minorHAnsi" w:eastAsiaTheme="minorHAnsi" w:hAnsiTheme="minorHAnsi" w:cstheme="minorBidi"/>
      <w:sz w:val="22"/>
      <w:szCs w:val="22"/>
      <w:lang w:val="es-CR"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aconcuadrcula4-nfasis5">
    <w:name w:val="Grid Table 4 Accent 5"/>
    <w:basedOn w:val="Tablanormal"/>
    <w:uiPriority w:val="49"/>
    <w:rsid w:val="002C0DC3"/>
    <w:rPr>
      <w:rFonts w:asciiTheme="minorHAnsi" w:eastAsiaTheme="minorHAnsi" w:hAnsiTheme="minorHAnsi" w:cstheme="minorBidi"/>
      <w:sz w:val="22"/>
      <w:szCs w:val="22"/>
      <w:lang w:val="es-C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3-nfasis3">
    <w:name w:val="List Table 3 Accent 3"/>
    <w:basedOn w:val="Tablanormal"/>
    <w:uiPriority w:val="48"/>
    <w:rsid w:val="002C0DC3"/>
    <w:rPr>
      <w:rFonts w:asciiTheme="minorHAnsi" w:eastAsiaTheme="minorHAnsi" w:hAnsiTheme="minorHAnsi" w:cstheme="minorBidi"/>
      <w:sz w:val="22"/>
      <w:szCs w:val="22"/>
      <w:lang w:val="es-CR"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numbering" w:customStyle="1" w:styleId="Sinlista6">
    <w:name w:val="Sin lista6"/>
    <w:next w:val="Sinlista"/>
    <w:uiPriority w:val="99"/>
    <w:semiHidden/>
    <w:unhideWhenUsed/>
    <w:rsid w:val="002C0DC3"/>
  </w:style>
  <w:style w:type="table" w:customStyle="1" w:styleId="Tablaconcuadrcula7">
    <w:name w:val="Tabla con cuadrícula7"/>
    <w:basedOn w:val="Tablanormal"/>
    <w:next w:val="Tablaconcuadrcula"/>
    <w:rsid w:val="002C0DC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2C0DC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2C0DC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2C0DC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Times New Roman"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Times New Roman"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Grid2"/>
    <w:rsid w:val="002C0DC3"/>
    <w:rPr>
      <w:rFonts w:asciiTheme="minorHAnsi" w:eastAsiaTheme="minorEastAsia" w:hAnsiTheme="minorHAnsi" w:cstheme="minorBidi"/>
      <w:sz w:val="22"/>
      <w:szCs w:val="22"/>
      <w:lang w:val="es-CR" w:eastAsia="es-CR"/>
    </w:rPr>
    <w:tblPr>
      <w:tblCellMar>
        <w:top w:w="0" w:type="dxa"/>
        <w:left w:w="0" w:type="dxa"/>
        <w:bottom w:w="0" w:type="dxa"/>
        <w:right w:w="0" w:type="dxa"/>
      </w:tblCellMar>
    </w:tblPr>
  </w:style>
  <w:style w:type="table" w:customStyle="1" w:styleId="TableGrid11">
    <w:name w:val="TableGrid11"/>
    <w:rsid w:val="002C0DC3"/>
    <w:rPr>
      <w:rFonts w:ascii="Calibri" w:hAnsi="Calibri"/>
      <w:sz w:val="22"/>
      <w:szCs w:val="22"/>
      <w:lang w:val="es-CR" w:eastAsia="es-CR"/>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2C0DC3"/>
  </w:style>
  <w:style w:type="numbering" w:customStyle="1" w:styleId="Sinlista112">
    <w:name w:val="Sin lista112"/>
    <w:next w:val="Sinlista"/>
    <w:uiPriority w:val="99"/>
    <w:semiHidden/>
    <w:unhideWhenUsed/>
    <w:rsid w:val="002C0DC3"/>
  </w:style>
  <w:style w:type="table" w:customStyle="1" w:styleId="Tablaconcuadrcula12">
    <w:name w:val="Tabla con cuadrícula12"/>
    <w:basedOn w:val="Tablanormal"/>
    <w:next w:val="Tablaconcuadrcula"/>
    <w:uiPriority w:val="39"/>
    <w:rsid w:val="002C0DC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2-nfasis211">
    <w:name w:val="Lista media 2 - Énfasis 211"/>
    <w:basedOn w:val="Tablanormal"/>
    <w:next w:val="Listamedia2-nfasis2"/>
    <w:uiPriority w:val="66"/>
    <w:rsid w:val="002C0DC3"/>
    <w:rPr>
      <w:rFonts w:ascii="Calibri Light" w:hAnsi="Calibri Light"/>
      <w:color w:val="000000"/>
      <w:szCs w:val="22"/>
      <w:lang w:val="es-CR" w:eastAsia="es-CR"/>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1-nfasis611">
    <w:name w:val="Lista media 1 - Énfasis 611"/>
    <w:basedOn w:val="Tablanormal"/>
    <w:next w:val="Listamedia1-nfasis6"/>
    <w:uiPriority w:val="65"/>
    <w:rsid w:val="002C0DC3"/>
    <w:rPr>
      <w:rFonts w:ascii="Calibri" w:eastAsia="Calibri" w:hAnsi="Calibri"/>
      <w:color w:val="000000"/>
      <w:szCs w:val="22"/>
      <w:lang w:val="es-CR" w:eastAsia="es-CR"/>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ombreadoclaro-nfasis211">
    <w:name w:val="Sombreado claro - Énfasis 211"/>
    <w:basedOn w:val="Tablanormal"/>
    <w:next w:val="Sombreadoclaro-nfasis2"/>
    <w:uiPriority w:val="60"/>
    <w:rsid w:val="002C0DC3"/>
    <w:rPr>
      <w:rFonts w:ascii="Calibri" w:eastAsia="Calibri" w:hAnsi="Calibri"/>
      <w:color w:val="C45911"/>
      <w:szCs w:val="22"/>
      <w:lang w:val="es-CR" w:eastAsia="es-C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staclara-nfasis211">
    <w:name w:val="Lista clara - Énfasis 211"/>
    <w:basedOn w:val="Tablanormal"/>
    <w:next w:val="Listaclara-nfasis2"/>
    <w:uiPriority w:val="61"/>
    <w:rsid w:val="002C0DC3"/>
    <w:rPr>
      <w:rFonts w:ascii="Calibri" w:eastAsia="Calibri" w:hAnsi="Calibri"/>
      <w:szCs w:val="22"/>
      <w:lang w:val="es-CR" w:eastAsia="es-CR"/>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uadrculaclara-nfasis311">
    <w:name w:val="Cuadrícula clara - Énfasis 311"/>
    <w:basedOn w:val="Tablanormal"/>
    <w:next w:val="Cuadrculaclara-nfasis3"/>
    <w:uiPriority w:val="62"/>
    <w:rsid w:val="002C0DC3"/>
    <w:rPr>
      <w:rFonts w:ascii="Calibri" w:eastAsia="Calibri" w:hAnsi="Calibri"/>
      <w:szCs w:val="22"/>
      <w:lang w:val="es-CR" w:eastAsia="es-CR"/>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Cuadrculaclara-nfasis511">
    <w:name w:val="Cuadrícula clara - Énfasis 511"/>
    <w:basedOn w:val="Tablanormal"/>
    <w:next w:val="Cuadrculaclara-nfasis5"/>
    <w:uiPriority w:val="62"/>
    <w:rsid w:val="002C0DC3"/>
    <w:rPr>
      <w:rFonts w:ascii="Calibri" w:eastAsia="Calibri" w:hAnsi="Calibri"/>
      <w:szCs w:val="22"/>
      <w:lang w:val="es-CR" w:eastAsia="es-C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nfasis211">
    <w:name w:val="Cuadrícula clara - Énfasis 211"/>
    <w:basedOn w:val="Tablanormal"/>
    <w:next w:val="Cuadrculaclara-nfasis2"/>
    <w:uiPriority w:val="62"/>
    <w:rsid w:val="002C0DC3"/>
    <w:rPr>
      <w:rFonts w:ascii="Calibri" w:eastAsia="Calibri" w:hAnsi="Calibri"/>
      <w:szCs w:val="22"/>
      <w:lang w:val="es-CR" w:eastAsia="es-C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ombreadomedio2-nfasis211">
    <w:name w:val="Sombreado medio 2 - Énfasis 211"/>
    <w:basedOn w:val="Tablanormal"/>
    <w:next w:val="Sombreadomedio2-nfasis2"/>
    <w:uiPriority w:val="64"/>
    <w:rsid w:val="002C0DC3"/>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nfasis211">
    <w:name w:val="Lista media 1 - Énfasis 211"/>
    <w:basedOn w:val="Tablanormal"/>
    <w:next w:val="Listamedia1-nfasis2"/>
    <w:uiPriority w:val="65"/>
    <w:rsid w:val="002C0DC3"/>
    <w:rPr>
      <w:rFonts w:ascii="Calibri" w:eastAsia="Calibri" w:hAnsi="Calibri"/>
      <w:color w:val="000000"/>
      <w:szCs w:val="22"/>
      <w:lang w:val="es-CR" w:eastAsia="es-CR"/>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Cuadrculamedia1-nfasis211">
    <w:name w:val="Cuadrícula media 1 - Énfasis 211"/>
    <w:basedOn w:val="Tablanormal"/>
    <w:next w:val="Cuadrculamedia1-nfasis2"/>
    <w:uiPriority w:val="67"/>
    <w:rsid w:val="002C0DC3"/>
    <w:rPr>
      <w:rFonts w:ascii="Calibri" w:eastAsia="Calibri" w:hAnsi="Calibri"/>
      <w:szCs w:val="22"/>
      <w:lang w:val="es-CR" w:eastAsia="es-C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Cuadrculamedia2-nfasis211">
    <w:name w:val="Cuadrícula media 2 - Énfasis 211"/>
    <w:basedOn w:val="Tablanormal"/>
    <w:next w:val="Cuadrculamedia2-nfasis2"/>
    <w:uiPriority w:val="68"/>
    <w:rsid w:val="002C0DC3"/>
    <w:rPr>
      <w:rFonts w:ascii="Calibri Light" w:hAnsi="Calibri Light"/>
      <w:color w:val="000000"/>
      <w:szCs w:val="22"/>
      <w:lang w:val="es-CR" w:eastAsia="es-C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Cuadrculamedia2-nfasis511">
    <w:name w:val="Cuadrícula media 2 - Énfasis 511"/>
    <w:basedOn w:val="Tablanormal"/>
    <w:next w:val="Cuadrculamedia2-nfasis5"/>
    <w:uiPriority w:val="68"/>
    <w:rsid w:val="002C0DC3"/>
    <w:rPr>
      <w:rFonts w:ascii="Calibri Light" w:hAnsi="Calibri Light"/>
      <w:color w:val="000000"/>
      <w:szCs w:val="22"/>
      <w:lang w:val="es-CR" w:eastAsia="es-C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Listaoscura-nfasis211">
    <w:name w:val="Lista oscura - Énfasis 211"/>
    <w:basedOn w:val="Tablanormal"/>
    <w:next w:val="Listaoscura-nfasis2"/>
    <w:uiPriority w:val="70"/>
    <w:rsid w:val="002C0DC3"/>
    <w:rPr>
      <w:rFonts w:ascii="Calibri" w:eastAsia="Calibri" w:hAnsi="Calibri"/>
      <w:color w:val="FFFFFF"/>
      <w:szCs w:val="22"/>
      <w:lang w:val="es-CR" w:eastAsia="es-CR"/>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Cuadrculamedia3-nfasis211">
    <w:name w:val="Cuadrícula media 3 - Énfasis 211"/>
    <w:basedOn w:val="Tablanormal"/>
    <w:next w:val="Cuadrculamedia3-nfasis2"/>
    <w:uiPriority w:val="69"/>
    <w:rsid w:val="002C0DC3"/>
    <w:rPr>
      <w:rFonts w:ascii="Calibri" w:eastAsia="Calibri" w:hAnsi="Calibri"/>
      <w:szCs w:val="22"/>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ombreadovistoso-nfasis211">
    <w:name w:val="Sombreado vistoso - Énfasis 211"/>
    <w:basedOn w:val="Tablanormal"/>
    <w:next w:val="Sombreadovistoso-nfasis2"/>
    <w:uiPriority w:val="71"/>
    <w:rsid w:val="002C0DC3"/>
    <w:rPr>
      <w:rFonts w:ascii="Calibri" w:eastAsia="Calibri" w:hAnsi="Calibri"/>
      <w:color w:val="000000"/>
      <w:szCs w:val="22"/>
      <w:lang w:val="es-CR" w:eastAsia="es-CR"/>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Listavistosa-nfasis211">
    <w:name w:val="Lista vistosa - Énfasis 211"/>
    <w:basedOn w:val="Tablanormal"/>
    <w:next w:val="Listavistosa-nfasis2"/>
    <w:uiPriority w:val="72"/>
    <w:rsid w:val="002C0DC3"/>
    <w:rPr>
      <w:rFonts w:ascii="Calibri" w:eastAsia="Calibri" w:hAnsi="Calibri"/>
      <w:color w:val="000000"/>
      <w:szCs w:val="22"/>
      <w:lang w:val="es-CR" w:eastAsia="es-CR"/>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uadrculavistosa-nfasis211">
    <w:name w:val="Cuadrícula vistosa - Énfasis 211"/>
    <w:basedOn w:val="Tablanormal"/>
    <w:next w:val="Cuadrculavistosa-nfasis2"/>
    <w:uiPriority w:val="73"/>
    <w:rsid w:val="002C0DC3"/>
    <w:rPr>
      <w:rFonts w:ascii="Calibri" w:eastAsia="Calibri" w:hAnsi="Calibri"/>
      <w:color w:val="000000"/>
      <w:szCs w:val="22"/>
      <w:lang w:val="es-CR" w:eastAsia="es-CR"/>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Tablaconcuadrcula5oscura-nfasis112">
    <w:name w:val="Tabla con cuadrícula 5 oscura - Énfasis 112"/>
    <w:basedOn w:val="Tablanormal"/>
    <w:uiPriority w:val="50"/>
    <w:rsid w:val="002C0DC3"/>
    <w:rPr>
      <w:rFonts w:ascii="Calibri" w:eastAsia="Calibri" w:hAnsi="Calibri"/>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aclara-nfasis111">
    <w:name w:val="Lista clara - Énfasis 111"/>
    <w:basedOn w:val="Tablanormal"/>
    <w:next w:val="Listaclara-nfasis1"/>
    <w:uiPriority w:val="61"/>
    <w:rsid w:val="002C0DC3"/>
    <w:rPr>
      <w:rFonts w:ascii="Calibri" w:eastAsia="Calibri" w:hAnsi="Calibri"/>
      <w:szCs w:val="22"/>
      <w:lang w:val="es-CR" w:eastAsia="es-C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11">
    <w:name w:val="Lista clara11"/>
    <w:basedOn w:val="Tablanormal"/>
    <w:next w:val="Listaclara"/>
    <w:uiPriority w:val="61"/>
    <w:rsid w:val="002C0DC3"/>
    <w:rPr>
      <w:rFonts w:ascii="Calibri" w:eastAsia="Calibri" w:hAnsi="Calibri"/>
      <w:szCs w:val="22"/>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1">
    <w:name w:val="Sombreado medio 2 - Énfasis 111"/>
    <w:basedOn w:val="Tablanormal"/>
    <w:next w:val="Sombreadomedio2-nfasis1"/>
    <w:uiPriority w:val="64"/>
    <w:rsid w:val="002C0DC3"/>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11">
    <w:name w:val="Sombreado medio 2 - Énfasis 311"/>
    <w:basedOn w:val="Tablanormal"/>
    <w:next w:val="Sombreadomedio2-nfasis3"/>
    <w:uiPriority w:val="64"/>
    <w:rsid w:val="002C0DC3"/>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411">
    <w:name w:val="Lista clara - Énfasis 411"/>
    <w:basedOn w:val="Tablanormal"/>
    <w:next w:val="Listaclara-nfasis4"/>
    <w:uiPriority w:val="61"/>
    <w:rsid w:val="002C0DC3"/>
    <w:rPr>
      <w:rFonts w:ascii="Calibri" w:eastAsia="Calibri" w:hAnsi="Calibri"/>
      <w:szCs w:val="22"/>
      <w:lang w:val="es-CR" w:eastAsia="es-C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aconcuadrcula111">
    <w:name w:val="Tabla con cuadrícula111"/>
    <w:basedOn w:val="Tablanormal"/>
    <w:next w:val="Tablaconcuadrcula"/>
    <w:uiPriority w:val="39"/>
    <w:rsid w:val="002C0DC3"/>
    <w:rPr>
      <w:rFonts w:ascii="Calibri" w:eastAsia="Calibri" w:hAnsi="Calibri"/>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2C0DC3"/>
    <w:pPr>
      <w:numPr>
        <w:numId w:val="11"/>
      </w:numPr>
    </w:pPr>
  </w:style>
  <w:style w:type="numbering" w:customStyle="1" w:styleId="Estilo32">
    <w:name w:val="Estilo32"/>
    <w:uiPriority w:val="99"/>
    <w:rsid w:val="002C0DC3"/>
    <w:pPr>
      <w:numPr>
        <w:numId w:val="12"/>
      </w:numPr>
    </w:pPr>
  </w:style>
  <w:style w:type="table" w:customStyle="1" w:styleId="Tabladecuadrcula4-nfasis511">
    <w:name w:val="Tabla de cuadrícula 4 - Énfasis 511"/>
    <w:basedOn w:val="Tablanormal"/>
    <w:next w:val="Tablaconcuadrcula4-nfasis5"/>
    <w:uiPriority w:val="49"/>
    <w:rsid w:val="002C0DC3"/>
    <w:rPr>
      <w:rFonts w:ascii="Calibri" w:eastAsia="Calibri" w:hAnsi="Calibri"/>
      <w:szCs w:val="22"/>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2">
    <w:name w:val="Table Normal12"/>
    <w:uiPriority w:val="2"/>
    <w:semiHidden/>
    <w:unhideWhenUsed/>
    <w:qFormat/>
    <w:rsid w:val="002C0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112">
    <w:name w:val="Sin lista1112"/>
    <w:next w:val="Sinlista"/>
    <w:uiPriority w:val="99"/>
    <w:semiHidden/>
    <w:unhideWhenUsed/>
    <w:rsid w:val="002C0DC3"/>
  </w:style>
  <w:style w:type="table" w:customStyle="1" w:styleId="Tablaconcuadrcula22">
    <w:name w:val="Tabla con cuadrícula22"/>
    <w:basedOn w:val="Tablanormal"/>
    <w:next w:val="Tablaconcuadrcula"/>
    <w:rsid w:val="002C0DC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111">
    <w:name w:val="Tabla con cuadrícula 5 oscura - Énfasis 1111"/>
    <w:basedOn w:val="Tablanormal"/>
    <w:uiPriority w:val="50"/>
    <w:rsid w:val="002C0DC3"/>
    <w:rPr>
      <w:rFonts w:ascii="Calibri" w:eastAsia="Calibri" w:hAnsi="Calibri"/>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Estilo111">
    <w:name w:val="Estilo111"/>
    <w:uiPriority w:val="99"/>
    <w:rsid w:val="002C0DC3"/>
    <w:pPr>
      <w:numPr>
        <w:numId w:val="14"/>
      </w:numPr>
    </w:pPr>
  </w:style>
  <w:style w:type="numbering" w:customStyle="1" w:styleId="Estilo211">
    <w:name w:val="Estilo211"/>
    <w:uiPriority w:val="99"/>
    <w:rsid w:val="002C0DC3"/>
    <w:pPr>
      <w:numPr>
        <w:numId w:val="15"/>
      </w:numPr>
    </w:pPr>
  </w:style>
  <w:style w:type="numbering" w:customStyle="1" w:styleId="Estilo311">
    <w:name w:val="Estilo311"/>
    <w:uiPriority w:val="99"/>
    <w:rsid w:val="002C0DC3"/>
    <w:pPr>
      <w:numPr>
        <w:numId w:val="16"/>
      </w:numPr>
    </w:pPr>
  </w:style>
  <w:style w:type="table" w:customStyle="1" w:styleId="Tablaconcuadrcula4-nfasis511">
    <w:name w:val="Tabla con cuadrícula 4 - Énfasis 511"/>
    <w:basedOn w:val="Tablanormal"/>
    <w:next w:val="Tablaconcuadrcula4-nfasis5"/>
    <w:uiPriority w:val="49"/>
    <w:rsid w:val="002C0DC3"/>
    <w:rPr>
      <w:rFonts w:ascii="Calibri" w:eastAsia="Calibri" w:hAnsi="Calibri"/>
      <w:szCs w:val="22"/>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11">
    <w:name w:val="Table Normal111"/>
    <w:uiPriority w:val="2"/>
    <w:semiHidden/>
    <w:unhideWhenUsed/>
    <w:qFormat/>
    <w:rsid w:val="002C0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media2-nfasis221">
    <w:name w:val="Lista media 2 - Énfasis 221"/>
    <w:basedOn w:val="Tablanormal"/>
    <w:next w:val="Listamedia2-nfasis2"/>
    <w:uiPriority w:val="66"/>
    <w:semiHidden/>
    <w:unhideWhenUsed/>
    <w:rsid w:val="002C0DC3"/>
    <w:rPr>
      <w:rFonts w:ascii="Calibri Light" w:hAnsi="Calibri Light"/>
      <w:color w:val="000000"/>
      <w:sz w:val="22"/>
      <w:szCs w:val="22"/>
      <w:lang w:val="es-CR"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1-nfasis621">
    <w:name w:val="Lista media 1 - Énfasis 621"/>
    <w:basedOn w:val="Tablanormal"/>
    <w:next w:val="Listamedia1-nfasis6"/>
    <w:uiPriority w:val="65"/>
    <w:semiHidden/>
    <w:unhideWhenUsed/>
    <w:rsid w:val="002C0DC3"/>
    <w:rPr>
      <w:rFonts w:ascii="Calibri" w:eastAsia="Calibri" w:hAnsi="Calibri"/>
      <w:color w:val="000000"/>
      <w:sz w:val="22"/>
      <w:szCs w:val="22"/>
      <w:lang w:val="es-CR" w:eastAsia="en-US"/>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ombreadoclaro-nfasis221">
    <w:name w:val="Sombreado claro - Énfasis 221"/>
    <w:basedOn w:val="Tablanormal"/>
    <w:next w:val="Sombreadoclaro-nfasis2"/>
    <w:uiPriority w:val="60"/>
    <w:semiHidden/>
    <w:unhideWhenUsed/>
    <w:rsid w:val="002C0DC3"/>
    <w:rPr>
      <w:rFonts w:ascii="Calibri" w:eastAsia="Calibri" w:hAnsi="Calibri"/>
      <w:color w:val="C45911"/>
      <w:sz w:val="22"/>
      <w:szCs w:val="22"/>
      <w:lang w:val="es-CR"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staclara-nfasis221">
    <w:name w:val="Lista clara - Énfasis 221"/>
    <w:basedOn w:val="Tablanormal"/>
    <w:next w:val="Listaclara-nfasis2"/>
    <w:uiPriority w:val="61"/>
    <w:semiHidden/>
    <w:unhideWhenUsed/>
    <w:rsid w:val="002C0DC3"/>
    <w:rPr>
      <w:rFonts w:ascii="Calibri" w:eastAsia="Calibri" w:hAnsi="Calibri"/>
      <w:sz w:val="22"/>
      <w:szCs w:val="22"/>
      <w:lang w:val="es-CR"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uadrculaclara-nfasis321">
    <w:name w:val="Cuadrícula clara - Énfasis 321"/>
    <w:basedOn w:val="Tablanormal"/>
    <w:next w:val="Cuadrculaclara-nfasis3"/>
    <w:uiPriority w:val="62"/>
    <w:semiHidden/>
    <w:unhideWhenUsed/>
    <w:rsid w:val="002C0DC3"/>
    <w:rPr>
      <w:rFonts w:ascii="Calibri" w:eastAsia="Calibri" w:hAnsi="Calibri"/>
      <w:sz w:val="22"/>
      <w:szCs w:val="22"/>
      <w:lang w:val="es-CR"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Cuadrculaclara-nfasis521">
    <w:name w:val="Cuadrícula clara - Énfasis 521"/>
    <w:basedOn w:val="Tablanormal"/>
    <w:next w:val="Cuadrculaclara-nfasis5"/>
    <w:uiPriority w:val="62"/>
    <w:semiHidden/>
    <w:unhideWhenUsed/>
    <w:rsid w:val="002C0DC3"/>
    <w:rPr>
      <w:rFonts w:ascii="Calibri" w:eastAsia="Calibri" w:hAnsi="Calibri"/>
      <w:sz w:val="22"/>
      <w:szCs w:val="22"/>
      <w:lang w:val="es-CR"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Cuadrculaclara-nfasis221">
    <w:name w:val="Cuadrícula clara - Énfasis 221"/>
    <w:basedOn w:val="Tablanormal"/>
    <w:next w:val="Cuadrculaclara-nfasis2"/>
    <w:uiPriority w:val="62"/>
    <w:semiHidden/>
    <w:unhideWhenUsed/>
    <w:rsid w:val="002C0DC3"/>
    <w:rPr>
      <w:rFonts w:ascii="Calibri" w:eastAsia="Calibri" w:hAnsi="Calibri"/>
      <w:sz w:val="22"/>
      <w:szCs w:val="22"/>
      <w:lang w:val="es-CR"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ombreadomedio2-nfasis221">
    <w:name w:val="Sombreado medio 2 - Énfasis 221"/>
    <w:basedOn w:val="Tablanormal"/>
    <w:next w:val="Sombreadomedio2-nfasis2"/>
    <w:uiPriority w:val="64"/>
    <w:semiHidden/>
    <w:unhideWhenUsed/>
    <w:rsid w:val="002C0DC3"/>
    <w:rPr>
      <w:rFonts w:ascii="Calibri" w:eastAsia="Calibri" w:hAnsi="Calibri"/>
      <w:sz w:val="22"/>
      <w:szCs w:val="22"/>
      <w:lang w:val="es-C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nfasis221">
    <w:name w:val="Lista media 1 - Énfasis 221"/>
    <w:basedOn w:val="Tablanormal"/>
    <w:next w:val="Listamedia1-nfasis2"/>
    <w:uiPriority w:val="65"/>
    <w:semiHidden/>
    <w:unhideWhenUsed/>
    <w:rsid w:val="002C0DC3"/>
    <w:rPr>
      <w:rFonts w:ascii="Calibri" w:eastAsia="Calibri" w:hAnsi="Calibri"/>
      <w:color w:val="000000"/>
      <w:sz w:val="22"/>
      <w:szCs w:val="22"/>
      <w:lang w:val="es-CR" w:eastAsia="en-US"/>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Cuadrculamedia1-nfasis221">
    <w:name w:val="Cuadrícula media 1 - Énfasis 221"/>
    <w:basedOn w:val="Tablanormal"/>
    <w:next w:val="Cuadrculamedia1-nfasis2"/>
    <w:uiPriority w:val="67"/>
    <w:semiHidden/>
    <w:unhideWhenUsed/>
    <w:rsid w:val="002C0DC3"/>
    <w:rPr>
      <w:rFonts w:ascii="Calibri" w:eastAsia="Calibri" w:hAnsi="Calibri"/>
      <w:sz w:val="22"/>
      <w:szCs w:val="22"/>
      <w:lang w:val="es-CR"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Cuadrculamedia2-nfasis221">
    <w:name w:val="Cuadrícula media 2 - Énfasis 221"/>
    <w:basedOn w:val="Tablanormal"/>
    <w:next w:val="Cuadrculamedia2-nfasis2"/>
    <w:uiPriority w:val="68"/>
    <w:semiHidden/>
    <w:unhideWhenUsed/>
    <w:rsid w:val="002C0DC3"/>
    <w:rPr>
      <w:rFonts w:ascii="Calibri Light" w:hAnsi="Calibri Light"/>
      <w:color w:val="000000"/>
      <w:sz w:val="22"/>
      <w:szCs w:val="22"/>
      <w:lang w:val="es-CR"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Cuadrculamedia2-nfasis521">
    <w:name w:val="Cuadrícula media 2 - Énfasis 521"/>
    <w:basedOn w:val="Tablanormal"/>
    <w:next w:val="Cuadrculamedia2-nfasis5"/>
    <w:uiPriority w:val="68"/>
    <w:semiHidden/>
    <w:unhideWhenUsed/>
    <w:rsid w:val="002C0DC3"/>
    <w:rPr>
      <w:rFonts w:ascii="Calibri Light" w:hAnsi="Calibri Light"/>
      <w:color w:val="000000"/>
      <w:sz w:val="22"/>
      <w:szCs w:val="22"/>
      <w:lang w:val="es-CR"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staoscura-nfasis221">
    <w:name w:val="Lista oscura - Énfasis 221"/>
    <w:basedOn w:val="Tablanormal"/>
    <w:next w:val="Listaoscura-nfasis2"/>
    <w:uiPriority w:val="70"/>
    <w:semiHidden/>
    <w:unhideWhenUsed/>
    <w:rsid w:val="002C0DC3"/>
    <w:rPr>
      <w:rFonts w:ascii="Calibri" w:eastAsia="Calibri" w:hAnsi="Calibri"/>
      <w:color w:val="FFFFFF"/>
      <w:sz w:val="22"/>
      <w:szCs w:val="22"/>
      <w:lang w:val="es-CR"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Cuadrculamedia3-nfasis221">
    <w:name w:val="Cuadrícula media 3 - Énfasis 221"/>
    <w:basedOn w:val="Tablanormal"/>
    <w:next w:val="Cuadrculamedia3-nfasis2"/>
    <w:uiPriority w:val="69"/>
    <w:semiHidden/>
    <w:unhideWhenUsed/>
    <w:rsid w:val="002C0DC3"/>
    <w:rPr>
      <w:rFonts w:ascii="Calibri" w:eastAsia="Calibri" w:hAnsi="Calibri"/>
      <w:sz w:val="22"/>
      <w:szCs w:val="22"/>
      <w:lang w:val="es-CR"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ombreadovistoso-nfasis221">
    <w:name w:val="Sombreado vistoso - Énfasis 221"/>
    <w:basedOn w:val="Tablanormal"/>
    <w:next w:val="Sombreadovistoso-nfasis2"/>
    <w:uiPriority w:val="71"/>
    <w:semiHidden/>
    <w:unhideWhenUsed/>
    <w:rsid w:val="002C0DC3"/>
    <w:rPr>
      <w:rFonts w:ascii="Calibri" w:eastAsia="Calibri" w:hAnsi="Calibri"/>
      <w:color w:val="000000"/>
      <w:sz w:val="22"/>
      <w:szCs w:val="22"/>
      <w:lang w:val="es-CR"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Listavistosa-nfasis221">
    <w:name w:val="Lista vistosa - Énfasis 221"/>
    <w:basedOn w:val="Tablanormal"/>
    <w:next w:val="Listavistosa-nfasis2"/>
    <w:uiPriority w:val="72"/>
    <w:semiHidden/>
    <w:unhideWhenUsed/>
    <w:rsid w:val="002C0DC3"/>
    <w:rPr>
      <w:rFonts w:ascii="Calibri" w:eastAsia="Calibri" w:hAnsi="Calibri"/>
      <w:color w:val="000000"/>
      <w:sz w:val="22"/>
      <w:szCs w:val="22"/>
      <w:lang w:val="es-CR"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uadrculavistosa-nfasis221">
    <w:name w:val="Cuadrícula vistosa - Énfasis 221"/>
    <w:basedOn w:val="Tablanormal"/>
    <w:next w:val="Cuadrculavistosa-nfasis2"/>
    <w:uiPriority w:val="73"/>
    <w:semiHidden/>
    <w:unhideWhenUsed/>
    <w:rsid w:val="002C0DC3"/>
    <w:rPr>
      <w:rFonts w:ascii="Calibri" w:eastAsia="Calibri" w:hAnsi="Calibri"/>
      <w:color w:val="000000"/>
      <w:sz w:val="22"/>
      <w:szCs w:val="22"/>
      <w:lang w:val="es-CR"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Listaclara-nfasis121">
    <w:name w:val="Lista clara - Énfasis 121"/>
    <w:basedOn w:val="Tablanormal"/>
    <w:next w:val="Listaclara-nfasis1"/>
    <w:uiPriority w:val="61"/>
    <w:semiHidden/>
    <w:unhideWhenUsed/>
    <w:rsid w:val="002C0DC3"/>
    <w:rPr>
      <w:rFonts w:ascii="Calibri" w:eastAsia="Calibri" w:hAnsi="Calibri"/>
      <w:sz w:val="22"/>
      <w:szCs w:val="22"/>
      <w:lang w:val="es-CR"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21">
    <w:name w:val="Lista clara21"/>
    <w:basedOn w:val="Tablanormal"/>
    <w:next w:val="Listaclara"/>
    <w:uiPriority w:val="61"/>
    <w:semiHidden/>
    <w:unhideWhenUsed/>
    <w:rsid w:val="002C0DC3"/>
    <w:rPr>
      <w:rFonts w:ascii="Calibri" w:eastAsia="Calibri" w:hAnsi="Calibri"/>
      <w:sz w:val="22"/>
      <w:szCs w:val="22"/>
      <w:lang w:val="es-CR"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1">
    <w:name w:val="Sombreado medio 2 - Énfasis 121"/>
    <w:basedOn w:val="Tablanormal"/>
    <w:next w:val="Sombreadomedio2-nfasis1"/>
    <w:uiPriority w:val="64"/>
    <w:semiHidden/>
    <w:unhideWhenUsed/>
    <w:rsid w:val="002C0DC3"/>
    <w:rPr>
      <w:rFonts w:ascii="Calibri" w:eastAsia="Calibri" w:hAnsi="Calibri"/>
      <w:sz w:val="22"/>
      <w:szCs w:val="22"/>
      <w:lang w:val="es-C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21">
    <w:name w:val="Sombreado medio 2 - Énfasis 321"/>
    <w:basedOn w:val="Tablanormal"/>
    <w:next w:val="Sombreadomedio2-nfasis3"/>
    <w:uiPriority w:val="64"/>
    <w:semiHidden/>
    <w:unhideWhenUsed/>
    <w:rsid w:val="002C0DC3"/>
    <w:rPr>
      <w:rFonts w:ascii="Calibri" w:eastAsia="Calibri" w:hAnsi="Calibri"/>
      <w:sz w:val="22"/>
      <w:szCs w:val="22"/>
      <w:lang w:val="es-C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421">
    <w:name w:val="Lista clara - Énfasis 421"/>
    <w:basedOn w:val="Tablanormal"/>
    <w:next w:val="Listaclara-nfasis4"/>
    <w:uiPriority w:val="61"/>
    <w:semiHidden/>
    <w:unhideWhenUsed/>
    <w:rsid w:val="002C0DC3"/>
    <w:rPr>
      <w:rFonts w:ascii="Calibri" w:eastAsia="Calibri" w:hAnsi="Calibri"/>
      <w:sz w:val="22"/>
      <w:szCs w:val="22"/>
      <w:lang w:val="es-CR"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adecuadrcula4-nfasis521">
    <w:name w:val="Tabla de cuadrícula 4 - Énfasis 521"/>
    <w:basedOn w:val="Tablanormal"/>
    <w:next w:val="Tablaconcuadrcula4-nfasis5"/>
    <w:uiPriority w:val="49"/>
    <w:rsid w:val="002C0DC3"/>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amedia2-nfasis24">
    <w:name w:val="Lista media 2 - Énfasis 24"/>
    <w:basedOn w:val="Tablanormal"/>
    <w:next w:val="Listamedia2-nfasis2"/>
    <w:uiPriority w:val="66"/>
    <w:semiHidden/>
    <w:unhideWhenUsed/>
    <w:rsid w:val="002C0DC3"/>
    <w:rPr>
      <w:rFonts w:asciiTheme="majorHAnsi" w:eastAsiaTheme="majorEastAsia" w:hAnsiTheme="majorHAnsi" w:cstheme="majorBidi"/>
      <w:color w:val="000000" w:themeColor="text1"/>
      <w:lang w:val="es-CR" w:eastAsia="es-C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64">
    <w:name w:val="Lista media 1 - Énfasis 64"/>
    <w:basedOn w:val="Tablanormal"/>
    <w:next w:val="Listamedia1-nfasis6"/>
    <w:uiPriority w:val="65"/>
    <w:semiHidden/>
    <w:unhideWhenUsed/>
    <w:rsid w:val="002C0DC3"/>
    <w:rPr>
      <w:color w:val="000000" w:themeColor="text1"/>
      <w:lang w:val="es-CR" w:eastAsia="es-C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ombreadoclaro-nfasis24">
    <w:name w:val="Sombreado claro - Énfasis 24"/>
    <w:basedOn w:val="Tablanormal"/>
    <w:next w:val="Sombreadoclaro-nfasis2"/>
    <w:uiPriority w:val="60"/>
    <w:semiHidden/>
    <w:unhideWhenUsed/>
    <w:rsid w:val="002C0DC3"/>
    <w:rPr>
      <w:color w:val="943634" w:themeColor="accent2" w:themeShade="BF"/>
      <w:lang w:val="es-CR" w:eastAsia="es-C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24">
    <w:name w:val="Lista clara - Énfasis 24"/>
    <w:basedOn w:val="Tablanormal"/>
    <w:next w:val="Listaclara-nfasis2"/>
    <w:uiPriority w:val="61"/>
    <w:semiHidden/>
    <w:unhideWhenUsed/>
    <w:rsid w:val="002C0DC3"/>
    <w:rPr>
      <w:lang w:val="es-CR" w:eastAsia="es-C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Cuadrculaclara-nfasis34">
    <w:name w:val="Cuadrícula clara - Énfasis 34"/>
    <w:basedOn w:val="Tablanormal"/>
    <w:next w:val="Cuadrculaclara-nfasis3"/>
    <w:uiPriority w:val="62"/>
    <w:semiHidden/>
    <w:unhideWhenUsed/>
    <w:rsid w:val="002C0DC3"/>
    <w:rPr>
      <w:lang w:val="es-CR" w:eastAsia="es-C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54">
    <w:name w:val="Cuadrícula clara - Énfasis 54"/>
    <w:basedOn w:val="Tablanormal"/>
    <w:next w:val="Cuadrculaclara-nfasis5"/>
    <w:uiPriority w:val="62"/>
    <w:semiHidden/>
    <w:unhideWhenUsed/>
    <w:rsid w:val="002C0DC3"/>
    <w:rPr>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24">
    <w:name w:val="Cuadrícula clara - Énfasis 24"/>
    <w:basedOn w:val="Tablanormal"/>
    <w:next w:val="Cuadrculaclara-nfasis2"/>
    <w:uiPriority w:val="62"/>
    <w:semiHidden/>
    <w:unhideWhenUsed/>
    <w:rsid w:val="002C0DC3"/>
    <w:rPr>
      <w:lang w:val="es-CR" w:eastAsia="es-C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Sombreadomedio2-nfasis24">
    <w:name w:val="Sombreado medio 2 - Énfasis 24"/>
    <w:basedOn w:val="Tablanormal"/>
    <w:next w:val="Sombreadomedio2-nfasis2"/>
    <w:uiPriority w:val="64"/>
    <w:semiHidden/>
    <w:unhideWhenUsed/>
    <w:rsid w:val="002C0DC3"/>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1-nfasis24">
    <w:name w:val="Lista media 1 - Énfasis 24"/>
    <w:basedOn w:val="Tablanormal"/>
    <w:next w:val="Listamedia1-nfasis2"/>
    <w:uiPriority w:val="65"/>
    <w:semiHidden/>
    <w:unhideWhenUsed/>
    <w:rsid w:val="002C0DC3"/>
    <w:rPr>
      <w:color w:val="000000" w:themeColor="text1"/>
      <w:lang w:val="es-CR" w:eastAsia="es-C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Cuadrculamedia1-nfasis24">
    <w:name w:val="Cuadrícula media 1 - Énfasis 24"/>
    <w:basedOn w:val="Tablanormal"/>
    <w:next w:val="Cuadrculamedia1-nfasis2"/>
    <w:uiPriority w:val="67"/>
    <w:semiHidden/>
    <w:unhideWhenUsed/>
    <w:rsid w:val="002C0DC3"/>
    <w:rPr>
      <w:lang w:val="es-CR" w:eastAsia="es-C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media2-nfasis24">
    <w:name w:val="Cuadrícula media 2 - Énfasis 24"/>
    <w:basedOn w:val="Tablanormal"/>
    <w:next w:val="Cuadrculamedia2-nfasis2"/>
    <w:uiPriority w:val="68"/>
    <w:semiHidden/>
    <w:unhideWhenUsed/>
    <w:rsid w:val="002C0DC3"/>
    <w:rPr>
      <w:rFonts w:asciiTheme="majorHAnsi" w:eastAsiaTheme="majorEastAsia" w:hAnsiTheme="majorHAnsi" w:cstheme="majorBidi"/>
      <w:color w:val="000000" w:themeColor="text1"/>
      <w:lang w:val="es-CR" w:eastAsia="es-C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Cuadrculamedia2-nfasis54">
    <w:name w:val="Cuadrícula media 2 - Énfasis 54"/>
    <w:basedOn w:val="Tablanormal"/>
    <w:next w:val="Cuadrculamedia2-nfasis5"/>
    <w:uiPriority w:val="68"/>
    <w:semiHidden/>
    <w:unhideWhenUsed/>
    <w:rsid w:val="002C0DC3"/>
    <w:rPr>
      <w:rFonts w:asciiTheme="majorHAnsi" w:eastAsiaTheme="majorEastAsia" w:hAnsiTheme="majorHAnsi" w:cstheme="majorBidi"/>
      <w:color w:val="000000" w:themeColor="text1"/>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staoscura-nfasis24">
    <w:name w:val="Lista oscura - Énfasis 24"/>
    <w:basedOn w:val="Tablanormal"/>
    <w:next w:val="Listaoscura-nfasis2"/>
    <w:uiPriority w:val="70"/>
    <w:semiHidden/>
    <w:unhideWhenUsed/>
    <w:rsid w:val="002C0DC3"/>
    <w:rPr>
      <w:color w:val="FFFFFF" w:themeColor="background1"/>
      <w:lang w:val="es-CR" w:eastAsia="es-CR"/>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Cuadrculamedia3-nfasis24">
    <w:name w:val="Cuadrícula media 3 - Énfasis 24"/>
    <w:basedOn w:val="Tablanormal"/>
    <w:next w:val="Cuadrculamedia3-nfasis2"/>
    <w:uiPriority w:val="69"/>
    <w:semiHidden/>
    <w:unhideWhenUsed/>
    <w:rsid w:val="002C0DC3"/>
    <w:rPr>
      <w:lang w:val="es-CR" w:eastAsia="es-C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Sombreadovistoso-nfasis24">
    <w:name w:val="Sombreado vistoso - Énfasis 24"/>
    <w:basedOn w:val="Tablanormal"/>
    <w:next w:val="Sombreadovistoso-nfasis2"/>
    <w:uiPriority w:val="71"/>
    <w:semiHidden/>
    <w:unhideWhenUsed/>
    <w:rsid w:val="002C0DC3"/>
    <w:rPr>
      <w:color w:val="000000" w:themeColor="text1"/>
      <w:lang w:val="es-CR" w:eastAsia="es-CR"/>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Listavistosa-nfasis24">
    <w:name w:val="Lista vistosa - Énfasis 24"/>
    <w:basedOn w:val="Tablanormal"/>
    <w:next w:val="Listavistosa-nfasis2"/>
    <w:uiPriority w:val="72"/>
    <w:semiHidden/>
    <w:unhideWhenUsed/>
    <w:rsid w:val="002C0DC3"/>
    <w:rPr>
      <w:color w:val="000000" w:themeColor="text1"/>
      <w:lang w:val="es-CR" w:eastAsia="es-CR"/>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uadrculavistosa-nfasis24">
    <w:name w:val="Cuadrícula vistosa - Énfasis 24"/>
    <w:basedOn w:val="Tablanormal"/>
    <w:next w:val="Cuadrculavistosa-nfasis2"/>
    <w:uiPriority w:val="73"/>
    <w:semiHidden/>
    <w:unhideWhenUsed/>
    <w:rsid w:val="002C0DC3"/>
    <w:rPr>
      <w:color w:val="000000" w:themeColor="text1"/>
      <w:lang w:val="es-CR" w:eastAsia="es-CR"/>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staclara-nfasis14">
    <w:name w:val="Lista clara - Énfasis 14"/>
    <w:basedOn w:val="Tablanormal"/>
    <w:next w:val="Listaclara-nfasis1"/>
    <w:uiPriority w:val="61"/>
    <w:semiHidden/>
    <w:unhideWhenUsed/>
    <w:rsid w:val="002C0DC3"/>
    <w:rPr>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4">
    <w:name w:val="Lista clara4"/>
    <w:basedOn w:val="Tablanormal"/>
    <w:next w:val="Listaclara"/>
    <w:uiPriority w:val="61"/>
    <w:semiHidden/>
    <w:unhideWhenUsed/>
    <w:rsid w:val="002C0DC3"/>
    <w:rPr>
      <w:lang w:val="es-CR" w:eastAsia="es-C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edio2-nfasis14">
    <w:name w:val="Sombreado medio 2 - Énfasis 14"/>
    <w:basedOn w:val="Tablanormal"/>
    <w:next w:val="Sombreadomedio2-nfasis1"/>
    <w:uiPriority w:val="64"/>
    <w:semiHidden/>
    <w:unhideWhenUsed/>
    <w:rsid w:val="002C0DC3"/>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34">
    <w:name w:val="Sombreado medio 2 - Énfasis 34"/>
    <w:basedOn w:val="Tablanormal"/>
    <w:next w:val="Sombreadomedio2-nfasis3"/>
    <w:uiPriority w:val="64"/>
    <w:semiHidden/>
    <w:unhideWhenUsed/>
    <w:rsid w:val="002C0DC3"/>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nfasis44">
    <w:name w:val="Lista clara - Énfasis 44"/>
    <w:basedOn w:val="Tablanormal"/>
    <w:next w:val="Listaclara-nfasis4"/>
    <w:uiPriority w:val="61"/>
    <w:semiHidden/>
    <w:unhideWhenUsed/>
    <w:rsid w:val="002C0DC3"/>
    <w:rPr>
      <w:lang w:val="es-CR" w:eastAsia="es-C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laconcuadrcula4-nfasis53">
    <w:name w:val="Tabla con cuadrícula 4 - Énfasis 53"/>
    <w:basedOn w:val="Tablanormal"/>
    <w:next w:val="Tablaconcuadrcula4-nfasis5"/>
    <w:uiPriority w:val="49"/>
    <w:rsid w:val="002C0DC3"/>
    <w:rPr>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21">
    <w:name w:val="Sin lista21"/>
    <w:next w:val="Sinlista"/>
    <w:uiPriority w:val="99"/>
    <w:semiHidden/>
    <w:unhideWhenUsed/>
    <w:rsid w:val="002C0DC3"/>
  </w:style>
  <w:style w:type="table" w:customStyle="1" w:styleId="Tablaconcuadrcula211">
    <w:name w:val="Tabla con cuadrícula211"/>
    <w:basedOn w:val="Tablanormal"/>
    <w:next w:val="Tablaconcuadrcula"/>
    <w:uiPriority w:val="39"/>
    <w:rsid w:val="002C0DC3"/>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2C0DC3"/>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2">
    <w:name w:val="Tabla de lista 3 - Énfasis 32"/>
    <w:basedOn w:val="Tablanormal"/>
    <w:next w:val="Tabladelista3-nfasis3"/>
    <w:uiPriority w:val="48"/>
    <w:rsid w:val="002C0DC3"/>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concuadrcula4-nfasis111">
    <w:name w:val="Tabla con cuadrícula 4 - Énfasis 111"/>
    <w:basedOn w:val="Tablanormal"/>
    <w:uiPriority w:val="49"/>
    <w:rsid w:val="002C0DC3"/>
    <w:rPr>
      <w:rFonts w:ascii="Calibri" w:hAnsi="Calibri"/>
      <w:sz w:val="21"/>
      <w:szCs w:val="21"/>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2">
    <w:name w:val="Tabla con cuadrícula 4 - Énfasis 12"/>
    <w:basedOn w:val="Tablanormal"/>
    <w:next w:val="Tablaconcuadrcula4-nfasis1"/>
    <w:uiPriority w:val="49"/>
    <w:rsid w:val="002C0DC3"/>
    <w:rPr>
      <w:rFonts w:ascii="Calibri" w:eastAsia="Calibri" w:hAnsi="Calibri"/>
      <w:sz w:val="22"/>
      <w:szCs w:val="22"/>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2">
    <w:name w:val="Tabla con cuadrícula 5 oscura - Énfasis 12"/>
    <w:basedOn w:val="Tablanormal"/>
    <w:next w:val="Tablaconcuadrcula5oscura-nfasis1"/>
    <w:uiPriority w:val="50"/>
    <w:rsid w:val="002C0DC3"/>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1">
    <w:name w:val="Tabla con cuadrícula41"/>
    <w:basedOn w:val="Tablanormal"/>
    <w:uiPriority w:val="39"/>
    <w:rsid w:val="002C0DC3"/>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2C0DC3"/>
  </w:style>
  <w:style w:type="numbering" w:customStyle="1" w:styleId="Sinlista41">
    <w:name w:val="Sin lista41"/>
    <w:next w:val="Sinlista"/>
    <w:uiPriority w:val="99"/>
    <w:semiHidden/>
    <w:unhideWhenUsed/>
    <w:rsid w:val="002C0DC3"/>
  </w:style>
  <w:style w:type="table" w:customStyle="1" w:styleId="Tablaconcuadrcula51">
    <w:name w:val="Tabla con cuadrícula51"/>
    <w:basedOn w:val="Tablanormal"/>
    <w:next w:val="Tablaconcuadrcula"/>
    <w:uiPriority w:val="39"/>
    <w:rsid w:val="002C0DC3"/>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
    <w:name w:val="WW8Num32"/>
    <w:basedOn w:val="Sinlista"/>
    <w:rsid w:val="002C0DC3"/>
    <w:pPr>
      <w:numPr>
        <w:numId w:val="19"/>
      </w:numPr>
    </w:pPr>
  </w:style>
  <w:style w:type="numbering" w:customStyle="1" w:styleId="WW8Num22">
    <w:name w:val="WW8Num22"/>
    <w:basedOn w:val="Sinlista"/>
    <w:rsid w:val="002C0DC3"/>
    <w:pPr>
      <w:numPr>
        <w:numId w:val="20"/>
      </w:numPr>
    </w:pPr>
  </w:style>
  <w:style w:type="numbering" w:customStyle="1" w:styleId="Sinlista51">
    <w:name w:val="Sin lista51"/>
    <w:next w:val="Sinlista"/>
    <w:uiPriority w:val="99"/>
    <w:semiHidden/>
    <w:unhideWhenUsed/>
    <w:rsid w:val="002C0DC3"/>
  </w:style>
  <w:style w:type="table" w:customStyle="1" w:styleId="Tablaconcuadrcula61">
    <w:name w:val="Tabla con cuadrícula61"/>
    <w:basedOn w:val="Tablanormal"/>
    <w:next w:val="Tablaconcuadrcula"/>
    <w:uiPriority w:val="39"/>
    <w:rsid w:val="002C0DC3"/>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1">
    <w:name w:val="WW8Num311"/>
    <w:basedOn w:val="Sinlista"/>
    <w:rsid w:val="002C0DC3"/>
    <w:pPr>
      <w:numPr>
        <w:numId w:val="4"/>
      </w:numPr>
    </w:pPr>
  </w:style>
  <w:style w:type="numbering" w:customStyle="1" w:styleId="WW8Num211">
    <w:name w:val="WW8Num211"/>
    <w:basedOn w:val="Sinlista"/>
    <w:rsid w:val="002C0DC3"/>
    <w:pPr>
      <w:numPr>
        <w:numId w:val="10"/>
      </w:numPr>
    </w:pPr>
  </w:style>
  <w:style w:type="paragraph" w:customStyle="1" w:styleId="z-BottomofForm1">
    <w:name w:val="z-Bottom of Form1"/>
    <w:next w:val="Normal"/>
    <w:rsid w:val="002C0DC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Normal"/>
    <w:rsid w:val="002C0DC3"/>
    <w:pPr>
      <w:widowControl w:val="0"/>
      <w:pBdr>
        <w:bottom w:val="double" w:sz="6" w:space="0" w:color="000000"/>
      </w:pBdr>
      <w:autoSpaceDE w:val="0"/>
      <w:autoSpaceDN w:val="0"/>
      <w:adjustRightInd w:val="0"/>
      <w:jc w:val="center"/>
    </w:pPr>
    <w:rPr>
      <w:rFonts w:ascii="Arial" w:hAnsi="Arial" w:cs="Arial"/>
      <w:vanish/>
      <w:sz w:val="16"/>
      <w:szCs w:val="16"/>
    </w:rPr>
  </w:style>
  <w:style w:type="table" w:customStyle="1" w:styleId="TableNormal2">
    <w:name w:val="Table Normal2"/>
    <w:uiPriority w:val="2"/>
    <w:semiHidden/>
    <w:unhideWhenUsed/>
    <w:qFormat/>
    <w:rsid w:val="002C0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 w:id="191426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chart" Target="charts/chart5.xml"/><Relationship Id="rId17" Type="http://schemas.openxmlformats.org/officeDocument/2006/relationships/oleObject" Target="embeddings/Microsoft_Excel_97-2003_Worksheet.xls"/><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oleObject" Target="embeddings/oleObject1.bin"/><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0.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msolanof\Desktop\TRABAJO\ANALISIS\ANALISIS%202020\JUZGADOS%20DE%20COBRO\Cuadros%20Juzgados%20de%20Cobros%202020%20(borrador-mario).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msolanof\AppData\Roaming\Microsoft\Excel\Cuadros%20Juzgados%20de%20Cobros%202020%20(borrador-mario)%20(version%201).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msolanof\Desktop\TRABAJO\ANALISIS\ANALISIS%202020\JUZGADOS%20DE%20COBRO\Cuadros%20Juzgados%20de%20Cobros%202020%20(borrador-mario).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msolanof\Desktop\TRABAJO\ANALISIS\ANALISIS%202020\JUZGADOS%20DE%20COBRO\Cuadros%20Juzgados%20de%20Cobros%202020%20(borrador-mario).xls"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msolanof\Desktop\TRABAJO\ANALISIS\ANALISIS%202020\JUZGADOS%20DE%20COBRO\Cuadros%20Juzgados%20de%20Cobros%202020%20(borrador-mario).xls"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file:///C:\Users\msolanof\Desktop\TRABAJO\ANALISIS\ANALISIS%202020\JUZGADOS%20DE%20COBRO\Cuadros%20Juzgados%20de%20Cobros%202020%20(borrador-mario).xl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C:\Users\msolanof\Desktop\TRABAJO\ANALISIS\ANALISIS%202020\JUZGADOS%20DE%20COBRO\Cuadros%20Juzgados%20de%20Cobros%202020%20(borrador-mario).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oleObject" Target="file:///C:\Users\msolanof\Desktop\TRABAJO\ANALISIS\ANALISIS%202020\JUZGADOS%20DE%20COBRO\Cuadros%20Juzgados%20de%20Cobros%202020%20(borrador-mari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b="1"/>
              <a:t>Razón de Congestión Total y en Trámite, Materia Cobratoria, período 2016-2020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1031946006749159"/>
          <c:y val="0.21330708661417322"/>
          <c:w val="0.8634900637420323"/>
          <c:h val="0.53427905010879606"/>
        </c:manualLayout>
      </c:layout>
      <c:lineChart>
        <c:grouping val="standard"/>
        <c:varyColors val="0"/>
        <c:ser>
          <c:idx val="0"/>
          <c:order val="0"/>
          <c:tx>
            <c:strRef>
              <c:f>Graficos!$A$2</c:f>
              <c:strCache>
                <c:ptCount val="1"/>
                <c:pt idx="0">
                  <c:v>Razón Congestión Total</c:v>
                </c:pt>
              </c:strCache>
            </c:strRef>
          </c:tx>
          <c:spPr>
            <a:ln w="28575" cap="rnd">
              <a:solidFill>
                <a:schemeClr val="accent1"/>
              </a:solidFill>
              <a:round/>
            </a:ln>
            <a:effectLst/>
          </c:spPr>
          <c:marker>
            <c:symbol val="none"/>
          </c:marker>
          <c:dLbls>
            <c:dLbl>
              <c:idx val="0"/>
              <c:layout>
                <c:manualLayout>
                  <c:x val="-2.1428571428571408E-2"/>
                  <c:y val="-4.7713717693836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66-4629-92E1-A2E2001DA329}"/>
                </c:ext>
              </c:extLst>
            </c:dLbl>
            <c:dLbl>
              <c:idx val="1"/>
              <c:layout>
                <c:manualLayout>
                  <c:x val="-3.5714285714285671E-2"/>
                  <c:y val="-4.724409448818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66-4629-92E1-A2E2001DA329}"/>
                </c:ext>
              </c:extLst>
            </c:dLbl>
            <c:dLbl>
              <c:idx val="2"/>
              <c:layout>
                <c:manualLayout>
                  <c:x val="-2.6190476190476191E-2"/>
                  <c:y val="-3.5433070866141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66-4629-92E1-A2E2001DA329}"/>
                </c:ext>
              </c:extLst>
            </c:dLbl>
            <c:dLbl>
              <c:idx val="3"/>
              <c:layout>
                <c:manualLayout>
                  <c:x val="-4.0476190476190478E-2"/>
                  <c:y val="2.755905511811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66-4629-92E1-A2E2001DA3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Graficos!$B$1:$F$1</c:f>
              <c:numCache>
                <c:formatCode>General</c:formatCode>
                <c:ptCount val="5"/>
                <c:pt idx="0">
                  <c:v>2016</c:v>
                </c:pt>
                <c:pt idx="1">
                  <c:v>2017</c:v>
                </c:pt>
                <c:pt idx="2">
                  <c:v>2018</c:v>
                </c:pt>
                <c:pt idx="3">
                  <c:v>2019</c:v>
                </c:pt>
                <c:pt idx="4">
                  <c:v>2020</c:v>
                </c:pt>
              </c:numCache>
            </c:numRef>
          </c:cat>
          <c:val>
            <c:numRef>
              <c:f>Graficos!$B$2:$F$2</c:f>
              <c:numCache>
                <c:formatCode>0\.00</c:formatCode>
                <c:ptCount val="5"/>
                <c:pt idx="0">
                  <c:v>9.3284182671322569</c:v>
                </c:pt>
                <c:pt idx="1">
                  <c:v>10.36881612304729</c:v>
                </c:pt>
                <c:pt idx="2">
                  <c:v>12.054133198319626</c:v>
                </c:pt>
                <c:pt idx="3">
                  <c:v>10.029118620062782</c:v>
                </c:pt>
                <c:pt idx="4">
                  <c:v>11.575578850362861</c:v>
                </c:pt>
              </c:numCache>
            </c:numRef>
          </c:val>
          <c:smooth val="0"/>
          <c:extLst>
            <c:ext xmlns:c16="http://schemas.microsoft.com/office/drawing/2014/chart" uri="{C3380CC4-5D6E-409C-BE32-E72D297353CC}">
              <c16:uniqueId val="{00000004-C166-4629-92E1-A2E2001DA329}"/>
            </c:ext>
          </c:extLst>
        </c:ser>
        <c:ser>
          <c:idx val="1"/>
          <c:order val="1"/>
          <c:tx>
            <c:strRef>
              <c:f>Graficos!$A$3</c:f>
              <c:strCache>
                <c:ptCount val="1"/>
                <c:pt idx="0">
                  <c:v>Razón Congestión en Trámite</c:v>
                </c:pt>
              </c:strCache>
            </c:strRef>
          </c:tx>
          <c:spPr>
            <a:ln w="28575" cap="rnd">
              <a:solidFill>
                <a:schemeClr val="accent2"/>
              </a:solidFill>
              <a:round/>
            </a:ln>
            <a:effectLst/>
          </c:spPr>
          <c:marker>
            <c:symbol val="none"/>
          </c:marker>
          <c:dLbls>
            <c:dLbl>
              <c:idx val="0"/>
              <c:layout>
                <c:manualLayout>
                  <c:x val="-3.5714285714285733E-2"/>
                  <c:y val="4.6874985582250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66-4629-92E1-A2E2001DA329}"/>
                </c:ext>
              </c:extLst>
            </c:dLbl>
            <c:dLbl>
              <c:idx val="1"/>
              <c:layout>
                <c:manualLayout>
                  <c:x val="-2.1428571428571429E-2"/>
                  <c:y val="-3.5433070866141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66-4629-92E1-A2E2001DA329}"/>
                </c:ext>
              </c:extLst>
            </c:dLbl>
            <c:dLbl>
              <c:idx val="2"/>
              <c:layout>
                <c:manualLayout>
                  <c:x val="-3.5714285714285712E-2"/>
                  <c:y val="3.5433070866141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66-4629-92E1-A2E2001DA329}"/>
                </c:ext>
              </c:extLst>
            </c:dLbl>
            <c:dLbl>
              <c:idx val="3"/>
              <c:layout>
                <c:manualLayout>
                  <c:x val="-2.6190476190476191E-2"/>
                  <c:y val="5.5118110236220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66-4629-92E1-A2E2001DA3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Graficos!$B$1:$F$1</c:f>
              <c:numCache>
                <c:formatCode>General</c:formatCode>
                <c:ptCount val="5"/>
                <c:pt idx="0">
                  <c:v>2016</c:v>
                </c:pt>
                <c:pt idx="1">
                  <c:v>2017</c:v>
                </c:pt>
                <c:pt idx="2">
                  <c:v>2018</c:v>
                </c:pt>
                <c:pt idx="3">
                  <c:v>2019</c:v>
                </c:pt>
                <c:pt idx="4">
                  <c:v>2020</c:v>
                </c:pt>
              </c:numCache>
            </c:numRef>
          </c:cat>
          <c:val>
            <c:numRef>
              <c:f>Graficos!$B$3:$F$3</c:f>
              <c:numCache>
                <c:formatCode>0\.00</c:formatCode>
                <c:ptCount val="5"/>
                <c:pt idx="0">
                  <c:v>7.3445957005674378</c:v>
                </c:pt>
                <c:pt idx="1">
                  <c:v>8.0367385669976059</c:v>
                </c:pt>
                <c:pt idx="2">
                  <c:v>9.5833549993842286</c:v>
                </c:pt>
                <c:pt idx="3">
                  <c:v>7.8876687136017249</c:v>
                </c:pt>
                <c:pt idx="4">
                  <c:v>4.8291556272318861</c:v>
                </c:pt>
              </c:numCache>
            </c:numRef>
          </c:val>
          <c:smooth val="0"/>
          <c:extLst>
            <c:ext xmlns:c16="http://schemas.microsoft.com/office/drawing/2014/chart" uri="{C3380CC4-5D6E-409C-BE32-E72D297353CC}">
              <c16:uniqueId val="{00000009-C166-4629-92E1-A2E2001DA329}"/>
            </c:ext>
          </c:extLst>
        </c:ser>
        <c:dLbls>
          <c:showLegendKey val="0"/>
          <c:showVal val="0"/>
          <c:showCatName val="0"/>
          <c:showSerName val="0"/>
          <c:showPercent val="0"/>
          <c:showBubbleSize val="0"/>
        </c:dLbls>
        <c:smooth val="0"/>
        <c:axId val="407821792"/>
        <c:axId val="407823360"/>
      </c:lineChart>
      <c:catAx>
        <c:axId val="407821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23360"/>
        <c:crosses val="autoZero"/>
        <c:auto val="1"/>
        <c:lblAlgn val="ctr"/>
        <c:lblOffset val="100"/>
        <c:noMultiLvlLbl val="0"/>
      </c:catAx>
      <c:valAx>
        <c:axId val="40782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21792"/>
        <c:crosses val="autoZero"/>
        <c:crossBetween val="between"/>
      </c:valAx>
      <c:spPr>
        <a:noFill/>
        <a:ln>
          <a:noFill/>
        </a:ln>
        <a:effectLst/>
      </c:spPr>
    </c:plotArea>
    <c:legend>
      <c:legendPos val="b"/>
      <c:layout>
        <c:manualLayout>
          <c:xMode val="edge"/>
          <c:yMode val="edge"/>
          <c:x val="0.16275553055868019"/>
          <c:y val="0.8772361108936928"/>
          <c:w val="0.68877446569178857"/>
          <c:h val="6.70978851301639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Tasa de Pendencia Total, Trámite y en Ejecución, Materia Cobratoria, período 2016-2020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9.9768841394825641E-2"/>
          <c:y val="0.22857618484792994"/>
          <c:w val="0.90012152246659549"/>
          <c:h val="0.57341279485941632"/>
        </c:manualLayout>
      </c:layout>
      <c:lineChart>
        <c:grouping val="standard"/>
        <c:varyColors val="0"/>
        <c:ser>
          <c:idx val="0"/>
          <c:order val="0"/>
          <c:tx>
            <c:strRef>
              <c:f>Graficos!$A$31</c:f>
              <c:strCache>
                <c:ptCount val="1"/>
                <c:pt idx="0">
                  <c:v>Tasa Pendencia Total</c:v>
                </c:pt>
              </c:strCache>
            </c:strRef>
          </c:tx>
          <c:spPr>
            <a:ln w="28575" cap="rnd">
              <a:solidFill>
                <a:schemeClr val="accent1"/>
              </a:solidFill>
              <a:round/>
            </a:ln>
            <a:effectLst/>
          </c:spPr>
          <c:marker>
            <c:symbol val="none"/>
          </c:marker>
          <c:dLbls>
            <c:dLbl>
              <c:idx val="0"/>
              <c:layout>
                <c:manualLayout>
                  <c:x val="-7.1641791044776137E-2"/>
                  <c:y val="-3.7996106834298012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AF-49FF-8DCB-A12058C28409}"/>
                </c:ext>
              </c:extLst>
            </c:dLbl>
            <c:dLbl>
              <c:idx val="1"/>
              <c:layout>
                <c:manualLayout>
                  <c:x val="-2.1492537313432879E-2"/>
                  <c:y val="-3.7305699481865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AF-49FF-8DCB-A12058C28409}"/>
                </c:ext>
              </c:extLst>
            </c:dLbl>
            <c:dLbl>
              <c:idx val="2"/>
              <c:layout>
                <c:manualLayout>
                  <c:x val="-7.1641791044776996E-3"/>
                  <c:y val="-5.3886010362694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AF-49FF-8DCB-A12058C28409}"/>
                </c:ext>
              </c:extLst>
            </c:dLbl>
            <c:dLbl>
              <c:idx val="3"/>
              <c:layout>
                <c:manualLayout>
                  <c:x val="-1.4328358208955311E-2"/>
                  <c:y val="-4.55958549222797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AF-49FF-8DCB-A12058C28409}"/>
                </c:ext>
              </c:extLst>
            </c:dLbl>
            <c:dLbl>
              <c:idx val="4"/>
              <c:layout>
                <c:manualLayout>
                  <c:x val="-4.7761194029850747E-3"/>
                  <c:y val="-1.2435233160621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AF-49FF-8DCB-A12058C284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Graficos!$B$30:$F$30</c:f>
              <c:numCache>
                <c:formatCode>General</c:formatCode>
                <c:ptCount val="5"/>
                <c:pt idx="0">
                  <c:v>2016</c:v>
                </c:pt>
                <c:pt idx="1">
                  <c:v>2017</c:v>
                </c:pt>
                <c:pt idx="2">
                  <c:v>2018</c:v>
                </c:pt>
                <c:pt idx="3">
                  <c:v>2019</c:v>
                </c:pt>
                <c:pt idx="4">
                  <c:v>2020</c:v>
                </c:pt>
              </c:numCache>
            </c:numRef>
          </c:cat>
          <c:val>
            <c:numRef>
              <c:f>Graficos!$B$31:$F$31</c:f>
              <c:numCache>
                <c:formatCode>0\.0</c:formatCode>
                <c:ptCount val="5"/>
                <c:pt idx="0">
                  <c:v>66.199353737919111</c:v>
                </c:pt>
                <c:pt idx="1">
                  <c:v>73.260152239237769</c:v>
                </c:pt>
                <c:pt idx="2">
                  <c:v>75.145985647838742</c:v>
                </c:pt>
                <c:pt idx="3">
                  <c:v>75.929100255243142</c:v>
                </c:pt>
                <c:pt idx="4">
                  <c:v>81.933019513999866</c:v>
                </c:pt>
              </c:numCache>
            </c:numRef>
          </c:val>
          <c:smooth val="0"/>
          <c:extLst>
            <c:ext xmlns:c16="http://schemas.microsoft.com/office/drawing/2014/chart" uri="{C3380CC4-5D6E-409C-BE32-E72D297353CC}">
              <c16:uniqueId val="{00000005-1EAF-49FF-8DCB-A12058C28409}"/>
            </c:ext>
          </c:extLst>
        </c:ser>
        <c:ser>
          <c:idx val="1"/>
          <c:order val="1"/>
          <c:tx>
            <c:strRef>
              <c:f>Graficos!$A$32</c:f>
              <c:strCache>
                <c:ptCount val="1"/>
                <c:pt idx="0">
                  <c:v>Tasa Pendencia Trámite</c:v>
                </c:pt>
              </c:strCache>
            </c:strRef>
          </c:tx>
          <c:spPr>
            <a:ln w="28575" cap="rnd">
              <a:solidFill>
                <a:schemeClr val="accent2"/>
              </a:solidFill>
              <a:round/>
            </a:ln>
            <a:effectLst/>
          </c:spPr>
          <c:marker>
            <c:symbol val="none"/>
          </c:marker>
          <c:dLbls>
            <c:dLbl>
              <c:idx val="0"/>
              <c:layout>
                <c:manualLayout>
                  <c:x val="-6.447761194029851E-2"/>
                  <c:y val="1.2435233160621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AF-49FF-8DCB-A12058C28409}"/>
                </c:ext>
              </c:extLst>
            </c:dLbl>
            <c:dLbl>
              <c:idx val="1"/>
              <c:layout>
                <c:manualLayout>
                  <c:x val="-2.8656716417910448E-2"/>
                  <c:y val="-4.1450777202072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AF-49FF-8DCB-A12058C28409}"/>
                </c:ext>
              </c:extLst>
            </c:dLbl>
            <c:dLbl>
              <c:idx val="2"/>
              <c:layout>
                <c:manualLayout>
                  <c:x val="-1.9104477611940299E-2"/>
                  <c:y val="-3.316062176165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AF-49FF-8DCB-A12058C28409}"/>
                </c:ext>
              </c:extLst>
            </c:dLbl>
            <c:dLbl>
              <c:idx val="3"/>
              <c:layout>
                <c:manualLayout>
                  <c:x val="0"/>
                  <c:y val="3.8054968287526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AF-49FF-8DCB-A12058C284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Graficos!$B$30:$F$30</c:f>
              <c:numCache>
                <c:formatCode>General</c:formatCode>
                <c:ptCount val="5"/>
                <c:pt idx="0">
                  <c:v>2016</c:v>
                </c:pt>
                <c:pt idx="1">
                  <c:v>2017</c:v>
                </c:pt>
                <c:pt idx="2">
                  <c:v>2018</c:v>
                </c:pt>
                <c:pt idx="3">
                  <c:v>2019</c:v>
                </c:pt>
                <c:pt idx="4">
                  <c:v>2020</c:v>
                </c:pt>
              </c:numCache>
            </c:numRef>
          </c:cat>
          <c:val>
            <c:numRef>
              <c:f>Graficos!$B$32:$F$32</c:f>
              <c:numCache>
                <c:formatCode>0\.0</c:formatCode>
                <c:ptCount val="5"/>
                <c:pt idx="0">
                  <c:v>44.953633909476565</c:v>
                </c:pt>
                <c:pt idx="1">
                  <c:v>50.789853628714212</c:v>
                </c:pt>
                <c:pt idx="2">
                  <c:v>54.830409119855631</c:v>
                </c:pt>
                <c:pt idx="3">
                  <c:v>55.36665195085935</c:v>
                </c:pt>
                <c:pt idx="4">
                  <c:v>57.6</c:v>
                </c:pt>
              </c:numCache>
            </c:numRef>
          </c:val>
          <c:smooth val="0"/>
          <c:extLst>
            <c:ext xmlns:c16="http://schemas.microsoft.com/office/drawing/2014/chart" uri="{C3380CC4-5D6E-409C-BE32-E72D297353CC}">
              <c16:uniqueId val="{0000000A-1EAF-49FF-8DCB-A12058C28409}"/>
            </c:ext>
          </c:extLst>
        </c:ser>
        <c:ser>
          <c:idx val="2"/>
          <c:order val="2"/>
          <c:tx>
            <c:strRef>
              <c:f>Graficos!$A$33</c:f>
              <c:strCache>
                <c:ptCount val="1"/>
                <c:pt idx="0">
                  <c:v>Tasa Pendencia Ejecución</c:v>
                </c:pt>
              </c:strCache>
            </c:strRef>
          </c:tx>
          <c:spPr>
            <a:ln w="28575" cap="rnd">
              <a:solidFill>
                <a:schemeClr val="accent3"/>
              </a:solidFill>
              <a:round/>
            </a:ln>
            <a:effectLst/>
          </c:spPr>
          <c:marker>
            <c:symbol val="none"/>
          </c:marker>
          <c:dLbls>
            <c:dLbl>
              <c:idx val="0"/>
              <c:layout>
                <c:manualLayout>
                  <c:x val="-2.3809523809524245E-3"/>
                  <c:y val="2.9598308668076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AF-49FF-8DCB-A12058C28409}"/>
                </c:ext>
              </c:extLst>
            </c:dLbl>
            <c:dLbl>
              <c:idx val="1"/>
              <c:layout>
                <c:manualLayout>
                  <c:x val="-9.5238095238095247E-3"/>
                  <c:y val="-2.5369978858351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AF-49FF-8DCB-A12058C28409}"/>
                </c:ext>
              </c:extLst>
            </c:dLbl>
            <c:dLbl>
              <c:idx val="2"/>
              <c:layout>
                <c:manualLayout>
                  <c:x val="0"/>
                  <c:y val="2.9598308668076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AF-49FF-8DCB-A12058C28409}"/>
                </c:ext>
              </c:extLst>
            </c:dLbl>
            <c:dLbl>
              <c:idx val="3"/>
              <c:layout>
                <c:manualLayout>
                  <c:x val="0"/>
                  <c:y val="-3.8054968287526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AF-49FF-8DCB-A12058C284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Graficos!$B$30:$F$30</c:f>
              <c:numCache>
                <c:formatCode>General</c:formatCode>
                <c:ptCount val="5"/>
                <c:pt idx="0">
                  <c:v>2016</c:v>
                </c:pt>
                <c:pt idx="1">
                  <c:v>2017</c:v>
                </c:pt>
                <c:pt idx="2">
                  <c:v>2018</c:v>
                </c:pt>
                <c:pt idx="3">
                  <c:v>2019</c:v>
                </c:pt>
                <c:pt idx="4">
                  <c:v>2020</c:v>
                </c:pt>
              </c:numCache>
            </c:numRef>
          </c:cat>
          <c:val>
            <c:numRef>
              <c:f>Graficos!$B$33:$F$33</c:f>
              <c:numCache>
                <c:formatCode>0\.0</c:formatCode>
                <c:ptCount val="5"/>
                <c:pt idx="0">
                  <c:v>21.245719828442546</c:v>
                </c:pt>
                <c:pt idx="1">
                  <c:v>22.47029861052356</c:v>
                </c:pt>
                <c:pt idx="2">
                  <c:v>20.315576527983115</c:v>
                </c:pt>
                <c:pt idx="3">
                  <c:v>20.562448304383789</c:v>
                </c:pt>
                <c:pt idx="4">
                  <c:v>24.3</c:v>
                </c:pt>
              </c:numCache>
            </c:numRef>
          </c:val>
          <c:smooth val="0"/>
          <c:extLst>
            <c:ext xmlns:c16="http://schemas.microsoft.com/office/drawing/2014/chart" uri="{C3380CC4-5D6E-409C-BE32-E72D297353CC}">
              <c16:uniqueId val="{0000000F-1EAF-49FF-8DCB-A12058C28409}"/>
            </c:ext>
          </c:extLst>
        </c:ser>
        <c:dLbls>
          <c:showLegendKey val="0"/>
          <c:showVal val="0"/>
          <c:showCatName val="0"/>
          <c:showSerName val="0"/>
          <c:showPercent val="0"/>
          <c:showBubbleSize val="0"/>
        </c:dLbls>
        <c:smooth val="0"/>
        <c:axId val="407820224"/>
        <c:axId val="407821400"/>
      </c:lineChart>
      <c:catAx>
        <c:axId val="407820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layout>
            <c:manualLayout>
              <c:xMode val="edge"/>
              <c:yMode val="edge"/>
              <c:x val="0.52564491938507685"/>
              <c:y val="0.857795608529906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21400"/>
        <c:crosses val="autoZero"/>
        <c:auto val="1"/>
        <c:lblAlgn val="ctr"/>
        <c:lblOffset val="100"/>
        <c:noMultiLvlLbl val="0"/>
      </c:catAx>
      <c:valAx>
        <c:axId val="407821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20224"/>
        <c:crosses val="autoZero"/>
        <c:crossBetween val="between"/>
      </c:valAx>
      <c:spPr>
        <a:noFill/>
        <a:ln>
          <a:noFill/>
        </a:ln>
        <a:effectLst/>
      </c:spPr>
    </c:plotArea>
    <c:legend>
      <c:legendPos val="b"/>
      <c:layout>
        <c:manualLayout>
          <c:xMode val="edge"/>
          <c:yMode val="edge"/>
          <c:x val="9.0476190476190474E-2"/>
          <c:y val="0.738371593614223"/>
          <c:w val="0.89047619047619042"/>
          <c:h val="5.44402457092440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Tasa Resolución e</a:t>
            </a:r>
            <a:r>
              <a:rPr lang="es-CR" baseline="0"/>
              <a:t> Inactividad, Materia Cobratoria, período 2016-2020</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0949200653903984"/>
          <c:y val="0.22434782608695653"/>
          <c:w val="0.86412905703860188"/>
          <c:h val="0.48447124489185689"/>
        </c:manualLayout>
      </c:layout>
      <c:lineChart>
        <c:grouping val="standard"/>
        <c:varyColors val="0"/>
        <c:ser>
          <c:idx val="0"/>
          <c:order val="0"/>
          <c:tx>
            <c:strRef>
              <c:f>Graficos!$A$53</c:f>
              <c:strCache>
                <c:ptCount val="1"/>
                <c:pt idx="0">
                  <c:v>Tasa de Resolución</c:v>
                </c:pt>
              </c:strCache>
            </c:strRef>
          </c:tx>
          <c:spPr>
            <a:ln w="28575" cap="rnd">
              <a:solidFill>
                <a:schemeClr val="accent1"/>
              </a:solidFill>
              <a:round/>
            </a:ln>
            <a:effectLst/>
          </c:spPr>
          <c:marker>
            <c:symbol val="none"/>
          </c:marker>
          <c:dLbls>
            <c:dLbl>
              <c:idx val="0"/>
              <c:layout>
                <c:manualLayout>
                  <c:x val="-3.3573141486810551E-2"/>
                  <c:y val="-3.7267080745341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BA-40E2-BDEE-D12134CB4C96}"/>
                </c:ext>
              </c:extLst>
            </c:dLbl>
            <c:dLbl>
              <c:idx val="1"/>
              <c:layout>
                <c:manualLayout>
                  <c:x val="0"/>
                  <c:y val="-4.968944099378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BA-40E2-BDEE-D12134CB4C96}"/>
                </c:ext>
              </c:extLst>
            </c:dLbl>
            <c:dLbl>
              <c:idx val="2"/>
              <c:layout>
                <c:manualLayout>
                  <c:x val="-1.9184652278177457E-2"/>
                  <c:y val="2.8985507246376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BA-40E2-BDEE-D12134CB4C96}"/>
                </c:ext>
              </c:extLst>
            </c:dLbl>
            <c:dLbl>
              <c:idx val="3"/>
              <c:layout>
                <c:manualLayout>
                  <c:x val="-2.3980815347721823E-2"/>
                  <c:y val="-3.7267080745341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BA-40E2-BDEE-D12134CB4C96}"/>
                </c:ext>
              </c:extLst>
            </c:dLbl>
            <c:dLbl>
              <c:idx val="4"/>
              <c:layout>
                <c:manualLayout>
                  <c:x val="-1.4388489208633094E-2"/>
                  <c:y val="-5.383022774327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BA-40E2-BDEE-D12134CB4C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Graficos!$B$52:$F$52</c:f>
              <c:numCache>
                <c:formatCode>General</c:formatCode>
                <c:ptCount val="5"/>
                <c:pt idx="0">
                  <c:v>2016</c:v>
                </c:pt>
                <c:pt idx="1">
                  <c:v>2017</c:v>
                </c:pt>
                <c:pt idx="2">
                  <c:v>2018</c:v>
                </c:pt>
                <c:pt idx="3">
                  <c:v>2019</c:v>
                </c:pt>
                <c:pt idx="4">
                  <c:v>2020</c:v>
                </c:pt>
              </c:numCache>
            </c:numRef>
          </c:cat>
          <c:val>
            <c:numRef>
              <c:f>Graficos!$B$53:$F$53</c:f>
              <c:numCache>
                <c:formatCode>0\.0</c:formatCode>
                <c:ptCount val="5"/>
                <c:pt idx="0">
                  <c:v>10.806921899285957</c:v>
                </c:pt>
                <c:pt idx="1">
                  <c:v>9.7285185195293629</c:v>
                </c:pt>
                <c:pt idx="2">
                  <c:v>9.1091668860670616</c:v>
                </c:pt>
                <c:pt idx="3">
                  <c:v>13.301364510547176</c:v>
                </c:pt>
                <c:pt idx="4">
                  <c:v>9.6654911561198702</c:v>
                </c:pt>
              </c:numCache>
            </c:numRef>
          </c:val>
          <c:smooth val="0"/>
          <c:extLst>
            <c:ext xmlns:c16="http://schemas.microsoft.com/office/drawing/2014/chart" uri="{C3380CC4-5D6E-409C-BE32-E72D297353CC}">
              <c16:uniqueId val="{00000005-E7BA-40E2-BDEE-D12134CB4C96}"/>
            </c:ext>
          </c:extLst>
        </c:ser>
        <c:ser>
          <c:idx val="1"/>
          <c:order val="1"/>
          <c:tx>
            <c:strRef>
              <c:f>Graficos!$A$54</c:f>
              <c:strCache>
                <c:ptCount val="1"/>
                <c:pt idx="0">
                  <c:v>Tasa de Inactividad</c:v>
                </c:pt>
              </c:strCache>
            </c:strRef>
          </c:tx>
          <c:spPr>
            <a:ln w="28575" cap="rnd">
              <a:solidFill>
                <a:schemeClr val="accent2"/>
              </a:solidFill>
              <a:round/>
            </a:ln>
            <a:effectLst/>
          </c:spPr>
          <c:marker>
            <c:symbol val="none"/>
          </c:marker>
          <c:dLbls>
            <c:dLbl>
              <c:idx val="1"/>
              <c:layout>
                <c:manualLayout>
                  <c:x val="-7.1942446043165029E-3"/>
                  <c:y val="-2.4844720496894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BA-40E2-BDEE-D12134CB4C96}"/>
                </c:ext>
              </c:extLst>
            </c:dLbl>
            <c:dLbl>
              <c:idx val="2"/>
              <c:layout>
                <c:manualLayout>
                  <c:x val="-9.5923261390887284E-3"/>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BA-40E2-BDEE-D12134CB4C96}"/>
                </c:ext>
              </c:extLst>
            </c:dLbl>
            <c:dLbl>
              <c:idx val="3"/>
              <c:layout>
                <c:manualLayout>
                  <c:x val="-1.4388489208633181E-2"/>
                  <c:y val="4.9689440993788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BA-40E2-BDEE-D12134CB4C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Graficos!$B$52:$F$52</c:f>
              <c:numCache>
                <c:formatCode>General</c:formatCode>
                <c:ptCount val="5"/>
                <c:pt idx="0">
                  <c:v>2016</c:v>
                </c:pt>
                <c:pt idx="1">
                  <c:v>2017</c:v>
                </c:pt>
                <c:pt idx="2">
                  <c:v>2018</c:v>
                </c:pt>
                <c:pt idx="3">
                  <c:v>2019</c:v>
                </c:pt>
                <c:pt idx="4">
                  <c:v>2020</c:v>
                </c:pt>
              </c:numCache>
            </c:numRef>
          </c:cat>
          <c:val>
            <c:numRef>
              <c:f>Graficos!$B$54:$F$54</c:f>
              <c:numCache>
                <c:formatCode>0\.0</c:formatCode>
                <c:ptCount val="5"/>
                <c:pt idx="0">
                  <c:v>22.993724362794936</c:v>
                </c:pt>
                <c:pt idx="1">
                  <c:v>17.011329241232868</c:v>
                </c:pt>
                <c:pt idx="2">
                  <c:v>15.7448474660942</c:v>
                </c:pt>
                <c:pt idx="3">
                  <c:v>10.769535234209684</c:v>
                </c:pt>
                <c:pt idx="4">
                  <c:v>8.4014893298802704</c:v>
                </c:pt>
              </c:numCache>
            </c:numRef>
          </c:val>
          <c:smooth val="0"/>
          <c:extLst>
            <c:ext xmlns:c16="http://schemas.microsoft.com/office/drawing/2014/chart" uri="{C3380CC4-5D6E-409C-BE32-E72D297353CC}">
              <c16:uniqueId val="{00000009-E7BA-40E2-BDEE-D12134CB4C96}"/>
            </c:ext>
          </c:extLst>
        </c:ser>
        <c:dLbls>
          <c:showLegendKey val="0"/>
          <c:showVal val="0"/>
          <c:showCatName val="0"/>
          <c:showSerName val="0"/>
          <c:showPercent val="0"/>
          <c:showBubbleSize val="0"/>
        </c:dLbls>
        <c:smooth val="0"/>
        <c:axId val="407818656"/>
        <c:axId val="407816696"/>
      </c:lineChart>
      <c:catAx>
        <c:axId val="407818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407816696"/>
        <c:crosses val="autoZero"/>
        <c:auto val="1"/>
        <c:lblAlgn val="ctr"/>
        <c:lblOffset val="100"/>
        <c:noMultiLvlLbl val="0"/>
      </c:catAx>
      <c:valAx>
        <c:axId val="40781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18656"/>
        <c:crosses val="autoZero"/>
        <c:crossBetween val="between"/>
      </c:valAx>
      <c:spPr>
        <a:noFill/>
        <a:ln>
          <a:noFill/>
        </a:ln>
        <a:effectLst/>
      </c:spPr>
    </c:plotArea>
    <c:legend>
      <c:legendPos val="b"/>
      <c:layout>
        <c:manualLayout>
          <c:xMode val="edge"/>
          <c:yMode val="edge"/>
          <c:x val="0.24392997331557498"/>
          <c:y val="0.85558957304250016"/>
          <c:w val="0.53532608542908933"/>
          <c:h val="7.12030300009967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Casos Entrados en Materia Cobratoria, período 2016-2020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3787574066563171"/>
          <c:y val="0.20784318276004973"/>
          <c:w val="0.83608881927059298"/>
          <c:h val="0.58345395772896813"/>
        </c:manualLayout>
      </c:layout>
      <c:lineChart>
        <c:grouping val="standard"/>
        <c:varyColors val="0"/>
        <c:ser>
          <c:idx val="0"/>
          <c:order val="0"/>
          <c:tx>
            <c:strRef>
              <c:f>Graficos!$A$75</c:f>
              <c:strCache>
                <c:ptCount val="1"/>
                <c:pt idx="0">
                  <c:v>Casos Entrados</c:v>
                </c:pt>
              </c:strCache>
            </c:strRef>
          </c:tx>
          <c:spPr>
            <a:ln w="28575" cap="rnd">
              <a:solidFill>
                <a:schemeClr val="accent1"/>
              </a:solidFill>
              <a:round/>
            </a:ln>
            <a:effectLst/>
          </c:spPr>
          <c:marker>
            <c:symbol val="none"/>
          </c:marker>
          <c:dLbls>
            <c:dLbl>
              <c:idx val="0"/>
              <c:layout>
                <c:manualLayout>
                  <c:x val="-9.2307692307692313E-2"/>
                  <c:y val="-4.1279669762641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BA-485C-9D0F-980AF4B54EE5}"/>
                </c:ext>
              </c:extLst>
            </c:dLbl>
            <c:dLbl>
              <c:idx val="1"/>
              <c:layout>
                <c:manualLayout>
                  <c:x val="-6.3905325443786978E-2"/>
                  <c:y val="-6.1919504643962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BA-485C-9D0F-980AF4B54EE5}"/>
                </c:ext>
              </c:extLst>
            </c:dLbl>
            <c:dLbl>
              <c:idx val="2"/>
              <c:layout>
                <c:manualLayout>
                  <c:x val="-4.2603550295857988E-2"/>
                  <c:y val="-4.9535603715170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BA-485C-9D0F-980AF4B54EE5}"/>
                </c:ext>
              </c:extLst>
            </c:dLbl>
            <c:dLbl>
              <c:idx val="3"/>
              <c:layout>
                <c:manualLayout>
                  <c:x val="3.31360946745561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BA-485C-9D0F-980AF4B54E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Graficos!$B$74:$F$74</c:f>
              <c:numCache>
                <c:formatCode>General</c:formatCode>
                <c:ptCount val="5"/>
                <c:pt idx="0">
                  <c:v>2016</c:v>
                </c:pt>
                <c:pt idx="1">
                  <c:v>2017</c:v>
                </c:pt>
                <c:pt idx="2">
                  <c:v>2018</c:v>
                </c:pt>
                <c:pt idx="3">
                  <c:v>2019</c:v>
                </c:pt>
                <c:pt idx="4">
                  <c:v>2020</c:v>
                </c:pt>
              </c:numCache>
            </c:numRef>
          </c:cat>
          <c:val>
            <c:numRef>
              <c:f>Graficos!$B$75:$F$75</c:f>
              <c:numCache>
                <c:formatCode>#,##0</c:formatCode>
                <c:ptCount val="5"/>
                <c:pt idx="0">
                  <c:v>164522</c:v>
                </c:pt>
                <c:pt idx="1">
                  <c:v>199706</c:v>
                </c:pt>
                <c:pt idx="2">
                  <c:v>244251</c:v>
                </c:pt>
                <c:pt idx="3">
                  <c:v>237736</c:v>
                </c:pt>
                <c:pt idx="4">
                  <c:v>182485</c:v>
                </c:pt>
              </c:numCache>
            </c:numRef>
          </c:val>
          <c:smooth val="0"/>
          <c:extLst>
            <c:ext xmlns:c16="http://schemas.microsoft.com/office/drawing/2014/chart" uri="{C3380CC4-5D6E-409C-BE32-E72D297353CC}">
              <c16:uniqueId val="{00000004-49BA-485C-9D0F-980AF4B54EE5}"/>
            </c:ext>
          </c:extLst>
        </c:ser>
        <c:dLbls>
          <c:showLegendKey val="0"/>
          <c:showVal val="0"/>
          <c:showCatName val="0"/>
          <c:showSerName val="0"/>
          <c:showPercent val="0"/>
          <c:showBubbleSize val="0"/>
        </c:dLbls>
        <c:smooth val="0"/>
        <c:axId val="407813168"/>
        <c:axId val="407811208"/>
      </c:lineChart>
      <c:catAx>
        <c:axId val="407813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407811208"/>
        <c:crosses val="autoZero"/>
        <c:auto val="1"/>
        <c:lblAlgn val="ctr"/>
        <c:lblOffset val="100"/>
        <c:noMultiLvlLbl val="0"/>
      </c:catAx>
      <c:valAx>
        <c:axId val="407811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Expedientes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1316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1">
                <a:solidFill>
                  <a:sysClr val="windowText" lastClr="000000"/>
                </a:solidFill>
              </a:rPr>
              <a:t>Casos Terminados en Materia Cobratoria, período 2016-2020</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4399304266071217"/>
          <c:y val="0.1796055165072557"/>
          <c:w val="0.8297068985779763"/>
          <c:h val="0.61565222836211086"/>
        </c:manualLayout>
      </c:layout>
      <c:lineChart>
        <c:grouping val="standard"/>
        <c:varyColors val="0"/>
        <c:ser>
          <c:idx val="0"/>
          <c:order val="0"/>
          <c:tx>
            <c:strRef>
              <c:f>Graficos!$A$103</c:f>
              <c:strCache>
                <c:ptCount val="1"/>
                <c:pt idx="0">
                  <c:v>Casos Terminados</c:v>
                </c:pt>
              </c:strCache>
            </c:strRef>
          </c:tx>
          <c:spPr>
            <a:ln w="28575" cap="rnd">
              <a:solidFill>
                <a:schemeClr val="accent1"/>
              </a:solidFill>
              <a:round/>
            </a:ln>
            <a:effectLst/>
          </c:spPr>
          <c:marker>
            <c:symbol val="none"/>
          </c:marker>
          <c:dLbls>
            <c:dLbl>
              <c:idx val="0"/>
              <c:layout>
                <c:manualLayout>
                  <c:x val="-4.3036461446503291E-2"/>
                  <c:y val="-3.1189083820662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E9-4BCE-B096-61FD5DA8FDCD}"/>
                </c:ext>
              </c:extLst>
            </c:dLbl>
            <c:dLbl>
              <c:idx val="1"/>
              <c:layout>
                <c:manualLayout>
                  <c:x val="-3.1081888822474597E-2"/>
                  <c:y val="3.5087719298245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E9-4BCE-B096-61FD5DA8FDCD}"/>
                </c:ext>
              </c:extLst>
            </c:dLbl>
            <c:dLbl>
              <c:idx val="3"/>
              <c:layout>
                <c:manualLayout>
                  <c:x val="0"/>
                  <c:y val="-1.1695906432748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E9-4BCE-B096-61FD5DA8FDC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Graficos!$B$102:$F$102</c:f>
              <c:numCache>
                <c:formatCode>General</c:formatCode>
                <c:ptCount val="5"/>
                <c:pt idx="0">
                  <c:v>2016</c:v>
                </c:pt>
                <c:pt idx="1">
                  <c:v>2017</c:v>
                </c:pt>
                <c:pt idx="2">
                  <c:v>2018</c:v>
                </c:pt>
                <c:pt idx="3">
                  <c:v>2019</c:v>
                </c:pt>
                <c:pt idx="4">
                  <c:v>2020</c:v>
                </c:pt>
              </c:numCache>
            </c:numRef>
          </c:cat>
          <c:val>
            <c:numRef>
              <c:f>Graficos!$B$103:$F$103</c:f>
              <c:numCache>
                <c:formatCode>#,##0</c:formatCode>
                <c:ptCount val="5"/>
                <c:pt idx="0">
                  <c:v>73979</c:v>
                </c:pt>
                <c:pt idx="1">
                  <c:v>71290</c:v>
                </c:pt>
                <c:pt idx="2">
                  <c:v>80961</c:v>
                </c:pt>
                <c:pt idx="3">
                  <c:v>131063</c:v>
                </c:pt>
                <c:pt idx="4">
                  <c:v>98230</c:v>
                </c:pt>
              </c:numCache>
            </c:numRef>
          </c:val>
          <c:smooth val="0"/>
          <c:extLst>
            <c:ext xmlns:c16="http://schemas.microsoft.com/office/drawing/2014/chart" uri="{C3380CC4-5D6E-409C-BE32-E72D297353CC}">
              <c16:uniqueId val="{00000003-2BE9-4BCE-B096-61FD5DA8FDCD}"/>
            </c:ext>
          </c:extLst>
        </c:ser>
        <c:dLbls>
          <c:showLegendKey val="0"/>
          <c:showVal val="0"/>
          <c:showCatName val="0"/>
          <c:showSerName val="0"/>
          <c:showPercent val="0"/>
          <c:showBubbleSize val="0"/>
        </c:dLbls>
        <c:smooth val="0"/>
        <c:axId val="407818264"/>
        <c:axId val="407819440"/>
      </c:lineChart>
      <c:catAx>
        <c:axId val="407818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407819440"/>
        <c:crosses val="autoZero"/>
        <c:auto val="1"/>
        <c:lblAlgn val="ctr"/>
        <c:lblOffset val="100"/>
        <c:noMultiLvlLbl val="0"/>
      </c:catAx>
      <c:valAx>
        <c:axId val="40781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Casos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18264"/>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Casos Terminados Sin Incompetencias, Materia Cobratoria, período</a:t>
            </a:r>
            <a:r>
              <a:rPr lang="en-US" b="1" baseline="0">
                <a:solidFill>
                  <a:sysClr val="windowText" lastClr="000000"/>
                </a:solidFill>
              </a:rPr>
              <a:t> 2016-2020</a:t>
            </a:r>
            <a:r>
              <a:rPr lang="en-US" b="1">
                <a:solidFill>
                  <a:sysClr val="windowText" lastClr="000000"/>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4749698517415055"/>
          <c:y val="0.21650349650349651"/>
          <c:w val="0.82639018940200037"/>
          <c:h val="0.61471144420200496"/>
        </c:manualLayout>
      </c:layout>
      <c:lineChart>
        <c:grouping val="standard"/>
        <c:varyColors val="0"/>
        <c:ser>
          <c:idx val="0"/>
          <c:order val="0"/>
          <c:tx>
            <c:strRef>
              <c:f>Graficos!$A$125</c:f>
              <c:strCache>
                <c:ptCount val="1"/>
                <c:pt idx="0">
                  <c:v>Casos Terminados sin Incompetencias</c:v>
                </c:pt>
              </c:strCache>
            </c:strRef>
          </c:tx>
          <c:spPr>
            <a:ln w="28575" cap="rnd">
              <a:solidFill>
                <a:schemeClr val="accent1"/>
              </a:solidFill>
              <a:round/>
            </a:ln>
            <a:effectLst/>
          </c:spPr>
          <c:marker>
            <c:symbol val="none"/>
          </c:marker>
          <c:dLbls>
            <c:dLbl>
              <c:idx val="0"/>
              <c:layout>
                <c:manualLayout>
                  <c:x val="-4.9851632047477765E-2"/>
                  <c:y val="-5.594405594405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43-41DD-903A-B23305B55C7F}"/>
                </c:ext>
              </c:extLst>
            </c:dLbl>
            <c:dLbl>
              <c:idx val="1"/>
              <c:layout>
                <c:manualLayout>
                  <c:x val="-4.0356083086053415E-2"/>
                  <c:y val="5.1948051948051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43-41DD-903A-B23305B55C7F}"/>
                </c:ext>
              </c:extLst>
            </c:dLbl>
            <c:dLbl>
              <c:idx val="2"/>
              <c:layout>
                <c:manualLayout>
                  <c:x val="-4.2729970326409586E-2"/>
                  <c:y val="-5.1948051948051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43-41DD-903A-B23305B55C7F}"/>
                </c:ext>
              </c:extLst>
            </c:dLbl>
            <c:dLbl>
              <c:idx val="3"/>
              <c:layout>
                <c:manualLayout>
                  <c:x val="-9.4955489614244187E-3"/>
                  <c:y val="-3.9960039960039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43-41DD-903A-B23305B55C7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Graficos!$B$124:$F$124</c:f>
              <c:numCache>
                <c:formatCode>General</c:formatCode>
                <c:ptCount val="5"/>
                <c:pt idx="0">
                  <c:v>2016</c:v>
                </c:pt>
                <c:pt idx="1">
                  <c:v>2017</c:v>
                </c:pt>
                <c:pt idx="2">
                  <c:v>2018</c:v>
                </c:pt>
                <c:pt idx="3">
                  <c:v>2019</c:v>
                </c:pt>
                <c:pt idx="4">
                  <c:v>2020</c:v>
                </c:pt>
              </c:numCache>
            </c:numRef>
          </c:cat>
          <c:val>
            <c:numRef>
              <c:f>Graficos!$B$125:$F$125</c:f>
              <c:numCache>
                <c:formatCode>General</c:formatCode>
                <c:ptCount val="5"/>
                <c:pt idx="0">
                  <c:v>73979</c:v>
                </c:pt>
                <c:pt idx="1">
                  <c:v>71290</c:v>
                </c:pt>
                <c:pt idx="2">
                  <c:v>80961</c:v>
                </c:pt>
                <c:pt idx="3">
                  <c:v>94613</c:v>
                </c:pt>
                <c:pt idx="4">
                  <c:v>86810</c:v>
                </c:pt>
              </c:numCache>
            </c:numRef>
          </c:val>
          <c:smooth val="0"/>
          <c:extLst>
            <c:ext xmlns:c16="http://schemas.microsoft.com/office/drawing/2014/chart" uri="{C3380CC4-5D6E-409C-BE32-E72D297353CC}">
              <c16:uniqueId val="{00000004-3A43-41DD-903A-B23305B55C7F}"/>
            </c:ext>
          </c:extLst>
        </c:ser>
        <c:dLbls>
          <c:showLegendKey val="0"/>
          <c:showVal val="0"/>
          <c:showCatName val="0"/>
          <c:showSerName val="0"/>
          <c:showPercent val="0"/>
          <c:showBubbleSize val="0"/>
        </c:dLbls>
        <c:smooth val="0"/>
        <c:axId val="407816304"/>
        <c:axId val="407817480"/>
      </c:lineChart>
      <c:catAx>
        <c:axId val="407816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407817480"/>
        <c:crosses val="autoZero"/>
        <c:auto val="1"/>
        <c:lblAlgn val="ctr"/>
        <c:lblOffset val="100"/>
        <c:noMultiLvlLbl val="0"/>
      </c:catAx>
      <c:valAx>
        <c:axId val="407817480"/>
        <c:scaling>
          <c:orientation val="minMax"/>
          <c:min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Casos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16304"/>
        <c:crosses val="autoZero"/>
        <c:crossBetween val="between"/>
        <c:majorUnit val="25000"/>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Circulante Final en Trámite, Materia Cobratoria, período 2016-2020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4838195315031058"/>
          <c:y val="0.17725175526579739"/>
          <c:w val="0.8253807182867795"/>
          <c:h val="0.62536301818842344"/>
        </c:manualLayout>
      </c:layout>
      <c:lineChart>
        <c:grouping val="standard"/>
        <c:varyColors val="0"/>
        <c:ser>
          <c:idx val="0"/>
          <c:order val="0"/>
          <c:tx>
            <c:strRef>
              <c:f>Graficos!$A$146</c:f>
              <c:strCache>
                <c:ptCount val="1"/>
                <c:pt idx="0">
                  <c:v>Circulante Final</c:v>
                </c:pt>
              </c:strCache>
            </c:strRef>
          </c:tx>
          <c:spPr>
            <a:ln w="28575" cap="rnd">
              <a:solidFill>
                <a:schemeClr val="accent1"/>
              </a:solidFill>
              <a:round/>
            </a:ln>
            <a:effectLst/>
          </c:spPr>
          <c:marker>
            <c:symbol val="none"/>
          </c:marker>
          <c:dLbls>
            <c:dLbl>
              <c:idx val="0"/>
              <c:layout>
                <c:manualLayout>
                  <c:x val="-6.6785927251043556E-2"/>
                  <c:y val="6.0180541624874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14-43F1-901C-90520BA68D83}"/>
                </c:ext>
              </c:extLst>
            </c:dLbl>
            <c:dLbl>
              <c:idx val="1"/>
              <c:layout>
                <c:manualLayout>
                  <c:x val="-7.1556350626118065E-2"/>
                  <c:y val="-3.6108324974924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14-43F1-901C-90520BA68D83}"/>
                </c:ext>
              </c:extLst>
            </c:dLbl>
            <c:dLbl>
              <c:idx val="2"/>
              <c:layout>
                <c:manualLayout>
                  <c:x val="-1.6696481812760969E-2"/>
                  <c:y val="4.4132397191574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14-43F1-901C-90520BA68D83}"/>
                </c:ext>
              </c:extLst>
            </c:dLbl>
            <c:dLbl>
              <c:idx val="3"/>
              <c:layout>
                <c:manualLayout>
                  <c:x val="-4.2933810375670754E-2"/>
                  <c:y val="-6.0180541624874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14-43F1-901C-90520BA68D83}"/>
                </c:ext>
              </c:extLst>
            </c:dLbl>
            <c:dLbl>
              <c:idx val="4"/>
              <c:layout>
                <c:manualLayout>
                  <c:x val="-4.7704233750745376E-3"/>
                  <c:y val="-3.67765728135381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14-43F1-901C-90520BA68D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Graficos!$B$145:$F$145</c:f>
              <c:numCache>
                <c:formatCode>General</c:formatCode>
                <c:ptCount val="5"/>
                <c:pt idx="0">
                  <c:v>2016</c:v>
                </c:pt>
                <c:pt idx="1">
                  <c:v>2017</c:v>
                </c:pt>
                <c:pt idx="2">
                  <c:v>2018</c:v>
                </c:pt>
                <c:pt idx="3">
                  <c:v>2019</c:v>
                </c:pt>
                <c:pt idx="4">
                  <c:v>2020</c:v>
                </c:pt>
              </c:numCache>
            </c:numRef>
          </c:cat>
          <c:val>
            <c:numRef>
              <c:f>Graficos!$B$146:$F$146</c:f>
              <c:numCache>
                <c:formatCode>General</c:formatCode>
                <c:ptCount val="5"/>
                <c:pt idx="0">
                  <c:v>453169</c:v>
                </c:pt>
                <c:pt idx="1">
                  <c:v>536846</c:v>
                </c:pt>
                <c:pt idx="2">
                  <c:v>695448</c:v>
                </c:pt>
                <c:pt idx="3">
                  <c:v>748156</c:v>
                </c:pt>
                <c:pt idx="4">
                  <c:v>832682</c:v>
                </c:pt>
              </c:numCache>
            </c:numRef>
          </c:val>
          <c:smooth val="0"/>
          <c:extLst>
            <c:ext xmlns:c16="http://schemas.microsoft.com/office/drawing/2014/chart" uri="{C3380CC4-5D6E-409C-BE32-E72D297353CC}">
              <c16:uniqueId val="{00000005-9214-43F1-901C-90520BA68D83}"/>
            </c:ext>
          </c:extLst>
        </c:ser>
        <c:dLbls>
          <c:showLegendKey val="0"/>
          <c:showVal val="0"/>
          <c:showCatName val="0"/>
          <c:showSerName val="0"/>
          <c:showPercent val="0"/>
          <c:showBubbleSize val="0"/>
        </c:dLbls>
        <c:smooth val="0"/>
        <c:axId val="407807680"/>
        <c:axId val="407819832"/>
      </c:lineChart>
      <c:catAx>
        <c:axId val="407807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layout>
            <c:manualLayout>
              <c:xMode val="edge"/>
              <c:yMode val="edge"/>
              <c:x val="0.4855564163602985"/>
              <c:y val="0.862839424332738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19832"/>
        <c:crosses val="autoZero"/>
        <c:auto val="1"/>
        <c:lblAlgn val="ctr"/>
        <c:lblOffset val="100"/>
        <c:noMultiLvlLbl val="0"/>
      </c:catAx>
      <c:valAx>
        <c:axId val="407819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Expedientes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0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b="1">
                <a:solidFill>
                  <a:sysClr val="windowText" lastClr="000000"/>
                </a:solidFill>
              </a:rPr>
              <a:t>Distribución porcentual de las partes intervinientes en los procesos tramitados en los Juzgados de Cobro, según sexo de las partes, período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21501705869993692"/>
          <c:y val="0.30685162676813044"/>
          <c:w val="0.73497023481975809"/>
          <c:h val="0.48499357043456814"/>
        </c:manualLayout>
      </c:layout>
      <c:barChart>
        <c:barDir val="bar"/>
        <c:grouping val="clustered"/>
        <c:varyColors val="0"/>
        <c:ser>
          <c:idx val="0"/>
          <c:order val="0"/>
          <c:tx>
            <c:strRef>
              <c:f>Graficos!$B$170</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Graficos!$A$171:$A$172</c:f>
              <c:strCache>
                <c:ptCount val="2"/>
                <c:pt idx="0">
                  <c:v>Actor</c:v>
                </c:pt>
                <c:pt idx="1">
                  <c:v>Demandado</c:v>
                </c:pt>
              </c:strCache>
            </c:strRef>
          </c:cat>
          <c:val>
            <c:numRef>
              <c:f>Graficos!$B$171:$B$172</c:f>
              <c:numCache>
                <c:formatCode>General</c:formatCode>
                <c:ptCount val="2"/>
                <c:pt idx="0">
                  <c:v>27491</c:v>
                </c:pt>
                <c:pt idx="1">
                  <c:v>118550</c:v>
                </c:pt>
              </c:numCache>
            </c:numRef>
          </c:val>
          <c:extLst>
            <c:ext xmlns:c16="http://schemas.microsoft.com/office/drawing/2014/chart" uri="{C3380CC4-5D6E-409C-BE32-E72D297353CC}">
              <c16:uniqueId val="{00000000-7E7B-4903-BB6D-D8C322C68A51}"/>
            </c:ext>
          </c:extLst>
        </c:ser>
        <c:ser>
          <c:idx val="1"/>
          <c:order val="1"/>
          <c:tx>
            <c:strRef>
              <c:f>Graficos!$C$170</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Graficos!$A$171:$A$172</c:f>
              <c:strCache>
                <c:ptCount val="2"/>
                <c:pt idx="0">
                  <c:v>Actor</c:v>
                </c:pt>
                <c:pt idx="1">
                  <c:v>Demandado</c:v>
                </c:pt>
              </c:strCache>
            </c:strRef>
          </c:cat>
          <c:val>
            <c:numRef>
              <c:f>Graficos!$C$171:$C$172</c:f>
              <c:numCache>
                <c:formatCode>General</c:formatCode>
                <c:ptCount val="2"/>
                <c:pt idx="0">
                  <c:v>16530</c:v>
                </c:pt>
                <c:pt idx="1">
                  <c:v>63548</c:v>
                </c:pt>
              </c:numCache>
            </c:numRef>
          </c:val>
          <c:extLst>
            <c:ext xmlns:c16="http://schemas.microsoft.com/office/drawing/2014/chart" uri="{C3380CC4-5D6E-409C-BE32-E72D297353CC}">
              <c16:uniqueId val="{00000001-7E7B-4903-BB6D-D8C322C68A51}"/>
            </c:ext>
          </c:extLst>
        </c:ser>
        <c:dLbls>
          <c:showLegendKey val="0"/>
          <c:showVal val="0"/>
          <c:showCatName val="0"/>
          <c:showSerName val="0"/>
          <c:showPercent val="0"/>
          <c:showBubbleSize val="0"/>
        </c:dLbls>
        <c:gapWidth val="182"/>
        <c:axId val="407808072"/>
        <c:axId val="407808464"/>
      </c:barChart>
      <c:catAx>
        <c:axId val="407808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Intervinientes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08464"/>
        <c:crosses val="autoZero"/>
        <c:auto val="1"/>
        <c:lblAlgn val="ctr"/>
        <c:lblOffset val="100"/>
        <c:noMultiLvlLbl val="0"/>
      </c:catAx>
      <c:valAx>
        <c:axId val="407808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Expedientes</a:t>
                </a:r>
              </a:p>
            </c:rich>
          </c:tx>
          <c:layout>
            <c:manualLayout>
              <c:xMode val="edge"/>
              <c:yMode val="edge"/>
              <c:x val="0.4570446927933246"/>
              <c:y val="0.873269213831492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7808072"/>
        <c:crosses val="autoZero"/>
        <c:crossBetween val="between"/>
      </c:valAx>
      <c:spPr>
        <a:noFill/>
        <a:ln>
          <a:noFill/>
        </a:ln>
        <a:effectLst/>
      </c:spPr>
    </c:plotArea>
    <c:legend>
      <c:legendPos val="b"/>
      <c:layout>
        <c:manualLayout>
          <c:xMode val="edge"/>
          <c:yMode val="edge"/>
          <c:x val="0.62422375411459841"/>
          <c:y val="0.70078246930543064"/>
          <c:w val="0.21915076689111446"/>
          <c:h val="7.55038841621307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0.94076</cdr:y>
    </cdr:from>
    <cdr:to>
      <cdr:x>0.74642</cdr:x>
      <cdr:y>1</cdr:y>
    </cdr:to>
    <cdr:sp macro="" textlink="">
      <cdr:nvSpPr>
        <cdr:cNvPr id="2" name="CuadroTexto 1">
          <a:extLst xmlns:a="http://schemas.openxmlformats.org/drawingml/2006/main">
            <a:ext uri="{FF2B5EF4-FFF2-40B4-BE49-F238E27FC236}">
              <a16:creationId xmlns:a16="http://schemas.microsoft.com/office/drawing/2014/main" id="{7A23B377-9DA8-4660-8100-1AE1DAA41684}"/>
            </a:ext>
          </a:extLst>
        </cdr:cNvPr>
        <cdr:cNvSpPr txBox="1"/>
      </cdr:nvSpPr>
      <cdr:spPr>
        <a:xfrm xmlns:a="http://schemas.openxmlformats.org/drawingml/2006/main">
          <a:off x="0" y="3034705"/>
          <a:ext cx="3981407" cy="1910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drawings/drawing2.xml><?xml version="1.0" encoding="utf-8"?>
<c:userShapes xmlns:c="http://schemas.openxmlformats.org/drawingml/2006/chart">
  <cdr:relSizeAnchor xmlns:cdr="http://schemas.openxmlformats.org/drawingml/2006/chartDrawing">
    <cdr:from>
      <cdr:x>0.0049</cdr:x>
      <cdr:y>0.66869</cdr:y>
    </cdr:from>
    <cdr:to>
      <cdr:x>0.0049</cdr:x>
      <cdr:y>0.6699</cdr:y>
    </cdr:to>
    <cdr:sp macro="" textlink="">
      <cdr:nvSpPr>
        <cdr:cNvPr id="2" name="CuadroTexto 1"/>
        <cdr:cNvSpPr txBox="1"/>
      </cdr:nvSpPr>
      <cdr:spPr>
        <a:xfrm xmlns:a="http://schemas.openxmlformats.org/drawingml/2006/main">
          <a:off x="0" y="2871275"/>
          <a:ext cx="3981407" cy="192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 Dirección de Planificación.</a:t>
          </a:r>
        </a:p>
      </cdr:txBody>
    </cdr:sp>
  </cdr:relSizeAnchor>
  <cdr:relSizeAnchor xmlns:cdr="http://schemas.openxmlformats.org/drawingml/2006/chartDrawing">
    <cdr:from>
      <cdr:x>0.00952</cdr:x>
      <cdr:y>0.937</cdr:y>
    </cdr:from>
    <cdr:to>
      <cdr:x>0.75594</cdr:x>
      <cdr:y>1</cdr:y>
    </cdr:to>
    <cdr:sp macro="" textlink="">
      <cdr:nvSpPr>
        <cdr:cNvPr id="3" name="CuadroTexto 1"/>
        <cdr:cNvSpPr txBox="1"/>
      </cdr:nvSpPr>
      <cdr:spPr>
        <a:xfrm xmlns:a="http://schemas.openxmlformats.org/drawingml/2006/main">
          <a:off x="50800" y="3055634"/>
          <a:ext cx="3981404" cy="1892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0.92961</cdr:y>
    </cdr:from>
    <cdr:to>
      <cdr:x>0.74687</cdr:x>
      <cdr:y>0.9924</cdr:y>
    </cdr:to>
    <cdr:sp macro="" textlink="">
      <cdr:nvSpPr>
        <cdr:cNvPr id="3" name="CuadroTexto 1">
          <a:extLst xmlns:a="http://schemas.openxmlformats.org/drawingml/2006/main">
            <a:ext uri="{FF2B5EF4-FFF2-40B4-BE49-F238E27FC236}">
              <a16:creationId xmlns:a16="http://schemas.microsoft.com/office/drawing/2014/main" id="{A8ED3349-0E0A-4BE7-A505-28B883B29B82}"/>
            </a:ext>
          </a:extLst>
        </cdr:cNvPr>
        <cdr:cNvSpPr txBox="1"/>
      </cdr:nvSpPr>
      <cdr:spPr>
        <a:xfrm xmlns:a="http://schemas.openxmlformats.org/drawingml/2006/main">
          <a:off x="0" y="2851150"/>
          <a:ext cx="3981407" cy="192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0.9374</cdr:y>
    </cdr:from>
    <cdr:to>
      <cdr:x>0.742</cdr:x>
      <cdr:y>1</cdr:y>
    </cdr:to>
    <cdr:sp macro="" textlink="">
      <cdr:nvSpPr>
        <cdr:cNvPr id="2" name="CuadroTexto 1">
          <a:extLst xmlns:a="http://schemas.openxmlformats.org/drawingml/2006/main">
            <a:ext uri="{FF2B5EF4-FFF2-40B4-BE49-F238E27FC236}">
              <a16:creationId xmlns:a16="http://schemas.microsoft.com/office/drawing/2014/main" id="{B2D2F6F3-65A5-43AF-AA54-9755402C1A74}"/>
            </a:ext>
          </a:extLst>
        </cdr:cNvPr>
        <cdr:cNvSpPr txBox="1"/>
      </cdr:nvSpPr>
      <cdr:spPr>
        <a:xfrm xmlns:a="http://schemas.openxmlformats.org/drawingml/2006/main">
          <a:off x="0" y="2883975"/>
          <a:ext cx="3981407" cy="192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0.94088</cdr:y>
    </cdr:from>
    <cdr:to>
      <cdr:x>0.74954</cdr:x>
      <cdr:y>1</cdr:y>
    </cdr:to>
    <cdr:sp macro="" textlink="">
      <cdr:nvSpPr>
        <cdr:cNvPr id="2" name="CuadroTexto 1">
          <a:extLst xmlns:a="http://schemas.openxmlformats.org/drawingml/2006/main">
            <a:ext uri="{FF2B5EF4-FFF2-40B4-BE49-F238E27FC236}">
              <a16:creationId xmlns:a16="http://schemas.microsoft.com/office/drawing/2014/main" id="{CE5DC1F0-ACC7-4DB9-A107-8048E1ABD549}"/>
            </a:ext>
          </a:extLst>
        </cdr:cNvPr>
        <cdr:cNvSpPr txBox="1"/>
      </cdr:nvSpPr>
      <cdr:spPr>
        <a:xfrm xmlns:a="http://schemas.openxmlformats.org/drawingml/2006/main">
          <a:off x="0" y="3064950"/>
          <a:ext cx="3981407" cy="192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0.94058</cdr:y>
    </cdr:from>
    <cdr:to>
      <cdr:x>0.7451</cdr:x>
      <cdr:y>1</cdr:y>
    </cdr:to>
    <cdr:sp macro="" textlink="">
      <cdr:nvSpPr>
        <cdr:cNvPr id="3" name="CuadroTexto 1">
          <a:extLst xmlns:a="http://schemas.openxmlformats.org/drawingml/2006/main">
            <a:ext uri="{FF2B5EF4-FFF2-40B4-BE49-F238E27FC236}">
              <a16:creationId xmlns:a16="http://schemas.microsoft.com/office/drawing/2014/main" id="{C70B4EF7-48B2-497B-8A2F-11EC3BDABEC5}"/>
            </a:ext>
          </a:extLst>
        </cdr:cNvPr>
        <cdr:cNvSpPr txBox="1"/>
      </cdr:nvSpPr>
      <cdr:spPr>
        <a:xfrm xmlns:a="http://schemas.openxmlformats.org/drawingml/2006/main">
          <a:off x="0" y="2989329"/>
          <a:ext cx="3986167" cy="1888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0.92532</cdr:y>
    </cdr:from>
    <cdr:to>
      <cdr:x>0.74865</cdr:x>
      <cdr:y>0.99168</cdr:y>
    </cdr:to>
    <cdr:sp macro="" textlink="">
      <cdr:nvSpPr>
        <cdr:cNvPr id="2" name="CuadroTexto 1">
          <a:extLst xmlns:a="http://schemas.openxmlformats.org/drawingml/2006/main">
            <a:ext uri="{FF2B5EF4-FFF2-40B4-BE49-F238E27FC236}">
              <a16:creationId xmlns:a16="http://schemas.microsoft.com/office/drawing/2014/main" id="{5CA83CAB-EC02-4BFE-9EB2-71D7172C8598}"/>
            </a:ext>
          </a:extLst>
        </cdr:cNvPr>
        <cdr:cNvSpPr txBox="1"/>
      </cdr:nvSpPr>
      <cdr:spPr>
        <a:xfrm xmlns:a="http://schemas.openxmlformats.org/drawingml/2006/main">
          <a:off x="0" y="2575367"/>
          <a:ext cx="3986168" cy="1846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0.93766</cdr:y>
    </cdr:from>
    <cdr:to>
      <cdr:x>0.74731</cdr:x>
      <cdr:y>1</cdr:y>
    </cdr:to>
    <cdr:sp macro="" textlink="">
      <cdr:nvSpPr>
        <cdr:cNvPr id="4" name="CuadroTexto 1">
          <a:extLst xmlns:a="http://schemas.openxmlformats.org/drawingml/2006/main">
            <a:ext uri="{FF2B5EF4-FFF2-40B4-BE49-F238E27FC236}">
              <a16:creationId xmlns:a16="http://schemas.microsoft.com/office/drawing/2014/main" id="{8BD1C256-CB69-4C0B-B413-0A2268ACDA3A}"/>
            </a:ext>
          </a:extLst>
        </cdr:cNvPr>
        <cdr:cNvSpPr txBox="1"/>
      </cdr:nvSpPr>
      <cdr:spPr>
        <a:xfrm xmlns:a="http://schemas.openxmlformats.org/drawingml/2006/main">
          <a:off x="0" y="3176528"/>
          <a:ext cx="3983790" cy="2111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65</TotalTime>
  <Pages>99</Pages>
  <Words>23579</Words>
  <Characters>129685</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152959</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Elienai Díaz Obando</cp:lastModifiedBy>
  <cp:revision>5</cp:revision>
  <cp:lastPrinted>2016-02-03T19:46:00Z</cp:lastPrinted>
  <dcterms:created xsi:type="dcterms:W3CDTF">2021-11-04T14:28:00Z</dcterms:created>
  <dcterms:modified xsi:type="dcterms:W3CDTF">2021-11-04T16:11:00Z</dcterms:modified>
</cp:coreProperties>
</file>