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3DBDC0" w14:textId="45D93FF3" w:rsidR="0029216A" w:rsidRPr="00932F14" w:rsidRDefault="006312AE" w:rsidP="00932F14">
      <w:pPr>
        <w:pStyle w:val="Ttulo7"/>
        <w:tabs>
          <w:tab w:val="clear" w:pos="0"/>
          <w:tab w:val="left" w:pos="4280"/>
        </w:tabs>
        <w:ind w:left="4248"/>
        <w:jc w:val="both"/>
        <w:rPr>
          <w:rFonts w:ascii="Times New Roman" w:hAnsi="Times New Roman"/>
          <w:bCs w:val="0"/>
          <w:u w:val="none"/>
          <w:lang w:val="es-ES_tradnl"/>
        </w:rPr>
      </w:pPr>
      <w:r w:rsidRPr="00932F14">
        <w:rPr>
          <w:rFonts w:ascii="Times New Roman" w:hAnsi="Times New Roman"/>
          <w:bCs w:val="0"/>
          <w:u w:val="none"/>
          <w:lang w:val="es-ES_tradnl"/>
        </w:rPr>
        <w:t>San José,</w:t>
      </w:r>
      <w:r w:rsidR="00D93E61" w:rsidRPr="00932F14">
        <w:rPr>
          <w:rFonts w:ascii="Times New Roman" w:hAnsi="Times New Roman"/>
          <w:bCs w:val="0"/>
          <w:u w:val="none"/>
          <w:lang w:val="es-ES_tradnl"/>
        </w:rPr>
        <w:t xml:space="preserve"> </w:t>
      </w:r>
      <w:r w:rsidR="00186ADE" w:rsidRPr="00932F14">
        <w:rPr>
          <w:rFonts w:ascii="Times New Roman" w:hAnsi="Times New Roman"/>
          <w:bCs w:val="0"/>
          <w:u w:val="none"/>
          <w:lang w:val="es-ES_tradnl"/>
        </w:rPr>
        <w:t>0</w:t>
      </w:r>
      <w:r w:rsidR="00223F22" w:rsidRPr="00932F14">
        <w:rPr>
          <w:rFonts w:ascii="Times New Roman" w:hAnsi="Times New Roman"/>
          <w:bCs w:val="0"/>
          <w:u w:val="none"/>
          <w:lang w:val="es-ES_tradnl"/>
        </w:rPr>
        <w:t>4</w:t>
      </w:r>
      <w:r w:rsidR="00D930B6" w:rsidRPr="00932F14">
        <w:rPr>
          <w:rFonts w:ascii="Times New Roman" w:hAnsi="Times New Roman"/>
          <w:bCs w:val="0"/>
          <w:u w:val="none"/>
          <w:lang w:val="es-ES_tradnl"/>
        </w:rPr>
        <w:t xml:space="preserve"> </w:t>
      </w:r>
      <w:r w:rsidR="006A694A" w:rsidRPr="00932F14">
        <w:rPr>
          <w:rFonts w:ascii="Times New Roman" w:hAnsi="Times New Roman"/>
          <w:bCs w:val="0"/>
          <w:u w:val="none"/>
          <w:lang w:val="es-ES_tradnl"/>
        </w:rPr>
        <w:t xml:space="preserve">de </w:t>
      </w:r>
      <w:r w:rsidR="00223F22" w:rsidRPr="00932F14">
        <w:rPr>
          <w:rFonts w:ascii="Times New Roman" w:hAnsi="Times New Roman"/>
          <w:bCs w:val="0"/>
          <w:u w:val="none"/>
          <w:lang w:val="es-ES_tradnl"/>
        </w:rPr>
        <w:t>febrero</w:t>
      </w:r>
      <w:r w:rsidR="00860FA5" w:rsidRPr="00932F14">
        <w:rPr>
          <w:rFonts w:ascii="Times New Roman" w:hAnsi="Times New Roman"/>
          <w:bCs w:val="0"/>
          <w:u w:val="none"/>
          <w:lang w:val="es-ES_tradnl"/>
        </w:rPr>
        <w:t xml:space="preserve"> de 20</w:t>
      </w:r>
      <w:r w:rsidR="00041CB5" w:rsidRPr="00932F14">
        <w:rPr>
          <w:rFonts w:ascii="Times New Roman" w:hAnsi="Times New Roman"/>
          <w:bCs w:val="0"/>
          <w:u w:val="none"/>
          <w:lang w:val="es-ES_tradnl"/>
        </w:rPr>
        <w:t>2</w:t>
      </w:r>
      <w:r w:rsidR="00223F22" w:rsidRPr="00932F14">
        <w:rPr>
          <w:rFonts w:ascii="Times New Roman" w:hAnsi="Times New Roman"/>
          <w:bCs w:val="0"/>
          <w:u w:val="none"/>
          <w:lang w:val="es-ES_tradnl"/>
        </w:rPr>
        <w:t>1</w:t>
      </w:r>
    </w:p>
    <w:p w14:paraId="54A54810" w14:textId="20E863E3" w:rsidR="0029216A" w:rsidRPr="00932F14" w:rsidRDefault="00860FA5" w:rsidP="00932F14">
      <w:pPr>
        <w:pStyle w:val="Ttulo7"/>
        <w:tabs>
          <w:tab w:val="clear" w:pos="0"/>
          <w:tab w:val="left" w:pos="4280"/>
        </w:tabs>
        <w:ind w:left="4248"/>
        <w:jc w:val="both"/>
        <w:rPr>
          <w:rFonts w:ascii="Times New Roman" w:hAnsi="Times New Roman"/>
          <w:u w:val="none"/>
          <w:lang w:val="es-ES_tradnl"/>
        </w:rPr>
      </w:pPr>
      <w:r w:rsidRPr="00932F14">
        <w:rPr>
          <w:rFonts w:ascii="Times New Roman" w:hAnsi="Times New Roman"/>
          <w:u w:val="none"/>
          <w:lang w:val="es-ES_tradnl"/>
        </w:rPr>
        <w:t xml:space="preserve">N° </w:t>
      </w:r>
      <w:r w:rsidR="008944CE" w:rsidRPr="00932F14">
        <w:rPr>
          <w:rFonts w:ascii="Times New Roman" w:hAnsi="Times New Roman"/>
          <w:u w:val="none"/>
          <w:lang w:val="es-ES_tradnl"/>
        </w:rPr>
        <w:t>1208</w:t>
      </w:r>
      <w:r w:rsidR="00186ADE" w:rsidRPr="00932F14">
        <w:rPr>
          <w:rFonts w:ascii="Times New Roman" w:hAnsi="Times New Roman"/>
          <w:u w:val="none"/>
          <w:lang w:val="es-ES_tradnl"/>
        </w:rPr>
        <w:t>-</w:t>
      </w:r>
      <w:r w:rsidR="00223F22" w:rsidRPr="00932F14">
        <w:rPr>
          <w:rFonts w:ascii="Times New Roman" w:hAnsi="Times New Roman"/>
          <w:u w:val="none"/>
          <w:lang w:val="es-ES_tradnl"/>
        </w:rPr>
        <w:t>2021</w:t>
      </w:r>
    </w:p>
    <w:p w14:paraId="63CA7B6E" w14:textId="77777777" w:rsidR="0029216A" w:rsidRPr="00932F14" w:rsidRDefault="0029216A" w:rsidP="00932F14">
      <w:pPr>
        <w:pStyle w:val="Ttulo7"/>
        <w:tabs>
          <w:tab w:val="clear" w:pos="0"/>
          <w:tab w:val="left" w:pos="4280"/>
        </w:tabs>
        <w:ind w:left="4248"/>
        <w:jc w:val="both"/>
        <w:rPr>
          <w:rFonts w:ascii="Times New Roman" w:hAnsi="Times New Roman"/>
          <w:u w:val="none"/>
          <w:lang w:val="es-CR"/>
        </w:rPr>
      </w:pPr>
      <w:r w:rsidRPr="00932F14">
        <w:rPr>
          <w:rFonts w:ascii="Times New Roman" w:hAnsi="Times New Roman"/>
          <w:u w:val="none"/>
          <w:lang w:val="es-CR"/>
        </w:rPr>
        <w:t>Al contestar refiérase a este # de oficio</w:t>
      </w:r>
    </w:p>
    <w:p w14:paraId="69EE2132" w14:textId="77777777" w:rsidR="0029216A" w:rsidRPr="00932F14" w:rsidRDefault="0029216A" w:rsidP="00932F14">
      <w:pPr>
        <w:jc w:val="both"/>
        <w:rPr>
          <w:b/>
          <w:bCs/>
        </w:rPr>
      </w:pPr>
    </w:p>
    <w:p w14:paraId="13736F65" w14:textId="77777777" w:rsidR="00302FF5" w:rsidRPr="00932F14" w:rsidRDefault="00302FF5" w:rsidP="00932F14">
      <w:pPr>
        <w:jc w:val="both"/>
        <w:rPr>
          <w:b/>
          <w:bCs/>
        </w:rPr>
      </w:pPr>
    </w:p>
    <w:p w14:paraId="4E853874" w14:textId="367F4CBA" w:rsidR="009C666D" w:rsidRPr="00932F14" w:rsidRDefault="009C666D" w:rsidP="00932F14">
      <w:pPr>
        <w:jc w:val="both"/>
        <w:rPr>
          <w:rFonts w:eastAsia="Arial Unicode MS"/>
          <w:b/>
          <w:bCs/>
          <w:kern w:val="1"/>
          <w:lang w:val="es-CR" w:eastAsia="hi-IN" w:bidi="hi-IN"/>
        </w:rPr>
      </w:pPr>
      <w:r w:rsidRPr="00932F14">
        <w:rPr>
          <w:rFonts w:eastAsia="Arial Unicode MS"/>
          <w:b/>
          <w:bCs/>
          <w:kern w:val="1"/>
          <w:lang w:val="es-CR" w:eastAsia="hi-IN" w:bidi="hi-IN"/>
        </w:rPr>
        <w:t>Señor</w:t>
      </w:r>
    </w:p>
    <w:p w14:paraId="1BB43AD5" w14:textId="5CAC7553" w:rsidR="008944CE" w:rsidRPr="00932F14" w:rsidRDefault="008944CE" w:rsidP="00932F14">
      <w:pPr>
        <w:autoSpaceDE w:val="0"/>
        <w:snapToGrid w:val="0"/>
        <w:rPr>
          <w:b/>
          <w:bCs/>
          <w:lang w:eastAsia="en-US"/>
        </w:rPr>
      </w:pPr>
      <w:r w:rsidRPr="00932F14">
        <w:rPr>
          <w:b/>
          <w:bCs/>
        </w:rPr>
        <w:t xml:space="preserve">Dr. Gary Amador Badilla, </w:t>
      </w:r>
      <w:r w:rsidRPr="00932F14">
        <w:rPr>
          <w:b/>
          <w:bCs/>
          <w:lang w:eastAsia="en-US"/>
        </w:rPr>
        <w:t xml:space="preserve">Coordinador </w:t>
      </w:r>
    </w:p>
    <w:p w14:paraId="59A6D714" w14:textId="2D14228D" w:rsidR="009C666D" w:rsidRPr="00932F14" w:rsidRDefault="008944CE" w:rsidP="00932F14">
      <w:pPr>
        <w:jc w:val="both"/>
        <w:rPr>
          <w:b/>
          <w:bCs/>
        </w:rPr>
      </w:pPr>
      <w:r w:rsidRPr="00932F14">
        <w:rPr>
          <w:b/>
          <w:bCs/>
        </w:rPr>
        <w:t>Comisión Interinstitucional de Tránsito</w:t>
      </w:r>
    </w:p>
    <w:p w14:paraId="787E42B3" w14:textId="77777777" w:rsidR="008944CE" w:rsidRPr="00932F14" w:rsidRDefault="008944CE" w:rsidP="00932F14">
      <w:pPr>
        <w:jc w:val="both"/>
        <w:rPr>
          <w:rFonts w:eastAsia="Arial Unicode MS"/>
          <w:b/>
          <w:bCs/>
          <w:kern w:val="1"/>
          <w:lang w:val="es-CR" w:eastAsia="hi-IN" w:bidi="hi-IN"/>
        </w:rPr>
      </w:pPr>
    </w:p>
    <w:p w14:paraId="7095F6CD" w14:textId="2401CB97" w:rsidR="009C666D" w:rsidRPr="00932F14" w:rsidRDefault="009C666D" w:rsidP="00932F14">
      <w:pPr>
        <w:jc w:val="both"/>
        <w:rPr>
          <w:rFonts w:eastAsia="Arial Unicode MS"/>
          <w:b/>
          <w:bCs/>
          <w:kern w:val="1"/>
          <w:lang w:val="es-CR" w:eastAsia="hi-IN" w:bidi="hi-IN"/>
        </w:rPr>
      </w:pPr>
      <w:r w:rsidRPr="00932F14">
        <w:rPr>
          <w:rFonts w:eastAsia="Arial Unicode MS"/>
          <w:b/>
          <w:bCs/>
          <w:kern w:val="1"/>
          <w:lang w:val="es-CR" w:eastAsia="hi-IN" w:bidi="hi-IN"/>
        </w:rPr>
        <w:t>Estimad</w:t>
      </w:r>
      <w:r w:rsidR="008944CE" w:rsidRPr="00932F14">
        <w:rPr>
          <w:rFonts w:eastAsia="Arial Unicode MS"/>
          <w:b/>
          <w:bCs/>
          <w:kern w:val="1"/>
          <w:lang w:val="es-CR" w:eastAsia="hi-IN" w:bidi="hi-IN"/>
        </w:rPr>
        <w:t>o</w:t>
      </w:r>
      <w:r w:rsidRPr="00932F14">
        <w:rPr>
          <w:rFonts w:eastAsia="Arial Unicode MS"/>
          <w:b/>
          <w:bCs/>
          <w:kern w:val="1"/>
          <w:lang w:val="es-CR" w:eastAsia="hi-IN" w:bidi="hi-IN"/>
        </w:rPr>
        <w:t xml:space="preserve"> señor:</w:t>
      </w:r>
    </w:p>
    <w:p w14:paraId="19D5094A" w14:textId="77777777" w:rsidR="009C666D" w:rsidRPr="00932F14" w:rsidRDefault="009C666D" w:rsidP="00932F14">
      <w:pPr>
        <w:jc w:val="both"/>
        <w:rPr>
          <w:b/>
          <w:bCs/>
          <w:lang w:val="es-CR"/>
        </w:rPr>
      </w:pPr>
    </w:p>
    <w:p w14:paraId="1CD21F2C" w14:textId="18C8F010" w:rsidR="0029216A" w:rsidRPr="00932F14" w:rsidRDefault="0029216A" w:rsidP="00932F14">
      <w:pPr>
        <w:ind w:firstLine="708"/>
        <w:jc w:val="both"/>
      </w:pPr>
      <w:r w:rsidRPr="00932F14">
        <w:t xml:space="preserve">Para su estimable conocimiento y fines consiguientes, le transcribo el acuerdo tomado por el Consejo Superior del Poder Judicial, en sesión </w:t>
      </w:r>
      <w:r w:rsidR="0087670A" w:rsidRPr="00932F14">
        <w:rPr>
          <w:b/>
          <w:bCs/>
        </w:rPr>
        <w:t>N°</w:t>
      </w:r>
      <w:r w:rsidR="009F45D2" w:rsidRPr="00932F14">
        <w:rPr>
          <w:b/>
          <w:bCs/>
        </w:rPr>
        <w:t xml:space="preserve"> 0</w:t>
      </w:r>
      <w:r w:rsidR="00223F22" w:rsidRPr="00932F14">
        <w:rPr>
          <w:b/>
          <w:bCs/>
        </w:rPr>
        <w:t>4</w:t>
      </w:r>
      <w:r w:rsidR="003011FF" w:rsidRPr="00932F14">
        <w:rPr>
          <w:b/>
          <w:bCs/>
        </w:rPr>
        <w:t>-</w:t>
      </w:r>
      <w:r w:rsidR="00223F22" w:rsidRPr="00932F14">
        <w:rPr>
          <w:b/>
          <w:bCs/>
        </w:rPr>
        <w:t>2021</w:t>
      </w:r>
      <w:r w:rsidR="00D930B6" w:rsidRPr="00932F14">
        <w:rPr>
          <w:b/>
          <w:bCs/>
        </w:rPr>
        <w:t xml:space="preserve"> </w:t>
      </w:r>
      <w:r w:rsidR="00D930B6" w:rsidRPr="00932F14">
        <w:rPr>
          <w:bCs/>
        </w:rPr>
        <w:t>c</w:t>
      </w:r>
      <w:r w:rsidRPr="00932F14">
        <w:t>elebrada el</w:t>
      </w:r>
      <w:r w:rsidR="004C65F3" w:rsidRPr="00932F14">
        <w:t xml:space="preserve"> </w:t>
      </w:r>
      <w:r w:rsidR="00223F22" w:rsidRPr="00932F14">
        <w:rPr>
          <w:b/>
        </w:rPr>
        <w:t>14</w:t>
      </w:r>
      <w:r w:rsidR="00E02368" w:rsidRPr="00932F14">
        <w:rPr>
          <w:b/>
        </w:rPr>
        <w:t xml:space="preserve"> de </w:t>
      </w:r>
      <w:r w:rsidR="00223F22" w:rsidRPr="00932F14">
        <w:rPr>
          <w:b/>
        </w:rPr>
        <w:t>enero</w:t>
      </w:r>
      <w:r w:rsidR="006F5DA1" w:rsidRPr="00932F14">
        <w:rPr>
          <w:b/>
          <w:bCs/>
        </w:rPr>
        <w:t xml:space="preserve"> </w:t>
      </w:r>
      <w:r w:rsidR="003011FF" w:rsidRPr="00932F14">
        <w:rPr>
          <w:b/>
          <w:bCs/>
        </w:rPr>
        <w:t xml:space="preserve">del </w:t>
      </w:r>
      <w:r w:rsidR="00223F22" w:rsidRPr="00932F14">
        <w:rPr>
          <w:b/>
          <w:bCs/>
        </w:rPr>
        <w:t>2021</w:t>
      </w:r>
      <w:r w:rsidR="00B43F30" w:rsidRPr="00932F14">
        <w:rPr>
          <w:b/>
          <w:bCs/>
        </w:rPr>
        <w:t>,</w:t>
      </w:r>
      <w:r w:rsidRPr="00932F14">
        <w:t xml:space="preserve"> que literalmente dice:</w:t>
      </w:r>
    </w:p>
    <w:p w14:paraId="440292CE" w14:textId="77777777" w:rsidR="0029216A" w:rsidRPr="00932F14" w:rsidRDefault="0029216A" w:rsidP="00932F14">
      <w:pPr>
        <w:ind w:firstLine="15"/>
        <w:jc w:val="both"/>
      </w:pPr>
    </w:p>
    <w:p w14:paraId="65C81222" w14:textId="4C7717EF" w:rsidR="008944CE" w:rsidRPr="00932F14" w:rsidRDefault="00294863" w:rsidP="00932F14">
      <w:pPr>
        <w:keepNext/>
        <w:tabs>
          <w:tab w:val="num" w:pos="0"/>
        </w:tabs>
        <w:jc w:val="center"/>
        <w:outlineLvl w:val="1"/>
        <w:rPr>
          <w:b/>
          <w:bCs/>
          <w:color w:val="FF0000"/>
          <w:u w:val="single"/>
        </w:rPr>
      </w:pPr>
      <w:r w:rsidRPr="00932F14">
        <w:t>“</w:t>
      </w:r>
      <w:bookmarkStart w:id="0" w:name="_Toc61274368"/>
      <w:bookmarkStart w:id="1" w:name="_Toc61527638"/>
      <w:r w:rsidR="008944CE" w:rsidRPr="00932F14">
        <w:rPr>
          <w:b/>
          <w:bCs/>
          <w:u w:val="single"/>
        </w:rPr>
        <w:t>ARTÍCULO LXVI</w:t>
      </w:r>
      <w:bookmarkEnd w:id="0"/>
      <w:bookmarkEnd w:id="1"/>
    </w:p>
    <w:p w14:paraId="476C9691" w14:textId="77777777" w:rsidR="008944CE" w:rsidRPr="00932F14" w:rsidRDefault="008944CE" w:rsidP="00932F14">
      <w:pPr>
        <w:jc w:val="both"/>
        <w:rPr>
          <w:b/>
          <w:bCs/>
        </w:rPr>
      </w:pPr>
      <w:r w:rsidRPr="00932F14">
        <w:rPr>
          <w:b/>
          <w:bCs/>
        </w:rPr>
        <w:t>DOCUMENTO N° 14670-2020</w:t>
      </w:r>
    </w:p>
    <w:p w14:paraId="2BD907F4" w14:textId="77777777" w:rsidR="008944CE" w:rsidRPr="00932F14" w:rsidRDefault="008944CE" w:rsidP="00932F14">
      <w:pPr>
        <w:jc w:val="both"/>
      </w:pPr>
    </w:p>
    <w:p w14:paraId="4012D5DC" w14:textId="29B3F607" w:rsidR="008944CE" w:rsidRPr="00932F14" w:rsidRDefault="008944CE" w:rsidP="00932F14">
      <w:pPr>
        <w:ind w:firstLine="709"/>
        <w:jc w:val="both"/>
        <w:rPr>
          <w:lang w:val="es-CR"/>
        </w:rPr>
      </w:pPr>
      <w:r w:rsidRPr="00932F14">
        <w:rPr>
          <w:lang w:eastAsia="en-US"/>
        </w:rPr>
        <w:t>Mediante oficio Nº 2034-PLA-ES-2020 del 15 de diciembre de 2020,</w:t>
      </w:r>
      <w:r w:rsidRPr="00932F14">
        <w:rPr>
          <w:lang w:val="es-CR"/>
        </w:rPr>
        <w:t xml:space="preserve"> el ingeniero Dixon Li Morales, Jefe interino del Proceso Ejecución de las Operaciones de la Dirección de Planificación, </w:t>
      </w:r>
      <w:r w:rsidRPr="00932F14">
        <w:t xml:space="preserve">remite el informe suscrito por la licenciada Ana Ericka Rodríguez Araya, Jefa del Subproceso de Estadística, relacionado con los movimientos de trabajo en los juzgados competentes en materia de Tránsito, durante el 2019 y el último quinquenio, para su incorporación en el Anuario Estadístico; </w:t>
      </w:r>
      <w:r w:rsidRPr="00932F14">
        <w:rPr>
          <w:lang w:val="es-CR"/>
        </w:rPr>
        <w:t>que literalmente dice:</w:t>
      </w:r>
    </w:p>
    <w:p w14:paraId="77F23F6F" w14:textId="77777777" w:rsidR="008944CE" w:rsidRPr="00932F14" w:rsidRDefault="008944CE" w:rsidP="00932F14">
      <w:pPr>
        <w:ind w:firstLine="709"/>
        <w:jc w:val="both"/>
        <w:rPr>
          <w:lang w:val="es-CR" w:eastAsia="es-ES"/>
        </w:rPr>
      </w:pPr>
    </w:p>
    <w:p w14:paraId="2DA337EF" w14:textId="23787DD0" w:rsidR="008944CE" w:rsidRPr="00932F14" w:rsidRDefault="008944CE" w:rsidP="00932F14">
      <w:pPr>
        <w:ind w:left="851" w:right="851" w:firstLine="709"/>
        <w:jc w:val="both"/>
      </w:pPr>
      <w:r w:rsidRPr="00932F14">
        <w:t>“(…)</w:t>
      </w:r>
    </w:p>
    <w:p w14:paraId="607F4B09" w14:textId="77777777" w:rsidR="008944CE" w:rsidRPr="00932F14" w:rsidRDefault="008944CE" w:rsidP="00932F14">
      <w:pPr>
        <w:ind w:left="851" w:right="851" w:firstLine="709"/>
        <w:jc w:val="both"/>
      </w:pPr>
    </w:p>
    <w:p w14:paraId="69A58B96" w14:textId="77777777" w:rsidR="008944CE" w:rsidRPr="00932F14" w:rsidRDefault="008944CE" w:rsidP="00932F14">
      <w:pPr>
        <w:ind w:left="851" w:right="851" w:firstLine="709"/>
        <w:jc w:val="both"/>
        <w:rPr>
          <w:lang w:val="es-CR"/>
        </w:rPr>
      </w:pPr>
      <w:r w:rsidRPr="00932F14">
        <w:t>Le remito el informe suscrito por la Licda. Ana Ericka Rodríguez Araya, Jefa del Subproceso de Estadística, relacionado con los movimientos de trabajo en los juzgados competentes en materia de Tránsito, durante el 2019 y el último quinquenio.</w:t>
      </w:r>
    </w:p>
    <w:p w14:paraId="0EE8E970" w14:textId="77777777" w:rsidR="008944CE" w:rsidRPr="00932F14" w:rsidRDefault="008944CE" w:rsidP="00932F14">
      <w:pPr>
        <w:ind w:left="851" w:right="851" w:firstLine="709"/>
        <w:jc w:val="both"/>
        <w:rPr>
          <w:u w:val="single"/>
        </w:rPr>
      </w:pPr>
      <w:r w:rsidRPr="00932F14">
        <w:rPr>
          <w:u w:val="single"/>
        </w:rPr>
        <w:t xml:space="preserve"> </w:t>
      </w:r>
    </w:p>
    <w:p w14:paraId="18502F67" w14:textId="0E6E7423" w:rsidR="008944CE" w:rsidRPr="00932F14" w:rsidRDefault="008944CE" w:rsidP="00932F14">
      <w:pPr>
        <w:tabs>
          <w:tab w:val="num" w:pos="709"/>
        </w:tabs>
        <w:ind w:left="851" w:right="851" w:firstLine="709"/>
        <w:jc w:val="both"/>
      </w:pPr>
      <w:r w:rsidRPr="00932F14">
        <w:t>Con el fin de que se manifestaran al respecto, mediante oficio 1282-PLA-ES-2020, del 21 de agosto de 2020 el preliminar de este documento fue puesto en conocimiento del doctor Gary Amador Badilla, Coordinador de la Comisión Interinstitucional de Tránsito. Como respuesta se recibió oficio 31-CIT-2020 del 28 de agosto de 2020. Las observaciones</w:t>
      </w:r>
      <w:r w:rsidRPr="00932F14">
        <w:rPr>
          <w:b/>
        </w:rPr>
        <w:t xml:space="preserve"> </w:t>
      </w:r>
      <w:r w:rsidRPr="00932F14">
        <w:t>se consideraron en lo pertinente, en el informe que se presenta.</w:t>
      </w:r>
    </w:p>
    <w:p w14:paraId="3E6A0A5A" w14:textId="77777777" w:rsidR="008944CE" w:rsidRPr="00932F14" w:rsidRDefault="008944CE" w:rsidP="00932F14">
      <w:pPr>
        <w:tabs>
          <w:tab w:val="num" w:pos="709"/>
        </w:tabs>
        <w:ind w:left="851" w:right="851" w:firstLine="709"/>
        <w:jc w:val="both"/>
      </w:pPr>
    </w:p>
    <w:p w14:paraId="5737415B" w14:textId="77777777" w:rsidR="008944CE" w:rsidRPr="00932F14" w:rsidRDefault="008944CE" w:rsidP="00932F14">
      <w:pPr>
        <w:keepNext/>
        <w:keepLines/>
        <w:widowControl w:val="0"/>
        <w:numPr>
          <w:ilvl w:val="0"/>
          <w:numId w:val="126"/>
        </w:numPr>
        <w:suppressAutoHyphens w:val="0"/>
        <w:autoSpaceDE w:val="0"/>
        <w:autoSpaceDN w:val="0"/>
        <w:adjustRightInd w:val="0"/>
        <w:ind w:left="851" w:right="851" w:firstLine="709"/>
        <w:jc w:val="both"/>
        <w:rPr>
          <w:b/>
          <w:bCs/>
        </w:rPr>
      </w:pPr>
      <w:bookmarkStart w:id="2" w:name="_Toc44512679"/>
      <w:r w:rsidRPr="00932F14">
        <w:rPr>
          <w:b/>
          <w:bCs/>
        </w:rPr>
        <w:t>ANTECEDENTES.</w:t>
      </w:r>
      <w:bookmarkEnd w:id="2"/>
    </w:p>
    <w:p w14:paraId="7DD33013" w14:textId="77777777" w:rsidR="008944CE" w:rsidRPr="00932F14" w:rsidRDefault="008944CE" w:rsidP="00932F14">
      <w:pPr>
        <w:ind w:left="851" w:right="851" w:firstLine="709"/>
        <w:jc w:val="both"/>
      </w:pPr>
    </w:p>
    <w:p w14:paraId="29E837F3" w14:textId="77777777" w:rsidR="008944CE" w:rsidRPr="00932F14" w:rsidRDefault="008944CE" w:rsidP="00932F14">
      <w:pPr>
        <w:ind w:left="851" w:right="851" w:firstLine="709"/>
        <w:jc w:val="both"/>
      </w:pPr>
      <w:r w:rsidRPr="00932F14">
        <w:lastRenderedPageBreak/>
        <w:t xml:space="preserve">Desde hace un tiempo atrás la Dirección de Planificación ha llevado a cabo propuestas de mejora en diferentes juzgados como lo son: el Contravencional de Menor Cuantía y Tránsito de Nicoya, el de Cobro y Tránsito tanto de Santa Cruz como de Liberia.  Además, se realiza un estudio para la reestructuración del Juzgado de Tránsito del Tercer Circuito Judicial de San José, Desamparados y Aserrí. También, se desarrolla un análisis de las cargas de trabajo del Juzgado de Tránsito del Primer Circuito Judicial de San José e implantación de indicadores de gestión.    </w:t>
      </w:r>
    </w:p>
    <w:p w14:paraId="4CB7203F" w14:textId="77777777" w:rsidR="008944CE" w:rsidRPr="00932F14" w:rsidRDefault="008944CE" w:rsidP="00932F14">
      <w:pPr>
        <w:ind w:left="851" w:right="851" w:firstLine="709"/>
        <w:jc w:val="both"/>
      </w:pPr>
    </w:p>
    <w:p w14:paraId="285CE8DB" w14:textId="77777777" w:rsidR="008944CE" w:rsidRPr="00932F14" w:rsidRDefault="008944CE" w:rsidP="00932F14">
      <w:pPr>
        <w:ind w:left="851" w:right="851" w:firstLine="709"/>
        <w:jc w:val="both"/>
      </w:pPr>
      <w:r w:rsidRPr="00932F14">
        <w:t>Como parte de los proyectos de rediseño de la Dirección de Planificación, en el Juzgado de Tránsito de Cartago se ha propuesto un plan para disminuir el congestionamiento y por ende la cantidad de expedientes pendientes de fallo.</w:t>
      </w:r>
    </w:p>
    <w:p w14:paraId="0F5DD67B" w14:textId="77777777" w:rsidR="008944CE" w:rsidRPr="00932F14" w:rsidRDefault="008944CE" w:rsidP="00932F14">
      <w:pPr>
        <w:ind w:left="851" w:right="851" w:firstLine="709"/>
        <w:jc w:val="both"/>
      </w:pPr>
    </w:p>
    <w:p w14:paraId="1DF9D3A6" w14:textId="77777777" w:rsidR="008944CE" w:rsidRPr="00932F14" w:rsidRDefault="008944CE" w:rsidP="00932F14">
      <w:pPr>
        <w:ind w:left="851" w:right="851" w:firstLine="709"/>
        <w:jc w:val="both"/>
      </w:pPr>
      <w:r w:rsidRPr="00932F14">
        <w:t>Por su parte, el Subproceso de Estadística participa en el desarrollo de una propuesta de la fórmula estadística para la materia de Tránsito, para que sea analizada por la Comisión Interinstitucional de Tránsito, de manera que se establezcan los parámetros de medición correctos y posteriormente sea posible su estandarización en los sistemas informáticos. Esta fórmula se diseñó con la licenciada Ana Catalina Campos Ramírez, Jueza del Juzgado de Tránsito de Heredia.</w:t>
      </w:r>
    </w:p>
    <w:p w14:paraId="14394C2B" w14:textId="77777777" w:rsidR="008944CE" w:rsidRPr="00932F14" w:rsidRDefault="008944CE" w:rsidP="00932F14">
      <w:pPr>
        <w:ind w:left="851" w:right="851" w:firstLine="709"/>
        <w:jc w:val="both"/>
      </w:pPr>
    </w:p>
    <w:p w14:paraId="752BBE52" w14:textId="77777777" w:rsidR="008944CE" w:rsidRPr="00932F14" w:rsidRDefault="008944CE" w:rsidP="00932F14">
      <w:pPr>
        <w:keepNext/>
        <w:keepLines/>
        <w:widowControl w:val="0"/>
        <w:numPr>
          <w:ilvl w:val="0"/>
          <w:numId w:val="126"/>
        </w:numPr>
        <w:suppressAutoHyphens w:val="0"/>
        <w:autoSpaceDE w:val="0"/>
        <w:autoSpaceDN w:val="0"/>
        <w:adjustRightInd w:val="0"/>
        <w:ind w:left="851" w:right="851" w:firstLine="709"/>
        <w:jc w:val="both"/>
        <w:rPr>
          <w:b/>
          <w:bCs/>
        </w:rPr>
      </w:pPr>
      <w:bookmarkStart w:id="3" w:name="_Toc44512680"/>
      <w:r w:rsidRPr="00932F14">
        <w:rPr>
          <w:b/>
          <w:bCs/>
        </w:rPr>
        <w:t>HECHOS RELEVANTES.</w:t>
      </w:r>
      <w:bookmarkEnd w:id="3"/>
    </w:p>
    <w:p w14:paraId="2A31528A" w14:textId="77777777" w:rsidR="008944CE" w:rsidRPr="00932F14" w:rsidRDefault="008944CE" w:rsidP="00932F14">
      <w:pPr>
        <w:ind w:left="851" w:right="851" w:firstLine="709"/>
        <w:jc w:val="both"/>
      </w:pPr>
    </w:p>
    <w:p w14:paraId="413850A0" w14:textId="77777777" w:rsidR="008944CE" w:rsidRPr="00932F14" w:rsidRDefault="008944CE" w:rsidP="00932F14">
      <w:pPr>
        <w:ind w:left="851" w:right="851" w:firstLine="709"/>
        <w:jc w:val="both"/>
      </w:pPr>
      <w:r w:rsidRPr="00932F14">
        <w:t xml:space="preserve">Los hechos de más relevancia se describen a continuación: </w:t>
      </w:r>
    </w:p>
    <w:p w14:paraId="2879D175" w14:textId="77777777" w:rsidR="008944CE" w:rsidRPr="00932F14" w:rsidRDefault="008944CE" w:rsidP="00932F14">
      <w:pPr>
        <w:ind w:left="851" w:right="851" w:firstLine="709"/>
        <w:jc w:val="both"/>
      </w:pPr>
    </w:p>
    <w:p w14:paraId="64654C58" w14:textId="051BFBE9" w:rsidR="008944CE" w:rsidRPr="00932F14" w:rsidRDefault="008944CE" w:rsidP="00932F14">
      <w:pPr>
        <w:ind w:left="851" w:right="851" w:firstLine="709"/>
        <w:jc w:val="both"/>
      </w:pPr>
      <w:r w:rsidRPr="00932F14">
        <w:t>1.</w:t>
      </w:r>
      <w:r w:rsidRPr="00932F14">
        <w:tab/>
        <w:t>Los resultados obtenidos de los indicadores utilizados para evaluar la gestión judicial indican que los mejores logros en el último quinquenio se originan en el 2019, ello debido a que tanto la razón de congestión como la tasa de pendencia disminuyen, mientras que la tasa de resolución, por el contrario, se incrementa dando como resultado la más alta del periodo.</w:t>
      </w:r>
    </w:p>
    <w:p w14:paraId="1D9BCBA0" w14:textId="77777777" w:rsidR="008944CE" w:rsidRPr="00932F14" w:rsidRDefault="008944CE" w:rsidP="00932F14">
      <w:pPr>
        <w:ind w:left="851" w:right="851" w:firstLine="709"/>
        <w:jc w:val="both"/>
      </w:pPr>
    </w:p>
    <w:p w14:paraId="1D2EB9D1" w14:textId="77777777" w:rsidR="008944CE" w:rsidRPr="00932F14" w:rsidRDefault="008944CE" w:rsidP="00932F14">
      <w:pPr>
        <w:ind w:left="851" w:right="851" w:firstLine="709"/>
        <w:jc w:val="both"/>
      </w:pPr>
      <w:r w:rsidRPr="00932F14">
        <w:t>2.</w:t>
      </w:r>
      <w:r w:rsidRPr="00932F14">
        <w:tab/>
        <w:t>Se revierte en el 2019, la tendencia decreciente de los casos ingresados registrándose un incremento de 4.998 expedientes, para una variación positiva de 6.67%. Esta alza en el volumen de expedientes nuevos está supeditada por la cantidad de infracciones</w:t>
      </w:r>
      <w:r w:rsidRPr="00932F14">
        <w:rPr>
          <w:vertAlign w:val="superscript"/>
        </w:rPr>
        <w:footnoteReference w:id="1"/>
      </w:r>
      <w:r w:rsidRPr="00932F14">
        <w:t xml:space="preserve"> que son enviadas a los diferentes despachos por parte del Consejo de Seguridad Vial (COSEVI). </w:t>
      </w:r>
    </w:p>
    <w:p w14:paraId="249B4558" w14:textId="77777777" w:rsidR="008944CE" w:rsidRPr="00932F14" w:rsidRDefault="008944CE" w:rsidP="00932F14">
      <w:pPr>
        <w:ind w:left="851" w:right="851" w:firstLine="709"/>
        <w:jc w:val="both"/>
      </w:pPr>
    </w:p>
    <w:p w14:paraId="73C00035" w14:textId="77777777" w:rsidR="008944CE" w:rsidRPr="00932F14" w:rsidRDefault="008944CE" w:rsidP="00932F14">
      <w:pPr>
        <w:ind w:left="851" w:right="851" w:firstLine="709"/>
        <w:jc w:val="both"/>
      </w:pPr>
      <w:r w:rsidRPr="00932F14">
        <w:t>3.</w:t>
      </w:r>
      <w:r w:rsidRPr="00932F14">
        <w:tab/>
        <w:t xml:space="preserve">El nivel resolutivo registra un incremento que cambia la tendencia registrada en el 2018, siendo que la variación en el bienio 2018-2019 es de 4.570 </w:t>
      </w:r>
      <w:r w:rsidRPr="00932F14">
        <w:lastRenderedPageBreak/>
        <w:t xml:space="preserve">asuntos, para un incremento relativo de 5,78%; no obstante, la cantidad de asuntos resueltos supera a la de los entrados, lo cual se ve reflejado en una disminución del circulante.     </w:t>
      </w:r>
    </w:p>
    <w:p w14:paraId="27D4D6C9" w14:textId="77777777" w:rsidR="008944CE" w:rsidRPr="00932F14" w:rsidRDefault="008944CE" w:rsidP="00932F14">
      <w:pPr>
        <w:ind w:left="851" w:right="851" w:firstLine="709"/>
        <w:jc w:val="both"/>
      </w:pPr>
    </w:p>
    <w:p w14:paraId="2B40954B" w14:textId="77777777" w:rsidR="008944CE" w:rsidRPr="00932F14" w:rsidRDefault="008944CE" w:rsidP="00932F14">
      <w:pPr>
        <w:ind w:left="851" w:right="851" w:firstLine="709"/>
        <w:jc w:val="both"/>
      </w:pPr>
      <w:r w:rsidRPr="00932F14">
        <w:t>4.</w:t>
      </w:r>
      <w:r w:rsidRPr="00932F14">
        <w:tab/>
        <w:t xml:space="preserve">Para las sentencias dictadas, la duración promedio es de cuatro meses y dos semanas, un mes y una semana menos o cinco semanas menos en promedio para el dictado del acumulado de las sentencias que lo reportado un año antes.     </w:t>
      </w:r>
    </w:p>
    <w:p w14:paraId="67AC2188" w14:textId="77777777" w:rsidR="008944CE" w:rsidRPr="00932F14" w:rsidRDefault="008944CE" w:rsidP="00932F14">
      <w:pPr>
        <w:ind w:left="851" w:right="851" w:firstLine="709"/>
        <w:jc w:val="both"/>
      </w:pPr>
    </w:p>
    <w:p w14:paraId="518F3C97" w14:textId="77777777" w:rsidR="008944CE" w:rsidRPr="00932F14" w:rsidRDefault="008944CE" w:rsidP="00932F14">
      <w:pPr>
        <w:ind w:left="851" w:right="851" w:firstLine="709"/>
        <w:jc w:val="both"/>
      </w:pPr>
      <w:r w:rsidRPr="00932F14">
        <w:t>5.</w:t>
      </w:r>
      <w:r w:rsidRPr="00932F14">
        <w:tab/>
        <w:t>La cantidad de asuntos en espera de ser resueltos al finalizar el 2019 llega a 25.437, sea 2.150 menos que lo que se tenía al inicio del año, lo cual es consecuencia de lograr un nivel resolutivo más alto que el, volumen de asuntos ingresados.</w:t>
      </w:r>
    </w:p>
    <w:p w14:paraId="7F14530E" w14:textId="77777777" w:rsidR="008944CE" w:rsidRPr="00932F14" w:rsidRDefault="008944CE" w:rsidP="00932F14">
      <w:pPr>
        <w:ind w:left="851" w:right="851" w:firstLine="709"/>
        <w:jc w:val="both"/>
      </w:pPr>
    </w:p>
    <w:p w14:paraId="49C336FF" w14:textId="77777777" w:rsidR="008944CE" w:rsidRPr="00932F14" w:rsidRDefault="008944CE" w:rsidP="00932F14">
      <w:pPr>
        <w:ind w:left="851" w:right="851" w:firstLine="709"/>
        <w:jc w:val="both"/>
      </w:pPr>
      <w:r w:rsidRPr="00932F14">
        <w:t>6.</w:t>
      </w:r>
      <w:r w:rsidRPr="00932F14">
        <w:tab/>
        <w:t>La proyección de los asuntos entrados y terminados para el periodo 2020 y 2021, se realiza utilizando un modelo de regresión mediante la función potencial, dando por resultado incrementos para 2020 y 2021, esto para ambas variables.</w:t>
      </w:r>
    </w:p>
    <w:p w14:paraId="6121B8AA" w14:textId="77777777" w:rsidR="008944CE" w:rsidRPr="00932F14" w:rsidRDefault="008944CE" w:rsidP="00932F14">
      <w:pPr>
        <w:ind w:left="851" w:right="851" w:firstLine="709"/>
        <w:jc w:val="both"/>
      </w:pPr>
    </w:p>
    <w:p w14:paraId="65B63E67" w14:textId="77777777" w:rsidR="008944CE" w:rsidRPr="00932F14" w:rsidRDefault="008944CE" w:rsidP="00932F14">
      <w:pPr>
        <w:keepNext/>
        <w:keepLines/>
        <w:widowControl w:val="0"/>
        <w:numPr>
          <w:ilvl w:val="0"/>
          <w:numId w:val="126"/>
        </w:numPr>
        <w:suppressAutoHyphens w:val="0"/>
        <w:autoSpaceDE w:val="0"/>
        <w:autoSpaceDN w:val="0"/>
        <w:adjustRightInd w:val="0"/>
        <w:ind w:left="851" w:right="851" w:firstLine="709"/>
        <w:jc w:val="both"/>
        <w:rPr>
          <w:b/>
          <w:bCs/>
        </w:rPr>
      </w:pPr>
      <w:bookmarkStart w:id="4" w:name="_Toc44512681"/>
      <w:r w:rsidRPr="00932F14">
        <w:rPr>
          <w:b/>
          <w:bCs/>
        </w:rPr>
        <w:t xml:space="preserve"> INDICADORES DE GESTIÓN JUDICIAL.</w:t>
      </w:r>
      <w:bookmarkEnd w:id="4"/>
    </w:p>
    <w:p w14:paraId="1B84DDCC" w14:textId="77777777" w:rsidR="008944CE" w:rsidRPr="00932F14" w:rsidRDefault="008944CE" w:rsidP="00932F14">
      <w:pPr>
        <w:ind w:left="851" w:right="851" w:firstLine="709"/>
        <w:jc w:val="both"/>
      </w:pPr>
    </w:p>
    <w:p w14:paraId="533D8F8F" w14:textId="5E607E20" w:rsidR="008944CE" w:rsidRPr="00932F14" w:rsidRDefault="008944CE" w:rsidP="00932F14">
      <w:pPr>
        <w:ind w:left="851" w:right="851" w:firstLine="709"/>
        <w:jc w:val="both"/>
      </w:pPr>
      <w:r w:rsidRPr="00932F14">
        <w:t>A nivel de desempeño judicial, la utilización de herramientas que permitan medir numéricamente la gestión desempeñada por los despachos judiciales es de vital importancia, no solamente para determinar que los recursos disponibles se están utilizando de una manera adecuada sino también para la toma de decisiones en cuanto a un proceso siempre en miras hacia la mejora continua a nivel de todo el Poder Judicial.</w:t>
      </w:r>
    </w:p>
    <w:p w14:paraId="36D38371" w14:textId="77777777" w:rsidR="008944CE" w:rsidRPr="00932F14" w:rsidRDefault="008944CE" w:rsidP="00932F14">
      <w:pPr>
        <w:ind w:left="851" w:right="851" w:firstLine="709"/>
        <w:jc w:val="both"/>
      </w:pPr>
    </w:p>
    <w:p w14:paraId="7BB9407B" w14:textId="77777777" w:rsidR="008944CE" w:rsidRPr="00932F14" w:rsidRDefault="008944CE" w:rsidP="00932F14">
      <w:pPr>
        <w:ind w:left="851" w:right="851" w:firstLine="709"/>
        <w:jc w:val="both"/>
      </w:pPr>
      <w:r w:rsidRPr="00932F14">
        <w:t>Por esta razón, es que se definen tres herramientas de análisis que permiten medir justamente lo anterior, y estas son la razón de congestión, la tasa de pendencia y la tasa de resolución.   En el siguiente cuadro, se muestra la tendencia registrada por estos tres indicadores, así como la evolución de las variables que intervienen en el movimiento de trabajo a nivel general para esta materia desde el año 2015:</w:t>
      </w:r>
    </w:p>
    <w:tbl>
      <w:tblPr>
        <w:tblW w:w="9520" w:type="dxa"/>
        <w:jc w:val="center"/>
        <w:tblCellMar>
          <w:left w:w="70" w:type="dxa"/>
          <w:right w:w="70" w:type="dxa"/>
        </w:tblCellMar>
        <w:tblLook w:val="04A0" w:firstRow="1" w:lastRow="0" w:firstColumn="1" w:lastColumn="0" w:noHBand="0" w:noVBand="1"/>
      </w:tblPr>
      <w:tblGrid>
        <w:gridCol w:w="3520"/>
        <w:gridCol w:w="1200"/>
        <w:gridCol w:w="1200"/>
        <w:gridCol w:w="1200"/>
        <w:gridCol w:w="1200"/>
        <w:gridCol w:w="1200"/>
      </w:tblGrid>
      <w:tr w:rsidR="008944CE" w:rsidRPr="00932F14" w14:paraId="46484751" w14:textId="77777777" w:rsidTr="008944CE">
        <w:trPr>
          <w:trHeight w:val="300"/>
          <w:jc w:val="center"/>
        </w:trPr>
        <w:tc>
          <w:tcPr>
            <w:tcW w:w="9520" w:type="dxa"/>
            <w:gridSpan w:val="6"/>
            <w:vAlign w:val="center"/>
            <w:hideMark/>
          </w:tcPr>
          <w:p w14:paraId="0CEB9F3B" w14:textId="77777777" w:rsidR="008944CE" w:rsidRPr="00932F14" w:rsidRDefault="008944CE" w:rsidP="00932F14">
            <w:pPr>
              <w:jc w:val="center"/>
              <w:rPr>
                <w:b/>
                <w:bCs/>
                <w:lang w:eastAsia="es-CR"/>
              </w:rPr>
            </w:pPr>
            <w:r w:rsidRPr="00932F14">
              <w:rPr>
                <w:b/>
                <w:bCs/>
                <w:lang w:eastAsia="es-CR"/>
              </w:rPr>
              <w:t>Cuadro 1</w:t>
            </w:r>
          </w:p>
        </w:tc>
      </w:tr>
      <w:tr w:rsidR="008944CE" w:rsidRPr="00932F14" w14:paraId="2BC15770" w14:textId="77777777" w:rsidTr="008944CE">
        <w:trPr>
          <w:trHeight w:val="900"/>
          <w:jc w:val="center"/>
        </w:trPr>
        <w:tc>
          <w:tcPr>
            <w:tcW w:w="9520" w:type="dxa"/>
            <w:gridSpan w:val="6"/>
            <w:vAlign w:val="center"/>
            <w:hideMark/>
          </w:tcPr>
          <w:p w14:paraId="5DE4C0B2" w14:textId="77777777" w:rsidR="008944CE" w:rsidRPr="00932F14" w:rsidRDefault="008944CE" w:rsidP="00932F14">
            <w:pPr>
              <w:jc w:val="center"/>
              <w:rPr>
                <w:b/>
                <w:bCs/>
                <w:lang w:eastAsia="es-CR"/>
              </w:rPr>
            </w:pPr>
            <w:r w:rsidRPr="00932F14">
              <w:rPr>
                <w:b/>
                <w:bCs/>
                <w:lang w:eastAsia="es-CR"/>
              </w:rPr>
              <w:t>Movimiento de trabajo e indicadores de gestión judicial registrados por los juzgados competentes en la materia de Tránsito,</w:t>
            </w:r>
          </w:p>
        </w:tc>
      </w:tr>
      <w:tr w:rsidR="008944CE" w:rsidRPr="00932F14" w14:paraId="5B0AA073" w14:textId="77777777" w:rsidTr="008944CE">
        <w:trPr>
          <w:trHeight w:val="300"/>
          <w:jc w:val="center"/>
        </w:trPr>
        <w:tc>
          <w:tcPr>
            <w:tcW w:w="9520" w:type="dxa"/>
            <w:gridSpan w:val="6"/>
            <w:vAlign w:val="center"/>
            <w:hideMark/>
          </w:tcPr>
          <w:p w14:paraId="3344374F" w14:textId="77777777" w:rsidR="008944CE" w:rsidRPr="00932F14" w:rsidRDefault="008944CE" w:rsidP="00932F14">
            <w:pPr>
              <w:jc w:val="center"/>
              <w:rPr>
                <w:b/>
                <w:bCs/>
                <w:lang w:eastAsia="es-CR"/>
              </w:rPr>
            </w:pPr>
            <w:r w:rsidRPr="00932F14">
              <w:rPr>
                <w:b/>
                <w:bCs/>
                <w:lang w:eastAsia="es-CR"/>
              </w:rPr>
              <w:t xml:space="preserve"> periodo 2015 – 2019</w:t>
            </w:r>
          </w:p>
        </w:tc>
      </w:tr>
      <w:tr w:rsidR="008944CE" w:rsidRPr="00932F14" w14:paraId="1F1AE669" w14:textId="77777777" w:rsidTr="008944CE">
        <w:trPr>
          <w:trHeight w:val="315"/>
          <w:jc w:val="center"/>
        </w:trPr>
        <w:tc>
          <w:tcPr>
            <w:tcW w:w="9520" w:type="dxa"/>
            <w:gridSpan w:val="6"/>
            <w:tcBorders>
              <w:top w:val="nil"/>
              <w:left w:val="nil"/>
              <w:bottom w:val="single" w:sz="8" w:space="0" w:color="auto"/>
              <w:right w:val="nil"/>
            </w:tcBorders>
            <w:vAlign w:val="center"/>
            <w:hideMark/>
          </w:tcPr>
          <w:p w14:paraId="41BA31F2" w14:textId="77777777" w:rsidR="008944CE" w:rsidRPr="00932F14" w:rsidRDefault="008944CE" w:rsidP="00932F14">
            <w:pPr>
              <w:jc w:val="center"/>
              <w:rPr>
                <w:b/>
                <w:bCs/>
                <w:lang w:eastAsia="es-CR"/>
              </w:rPr>
            </w:pPr>
            <w:r w:rsidRPr="00932F14">
              <w:rPr>
                <w:b/>
                <w:bCs/>
                <w:lang w:eastAsia="es-CR"/>
              </w:rPr>
              <w:t> </w:t>
            </w:r>
          </w:p>
        </w:tc>
      </w:tr>
      <w:tr w:rsidR="008944CE" w:rsidRPr="00932F14" w14:paraId="42E36D9C" w14:textId="77777777" w:rsidTr="008944CE">
        <w:trPr>
          <w:trHeight w:val="315"/>
          <w:jc w:val="center"/>
        </w:trPr>
        <w:tc>
          <w:tcPr>
            <w:tcW w:w="3520" w:type="dxa"/>
            <w:vMerge w:val="restart"/>
            <w:tcBorders>
              <w:top w:val="nil"/>
              <w:left w:val="nil"/>
              <w:bottom w:val="single" w:sz="8" w:space="0" w:color="000000"/>
              <w:right w:val="single" w:sz="8" w:space="0" w:color="auto"/>
            </w:tcBorders>
            <w:shd w:val="clear" w:color="auto" w:fill="B2EDEC"/>
            <w:vAlign w:val="center"/>
            <w:hideMark/>
          </w:tcPr>
          <w:p w14:paraId="66060749" w14:textId="77777777" w:rsidR="008944CE" w:rsidRPr="00932F14" w:rsidRDefault="008944CE" w:rsidP="00932F14">
            <w:pPr>
              <w:jc w:val="center"/>
              <w:rPr>
                <w:b/>
                <w:bCs/>
                <w:lang w:eastAsia="es-CR"/>
              </w:rPr>
            </w:pPr>
            <w:r w:rsidRPr="00932F14">
              <w:rPr>
                <w:b/>
                <w:bCs/>
                <w:lang w:eastAsia="es-CR"/>
              </w:rPr>
              <w:lastRenderedPageBreak/>
              <w:t>Variable o Indicador</w:t>
            </w:r>
          </w:p>
        </w:tc>
        <w:tc>
          <w:tcPr>
            <w:tcW w:w="6000" w:type="dxa"/>
            <w:gridSpan w:val="5"/>
            <w:tcBorders>
              <w:top w:val="single" w:sz="8" w:space="0" w:color="auto"/>
              <w:left w:val="nil"/>
              <w:bottom w:val="single" w:sz="8" w:space="0" w:color="auto"/>
              <w:right w:val="nil"/>
            </w:tcBorders>
            <w:shd w:val="clear" w:color="auto" w:fill="B2EDEC"/>
            <w:vAlign w:val="center"/>
            <w:hideMark/>
          </w:tcPr>
          <w:p w14:paraId="10525DC1" w14:textId="77777777" w:rsidR="008944CE" w:rsidRPr="00932F14" w:rsidRDefault="008944CE" w:rsidP="00932F14">
            <w:pPr>
              <w:jc w:val="center"/>
              <w:rPr>
                <w:b/>
                <w:bCs/>
                <w:lang w:eastAsia="es-CR"/>
              </w:rPr>
            </w:pPr>
            <w:r w:rsidRPr="00932F14">
              <w:rPr>
                <w:b/>
                <w:bCs/>
                <w:lang w:eastAsia="es-CR"/>
              </w:rPr>
              <w:t>Años</w:t>
            </w:r>
          </w:p>
        </w:tc>
      </w:tr>
      <w:tr w:rsidR="008944CE" w:rsidRPr="00932F14" w14:paraId="0008504C" w14:textId="77777777" w:rsidTr="008944CE">
        <w:trPr>
          <w:trHeight w:val="315"/>
          <w:jc w:val="center"/>
        </w:trPr>
        <w:tc>
          <w:tcPr>
            <w:tcW w:w="0" w:type="auto"/>
            <w:vMerge/>
            <w:tcBorders>
              <w:top w:val="nil"/>
              <w:left w:val="nil"/>
              <w:bottom w:val="single" w:sz="8" w:space="0" w:color="000000"/>
              <w:right w:val="single" w:sz="8" w:space="0" w:color="auto"/>
            </w:tcBorders>
            <w:vAlign w:val="center"/>
            <w:hideMark/>
          </w:tcPr>
          <w:p w14:paraId="29F0D1DD" w14:textId="77777777" w:rsidR="008944CE" w:rsidRPr="00932F14" w:rsidRDefault="008944CE" w:rsidP="00932F14">
            <w:pPr>
              <w:rPr>
                <w:b/>
                <w:bCs/>
                <w:lang w:eastAsia="es-CR"/>
              </w:rPr>
            </w:pPr>
          </w:p>
        </w:tc>
        <w:tc>
          <w:tcPr>
            <w:tcW w:w="1200" w:type="dxa"/>
            <w:tcBorders>
              <w:top w:val="nil"/>
              <w:left w:val="nil"/>
              <w:bottom w:val="single" w:sz="8" w:space="0" w:color="auto"/>
              <w:right w:val="single" w:sz="8" w:space="0" w:color="auto"/>
            </w:tcBorders>
            <w:shd w:val="clear" w:color="auto" w:fill="B2EDEC"/>
            <w:vAlign w:val="center"/>
            <w:hideMark/>
          </w:tcPr>
          <w:p w14:paraId="16AFDD1C" w14:textId="77777777" w:rsidR="008944CE" w:rsidRPr="00932F14" w:rsidRDefault="008944CE" w:rsidP="00932F14">
            <w:pPr>
              <w:jc w:val="center"/>
              <w:rPr>
                <w:b/>
                <w:bCs/>
                <w:lang w:eastAsia="es-CR"/>
              </w:rPr>
            </w:pPr>
            <w:r w:rsidRPr="00932F14">
              <w:rPr>
                <w:b/>
                <w:bCs/>
                <w:lang w:eastAsia="es-CR"/>
              </w:rPr>
              <w:t>2015</w:t>
            </w:r>
          </w:p>
        </w:tc>
        <w:tc>
          <w:tcPr>
            <w:tcW w:w="1200" w:type="dxa"/>
            <w:tcBorders>
              <w:top w:val="nil"/>
              <w:left w:val="nil"/>
              <w:bottom w:val="single" w:sz="8" w:space="0" w:color="auto"/>
              <w:right w:val="single" w:sz="8" w:space="0" w:color="auto"/>
            </w:tcBorders>
            <w:shd w:val="clear" w:color="auto" w:fill="B2EDEC"/>
            <w:vAlign w:val="center"/>
            <w:hideMark/>
          </w:tcPr>
          <w:p w14:paraId="73C23C22" w14:textId="77777777" w:rsidR="008944CE" w:rsidRPr="00932F14" w:rsidRDefault="008944CE" w:rsidP="00932F14">
            <w:pPr>
              <w:jc w:val="center"/>
              <w:rPr>
                <w:b/>
                <w:bCs/>
                <w:lang w:eastAsia="es-CR"/>
              </w:rPr>
            </w:pPr>
            <w:r w:rsidRPr="00932F14">
              <w:rPr>
                <w:b/>
                <w:bCs/>
                <w:lang w:eastAsia="es-CR"/>
              </w:rPr>
              <w:t>2016</w:t>
            </w:r>
          </w:p>
        </w:tc>
        <w:tc>
          <w:tcPr>
            <w:tcW w:w="1200" w:type="dxa"/>
            <w:tcBorders>
              <w:top w:val="nil"/>
              <w:left w:val="nil"/>
              <w:bottom w:val="single" w:sz="8" w:space="0" w:color="auto"/>
              <w:right w:val="single" w:sz="8" w:space="0" w:color="auto"/>
            </w:tcBorders>
            <w:shd w:val="clear" w:color="auto" w:fill="B2EDEC"/>
            <w:vAlign w:val="center"/>
            <w:hideMark/>
          </w:tcPr>
          <w:p w14:paraId="7D89D0B2" w14:textId="77777777" w:rsidR="008944CE" w:rsidRPr="00932F14" w:rsidRDefault="008944CE" w:rsidP="00932F14">
            <w:pPr>
              <w:jc w:val="center"/>
              <w:rPr>
                <w:b/>
                <w:bCs/>
                <w:lang w:eastAsia="es-CR"/>
              </w:rPr>
            </w:pPr>
            <w:r w:rsidRPr="00932F14">
              <w:rPr>
                <w:b/>
                <w:bCs/>
                <w:lang w:eastAsia="es-CR"/>
              </w:rPr>
              <w:t>2017</w:t>
            </w:r>
          </w:p>
        </w:tc>
        <w:tc>
          <w:tcPr>
            <w:tcW w:w="1200" w:type="dxa"/>
            <w:tcBorders>
              <w:top w:val="nil"/>
              <w:left w:val="nil"/>
              <w:bottom w:val="single" w:sz="8" w:space="0" w:color="auto"/>
              <w:right w:val="single" w:sz="8" w:space="0" w:color="auto"/>
            </w:tcBorders>
            <w:shd w:val="clear" w:color="auto" w:fill="B2EDEC"/>
            <w:vAlign w:val="center"/>
            <w:hideMark/>
          </w:tcPr>
          <w:p w14:paraId="2B182FAE" w14:textId="77777777" w:rsidR="008944CE" w:rsidRPr="00932F14" w:rsidRDefault="008944CE" w:rsidP="00932F14">
            <w:pPr>
              <w:jc w:val="center"/>
              <w:rPr>
                <w:b/>
                <w:bCs/>
                <w:lang w:eastAsia="es-CR"/>
              </w:rPr>
            </w:pPr>
            <w:r w:rsidRPr="00932F14">
              <w:rPr>
                <w:b/>
                <w:bCs/>
                <w:lang w:eastAsia="es-CR"/>
              </w:rPr>
              <w:t>2018</w:t>
            </w:r>
          </w:p>
        </w:tc>
        <w:tc>
          <w:tcPr>
            <w:tcW w:w="1200" w:type="dxa"/>
            <w:tcBorders>
              <w:top w:val="nil"/>
              <w:left w:val="nil"/>
              <w:bottom w:val="single" w:sz="8" w:space="0" w:color="auto"/>
              <w:right w:val="nil"/>
            </w:tcBorders>
            <w:shd w:val="clear" w:color="auto" w:fill="B2EDEC"/>
            <w:vAlign w:val="center"/>
            <w:hideMark/>
          </w:tcPr>
          <w:p w14:paraId="59E9F928" w14:textId="77777777" w:rsidR="008944CE" w:rsidRPr="00932F14" w:rsidRDefault="008944CE" w:rsidP="00932F14">
            <w:pPr>
              <w:jc w:val="center"/>
              <w:rPr>
                <w:b/>
                <w:bCs/>
                <w:lang w:eastAsia="es-CR"/>
              </w:rPr>
            </w:pPr>
            <w:r w:rsidRPr="00932F14">
              <w:rPr>
                <w:b/>
                <w:bCs/>
                <w:lang w:eastAsia="es-CR"/>
              </w:rPr>
              <w:t>2019</w:t>
            </w:r>
          </w:p>
        </w:tc>
      </w:tr>
      <w:tr w:rsidR="008944CE" w:rsidRPr="00932F14" w14:paraId="76BB4C5B" w14:textId="77777777" w:rsidTr="008944CE">
        <w:trPr>
          <w:trHeight w:val="300"/>
          <w:jc w:val="center"/>
        </w:trPr>
        <w:tc>
          <w:tcPr>
            <w:tcW w:w="3520" w:type="dxa"/>
            <w:vAlign w:val="center"/>
            <w:hideMark/>
          </w:tcPr>
          <w:p w14:paraId="59FD2223" w14:textId="77777777" w:rsidR="008944CE" w:rsidRPr="00932F14" w:rsidRDefault="008944CE" w:rsidP="00932F14">
            <w:pPr>
              <w:rPr>
                <w:b/>
                <w:bCs/>
                <w:lang w:eastAsia="es-CR"/>
              </w:rPr>
            </w:pPr>
          </w:p>
        </w:tc>
        <w:tc>
          <w:tcPr>
            <w:tcW w:w="1200" w:type="dxa"/>
            <w:vAlign w:val="center"/>
            <w:hideMark/>
          </w:tcPr>
          <w:p w14:paraId="5F139133" w14:textId="77777777" w:rsidR="008944CE" w:rsidRPr="00932F14" w:rsidRDefault="008944CE" w:rsidP="00932F14">
            <w:pPr>
              <w:rPr>
                <w:lang w:val="es-CR" w:eastAsia="es-CR"/>
              </w:rPr>
            </w:pPr>
          </w:p>
        </w:tc>
        <w:tc>
          <w:tcPr>
            <w:tcW w:w="1200" w:type="dxa"/>
            <w:vAlign w:val="center"/>
            <w:hideMark/>
          </w:tcPr>
          <w:p w14:paraId="0CB63C01" w14:textId="77777777" w:rsidR="008944CE" w:rsidRPr="00932F14" w:rsidRDefault="008944CE" w:rsidP="00932F14">
            <w:pPr>
              <w:rPr>
                <w:lang w:val="es-CR" w:eastAsia="es-CR"/>
              </w:rPr>
            </w:pPr>
          </w:p>
        </w:tc>
        <w:tc>
          <w:tcPr>
            <w:tcW w:w="1200" w:type="dxa"/>
            <w:vAlign w:val="center"/>
            <w:hideMark/>
          </w:tcPr>
          <w:p w14:paraId="4628AA1C" w14:textId="77777777" w:rsidR="008944CE" w:rsidRPr="00932F14" w:rsidRDefault="008944CE" w:rsidP="00932F14">
            <w:pPr>
              <w:rPr>
                <w:lang w:val="es-CR" w:eastAsia="es-CR"/>
              </w:rPr>
            </w:pPr>
          </w:p>
        </w:tc>
        <w:tc>
          <w:tcPr>
            <w:tcW w:w="1200" w:type="dxa"/>
            <w:vAlign w:val="center"/>
            <w:hideMark/>
          </w:tcPr>
          <w:p w14:paraId="2112D368" w14:textId="77777777" w:rsidR="008944CE" w:rsidRPr="00932F14" w:rsidRDefault="008944CE" w:rsidP="00932F14">
            <w:pPr>
              <w:rPr>
                <w:lang w:val="es-CR" w:eastAsia="es-CR"/>
              </w:rPr>
            </w:pPr>
          </w:p>
        </w:tc>
        <w:tc>
          <w:tcPr>
            <w:tcW w:w="1200" w:type="dxa"/>
            <w:vAlign w:val="center"/>
            <w:hideMark/>
          </w:tcPr>
          <w:p w14:paraId="6A451173" w14:textId="77777777" w:rsidR="008944CE" w:rsidRPr="00932F14" w:rsidRDefault="008944CE" w:rsidP="00932F14">
            <w:pPr>
              <w:rPr>
                <w:lang w:val="es-CR" w:eastAsia="es-CR"/>
              </w:rPr>
            </w:pPr>
          </w:p>
        </w:tc>
      </w:tr>
      <w:tr w:rsidR="008944CE" w:rsidRPr="00932F14" w14:paraId="0A17A044" w14:textId="77777777" w:rsidTr="008944CE">
        <w:trPr>
          <w:trHeight w:val="300"/>
          <w:jc w:val="center"/>
        </w:trPr>
        <w:tc>
          <w:tcPr>
            <w:tcW w:w="3520" w:type="dxa"/>
            <w:vAlign w:val="center"/>
            <w:hideMark/>
          </w:tcPr>
          <w:p w14:paraId="0A6D2843" w14:textId="77777777" w:rsidR="008944CE" w:rsidRPr="00932F14" w:rsidRDefault="008944CE" w:rsidP="00932F14">
            <w:pPr>
              <w:rPr>
                <w:lang w:eastAsia="es-CR"/>
              </w:rPr>
            </w:pPr>
            <w:r w:rsidRPr="00932F14">
              <w:rPr>
                <w:lang w:eastAsia="es-CR"/>
              </w:rPr>
              <w:t>Circulante al iniciar</w:t>
            </w:r>
          </w:p>
        </w:tc>
        <w:tc>
          <w:tcPr>
            <w:tcW w:w="1200" w:type="dxa"/>
            <w:vAlign w:val="center"/>
            <w:hideMark/>
          </w:tcPr>
          <w:p w14:paraId="18AE46B8" w14:textId="77777777" w:rsidR="008944CE" w:rsidRPr="00932F14" w:rsidRDefault="008944CE" w:rsidP="00932F14">
            <w:pPr>
              <w:jc w:val="center"/>
              <w:rPr>
                <w:lang w:eastAsia="es-CR"/>
              </w:rPr>
            </w:pPr>
            <w:r w:rsidRPr="00932F14">
              <w:rPr>
                <w:lang w:eastAsia="es-CR"/>
              </w:rPr>
              <w:t>25,522</w:t>
            </w:r>
          </w:p>
        </w:tc>
        <w:tc>
          <w:tcPr>
            <w:tcW w:w="1200" w:type="dxa"/>
            <w:vAlign w:val="center"/>
            <w:hideMark/>
          </w:tcPr>
          <w:p w14:paraId="70DBB30B" w14:textId="77777777" w:rsidR="008944CE" w:rsidRPr="00932F14" w:rsidRDefault="008944CE" w:rsidP="00932F14">
            <w:pPr>
              <w:jc w:val="center"/>
              <w:rPr>
                <w:lang w:eastAsia="es-CR"/>
              </w:rPr>
            </w:pPr>
            <w:r w:rsidRPr="00932F14">
              <w:rPr>
                <w:lang w:eastAsia="es-CR"/>
              </w:rPr>
              <w:t>29,475</w:t>
            </w:r>
          </w:p>
        </w:tc>
        <w:tc>
          <w:tcPr>
            <w:tcW w:w="1200" w:type="dxa"/>
            <w:vAlign w:val="center"/>
            <w:hideMark/>
          </w:tcPr>
          <w:p w14:paraId="3770A1A9" w14:textId="77777777" w:rsidR="008944CE" w:rsidRPr="00932F14" w:rsidRDefault="008944CE" w:rsidP="00932F14">
            <w:pPr>
              <w:jc w:val="center"/>
              <w:rPr>
                <w:lang w:eastAsia="es-CR"/>
              </w:rPr>
            </w:pPr>
            <w:r w:rsidRPr="00932F14">
              <w:rPr>
                <w:lang w:eastAsia="es-CR"/>
              </w:rPr>
              <w:t>30,418</w:t>
            </w:r>
          </w:p>
        </w:tc>
        <w:tc>
          <w:tcPr>
            <w:tcW w:w="1200" w:type="dxa"/>
            <w:vAlign w:val="center"/>
            <w:hideMark/>
          </w:tcPr>
          <w:p w14:paraId="76F6A330" w14:textId="77777777" w:rsidR="008944CE" w:rsidRPr="00932F14" w:rsidRDefault="008944CE" w:rsidP="00932F14">
            <w:pPr>
              <w:jc w:val="center"/>
              <w:rPr>
                <w:lang w:eastAsia="es-CR"/>
              </w:rPr>
            </w:pPr>
            <w:r w:rsidRPr="00932F14">
              <w:rPr>
                <w:lang w:eastAsia="es-CR"/>
              </w:rPr>
              <w:t>30,462</w:t>
            </w:r>
          </w:p>
        </w:tc>
        <w:tc>
          <w:tcPr>
            <w:tcW w:w="1200" w:type="dxa"/>
            <w:vAlign w:val="center"/>
            <w:hideMark/>
          </w:tcPr>
          <w:p w14:paraId="6EDF5D9F" w14:textId="77777777" w:rsidR="008944CE" w:rsidRPr="00932F14" w:rsidRDefault="008944CE" w:rsidP="00932F14">
            <w:pPr>
              <w:jc w:val="center"/>
              <w:rPr>
                <w:lang w:eastAsia="es-CR"/>
              </w:rPr>
            </w:pPr>
            <w:r w:rsidRPr="00932F14">
              <w:rPr>
                <w:lang w:eastAsia="es-CR"/>
              </w:rPr>
              <w:t>27,587</w:t>
            </w:r>
          </w:p>
        </w:tc>
      </w:tr>
      <w:tr w:rsidR="008944CE" w:rsidRPr="00932F14" w14:paraId="6396BF96" w14:textId="77777777" w:rsidTr="008944CE">
        <w:trPr>
          <w:trHeight w:val="300"/>
          <w:jc w:val="center"/>
        </w:trPr>
        <w:tc>
          <w:tcPr>
            <w:tcW w:w="3520" w:type="dxa"/>
            <w:vAlign w:val="center"/>
            <w:hideMark/>
          </w:tcPr>
          <w:p w14:paraId="476BFBC9" w14:textId="77777777" w:rsidR="008944CE" w:rsidRPr="00932F14" w:rsidRDefault="008944CE" w:rsidP="00932F14">
            <w:pPr>
              <w:rPr>
                <w:lang w:eastAsia="es-CR"/>
              </w:rPr>
            </w:pPr>
            <w:r w:rsidRPr="00932F14">
              <w:rPr>
                <w:lang w:eastAsia="es-CR"/>
              </w:rPr>
              <w:t>Casos entrados</w:t>
            </w:r>
          </w:p>
        </w:tc>
        <w:tc>
          <w:tcPr>
            <w:tcW w:w="1200" w:type="dxa"/>
            <w:vAlign w:val="center"/>
            <w:hideMark/>
          </w:tcPr>
          <w:p w14:paraId="14A738DF" w14:textId="77777777" w:rsidR="008944CE" w:rsidRPr="00932F14" w:rsidRDefault="008944CE" w:rsidP="00932F14">
            <w:pPr>
              <w:jc w:val="center"/>
              <w:rPr>
                <w:lang w:eastAsia="es-CR"/>
              </w:rPr>
            </w:pPr>
            <w:r w:rsidRPr="00932F14">
              <w:rPr>
                <w:lang w:eastAsia="es-CR"/>
              </w:rPr>
              <w:t>77,236</w:t>
            </w:r>
          </w:p>
        </w:tc>
        <w:tc>
          <w:tcPr>
            <w:tcW w:w="1200" w:type="dxa"/>
            <w:vAlign w:val="center"/>
            <w:hideMark/>
          </w:tcPr>
          <w:p w14:paraId="6E3D773C" w14:textId="77777777" w:rsidR="008944CE" w:rsidRPr="00932F14" w:rsidRDefault="008944CE" w:rsidP="00932F14">
            <w:pPr>
              <w:jc w:val="center"/>
              <w:rPr>
                <w:lang w:eastAsia="es-CR"/>
              </w:rPr>
            </w:pPr>
            <w:r w:rsidRPr="00932F14">
              <w:rPr>
                <w:lang w:eastAsia="es-CR"/>
              </w:rPr>
              <w:t>81,515</w:t>
            </w:r>
          </w:p>
        </w:tc>
        <w:tc>
          <w:tcPr>
            <w:tcW w:w="1200" w:type="dxa"/>
            <w:vAlign w:val="center"/>
            <w:hideMark/>
          </w:tcPr>
          <w:p w14:paraId="471429CA" w14:textId="77777777" w:rsidR="008944CE" w:rsidRPr="00932F14" w:rsidRDefault="008944CE" w:rsidP="00932F14">
            <w:pPr>
              <w:jc w:val="center"/>
              <w:rPr>
                <w:lang w:eastAsia="es-CR"/>
              </w:rPr>
            </w:pPr>
            <w:r w:rsidRPr="00932F14">
              <w:rPr>
                <w:lang w:eastAsia="es-CR"/>
              </w:rPr>
              <w:t>81,574</w:t>
            </w:r>
          </w:p>
        </w:tc>
        <w:tc>
          <w:tcPr>
            <w:tcW w:w="1200" w:type="dxa"/>
            <w:vAlign w:val="center"/>
            <w:hideMark/>
          </w:tcPr>
          <w:p w14:paraId="6B9400EC" w14:textId="77777777" w:rsidR="008944CE" w:rsidRPr="00932F14" w:rsidRDefault="008944CE" w:rsidP="00932F14">
            <w:pPr>
              <w:jc w:val="center"/>
              <w:rPr>
                <w:lang w:eastAsia="es-CR"/>
              </w:rPr>
            </w:pPr>
            <w:r w:rsidRPr="00932F14">
              <w:rPr>
                <w:lang w:eastAsia="es-CR"/>
              </w:rPr>
              <w:t>74,878</w:t>
            </w:r>
          </w:p>
        </w:tc>
        <w:tc>
          <w:tcPr>
            <w:tcW w:w="1200" w:type="dxa"/>
            <w:vAlign w:val="center"/>
            <w:hideMark/>
          </w:tcPr>
          <w:p w14:paraId="27F45612" w14:textId="77777777" w:rsidR="008944CE" w:rsidRPr="00932F14" w:rsidRDefault="008944CE" w:rsidP="00932F14">
            <w:pPr>
              <w:jc w:val="center"/>
              <w:rPr>
                <w:lang w:eastAsia="es-CR"/>
              </w:rPr>
            </w:pPr>
            <w:r w:rsidRPr="00932F14">
              <w:rPr>
                <w:lang w:eastAsia="es-CR"/>
              </w:rPr>
              <w:t>79,876</w:t>
            </w:r>
          </w:p>
        </w:tc>
      </w:tr>
      <w:tr w:rsidR="008944CE" w:rsidRPr="00932F14" w14:paraId="0E77312E" w14:textId="77777777" w:rsidTr="008944CE">
        <w:trPr>
          <w:trHeight w:val="300"/>
          <w:jc w:val="center"/>
        </w:trPr>
        <w:tc>
          <w:tcPr>
            <w:tcW w:w="3520" w:type="dxa"/>
            <w:vAlign w:val="center"/>
            <w:hideMark/>
          </w:tcPr>
          <w:p w14:paraId="2940CF89" w14:textId="77777777" w:rsidR="008944CE" w:rsidRPr="00932F14" w:rsidRDefault="008944CE" w:rsidP="00932F14">
            <w:pPr>
              <w:rPr>
                <w:lang w:eastAsia="es-CR"/>
              </w:rPr>
            </w:pPr>
            <w:r w:rsidRPr="00932F14">
              <w:rPr>
                <w:lang w:eastAsia="es-CR"/>
              </w:rPr>
              <w:t>Casos reentrados</w:t>
            </w:r>
          </w:p>
        </w:tc>
        <w:tc>
          <w:tcPr>
            <w:tcW w:w="1200" w:type="dxa"/>
            <w:vAlign w:val="center"/>
            <w:hideMark/>
          </w:tcPr>
          <w:p w14:paraId="36667FC8" w14:textId="77777777" w:rsidR="008944CE" w:rsidRPr="00932F14" w:rsidRDefault="008944CE" w:rsidP="00932F14">
            <w:pPr>
              <w:jc w:val="center"/>
              <w:rPr>
                <w:lang w:eastAsia="es-CR"/>
              </w:rPr>
            </w:pPr>
            <w:r w:rsidRPr="00932F14">
              <w:rPr>
                <w:lang w:eastAsia="es-CR"/>
              </w:rPr>
              <w:t>1,929</w:t>
            </w:r>
          </w:p>
        </w:tc>
        <w:tc>
          <w:tcPr>
            <w:tcW w:w="1200" w:type="dxa"/>
            <w:vAlign w:val="center"/>
            <w:hideMark/>
          </w:tcPr>
          <w:p w14:paraId="1540DA4D" w14:textId="77777777" w:rsidR="008944CE" w:rsidRPr="00932F14" w:rsidRDefault="008944CE" w:rsidP="00932F14">
            <w:pPr>
              <w:jc w:val="center"/>
              <w:rPr>
                <w:lang w:eastAsia="es-CR"/>
              </w:rPr>
            </w:pPr>
            <w:r w:rsidRPr="00932F14">
              <w:rPr>
                <w:lang w:eastAsia="es-CR"/>
              </w:rPr>
              <w:t>2,736</w:t>
            </w:r>
          </w:p>
        </w:tc>
        <w:tc>
          <w:tcPr>
            <w:tcW w:w="1200" w:type="dxa"/>
            <w:vAlign w:val="center"/>
            <w:hideMark/>
          </w:tcPr>
          <w:p w14:paraId="740369C0" w14:textId="77777777" w:rsidR="008944CE" w:rsidRPr="00932F14" w:rsidRDefault="008944CE" w:rsidP="00932F14">
            <w:pPr>
              <w:jc w:val="center"/>
              <w:rPr>
                <w:lang w:eastAsia="es-CR"/>
              </w:rPr>
            </w:pPr>
            <w:r w:rsidRPr="00932F14">
              <w:rPr>
                <w:lang w:eastAsia="es-CR"/>
              </w:rPr>
              <w:t>1,696</w:t>
            </w:r>
          </w:p>
        </w:tc>
        <w:tc>
          <w:tcPr>
            <w:tcW w:w="1200" w:type="dxa"/>
            <w:vAlign w:val="center"/>
            <w:hideMark/>
          </w:tcPr>
          <w:p w14:paraId="41FCEA47" w14:textId="77777777" w:rsidR="008944CE" w:rsidRPr="00932F14" w:rsidRDefault="008944CE" w:rsidP="00932F14">
            <w:pPr>
              <w:jc w:val="center"/>
              <w:rPr>
                <w:lang w:eastAsia="es-CR"/>
              </w:rPr>
            </w:pPr>
            <w:r w:rsidRPr="00932F14">
              <w:rPr>
                <w:lang w:eastAsia="es-CR"/>
              </w:rPr>
              <w:t>1,191</w:t>
            </w:r>
          </w:p>
        </w:tc>
        <w:tc>
          <w:tcPr>
            <w:tcW w:w="1200" w:type="dxa"/>
            <w:vAlign w:val="center"/>
            <w:hideMark/>
          </w:tcPr>
          <w:p w14:paraId="1EB485A1" w14:textId="77777777" w:rsidR="008944CE" w:rsidRPr="00932F14" w:rsidRDefault="008944CE" w:rsidP="00932F14">
            <w:pPr>
              <w:jc w:val="center"/>
              <w:rPr>
                <w:lang w:eastAsia="es-CR"/>
              </w:rPr>
            </w:pPr>
            <w:r w:rsidRPr="00932F14">
              <w:rPr>
                <w:lang w:eastAsia="es-CR"/>
              </w:rPr>
              <w:t>1,506</w:t>
            </w:r>
          </w:p>
        </w:tc>
      </w:tr>
      <w:tr w:rsidR="008944CE" w:rsidRPr="00932F14" w14:paraId="23998923" w14:textId="77777777" w:rsidTr="008944CE">
        <w:trPr>
          <w:trHeight w:val="300"/>
          <w:jc w:val="center"/>
        </w:trPr>
        <w:tc>
          <w:tcPr>
            <w:tcW w:w="3520" w:type="dxa"/>
            <w:vAlign w:val="center"/>
            <w:hideMark/>
          </w:tcPr>
          <w:p w14:paraId="0DA67453" w14:textId="77777777" w:rsidR="008944CE" w:rsidRPr="00932F14" w:rsidRDefault="008944CE" w:rsidP="00932F14">
            <w:pPr>
              <w:rPr>
                <w:lang w:eastAsia="es-CR"/>
              </w:rPr>
            </w:pPr>
            <w:r w:rsidRPr="00932F14">
              <w:rPr>
                <w:lang w:eastAsia="es-CR"/>
              </w:rPr>
              <w:t>Testimonios de piezas</w:t>
            </w:r>
          </w:p>
        </w:tc>
        <w:tc>
          <w:tcPr>
            <w:tcW w:w="1200" w:type="dxa"/>
            <w:vAlign w:val="center"/>
            <w:hideMark/>
          </w:tcPr>
          <w:p w14:paraId="45C959FC" w14:textId="77777777" w:rsidR="008944CE" w:rsidRPr="00932F14" w:rsidRDefault="008944CE" w:rsidP="00932F14">
            <w:pPr>
              <w:jc w:val="center"/>
              <w:rPr>
                <w:lang w:eastAsia="es-CR"/>
              </w:rPr>
            </w:pPr>
            <w:r w:rsidRPr="00932F14">
              <w:rPr>
                <w:lang w:eastAsia="es-CR"/>
              </w:rPr>
              <w:t>23</w:t>
            </w:r>
          </w:p>
        </w:tc>
        <w:tc>
          <w:tcPr>
            <w:tcW w:w="1200" w:type="dxa"/>
            <w:vAlign w:val="center"/>
            <w:hideMark/>
          </w:tcPr>
          <w:p w14:paraId="588DFD79" w14:textId="77777777" w:rsidR="008944CE" w:rsidRPr="00932F14" w:rsidRDefault="008944CE" w:rsidP="00932F14">
            <w:pPr>
              <w:jc w:val="center"/>
              <w:rPr>
                <w:lang w:eastAsia="es-CR"/>
              </w:rPr>
            </w:pPr>
            <w:r w:rsidRPr="00932F14">
              <w:rPr>
                <w:lang w:eastAsia="es-CR"/>
              </w:rPr>
              <w:t>120</w:t>
            </w:r>
          </w:p>
        </w:tc>
        <w:tc>
          <w:tcPr>
            <w:tcW w:w="1200" w:type="dxa"/>
            <w:vAlign w:val="center"/>
            <w:hideMark/>
          </w:tcPr>
          <w:p w14:paraId="5A41FE7F" w14:textId="77777777" w:rsidR="008944CE" w:rsidRPr="00932F14" w:rsidRDefault="008944CE" w:rsidP="00932F14">
            <w:pPr>
              <w:jc w:val="center"/>
              <w:rPr>
                <w:lang w:eastAsia="es-CR"/>
              </w:rPr>
            </w:pPr>
            <w:r w:rsidRPr="00932F14">
              <w:rPr>
                <w:lang w:eastAsia="es-CR"/>
              </w:rPr>
              <w:t>114</w:t>
            </w:r>
          </w:p>
        </w:tc>
        <w:tc>
          <w:tcPr>
            <w:tcW w:w="1200" w:type="dxa"/>
            <w:vAlign w:val="center"/>
            <w:hideMark/>
          </w:tcPr>
          <w:p w14:paraId="30CD2B6C" w14:textId="77777777" w:rsidR="008944CE" w:rsidRPr="00932F14" w:rsidRDefault="008944CE" w:rsidP="00932F14">
            <w:pPr>
              <w:jc w:val="center"/>
              <w:rPr>
                <w:lang w:eastAsia="es-CR"/>
              </w:rPr>
            </w:pPr>
            <w:r w:rsidRPr="00932F14">
              <w:rPr>
                <w:lang w:eastAsia="es-CR"/>
              </w:rPr>
              <w:t>76</w:t>
            </w:r>
          </w:p>
        </w:tc>
        <w:tc>
          <w:tcPr>
            <w:tcW w:w="1200" w:type="dxa"/>
            <w:vAlign w:val="center"/>
            <w:hideMark/>
          </w:tcPr>
          <w:p w14:paraId="4A07AD8B" w14:textId="77777777" w:rsidR="008944CE" w:rsidRPr="00932F14" w:rsidRDefault="008944CE" w:rsidP="00932F14">
            <w:pPr>
              <w:jc w:val="center"/>
              <w:rPr>
                <w:lang w:eastAsia="es-CR"/>
              </w:rPr>
            </w:pPr>
            <w:r w:rsidRPr="00932F14">
              <w:rPr>
                <w:lang w:eastAsia="es-CR"/>
              </w:rPr>
              <w:t>58</w:t>
            </w:r>
          </w:p>
        </w:tc>
      </w:tr>
      <w:tr w:rsidR="008944CE" w:rsidRPr="00932F14" w14:paraId="20C4079E" w14:textId="77777777" w:rsidTr="008944CE">
        <w:trPr>
          <w:trHeight w:val="300"/>
          <w:jc w:val="center"/>
        </w:trPr>
        <w:tc>
          <w:tcPr>
            <w:tcW w:w="3520" w:type="dxa"/>
            <w:vAlign w:val="center"/>
            <w:hideMark/>
          </w:tcPr>
          <w:p w14:paraId="542EBCCF" w14:textId="77777777" w:rsidR="008944CE" w:rsidRPr="00932F14" w:rsidRDefault="008944CE" w:rsidP="00932F14">
            <w:pPr>
              <w:rPr>
                <w:lang w:eastAsia="es-CR"/>
              </w:rPr>
            </w:pPr>
            <w:r w:rsidRPr="00932F14">
              <w:rPr>
                <w:lang w:eastAsia="es-CR"/>
              </w:rPr>
              <w:t>Casos terminados</w:t>
            </w:r>
          </w:p>
        </w:tc>
        <w:tc>
          <w:tcPr>
            <w:tcW w:w="1200" w:type="dxa"/>
            <w:vAlign w:val="center"/>
            <w:hideMark/>
          </w:tcPr>
          <w:p w14:paraId="200E3AC7" w14:textId="77777777" w:rsidR="008944CE" w:rsidRPr="00932F14" w:rsidRDefault="008944CE" w:rsidP="00932F14">
            <w:pPr>
              <w:jc w:val="center"/>
              <w:rPr>
                <w:lang w:eastAsia="es-CR"/>
              </w:rPr>
            </w:pPr>
            <w:r w:rsidRPr="00932F14">
              <w:rPr>
                <w:lang w:eastAsia="es-CR"/>
              </w:rPr>
              <w:t>75,235</w:t>
            </w:r>
          </w:p>
        </w:tc>
        <w:tc>
          <w:tcPr>
            <w:tcW w:w="1200" w:type="dxa"/>
            <w:vAlign w:val="center"/>
            <w:hideMark/>
          </w:tcPr>
          <w:p w14:paraId="5CF19525" w14:textId="77777777" w:rsidR="008944CE" w:rsidRPr="00932F14" w:rsidRDefault="008944CE" w:rsidP="00932F14">
            <w:pPr>
              <w:jc w:val="center"/>
              <w:rPr>
                <w:lang w:eastAsia="es-CR"/>
              </w:rPr>
            </w:pPr>
            <w:r w:rsidRPr="00932F14">
              <w:rPr>
                <w:lang w:eastAsia="es-CR"/>
              </w:rPr>
              <w:t>83,428</w:t>
            </w:r>
          </w:p>
        </w:tc>
        <w:tc>
          <w:tcPr>
            <w:tcW w:w="1200" w:type="dxa"/>
            <w:vAlign w:val="center"/>
            <w:hideMark/>
          </w:tcPr>
          <w:p w14:paraId="3AF396C4" w14:textId="77777777" w:rsidR="008944CE" w:rsidRPr="00932F14" w:rsidRDefault="008944CE" w:rsidP="00932F14">
            <w:pPr>
              <w:jc w:val="center"/>
              <w:rPr>
                <w:lang w:eastAsia="es-CR"/>
              </w:rPr>
            </w:pPr>
            <w:r w:rsidRPr="00932F14">
              <w:rPr>
                <w:lang w:eastAsia="es-CR"/>
              </w:rPr>
              <w:t>83,340</w:t>
            </w:r>
          </w:p>
        </w:tc>
        <w:tc>
          <w:tcPr>
            <w:tcW w:w="1200" w:type="dxa"/>
            <w:vAlign w:val="center"/>
            <w:hideMark/>
          </w:tcPr>
          <w:p w14:paraId="2DEBAD61" w14:textId="77777777" w:rsidR="008944CE" w:rsidRPr="00932F14" w:rsidRDefault="008944CE" w:rsidP="00932F14">
            <w:pPr>
              <w:jc w:val="center"/>
              <w:rPr>
                <w:lang w:eastAsia="es-CR"/>
              </w:rPr>
            </w:pPr>
            <w:r w:rsidRPr="00932F14">
              <w:rPr>
                <w:lang w:eastAsia="es-CR"/>
              </w:rPr>
              <w:t>79,020</w:t>
            </w:r>
          </w:p>
        </w:tc>
        <w:tc>
          <w:tcPr>
            <w:tcW w:w="1200" w:type="dxa"/>
            <w:vAlign w:val="center"/>
            <w:hideMark/>
          </w:tcPr>
          <w:p w14:paraId="4567235A" w14:textId="77777777" w:rsidR="008944CE" w:rsidRPr="00932F14" w:rsidRDefault="008944CE" w:rsidP="00932F14">
            <w:pPr>
              <w:jc w:val="center"/>
              <w:rPr>
                <w:lang w:eastAsia="es-CR"/>
              </w:rPr>
            </w:pPr>
            <w:r w:rsidRPr="00932F14">
              <w:rPr>
                <w:lang w:eastAsia="es-CR"/>
              </w:rPr>
              <w:t>83,590</w:t>
            </w:r>
          </w:p>
        </w:tc>
      </w:tr>
      <w:tr w:rsidR="008944CE" w:rsidRPr="00932F14" w14:paraId="15DC33B9" w14:textId="77777777" w:rsidTr="008944CE">
        <w:trPr>
          <w:trHeight w:val="300"/>
          <w:jc w:val="center"/>
        </w:trPr>
        <w:tc>
          <w:tcPr>
            <w:tcW w:w="3520" w:type="dxa"/>
            <w:vAlign w:val="center"/>
            <w:hideMark/>
          </w:tcPr>
          <w:p w14:paraId="1B64FCA9" w14:textId="77777777" w:rsidR="008944CE" w:rsidRPr="00932F14" w:rsidRDefault="008944CE" w:rsidP="00932F14">
            <w:pPr>
              <w:rPr>
                <w:lang w:eastAsia="es-CR"/>
              </w:rPr>
            </w:pPr>
            <w:r w:rsidRPr="00932F14">
              <w:rPr>
                <w:lang w:eastAsia="es-CR"/>
              </w:rPr>
              <w:t>Circulante al finalizar</w:t>
            </w:r>
          </w:p>
        </w:tc>
        <w:tc>
          <w:tcPr>
            <w:tcW w:w="1200" w:type="dxa"/>
            <w:vAlign w:val="center"/>
            <w:hideMark/>
          </w:tcPr>
          <w:p w14:paraId="0C3DA515" w14:textId="77777777" w:rsidR="008944CE" w:rsidRPr="00932F14" w:rsidRDefault="008944CE" w:rsidP="00932F14">
            <w:pPr>
              <w:jc w:val="center"/>
              <w:rPr>
                <w:lang w:eastAsia="es-CR"/>
              </w:rPr>
            </w:pPr>
            <w:r w:rsidRPr="00932F14">
              <w:rPr>
                <w:lang w:eastAsia="es-CR"/>
              </w:rPr>
              <w:t>29,475</w:t>
            </w:r>
          </w:p>
        </w:tc>
        <w:tc>
          <w:tcPr>
            <w:tcW w:w="1200" w:type="dxa"/>
            <w:vAlign w:val="center"/>
            <w:hideMark/>
          </w:tcPr>
          <w:p w14:paraId="33F2C742" w14:textId="77777777" w:rsidR="008944CE" w:rsidRPr="00932F14" w:rsidRDefault="008944CE" w:rsidP="00932F14">
            <w:pPr>
              <w:jc w:val="center"/>
              <w:rPr>
                <w:lang w:eastAsia="es-CR"/>
              </w:rPr>
            </w:pPr>
            <w:r w:rsidRPr="00932F14">
              <w:rPr>
                <w:lang w:eastAsia="es-CR"/>
              </w:rPr>
              <w:t>30,418</w:t>
            </w:r>
          </w:p>
        </w:tc>
        <w:tc>
          <w:tcPr>
            <w:tcW w:w="1200" w:type="dxa"/>
            <w:vAlign w:val="center"/>
            <w:hideMark/>
          </w:tcPr>
          <w:p w14:paraId="03D30466" w14:textId="77777777" w:rsidR="008944CE" w:rsidRPr="00932F14" w:rsidRDefault="008944CE" w:rsidP="00932F14">
            <w:pPr>
              <w:jc w:val="center"/>
              <w:rPr>
                <w:lang w:eastAsia="es-CR"/>
              </w:rPr>
            </w:pPr>
            <w:r w:rsidRPr="00932F14">
              <w:rPr>
                <w:lang w:eastAsia="es-CR"/>
              </w:rPr>
              <w:t>30,462</w:t>
            </w:r>
          </w:p>
        </w:tc>
        <w:tc>
          <w:tcPr>
            <w:tcW w:w="1200" w:type="dxa"/>
            <w:vAlign w:val="center"/>
            <w:hideMark/>
          </w:tcPr>
          <w:p w14:paraId="515C733A" w14:textId="77777777" w:rsidR="008944CE" w:rsidRPr="00932F14" w:rsidRDefault="008944CE" w:rsidP="00932F14">
            <w:pPr>
              <w:jc w:val="center"/>
              <w:rPr>
                <w:lang w:eastAsia="es-CR"/>
              </w:rPr>
            </w:pPr>
            <w:r w:rsidRPr="00932F14">
              <w:rPr>
                <w:lang w:eastAsia="es-CR"/>
              </w:rPr>
              <w:t>27,587</w:t>
            </w:r>
          </w:p>
        </w:tc>
        <w:tc>
          <w:tcPr>
            <w:tcW w:w="1200" w:type="dxa"/>
            <w:vAlign w:val="center"/>
            <w:hideMark/>
          </w:tcPr>
          <w:p w14:paraId="62BD5E6C" w14:textId="77777777" w:rsidR="008944CE" w:rsidRPr="00932F14" w:rsidRDefault="008944CE" w:rsidP="00932F14">
            <w:pPr>
              <w:jc w:val="center"/>
              <w:rPr>
                <w:lang w:eastAsia="es-CR"/>
              </w:rPr>
            </w:pPr>
            <w:r w:rsidRPr="00932F14">
              <w:rPr>
                <w:lang w:eastAsia="es-CR"/>
              </w:rPr>
              <w:t>25,437</w:t>
            </w:r>
          </w:p>
        </w:tc>
      </w:tr>
      <w:tr w:rsidR="008944CE" w:rsidRPr="00932F14" w14:paraId="59D2C832" w14:textId="77777777" w:rsidTr="008944CE">
        <w:trPr>
          <w:trHeight w:val="315"/>
          <w:jc w:val="center"/>
        </w:trPr>
        <w:tc>
          <w:tcPr>
            <w:tcW w:w="3520" w:type="dxa"/>
            <w:vAlign w:val="center"/>
            <w:hideMark/>
          </w:tcPr>
          <w:p w14:paraId="3BB8F58E" w14:textId="77777777" w:rsidR="008944CE" w:rsidRPr="00932F14" w:rsidRDefault="008944CE" w:rsidP="00932F14">
            <w:pPr>
              <w:rPr>
                <w:lang w:eastAsia="es-CR"/>
              </w:rPr>
            </w:pPr>
          </w:p>
        </w:tc>
        <w:tc>
          <w:tcPr>
            <w:tcW w:w="1200" w:type="dxa"/>
            <w:vAlign w:val="center"/>
            <w:hideMark/>
          </w:tcPr>
          <w:p w14:paraId="41B12F03" w14:textId="77777777" w:rsidR="008944CE" w:rsidRPr="00932F14" w:rsidRDefault="008944CE" w:rsidP="00932F14">
            <w:pPr>
              <w:rPr>
                <w:lang w:val="es-CR" w:eastAsia="es-CR"/>
              </w:rPr>
            </w:pPr>
          </w:p>
        </w:tc>
        <w:tc>
          <w:tcPr>
            <w:tcW w:w="1200" w:type="dxa"/>
            <w:vAlign w:val="center"/>
            <w:hideMark/>
          </w:tcPr>
          <w:p w14:paraId="45656B8B" w14:textId="77777777" w:rsidR="008944CE" w:rsidRPr="00932F14" w:rsidRDefault="008944CE" w:rsidP="00932F14">
            <w:pPr>
              <w:rPr>
                <w:lang w:val="es-CR" w:eastAsia="es-CR"/>
              </w:rPr>
            </w:pPr>
          </w:p>
        </w:tc>
        <w:tc>
          <w:tcPr>
            <w:tcW w:w="1200" w:type="dxa"/>
            <w:vAlign w:val="center"/>
            <w:hideMark/>
          </w:tcPr>
          <w:p w14:paraId="5EDB8B16" w14:textId="77777777" w:rsidR="008944CE" w:rsidRPr="00932F14" w:rsidRDefault="008944CE" w:rsidP="00932F14">
            <w:pPr>
              <w:rPr>
                <w:lang w:val="es-CR" w:eastAsia="es-CR"/>
              </w:rPr>
            </w:pPr>
          </w:p>
        </w:tc>
        <w:tc>
          <w:tcPr>
            <w:tcW w:w="1200" w:type="dxa"/>
            <w:vAlign w:val="center"/>
            <w:hideMark/>
          </w:tcPr>
          <w:p w14:paraId="2773B1CC" w14:textId="77777777" w:rsidR="008944CE" w:rsidRPr="00932F14" w:rsidRDefault="008944CE" w:rsidP="00932F14">
            <w:pPr>
              <w:rPr>
                <w:lang w:val="es-CR" w:eastAsia="es-CR"/>
              </w:rPr>
            </w:pPr>
          </w:p>
        </w:tc>
        <w:tc>
          <w:tcPr>
            <w:tcW w:w="1200" w:type="dxa"/>
            <w:vAlign w:val="center"/>
            <w:hideMark/>
          </w:tcPr>
          <w:p w14:paraId="1C789AAE" w14:textId="77777777" w:rsidR="008944CE" w:rsidRPr="00932F14" w:rsidRDefault="008944CE" w:rsidP="00932F14">
            <w:pPr>
              <w:rPr>
                <w:lang w:val="es-CR" w:eastAsia="es-CR"/>
              </w:rPr>
            </w:pPr>
          </w:p>
        </w:tc>
      </w:tr>
      <w:tr w:rsidR="008944CE" w:rsidRPr="00932F14" w14:paraId="78E476EC" w14:textId="77777777" w:rsidTr="008944CE">
        <w:trPr>
          <w:trHeight w:val="315"/>
          <w:jc w:val="center"/>
        </w:trPr>
        <w:tc>
          <w:tcPr>
            <w:tcW w:w="3520" w:type="dxa"/>
            <w:vAlign w:val="center"/>
            <w:hideMark/>
          </w:tcPr>
          <w:p w14:paraId="06570ED8" w14:textId="77777777" w:rsidR="008944CE" w:rsidRPr="00932F14" w:rsidRDefault="008944CE" w:rsidP="00932F14">
            <w:pPr>
              <w:jc w:val="center"/>
              <w:rPr>
                <w:b/>
                <w:bCs/>
                <w:u w:val="single"/>
                <w:lang w:eastAsia="es-CR"/>
              </w:rPr>
            </w:pPr>
            <w:r w:rsidRPr="00932F14">
              <w:rPr>
                <w:b/>
                <w:bCs/>
                <w:u w:val="single"/>
                <w:lang w:eastAsia="es-CR"/>
              </w:rPr>
              <w:t>Indicadores</w:t>
            </w:r>
          </w:p>
        </w:tc>
        <w:tc>
          <w:tcPr>
            <w:tcW w:w="1200" w:type="dxa"/>
            <w:vAlign w:val="center"/>
            <w:hideMark/>
          </w:tcPr>
          <w:p w14:paraId="54E11E6D" w14:textId="77777777" w:rsidR="008944CE" w:rsidRPr="00932F14" w:rsidRDefault="008944CE" w:rsidP="00932F14">
            <w:pPr>
              <w:rPr>
                <w:b/>
                <w:bCs/>
                <w:u w:val="single"/>
                <w:lang w:eastAsia="es-CR"/>
              </w:rPr>
            </w:pPr>
          </w:p>
        </w:tc>
        <w:tc>
          <w:tcPr>
            <w:tcW w:w="1200" w:type="dxa"/>
            <w:vAlign w:val="center"/>
            <w:hideMark/>
          </w:tcPr>
          <w:p w14:paraId="5B593102" w14:textId="77777777" w:rsidR="008944CE" w:rsidRPr="00932F14" w:rsidRDefault="008944CE" w:rsidP="00932F14">
            <w:pPr>
              <w:rPr>
                <w:lang w:val="es-CR" w:eastAsia="es-CR"/>
              </w:rPr>
            </w:pPr>
          </w:p>
        </w:tc>
        <w:tc>
          <w:tcPr>
            <w:tcW w:w="1200" w:type="dxa"/>
            <w:vAlign w:val="center"/>
            <w:hideMark/>
          </w:tcPr>
          <w:p w14:paraId="07BA0BC5" w14:textId="77777777" w:rsidR="008944CE" w:rsidRPr="00932F14" w:rsidRDefault="008944CE" w:rsidP="00932F14">
            <w:pPr>
              <w:rPr>
                <w:lang w:val="es-CR" w:eastAsia="es-CR"/>
              </w:rPr>
            </w:pPr>
          </w:p>
        </w:tc>
        <w:tc>
          <w:tcPr>
            <w:tcW w:w="1200" w:type="dxa"/>
            <w:vAlign w:val="center"/>
            <w:hideMark/>
          </w:tcPr>
          <w:p w14:paraId="07624994" w14:textId="77777777" w:rsidR="008944CE" w:rsidRPr="00932F14" w:rsidRDefault="008944CE" w:rsidP="00932F14">
            <w:pPr>
              <w:rPr>
                <w:lang w:val="es-CR" w:eastAsia="es-CR"/>
              </w:rPr>
            </w:pPr>
          </w:p>
        </w:tc>
        <w:tc>
          <w:tcPr>
            <w:tcW w:w="1200" w:type="dxa"/>
            <w:vAlign w:val="center"/>
            <w:hideMark/>
          </w:tcPr>
          <w:p w14:paraId="60AD7167" w14:textId="77777777" w:rsidR="008944CE" w:rsidRPr="00932F14" w:rsidRDefault="008944CE" w:rsidP="00932F14">
            <w:pPr>
              <w:rPr>
                <w:lang w:val="es-CR" w:eastAsia="es-CR"/>
              </w:rPr>
            </w:pPr>
          </w:p>
        </w:tc>
      </w:tr>
      <w:tr w:rsidR="008944CE" w:rsidRPr="00932F14" w14:paraId="5C6C5E58" w14:textId="77777777" w:rsidTr="008944CE">
        <w:trPr>
          <w:trHeight w:val="315"/>
          <w:jc w:val="center"/>
        </w:trPr>
        <w:tc>
          <w:tcPr>
            <w:tcW w:w="3520" w:type="dxa"/>
            <w:vAlign w:val="center"/>
            <w:hideMark/>
          </w:tcPr>
          <w:p w14:paraId="6FB33B42" w14:textId="77777777" w:rsidR="008944CE" w:rsidRPr="00932F14" w:rsidRDefault="008944CE" w:rsidP="00932F14">
            <w:pPr>
              <w:rPr>
                <w:lang w:eastAsia="es-CR"/>
              </w:rPr>
            </w:pPr>
            <w:r w:rsidRPr="00932F14">
              <w:rPr>
                <w:lang w:eastAsia="es-CR"/>
              </w:rPr>
              <w:t>Razón de congestión</w:t>
            </w:r>
          </w:p>
        </w:tc>
        <w:tc>
          <w:tcPr>
            <w:tcW w:w="1200" w:type="dxa"/>
            <w:vAlign w:val="center"/>
            <w:hideMark/>
          </w:tcPr>
          <w:p w14:paraId="49F5592C" w14:textId="77777777" w:rsidR="008944CE" w:rsidRPr="00932F14" w:rsidRDefault="008944CE" w:rsidP="00932F14">
            <w:pPr>
              <w:jc w:val="center"/>
              <w:rPr>
                <w:lang w:eastAsia="es-CR"/>
              </w:rPr>
            </w:pPr>
            <w:r w:rsidRPr="00932F14">
              <w:rPr>
                <w:lang w:eastAsia="es-CR"/>
              </w:rPr>
              <w:t>1.39</w:t>
            </w:r>
          </w:p>
        </w:tc>
        <w:tc>
          <w:tcPr>
            <w:tcW w:w="1200" w:type="dxa"/>
            <w:vAlign w:val="center"/>
            <w:hideMark/>
          </w:tcPr>
          <w:p w14:paraId="646AD31C" w14:textId="77777777" w:rsidR="008944CE" w:rsidRPr="00932F14" w:rsidRDefault="008944CE" w:rsidP="00932F14">
            <w:pPr>
              <w:jc w:val="center"/>
              <w:rPr>
                <w:lang w:eastAsia="es-CR"/>
              </w:rPr>
            </w:pPr>
            <w:r w:rsidRPr="00932F14">
              <w:rPr>
                <w:lang w:eastAsia="es-CR"/>
              </w:rPr>
              <w:t>1.36</w:t>
            </w:r>
          </w:p>
        </w:tc>
        <w:tc>
          <w:tcPr>
            <w:tcW w:w="1200" w:type="dxa"/>
            <w:vAlign w:val="center"/>
            <w:hideMark/>
          </w:tcPr>
          <w:p w14:paraId="7131C91D" w14:textId="77777777" w:rsidR="008944CE" w:rsidRPr="00932F14" w:rsidRDefault="008944CE" w:rsidP="00932F14">
            <w:pPr>
              <w:jc w:val="center"/>
              <w:rPr>
                <w:lang w:eastAsia="es-CR"/>
              </w:rPr>
            </w:pPr>
            <w:r w:rsidRPr="00932F14">
              <w:rPr>
                <w:lang w:eastAsia="es-CR"/>
              </w:rPr>
              <w:t>1.37</w:t>
            </w:r>
          </w:p>
        </w:tc>
        <w:tc>
          <w:tcPr>
            <w:tcW w:w="1200" w:type="dxa"/>
            <w:vAlign w:val="center"/>
            <w:hideMark/>
          </w:tcPr>
          <w:p w14:paraId="1DFD459D" w14:textId="77777777" w:rsidR="008944CE" w:rsidRPr="00932F14" w:rsidRDefault="008944CE" w:rsidP="00932F14">
            <w:pPr>
              <w:jc w:val="center"/>
              <w:rPr>
                <w:lang w:eastAsia="es-CR"/>
              </w:rPr>
            </w:pPr>
            <w:r w:rsidRPr="00932F14">
              <w:rPr>
                <w:lang w:eastAsia="es-CR"/>
              </w:rPr>
              <w:t>1.35</w:t>
            </w:r>
          </w:p>
        </w:tc>
        <w:tc>
          <w:tcPr>
            <w:tcW w:w="1200" w:type="dxa"/>
            <w:vAlign w:val="center"/>
            <w:hideMark/>
          </w:tcPr>
          <w:p w14:paraId="1864570D" w14:textId="77777777" w:rsidR="008944CE" w:rsidRPr="00932F14" w:rsidRDefault="008944CE" w:rsidP="00932F14">
            <w:pPr>
              <w:jc w:val="center"/>
              <w:rPr>
                <w:lang w:eastAsia="es-CR"/>
              </w:rPr>
            </w:pPr>
            <w:r w:rsidRPr="00932F14">
              <w:rPr>
                <w:lang w:eastAsia="es-CR"/>
              </w:rPr>
              <w:t>1.30</w:t>
            </w:r>
          </w:p>
        </w:tc>
      </w:tr>
      <w:tr w:rsidR="008944CE" w:rsidRPr="00932F14" w14:paraId="2A4206AE" w14:textId="77777777" w:rsidTr="008944CE">
        <w:trPr>
          <w:trHeight w:val="315"/>
          <w:jc w:val="center"/>
        </w:trPr>
        <w:tc>
          <w:tcPr>
            <w:tcW w:w="3520" w:type="dxa"/>
            <w:vAlign w:val="center"/>
            <w:hideMark/>
          </w:tcPr>
          <w:p w14:paraId="446C40E4" w14:textId="77777777" w:rsidR="008944CE" w:rsidRPr="00932F14" w:rsidRDefault="008944CE" w:rsidP="00932F14">
            <w:pPr>
              <w:rPr>
                <w:lang w:eastAsia="es-CR"/>
              </w:rPr>
            </w:pPr>
            <w:r w:rsidRPr="00932F14">
              <w:rPr>
                <w:lang w:eastAsia="es-CR"/>
              </w:rPr>
              <w:t>Tasa de pendencia</w:t>
            </w:r>
            <w:r w:rsidRPr="00932F14">
              <w:rPr>
                <w:vertAlign w:val="superscript"/>
                <w:lang w:eastAsia="es-CR"/>
              </w:rPr>
              <w:t>(1)</w:t>
            </w:r>
          </w:p>
        </w:tc>
        <w:tc>
          <w:tcPr>
            <w:tcW w:w="1200" w:type="dxa"/>
            <w:vAlign w:val="center"/>
            <w:hideMark/>
          </w:tcPr>
          <w:p w14:paraId="08024C63" w14:textId="77777777" w:rsidR="008944CE" w:rsidRPr="00932F14" w:rsidRDefault="008944CE" w:rsidP="00932F14">
            <w:pPr>
              <w:jc w:val="center"/>
              <w:rPr>
                <w:lang w:eastAsia="es-CR"/>
              </w:rPr>
            </w:pPr>
            <w:r w:rsidRPr="00932F14">
              <w:rPr>
                <w:lang w:eastAsia="es-CR"/>
              </w:rPr>
              <w:t>28.1</w:t>
            </w:r>
          </w:p>
        </w:tc>
        <w:tc>
          <w:tcPr>
            <w:tcW w:w="1200" w:type="dxa"/>
            <w:vAlign w:val="center"/>
            <w:hideMark/>
          </w:tcPr>
          <w:p w14:paraId="5B393879" w14:textId="77777777" w:rsidR="008944CE" w:rsidRPr="00932F14" w:rsidRDefault="008944CE" w:rsidP="00932F14">
            <w:pPr>
              <w:jc w:val="center"/>
              <w:rPr>
                <w:lang w:eastAsia="es-CR"/>
              </w:rPr>
            </w:pPr>
            <w:r w:rsidRPr="00932F14">
              <w:rPr>
                <w:lang w:eastAsia="es-CR"/>
              </w:rPr>
              <w:t>26.7</w:t>
            </w:r>
          </w:p>
        </w:tc>
        <w:tc>
          <w:tcPr>
            <w:tcW w:w="1200" w:type="dxa"/>
            <w:vAlign w:val="center"/>
            <w:hideMark/>
          </w:tcPr>
          <w:p w14:paraId="3D3850E0" w14:textId="77777777" w:rsidR="008944CE" w:rsidRPr="00932F14" w:rsidRDefault="008944CE" w:rsidP="00932F14">
            <w:pPr>
              <w:jc w:val="center"/>
              <w:rPr>
                <w:lang w:eastAsia="es-CR"/>
              </w:rPr>
            </w:pPr>
            <w:r w:rsidRPr="00932F14">
              <w:rPr>
                <w:lang w:eastAsia="es-CR"/>
              </w:rPr>
              <w:t>26.8</w:t>
            </w:r>
          </w:p>
        </w:tc>
        <w:tc>
          <w:tcPr>
            <w:tcW w:w="1200" w:type="dxa"/>
            <w:vAlign w:val="center"/>
            <w:hideMark/>
          </w:tcPr>
          <w:p w14:paraId="34836FD3" w14:textId="77777777" w:rsidR="008944CE" w:rsidRPr="00932F14" w:rsidRDefault="008944CE" w:rsidP="00932F14">
            <w:pPr>
              <w:jc w:val="center"/>
              <w:rPr>
                <w:lang w:eastAsia="es-CR"/>
              </w:rPr>
            </w:pPr>
            <w:r w:rsidRPr="00932F14">
              <w:rPr>
                <w:lang w:eastAsia="es-CR"/>
              </w:rPr>
              <w:t>25.9</w:t>
            </w:r>
          </w:p>
        </w:tc>
        <w:tc>
          <w:tcPr>
            <w:tcW w:w="1200" w:type="dxa"/>
            <w:vAlign w:val="center"/>
            <w:hideMark/>
          </w:tcPr>
          <w:p w14:paraId="3165D250" w14:textId="77777777" w:rsidR="008944CE" w:rsidRPr="00932F14" w:rsidRDefault="008944CE" w:rsidP="00932F14">
            <w:pPr>
              <w:jc w:val="center"/>
              <w:rPr>
                <w:lang w:eastAsia="es-CR"/>
              </w:rPr>
            </w:pPr>
            <w:r w:rsidRPr="00932F14">
              <w:rPr>
                <w:lang w:eastAsia="es-CR"/>
              </w:rPr>
              <w:t>23.3</w:t>
            </w:r>
          </w:p>
        </w:tc>
      </w:tr>
      <w:tr w:rsidR="008944CE" w:rsidRPr="00932F14" w14:paraId="0C95BE46" w14:textId="77777777" w:rsidTr="008944CE">
        <w:trPr>
          <w:trHeight w:val="315"/>
          <w:jc w:val="center"/>
        </w:trPr>
        <w:tc>
          <w:tcPr>
            <w:tcW w:w="3520" w:type="dxa"/>
            <w:vAlign w:val="center"/>
            <w:hideMark/>
          </w:tcPr>
          <w:p w14:paraId="4206FCDB" w14:textId="77777777" w:rsidR="008944CE" w:rsidRPr="00932F14" w:rsidRDefault="008944CE" w:rsidP="00932F14">
            <w:pPr>
              <w:rPr>
                <w:lang w:eastAsia="es-CR"/>
              </w:rPr>
            </w:pPr>
            <w:r w:rsidRPr="00932F14">
              <w:rPr>
                <w:lang w:eastAsia="es-CR"/>
              </w:rPr>
              <w:t>Tasa de resolución</w:t>
            </w:r>
            <w:r w:rsidRPr="00932F14">
              <w:rPr>
                <w:vertAlign w:val="superscript"/>
                <w:lang w:eastAsia="es-CR"/>
              </w:rPr>
              <w:t>(1)</w:t>
            </w:r>
          </w:p>
        </w:tc>
        <w:tc>
          <w:tcPr>
            <w:tcW w:w="1200" w:type="dxa"/>
            <w:vAlign w:val="center"/>
            <w:hideMark/>
          </w:tcPr>
          <w:p w14:paraId="211F2784" w14:textId="77777777" w:rsidR="008944CE" w:rsidRPr="00932F14" w:rsidRDefault="008944CE" w:rsidP="00932F14">
            <w:pPr>
              <w:jc w:val="center"/>
              <w:rPr>
                <w:lang w:eastAsia="es-CR"/>
              </w:rPr>
            </w:pPr>
            <w:r w:rsidRPr="00932F14">
              <w:rPr>
                <w:lang w:eastAsia="es-CR"/>
              </w:rPr>
              <w:t>71.9</w:t>
            </w:r>
          </w:p>
        </w:tc>
        <w:tc>
          <w:tcPr>
            <w:tcW w:w="1200" w:type="dxa"/>
            <w:vAlign w:val="center"/>
            <w:hideMark/>
          </w:tcPr>
          <w:p w14:paraId="433BB125" w14:textId="77777777" w:rsidR="008944CE" w:rsidRPr="00932F14" w:rsidRDefault="008944CE" w:rsidP="00932F14">
            <w:pPr>
              <w:jc w:val="center"/>
              <w:rPr>
                <w:lang w:eastAsia="es-CR"/>
              </w:rPr>
            </w:pPr>
            <w:r w:rsidRPr="00932F14">
              <w:rPr>
                <w:lang w:eastAsia="es-CR"/>
              </w:rPr>
              <w:t>73.3</w:t>
            </w:r>
          </w:p>
        </w:tc>
        <w:tc>
          <w:tcPr>
            <w:tcW w:w="1200" w:type="dxa"/>
            <w:vAlign w:val="center"/>
            <w:hideMark/>
          </w:tcPr>
          <w:p w14:paraId="6407A923" w14:textId="77777777" w:rsidR="008944CE" w:rsidRPr="00932F14" w:rsidRDefault="008944CE" w:rsidP="00932F14">
            <w:pPr>
              <w:jc w:val="center"/>
              <w:rPr>
                <w:lang w:eastAsia="es-CR"/>
              </w:rPr>
            </w:pPr>
            <w:r w:rsidRPr="00932F14">
              <w:rPr>
                <w:lang w:eastAsia="es-CR"/>
              </w:rPr>
              <w:t>73.2</w:t>
            </w:r>
          </w:p>
        </w:tc>
        <w:tc>
          <w:tcPr>
            <w:tcW w:w="1200" w:type="dxa"/>
            <w:vAlign w:val="center"/>
            <w:hideMark/>
          </w:tcPr>
          <w:p w14:paraId="14F0959C" w14:textId="77777777" w:rsidR="008944CE" w:rsidRPr="00932F14" w:rsidRDefault="008944CE" w:rsidP="00932F14">
            <w:pPr>
              <w:jc w:val="center"/>
              <w:rPr>
                <w:lang w:eastAsia="es-CR"/>
              </w:rPr>
            </w:pPr>
            <w:r w:rsidRPr="00932F14">
              <w:rPr>
                <w:lang w:eastAsia="es-CR"/>
              </w:rPr>
              <w:t>74.1</w:t>
            </w:r>
          </w:p>
        </w:tc>
        <w:tc>
          <w:tcPr>
            <w:tcW w:w="1200" w:type="dxa"/>
            <w:vAlign w:val="center"/>
            <w:hideMark/>
          </w:tcPr>
          <w:p w14:paraId="6CA838BE" w14:textId="77777777" w:rsidR="008944CE" w:rsidRPr="00932F14" w:rsidRDefault="008944CE" w:rsidP="00932F14">
            <w:pPr>
              <w:jc w:val="center"/>
              <w:rPr>
                <w:lang w:eastAsia="es-CR"/>
              </w:rPr>
            </w:pPr>
            <w:r w:rsidRPr="00932F14">
              <w:rPr>
                <w:lang w:eastAsia="es-CR"/>
              </w:rPr>
              <w:t>76.7</w:t>
            </w:r>
          </w:p>
        </w:tc>
      </w:tr>
      <w:tr w:rsidR="008944CE" w:rsidRPr="00932F14" w14:paraId="4C76D814" w14:textId="77777777" w:rsidTr="008944CE">
        <w:trPr>
          <w:trHeight w:val="315"/>
          <w:jc w:val="center"/>
        </w:trPr>
        <w:tc>
          <w:tcPr>
            <w:tcW w:w="3520" w:type="dxa"/>
            <w:tcBorders>
              <w:top w:val="nil"/>
              <w:left w:val="nil"/>
              <w:bottom w:val="single" w:sz="8" w:space="0" w:color="auto"/>
              <w:right w:val="nil"/>
            </w:tcBorders>
            <w:vAlign w:val="center"/>
            <w:hideMark/>
          </w:tcPr>
          <w:p w14:paraId="67B1309C" w14:textId="77777777" w:rsidR="008944CE" w:rsidRPr="00932F14" w:rsidRDefault="008944CE" w:rsidP="00932F14">
            <w:pPr>
              <w:rPr>
                <w:lang w:eastAsia="es-CR"/>
              </w:rPr>
            </w:pPr>
            <w:r w:rsidRPr="00932F14">
              <w:rPr>
                <w:lang w:eastAsia="es-CR"/>
              </w:rPr>
              <w:t> </w:t>
            </w:r>
          </w:p>
        </w:tc>
        <w:tc>
          <w:tcPr>
            <w:tcW w:w="1200" w:type="dxa"/>
            <w:tcBorders>
              <w:top w:val="nil"/>
              <w:left w:val="nil"/>
              <w:bottom w:val="single" w:sz="8" w:space="0" w:color="auto"/>
              <w:right w:val="nil"/>
            </w:tcBorders>
            <w:vAlign w:val="center"/>
            <w:hideMark/>
          </w:tcPr>
          <w:p w14:paraId="13A2BED2" w14:textId="77777777" w:rsidR="008944CE" w:rsidRPr="00932F14" w:rsidRDefault="008944CE" w:rsidP="00932F14">
            <w:pPr>
              <w:rPr>
                <w:lang w:eastAsia="es-CR"/>
              </w:rPr>
            </w:pPr>
            <w:r w:rsidRPr="00932F14">
              <w:rPr>
                <w:lang w:eastAsia="es-CR"/>
              </w:rPr>
              <w:t> </w:t>
            </w:r>
          </w:p>
        </w:tc>
        <w:tc>
          <w:tcPr>
            <w:tcW w:w="1200" w:type="dxa"/>
            <w:tcBorders>
              <w:top w:val="nil"/>
              <w:left w:val="nil"/>
              <w:bottom w:val="single" w:sz="8" w:space="0" w:color="auto"/>
              <w:right w:val="nil"/>
            </w:tcBorders>
            <w:vAlign w:val="center"/>
            <w:hideMark/>
          </w:tcPr>
          <w:p w14:paraId="657F3236" w14:textId="77777777" w:rsidR="008944CE" w:rsidRPr="00932F14" w:rsidRDefault="008944CE" w:rsidP="00932F14">
            <w:pPr>
              <w:rPr>
                <w:lang w:eastAsia="es-CR"/>
              </w:rPr>
            </w:pPr>
            <w:r w:rsidRPr="00932F14">
              <w:rPr>
                <w:lang w:eastAsia="es-CR"/>
              </w:rPr>
              <w:t> </w:t>
            </w:r>
          </w:p>
        </w:tc>
        <w:tc>
          <w:tcPr>
            <w:tcW w:w="1200" w:type="dxa"/>
            <w:tcBorders>
              <w:top w:val="nil"/>
              <w:left w:val="nil"/>
              <w:bottom w:val="single" w:sz="8" w:space="0" w:color="auto"/>
              <w:right w:val="nil"/>
            </w:tcBorders>
            <w:vAlign w:val="center"/>
            <w:hideMark/>
          </w:tcPr>
          <w:p w14:paraId="5BB63D19" w14:textId="77777777" w:rsidR="008944CE" w:rsidRPr="00932F14" w:rsidRDefault="008944CE" w:rsidP="00932F14">
            <w:pPr>
              <w:rPr>
                <w:lang w:eastAsia="es-CR"/>
              </w:rPr>
            </w:pPr>
            <w:r w:rsidRPr="00932F14">
              <w:rPr>
                <w:lang w:eastAsia="es-CR"/>
              </w:rPr>
              <w:t> </w:t>
            </w:r>
          </w:p>
        </w:tc>
        <w:tc>
          <w:tcPr>
            <w:tcW w:w="1200" w:type="dxa"/>
            <w:tcBorders>
              <w:top w:val="nil"/>
              <w:left w:val="nil"/>
              <w:bottom w:val="single" w:sz="8" w:space="0" w:color="auto"/>
              <w:right w:val="nil"/>
            </w:tcBorders>
            <w:vAlign w:val="center"/>
            <w:hideMark/>
          </w:tcPr>
          <w:p w14:paraId="7952CF1B" w14:textId="77777777" w:rsidR="008944CE" w:rsidRPr="00932F14" w:rsidRDefault="008944CE" w:rsidP="00932F14">
            <w:pPr>
              <w:rPr>
                <w:lang w:eastAsia="es-CR"/>
              </w:rPr>
            </w:pPr>
            <w:r w:rsidRPr="00932F14">
              <w:rPr>
                <w:lang w:eastAsia="es-CR"/>
              </w:rPr>
              <w:t> </w:t>
            </w:r>
          </w:p>
        </w:tc>
        <w:tc>
          <w:tcPr>
            <w:tcW w:w="1200" w:type="dxa"/>
            <w:tcBorders>
              <w:top w:val="nil"/>
              <w:left w:val="nil"/>
              <w:bottom w:val="single" w:sz="8" w:space="0" w:color="auto"/>
              <w:right w:val="nil"/>
            </w:tcBorders>
            <w:vAlign w:val="center"/>
            <w:hideMark/>
          </w:tcPr>
          <w:p w14:paraId="78E035A4" w14:textId="77777777" w:rsidR="008944CE" w:rsidRPr="00932F14" w:rsidRDefault="008944CE" w:rsidP="00932F14">
            <w:pPr>
              <w:rPr>
                <w:lang w:eastAsia="es-CR"/>
              </w:rPr>
            </w:pPr>
            <w:r w:rsidRPr="00932F14">
              <w:rPr>
                <w:lang w:eastAsia="es-CR"/>
              </w:rPr>
              <w:t> </w:t>
            </w:r>
          </w:p>
        </w:tc>
      </w:tr>
      <w:tr w:rsidR="008944CE" w:rsidRPr="00932F14" w14:paraId="191FD296" w14:textId="77777777" w:rsidTr="008944CE">
        <w:trPr>
          <w:trHeight w:val="315"/>
          <w:jc w:val="center"/>
        </w:trPr>
        <w:tc>
          <w:tcPr>
            <w:tcW w:w="3520" w:type="dxa"/>
            <w:vAlign w:val="center"/>
            <w:hideMark/>
          </w:tcPr>
          <w:p w14:paraId="064C48B7" w14:textId="77777777" w:rsidR="008944CE" w:rsidRPr="00932F14" w:rsidRDefault="008944CE" w:rsidP="00932F14">
            <w:pPr>
              <w:rPr>
                <w:lang w:eastAsia="es-CR"/>
              </w:rPr>
            </w:pPr>
            <w:r w:rsidRPr="00932F14">
              <w:rPr>
                <w:lang w:eastAsia="es-CR"/>
              </w:rPr>
              <w:t>1-/ Se toma como base a 100.</w:t>
            </w:r>
          </w:p>
        </w:tc>
        <w:tc>
          <w:tcPr>
            <w:tcW w:w="1200" w:type="dxa"/>
            <w:vAlign w:val="center"/>
            <w:hideMark/>
          </w:tcPr>
          <w:p w14:paraId="378E58F7" w14:textId="77777777" w:rsidR="008944CE" w:rsidRPr="00932F14" w:rsidRDefault="008944CE" w:rsidP="00932F14">
            <w:pPr>
              <w:rPr>
                <w:lang w:eastAsia="es-CR"/>
              </w:rPr>
            </w:pPr>
            <w:r w:rsidRPr="00932F14">
              <w:rPr>
                <w:lang w:eastAsia="es-CR"/>
              </w:rPr>
              <w:t> </w:t>
            </w:r>
          </w:p>
        </w:tc>
        <w:tc>
          <w:tcPr>
            <w:tcW w:w="1200" w:type="dxa"/>
            <w:vAlign w:val="center"/>
            <w:hideMark/>
          </w:tcPr>
          <w:p w14:paraId="6AF7D651" w14:textId="77777777" w:rsidR="008944CE" w:rsidRPr="00932F14" w:rsidRDefault="008944CE" w:rsidP="00932F14">
            <w:pPr>
              <w:rPr>
                <w:lang w:eastAsia="es-CR"/>
              </w:rPr>
            </w:pPr>
            <w:r w:rsidRPr="00932F14">
              <w:rPr>
                <w:lang w:eastAsia="es-CR"/>
              </w:rPr>
              <w:t> </w:t>
            </w:r>
          </w:p>
        </w:tc>
        <w:tc>
          <w:tcPr>
            <w:tcW w:w="1200" w:type="dxa"/>
            <w:vAlign w:val="center"/>
            <w:hideMark/>
          </w:tcPr>
          <w:p w14:paraId="40E5D26B" w14:textId="77777777" w:rsidR="008944CE" w:rsidRPr="00932F14" w:rsidRDefault="008944CE" w:rsidP="00932F14">
            <w:pPr>
              <w:rPr>
                <w:lang w:eastAsia="es-CR"/>
              </w:rPr>
            </w:pPr>
            <w:r w:rsidRPr="00932F14">
              <w:rPr>
                <w:lang w:eastAsia="es-CR"/>
              </w:rPr>
              <w:t> </w:t>
            </w:r>
          </w:p>
        </w:tc>
        <w:tc>
          <w:tcPr>
            <w:tcW w:w="1200" w:type="dxa"/>
            <w:vAlign w:val="center"/>
            <w:hideMark/>
          </w:tcPr>
          <w:p w14:paraId="4BC6296A" w14:textId="77777777" w:rsidR="008944CE" w:rsidRPr="00932F14" w:rsidRDefault="008944CE" w:rsidP="00932F14">
            <w:pPr>
              <w:rPr>
                <w:lang w:eastAsia="es-CR"/>
              </w:rPr>
            </w:pPr>
            <w:r w:rsidRPr="00932F14">
              <w:rPr>
                <w:lang w:eastAsia="es-CR"/>
              </w:rPr>
              <w:t> </w:t>
            </w:r>
          </w:p>
        </w:tc>
        <w:tc>
          <w:tcPr>
            <w:tcW w:w="1200" w:type="dxa"/>
            <w:vAlign w:val="center"/>
            <w:hideMark/>
          </w:tcPr>
          <w:p w14:paraId="0C2F997C" w14:textId="77777777" w:rsidR="008944CE" w:rsidRPr="00932F14" w:rsidRDefault="008944CE" w:rsidP="00932F14">
            <w:pPr>
              <w:rPr>
                <w:lang w:eastAsia="es-CR"/>
              </w:rPr>
            </w:pPr>
            <w:r w:rsidRPr="00932F14">
              <w:rPr>
                <w:lang w:eastAsia="es-CR"/>
              </w:rPr>
              <w:t> </w:t>
            </w:r>
          </w:p>
        </w:tc>
      </w:tr>
      <w:tr w:rsidR="008944CE" w:rsidRPr="00932F14" w14:paraId="31811F18" w14:textId="77777777" w:rsidTr="008944CE">
        <w:trPr>
          <w:trHeight w:val="300"/>
          <w:jc w:val="center"/>
        </w:trPr>
        <w:tc>
          <w:tcPr>
            <w:tcW w:w="7120" w:type="dxa"/>
            <w:gridSpan w:val="4"/>
            <w:noWrap/>
            <w:vAlign w:val="center"/>
            <w:hideMark/>
          </w:tcPr>
          <w:p w14:paraId="74DE823B" w14:textId="77777777" w:rsidR="008944CE" w:rsidRPr="00932F14" w:rsidRDefault="008944CE" w:rsidP="00932F14">
            <w:pPr>
              <w:rPr>
                <w:lang w:eastAsia="es-CR"/>
              </w:rPr>
            </w:pPr>
            <w:r w:rsidRPr="00932F14">
              <w:rPr>
                <w:lang w:eastAsia="es-CR"/>
              </w:rPr>
              <w:t>Elaborado por: Subproceso de Estadística, Dirección de Planificación.</w:t>
            </w:r>
          </w:p>
        </w:tc>
        <w:tc>
          <w:tcPr>
            <w:tcW w:w="1200" w:type="dxa"/>
            <w:noWrap/>
            <w:vAlign w:val="center"/>
            <w:hideMark/>
          </w:tcPr>
          <w:p w14:paraId="1737050D" w14:textId="77777777" w:rsidR="008944CE" w:rsidRPr="00932F14" w:rsidRDefault="008944CE" w:rsidP="00932F14">
            <w:pPr>
              <w:rPr>
                <w:lang w:eastAsia="es-CR"/>
              </w:rPr>
            </w:pPr>
          </w:p>
        </w:tc>
        <w:tc>
          <w:tcPr>
            <w:tcW w:w="1200" w:type="dxa"/>
            <w:noWrap/>
            <w:vAlign w:val="center"/>
            <w:hideMark/>
          </w:tcPr>
          <w:p w14:paraId="34C981B0" w14:textId="77777777" w:rsidR="008944CE" w:rsidRPr="00932F14" w:rsidRDefault="008944CE" w:rsidP="00932F14">
            <w:pPr>
              <w:rPr>
                <w:lang w:val="es-CR" w:eastAsia="es-CR"/>
              </w:rPr>
            </w:pPr>
          </w:p>
        </w:tc>
      </w:tr>
    </w:tbl>
    <w:p w14:paraId="4192B39C" w14:textId="77777777" w:rsidR="008944CE" w:rsidRPr="00932F14" w:rsidRDefault="008944CE" w:rsidP="00932F14">
      <w:pPr>
        <w:rPr>
          <w:lang w:eastAsia="es-ES"/>
        </w:rPr>
      </w:pPr>
    </w:p>
    <w:p w14:paraId="340143FC" w14:textId="6B665C84" w:rsidR="008944CE" w:rsidRPr="00932F14" w:rsidRDefault="008944CE" w:rsidP="00932F14">
      <w:pPr>
        <w:ind w:left="851" w:right="851" w:firstLine="709"/>
        <w:jc w:val="both"/>
      </w:pPr>
      <w:r w:rsidRPr="00932F14">
        <w:t>Se tiene que la razón de congestión para el 2019 es la baja registrada para el periodo 2015-2019, lo cual demuestra una mejora sustancial en el manejo de los procesos judiciales en materia de tránsito, debido a que, a modo interpretativo del indicador serían necesarios 1.3 casos a terminar de más por cada asunto terminado (o un 30% más) para haber logrado un circulante final para el año 2019 cercano a cero o nulo (no existan procesos activos), dado que produciría una igualdad entre la carga de trabajo y la cantidad de casos terminados.</w:t>
      </w:r>
    </w:p>
    <w:p w14:paraId="50F82552" w14:textId="77777777" w:rsidR="008944CE" w:rsidRPr="00932F14" w:rsidRDefault="008944CE" w:rsidP="00932F14">
      <w:pPr>
        <w:ind w:left="851" w:right="851" w:firstLine="709"/>
        <w:jc w:val="both"/>
      </w:pPr>
    </w:p>
    <w:p w14:paraId="2F99EBFF" w14:textId="77777777" w:rsidR="008944CE" w:rsidRPr="00932F14" w:rsidRDefault="008944CE" w:rsidP="00932F14">
      <w:pPr>
        <w:ind w:left="851" w:right="851" w:firstLine="709"/>
        <w:jc w:val="both"/>
      </w:pPr>
      <w:r w:rsidRPr="00932F14">
        <w:t xml:space="preserve">Si análogamente se definiera una notación porcentual para este valor, es decir </w:t>
      </w:r>
      <m:oMath>
        <m:d>
          <m:dPr>
            <m:ctrlPr>
              <w:rPr>
                <w:rFonts w:ascii="Cambria Math" w:hAnsi="Cambria Math"/>
                <w:i/>
                <w:lang w:eastAsia="es-ES"/>
              </w:rPr>
            </m:ctrlPr>
          </m:dPr>
          <m:e>
            <m:f>
              <m:fPr>
                <m:ctrlPr>
                  <w:rPr>
                    <w:rFonts w:ascii="Cambria Math" w:hAnsi="Cambria Math"/>
                    <w:i/>
                    <w:lang w:eastAsia="es-ES"/>
                  </w:rPr>
                </m:ctrlPr>
              </m:fPr>
              <m:num>
                <m:r>
                  <w:rPr>
                    <w:rFonts w:ascii="Cambria Math" w:hAnsi="Cambria Math"/>
                  </w:rPr>
                  <m:t>130</m:t>
                </m:r>
              </m:num>
              <m:den>
                <m:r>
                  <w:rPr>
                    <w:rFonts w:ascii="Cambria Math" w:hAnsi="Cambria Math"/>
                  </w:rPr>
                  <m:t>100</m:t>
                </m:r>
              </m:den>
            </m:f>
          </m:e>
        </m:d>
      </m:oMath>
      <w:r w:rsidRPr="00932F14">
        <w:t>, otro enfoque de interpretación sería que para el 2019 por cada 130 procesos que conformaron la carga de trabajo en los juzgados competentes en materia de tránsito a nivel nacional, 100 llegaron a un finiquito.</w:t>
      </w:r>
    </w:p>
    <w:p w14:paraId="3EFF5A1F" w14:textId="77777777" w:rsidR="008944CE" w:rsidRPr="00932F14" w:rsidRDefault="008944CE" w:rsidP="00932F14">
      <w:pPr>
        <w:ind w:left="851" w:right="851" w:firstLine="709"/>
        <w:jc w:val="both"/>
      </w:pPr>
    </w:p>
    <w:p w14:paraId="653131D9" w14:textId="77777777" w:rsidR="008944CE" w:rsidRPr="00932F14" w:rsidRDefault="008944CE" w:rsidP="00932F14">
      <w:pPr>
        <w:ind w:left="851" w:right="851" w:firstLine="709"/>
        <w:jc w:val="both"/>
      </w:pPr>
      <w:r w:rsidRPr="00932F14">
        <w:t>Las tasas de pendencia y resolución al ser calculadas con una base de 100, y poseer entre ellas un comportamiento inverso, es decir, si una crece la otra decrece, el valor máximo que podrían alcanzar será 100. Esto queda en evidencia por medio del Grafico 1 donde se pueden observar tanto las características de dirección como de complementariedad de las magnitudes (es decir, ambas suman 100) para los registros desde el año 2015:</w:t>
      </w:r>
    </w:p>
    <w:p w14:paraId="2B5242D3" w14:textId="77777777" w:rsidR="008944CE" w:rsidRPr="00932F14" w:rsidRDefault="008944CE" w:rsidP="00932F14">
      <w:pPr>
        <w:ind w:left="851" w:right="851" w:firstLine="709"/>
        <w:jc w:val="both"/>
      </w:pPr>
    </w:p>
    <w:p w14:paraId="0DDA6F33" w14:textId="77777777" w:rsidR="008944CE" w:rsidRPr="00932F14" w:rsidRDefault="008944CE" w:rsidP="00932F14">
      <w:pPr>
        <w:jc w:val="both"/>
      </w:pPr>
      <w:r w:rsidRPr="00932F14">
        <w:rPr>
          <w:noProof/>
          <w:lang w:val="es-419" w:eastAsia="es-419"/>
        </w:rPr>
        <w:lastRenderedPageBreak/>
        <w:drawing>
          <wp:inline distT="0" distB="0" distL="0" distR="0" wp14:anchorId="1A787FA3" wp14:editId="1BC54604">
            <wp:extent cx="5450840" cy="2677795"/>
            <wp:effectExtent l="0" t="0" r="16510" b="8255"/>
            <wp:docPr id="13"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FE8A324" w14:textId="77777777" w:rsidR="008944CE" w:rsidRPr="00932F14" w:rsidRDefault="008944CE" w:rsidP="00932F14">
      <w:pPr>
        <w:jc w:val="both"/>
      </w:pPr>
    </w:p>
    <w:p w14:paraId="6AC7449D" w14:textId="77777777" w:rsidR="008944CE" w:rsidRPr="00932F14" w:rsidRDefault="008944CE" w:rsidP="00932F14">
      <w:pPr>
        <w:ind w:left="851" w:right="851" w:firstLine="709"/>
        <w:jc w:val="both"/>
      </w:pPr>
      <w:r w:rsidRPr="00932F14">
        <w:t xml:space="preserve">Para el 2019 se alcanza la tasa de resolución más alta para el periodo abordado mientras que la tasa de pendencia y cumpliendo con la propiedad complementaria mencionada anteriormente, alcanzó el nivel más bajo de la serie. Cabe indicar que lo que se busca es que la tasa de resolución sea lo más elevada posible para indicar que ésta es eficiente en cuanto a la gestión que se pretende medir, y como queda en evidencia, esta propiedad se cumple al observar la tendencia registrada para esta variable. </w:t>
      </w:r>
    </w:p>
    <w:p w14:paraId="79A01F23" w14:textId="77777777" w:rsidR="008944CE" w:rsidRPr="00932F14" w:rsidRDefault="008944CE" w:rsidP="00932F14">
      <w:pPr>
        <w:ind w:left="851" w:right="851" w:firstLine="709"/>
        <w:jc w:val="both"/>
      </w:pPr>
    </w:p>
    <w:p w14:paraId="0ED77555" w14:textId="77777777" w:rsidR="008944CE" w:rsidRPr="00932F14" w:rsidRDefault="008944CE" w:rsidP="00932F14">
      <w:pPr>
        <w:ind w:left="851" w:right="851" w:firstLine="709"/>
        <w:jc w:val="both"/>
      </w:pPr>
      <w:r w:rsidRPr="00932F14">
        <w:t>En términos concretos se tiene que, por cada 100 procesos llevados a cabo por los juzgados competentes en materia de Tránsito para el 2019, 77 recibieron una resolución que terminaron la demanda mientras que 23 se mantienen activos.</w:t>
      </w:r>
    </w:p>
    <w:p w14:paraId="7ABCFBD7" w14:textId="77777777" w:rsidR="008944CE" w:rsidRPr="00932F14" w:rsidRDefault="008944CE" w:rsidP="00932F14">
      <w:pPr>
        <w:ind w:left="851" w:right="851" w:firstLine="709"/>
        <w:jc w:val="both"/>
      </w:pPr>
    </w:p>
    <w:p w14:paraId="3F166FA0" w14:textId="77777777" w:rsidR="008944CE" w:rsidRPr="00932F14" w:rsidRDefault="008944CE" w:rsidP="00932F14">
      <w:pPr>
        <w:keepNext/>
        <w:keepLines/>
        <w:widowControl w:val="0"/>
        <w:numPr>
          <w:ilvl w:val="0"/>
          <w:numId w:val="126"/>
        </w:numPr>
        <w:suppressAutoHyphens w:val="0"/>
        <w:autoSpaceDE w:val="0"/>
        <w:autoSpaceDN w:val="0"/>
        <w:adjustRightInd w:val="0"/>
        <w:ind w:left="851" w:right="851" w:firstLine="709"/>
        <w:jc w:val="both"/>
        <w:rPr>
          <w:b/>
          <w:bCs/>
        </w:rPr>
      </w:pPr>
      <w:bookmarkStart w:id="5" w:name="_Toc44512682"/>
      <w:r w:rsidRPr="00932F14">
        <w:rPr>
          <w:b/>
          <w:bCs/>
        </w:rPr>
        <w:t>CASOS ENTRADOS.</w:t>
      </w:r>
      <w:bookmarkEnd w:id="5"/>
    </w:p>
    <w:p w14:paraId="5AC5252A" w14:textId="77777777" w:rsidR="008944CE" w:rsidRPr="00932F14" w:rsidRDefault="008944CE" w:rsidP="00932F14">
      <w:pPr>
        <w:ind w:left="851" w:right="851" w:firstLine="709"/>
        <w:jc w:val="both"/>
      </w:pPr>
    </w:p>
    <w:p w14:paraId="582FA681" w14:textId="77777777" w:rsidR="008944CE" w:rsidRPr="00932F14" w:rsidRDefault="008944CE" w:rsidP="00932F14">
      <w:pPr>
        <w:ind w:left="851" w:right="851" w:firstLine="709"/>
        <w:jc w:val="both"/>
      </w:pPr>
      <w:r w:rsidRPr="00932F14">
        <w:t>En relación con esta variable, el 2019 se presenta como el año donde se da un cambio en la tendencia decreciente que se registró para el último periodo, reportando un incremento del 6,67% (4.998 casos) en relación con el 2018. En cuanto a magnitud, el 2019 resulta como el tercer año con mayor cantidad de casos entrados del periodo bajo estudio,  solamente sobrepasado por los correspondientes 2016-2017. Hay que tomar en consideración que el volumen de expedientes nuevos está supeditado (subordinado - dependiente)  por la cantidad de infracciones por accidentes de tránsitos que son enviadas a los diferentes despachos por el Consejo de Seguridad Vial (COSEVI).</w:t>
      </w:r>
    </w:p>
    <w:p w14:paraId="3713926F" w14:textId="77777777" w:rsidR="008944CE" w:rsidRPr="00932F14" w:rsidRDefault="008944CE" w:rsidP="00932F14">
      <w:pPr>
        <w:ind w:left="851" w:right="851" w:firstLine="709"/>
        <w:jc w:val="both"/>
      </w:pPr>
    </w:p>
    <w:p w14:paraId="04E57190" w14:textId="5ABC8DE2" w:rsidR="008944CE" w:rsidRPr="00932F14" w:rsidRDefault="008944CE" w:rsidP="00932F14">
      <w:pPr>
        <w:ind w:left="851" w:right="851" w:firstLine="709"/>
        <w:jc w:val="both"/>
      </w:pPr>
      <w:r w:rsidRPr="00932F14">
        <w:lastRenderedPageBreak/>
        <w:t xml:space="preserve">En cuanto a la cantidad de incompetencias registradas por los juzgados competentes en materia de Tránsito, el periodo bajo estudio presentó 4.669 casos en promedio, siendo para el 2019 de 4.575 en total. </w:t>
      </w:r>
    </w:p>
    <w:p w14:paraId="0E9C01CE" w14:textId="77777777" w:rsidR="008944CE" w:rsidRPr="00932F14" w:rsidRDefault="008944CE" w:rsidP="00932F14">
      <w:pPr>
        <w:ind w:left="851" w:right="851" w:firstLine="709"/>
        <w:jc w:val="both"/>
      </w:pPr>
    </w:p>
    <w:p w14:paraId="71424E7E" w14:textId="77777777" w:rsidR="008944CE" w:rsidRPr="00932F14" w:rsidRDefault="008944CE" w:rsidP="00932F14">
      <w:r w:rsidRPr="00932F14">
        <w:rPr>
          <w:noProof/>
          <w:lang w:val="es-419" w:eastAsia="es-419"/>
        </w:rPr>
        <w:drawing>
          <wp:inline distT="0" distB="0" distL="0" distR="0" wp14:anchorId="7A1BCAF6" wp14:editId="17463276">
            <wp:extent cx="5628640" cy="2600960"/>
            <wp:effectExtent l="0" t="0" r="10160" b="8890"/>
            <wp:docPr id="12"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CA25EC" w14:textId="77777777" w:rsidR="008944CE" w:rsidRPr="00932F14" w:rsidRDefault="008944CE" w:rsidP="00932F14">
      <w:pPr>
        <w:jc w:val="both"/>
      </w:pPr>
    </w:p>
    <w:p w14:paraId="411D82CF" w14:textId="77777777" w:rsidR="008944CE" w:rsidRPr="00932F14" w:rsidRDefault="008944CE" w:rsidP="00932F14">
      <w:pPr>
        <w:jc w:val="both"/>
      </w:pPr>
      <w:r w:rsidRPr="00932F14">
        <w:t>Tomando en consideración a los casos entrados según el tipo de infracción cometida, se exponen en el Cuadro 2 las cantidades para cada uno y su tendencia para el último quinquenio:</w:t>
      </w:r>
    </w:p>
    <w:p w14:paraId="24302242" w14:textId="77777777" w:rsidR="008944CE" w:rsidRPr="00932F14" w:rsidRDefault="008944CE" w:rsidP="00932F14">
      <w:pPr>
        <w:jc w:val="both"/>
      </w:pPr>
    </w:p>
    <w:tbl>
      <w:tblPr>
        <w:tblW w:w="9759" w:type="dxa"/>
        <w:jc w:val="center"/>
        <w:tblCellMar>
          <w:left w:w="70" w:type="dxa"/>
          <w:right w:w="70" w:type="dxa"/>
        </w:tblCellMar>
        <w:tblLook w:val="04A0" w:firstRow="1" w:lastRow="0" w:firstColumn="1" w:lastColumn="0" w:noHBand="0" w:noVBand="1"/>
      </w:tblPr>
      <w:tblGrid>
        <w:gridCol w:w="3973"/>
        <w:gridCol w:w="1157"/>
        <w:gridCol w:w="1157"/>
        <w:gridCol w:w="1157"/>
        <w:gridCol w:w="1158"/>
        <w:gridCol w:w="1157"/>
      </w:tblGrid>
      <w:tr w:rsidR="008944CE" w:rsidRPr="00932F14" w14:paraId="4F9611BC" w14:textId="77777777" w:rsidTr="008944CE">
        <w:trPr>
          <w:trHeight w:val="250"/>
          <w:jc w:val="center"/>
        </w:trPr>
        <w:tc>
          <w:tcPr>
            <w:tcW w:w="8602" w:type="dxa"/>
            <w:gridSpan w:val="5"/>
            <w:vAlign w:val="center"/>
            <w:hideMark/>
          </w:tcPr>
          <w:p w14:paraId="659EF665" w14:textId="77777777" w:rsidR="008944CE" w:rsidRPr="00932F14" w:rsidRDefault="008944CE" w:rsidP="00932F14">
            <w:pPr>
              <w:jc w:val="center"/>
              <w:rPr>
                <w:b/>
                <w:bCs/>
                <w:lang w:eastAsia="es-CR"/>
              </w:rPr>
            </w:pPr>
            <w:r w:rsidRPr="00932F14">
              <w:rPr>
                <w:b/>
                <w:bCs/>
                <w:lang w:eastAsia="es-CR"/>
              </w:rPr>
              <w:t>Cuadro 2</w:t>
            </w:r>
          </w:p>
        </w:tc>
        <w:tc>
          <w:tcPr>
            <w:tcW w:w="1157" w:type="dxa"/>
            <w:vAlign w:val="center"/>
            <w:hideMark/>
          </w:tcPr>
          <w:p w14:paraId="1E5F7848" w14:textId="77777777" w:rsidR="008944CE" w:rsidRPr="00932F14" w:rsidRDefault="008944CE" w:rsidP="00932F14">
            <w:pPr>
              <w:rPr>
                <w:b/>
                <w:bCs/>
                <w:lang w:eastAsia="es-CR"/>
              </w:rPr>
            </w:pPr>
          </w:p>
        </w:tc>
      </w:tr>
      <w:tr w:rsidR="008944CE" w:rsidRPr="00932F14" w14:paraId="0834A0C2" w14:textId="77777777" w:rsidTr="008944CE">
        <w:trPr>
          <w:trHeight w:val="752"/>
          <w:jc w:val="center"/>
        </w:trPr>
        <w:tc>
          <w:tcPr>
            <w:tcW w:w="9759" w:type="dxa"/>
            <w:gridSpan w:val="6"/>
            <w:vAlign w:val="center"/>
            <w:hideMark/>
          </w:tcPr>
          <w:p w14:paraId="4B33403F" w14:textId="77777777" w:rsidR="008944CE" w:rsidRPr="00932F14" w:rsidRDefault="008944CE" w:rsidP="00932F14">
            <w:pPr>
              <w:jc w:val="center"/>
              <w:rPr>
                <w:b/>
                <w:bCs/>
                <w:lang w:eastAsia="es-CR"/>
              </w:rPr>
            </w:pPr>
            <w:r w:rsidRPr="00932F14">
              <w:rPr>
                <w:b/>
                <w:bCs/>
                <w:lang w:eastAsia="es-CR"/>
              </w:rPr>
              <w:t>Casos entrados en los juzgados competentes en Materia de Tránsito</w:t>
            </w:r>
          </w:p>
        </w:tc>
      </w:tr>
      <w:tr w:rsidR="008944CE" w:rsidRPr="00932F14" w14:paraId="592466C4" w14:textId="77777777" w:rsidTr="008944CE">
        <w:trPr>
          <w:trHeight w:val="250"/>
          <w:jc w:val="center"/>
        </w:trPr>
        <w:tc>
          <w:tcPr>
            <w:tcW w:w="9759" w:type="dxa"/>
            <w:gridSpan w:val="6"/>
            <w:vAlign w:val="center"/>
            <w:hideMark/>
          </w:tcPr>
          <w:p w14:paraId="6607ED38" w14:textId="77777777" w:rsidR="008944CE" w:rsidRPr="00932F14" w:rsidRDefault="008944CE" w:rsidP="00932F14">
            <w:pPr>
              <w:jc w:val="center"/>
              <w:rPr>
                <w:b/>
                <w:bCs/>
                <w:lang w:eastAsia="es-CR"/>
              </w:rPr>
            </w:pPr>
            <w:r w:rsidRPr="00932F14">
              <w:rPr>
                <w:b/>
                <w:bCs/>
                <w:lang w:eastAsia="es-CR"/>
              </w:rPr>
              <w:t>por año según tipo de infracción. 2015 – 2019</w:t>
            </w:r>
          </w:p>
        </w:tc>
      </w:tr>
      <w:tr w:rsidR="008944CE" w:rsidRPr="00932F14" w14:paraId="35BDD1B2" w14:textId="77777777" w:rsidTr="008944CE">
        <w:trPr>
          <w:trHeight w:val="275"/>
          <w:jc w:val="center"/>
        </w:trPr>
        <w:tc>
          <w:tcPr>
            <w:tcW w:w="8602" w:type="dxa"/>
            <w:gridSpan w:val="5"/>
            <w:tcBorders>
              <w:top w:val="nil"/>
              <w:left w:val="nil"/>
              <w:bottom w:val="single" w:sz="8" w:space="0" w:color="auto"/>
              <w:right w:val="nil"/>
            </w:tcBorders>
            <w:vAlign w:val="center"/>
            <w:hideMark/>
          </w:tcPr>
          <w:p w14:paraId="64875CD8" w14:textId="77777777" w:rsidR="008944CE" w:rsidRPr="00932F14" w:rsidRDefault="008944CE" w:rsidP="00932F14">
            <w:pPr>
              <w:jc w:val="center"/>
              <w:rPr>
                <w:lang w:eastAsia="es-CR"/>
              </w:rPr>
            </w:pPr>
            <w:r w:rsidRPr="00932F14">
              <w:rPr>
                <w:lang w:eastAsia="es-CR"/>
              </w:rPr>
              <w:t> </w:t>
            </w:r>
          </w:p>
        </w:tc>
        <w:tc>
          <w:tcPr>
            <w:tcW w:w="1157" w:type="dxa"/>
            <w:tcBorders>
              <w:top w:val="nil"/>
              <w:left w:val="nil"/>
              <w:bottom w:val="single" w:sz="8" w:space="0" w:color="auto"/>
              <w:right w:val="nil"/>
            </w:tcBorders>
            <w:vAlign w:val="center"/>
            <w:hideMark/>
          </w:tcPr>
          <w:p w14:paraId="3801BD09" w14:textId="77777777" w:rsidR="008944CE" w:rsidRPr="00932F14" w:rsidRDefault="008944CE" w:rsidP="00932F14">
            <w:pPr>
              <w:jc w:val="center"/>
              <w:rPr>
                <w:lang w:eastAsia="es-CR"/>
              </w:rPr>
            </w:pPr>
            <w:r w:rsidRPr="00932F14">
              <w:rPr>
                <w:lang w:eastAsia="es-CR"/>
              </w:rPr>
              <w:t> </w:t>
            </w:r>
          </w:p>
        </w:tc>
      </w:tr>
      <w:tr w:rsidR="008944CE" w:rsidRPr="00932F14" w14:paraId="277CDBF7" w14:textId="77777777" w:rsidTr="008944CE">
        <w:trPr>
          <w:trHeight w:val="275"/>
          <w:jc w:val="center"/>
        </w:trPr>
        <w:tc>
          <w:tcPr>
            <w:tcW w:w="3973" w:type="dxa"/>
            <w:vMerge w:val="restart"/>
            <w:tcBorders>
              <w:top w:val="nil"/>
              <w:left w:val="nil"/>
              <w:bottom w:val="single" w:sz="8" w:space="0" w:color="000000"/>
              <w:right w:val="single" w:sz="8" w:space="0" w:color="auto"/>
            </w:tcBorders>
            <w:shd w:val="clear" w:color="auto" w:fill="FFE599"/>
            <w:vAlign w:val="center"/>
            <w:hideMark/>
          </w:tcPr>
          <w:p w14:paraId="4E2261D2" w14:textId="77777777" w:rsidR="008944CE" w:rsidRPr="00932F14" w:rsidRDefault="008944CE" w:rsidP="00932F14">
            <w:pPr>
              <w:jc w:val="center"/>
              <w:rPr>
                <w:b/>
                <w:bCs/>
                <w:lang w:eastAsia="es-CR"/>
              </w:rPr>
            </w:pPr>
            <w:r w:rsidRPr="00932F14">
              <w:rPr>
                <w:b/>
                <w:bCs/>
                <w:lang w:eastAsia="es-CR"/>
              </w:rPr>
              <w:t>Tipo de infracción</w:t>
            </w:r>
          </w:p>
        </w:tc>
        <w:tc>
          <w:tcPr>
            <w:tcW w:w="5786" w:type="dxa"/>
            <w:gridSpan w:val="5"/>
            <w:tcBorders>
              <w:top w:val="single" w:sz="8" w:space="0" w:color="auto"/>
              <w:left w:val="nil"/>
              <w:bottom w:val="single" w:sz="8" w:space="0" w:color="auto"/>
              <w:right w:val="nil"/>
            </w:tcBorders>
            <w:shd w:val="clear" w:color="auto" w:fill="FFE599"/>
            <w:vAlign w:val="center"/>
            <w:hideMark/>
          </w:tcPr>
          <w:p w14:paraId="180F8C0F" w14:textId="77777777" w:rsidR="008944CE" w:rsidRPr="00932F14" w:rsidRDefault="008944CE" w:rsidP="00932F14">
            <w:pPr>
              <w:jc w:val="center"/>
              <w:rPr>
                <w:b/>
                <w:bCs/>
                <w:lang w:eastAsia="es-CR"/>
              </w:rPr>
            </w:pPr>
            <w:r w:rsidRPr="00932F14">
              <w:rPr>
                <w:b/>
                <w:bCs/>
                <w:lang w:eastAsia="es-CR"/>
              </w:rPr>
              <w:t>Año</w:t>
            </w:r>
          </w:p>
        </w:tc>
      </w:tr>
      <w:tr w:rsidR="008944CE" w:rsidRPr="00932F14" w14:paraId="151CFA0B" w14:textId="77777777" w:rsidTr="008944CE">
        <w:trPr>
          <w:trHeight w:val="275"/>
          <w:jc w:val="center"/>
        </w:trPr>
        <w:tc>
          <w:tcPr>
            <w:tcW w:w="0" w:type="auto"/>
            <w:vMerge/>
            <w:tcBorders>
              <w:top w:val="nil"/>
              <w:left w:val="nil"/>
              <w:bottom w:val="single" w:sz="8" w:space="0" w:color="000000"/>
              <w:right w:val="single" w:sz="8" w:space="0" w:color="auto"/>
            </w:tcBorders>
            <w:vAlign w:val="center"/>
            <w:hideMark/>
          </w:tcPr>
          <w:p w14:paraId="7C0F5543" w14:textId="77777777" w:rsidR="008944CE" w:rsidRPr="00932F14" w:rsidRDefault="008944CE" w:rsidP="00932F14">
            <w:pPr>
              <w:rPr>
                <w:b/>
                <w:bCs/>
                <w:lang w:eastAsia="es-CR"/>
              </w:rPr>
            </w:pPr>
          </w:p>
        </w:tc>
        <w:tc>
          <w:tcPr>
            <w:tcW w:w="1157" w:type="dxa"/>
            <w:tcBorders>
              <w:top w:val="nil"/>
              <w:left w:val="nil"/>
              <w:bottom w:val="single" w:sz="8" w:space="0" w:color="auto"/>
              <w:right w:val="single" w:sz="8" w:space="0" w:color="auto"/>
            </w:tcBorders>
            <w:shd w:val="clear" w:color="auto" w:fill="FFE599"/>
            <w:vAlign w:val="center"/>
            <w:hideMark/>
          </w:tcPr>
          <w:p w14:paraId="7346F6EE" w14:textId="77777777" w:rsidR="008944CE" w:rsidRPr="00932F14" w:rsidRDefault="008944CE" w:rsidP="00932F14">
            <w:pPr>
              <w:jc w:val="center"/>
              <w:rPr>
                <w:b/>
                <w:bCs/>
                <w:lang w:eastAsia="es-CR"/>
              </w:rPr>
            </w:pPr>
            <w:r w:rsidRPr="00932F14">
              <w:rPr>
                <w:b/>
                <w:bCs/>
                <w:lang w:eastAsia="es-CR"/>
              </w:rPr>
              <w:t>2014</w:t>
            </w:r>
          </w:p>
        </w:tc>
        <w:tc>
          <w:tcPr>
            <w:tcW w:w="1157" w:type="dxa"/>
            <w:tcBorders>
              <w:top w:val="nil"/>
              <w:left w:val="nil"/>
              <w:bottom w:val="single" w:sz="8" w:space="0" w:color="auto"/>
              <w:right w:val="single" w:sz="8" w:space="0" w:color="auto"/>
            </w:tcBorders>
            <w:shd w:val="clear" w:color="auto" w:fill="FFE599"/>
            <w:vAlign w:val="center"/>
            <w:hideMark/>
          </w:tcPr>
          <w:p w14:paraId="047BF197" w14:textId="77777777" w:rsidR="008944CE" w:rsidRPr="00932F14" w:rsidRDefault="008944CE" w:rsidP="00932F14">
            <w:pPr>
              <w:jc w:val="center"/>
              <w:rPr>
                <w:b/>
                <w:bCs/>
                <w:lang w:eastAsia="es-CR"/>
              </w:rPr>
            </w:pPr>
            <w:r w:rsidRPr="00932F14">
              <w:rPr>
                <w:b/>
                <w:bCs/>
                <w:lang w:eastAsia="es-CR"/>
              </w:rPr>
              <w:t>2015</w:t>
            </w:r>
          </w:p>
        </w:tc>
        <w:tc>
          <w:tcPr>
            <w:tcW w:w="1157" w:type="dxa"/>
            <w:tcBorders>
              <w:top w:val="nil"/>
              <w:left w:val="nil"/>
              <w:bottom w:val="single" w:sz="8" w:space="0" w:color="auto"/>
              <w:right w:val="single" w:sz="8" w:space="0" w:color="auto"/>
            </w:tcBorders>
            <w:shd w:val="clear" w:color="auto" w:fill="FFE599"/>
            <w:vAlign w:val="center"/>
            <w:hideMark/>
          </w:tcPr>
          <w:p w14:paraId="21EFDB57" w14:textId="77777777" w:rsidR="008944CE" w:rsidRPr="00932F14" w:rsidRDefault="008944CE" w:rsidP="00932F14">
            <w:pPr>
              <w:jc w:val="center"/>
              <w:rPr>
                <w:b/>
                <w:bCs/>
                <w:lang w:eastAsia="es-CR"/>
              </w:rPr>
            </w:pPr>
            <w:r w:rsidRPr="00932F14">
              <w:rPr>
                <w:b/>
                <w:bCs/>
                <w:lang w:eastAsia="es-CR"/>
              </w:rPr>
              <w:t>2016</w:t>
            </w:r>
          </w:p>
        </w:tc>
        <w:tc>
          <w:tcPr>
            <w:tcW w:w="1157" w:type="dxa"/>
            <w:tcBorders>
              <w:top w:val="nil"/>
              <w:left w:val="nil"/>
              <w:bottom w:val="single" w:sz="8" w:space="0" w:color="auto"/>
              <w:right w:val="nil"/>
            </w:tcBorders>
            <w:shd w:val="clear" w:color="auto" w:fill="FFE599"/>
            <w:vAlign w:val="center"/>
            <w:hideMark/>
          </w:tcPr>
          <w:p w14:paraId="09BE55E7" w14:textId="77777777" w:rsidR="008944CE" w:rsidRPr="00932F14" w:rsidRDefault="008944CE" w:rsidP="00932F14">
            <w:pPr>
              <w:jc w:val="center"/>
              <w:rPr>
                <w:b/>
                <w:bCs/>
                <w:lang w:eastAsia="es-CR"/>
              </w:rPr>
            </w:pPr>
            <w:r w:rsidRPr="00932F14">
              <w:rPr>
                <w:b/>
                <w:bCs/>
                <w:lang w:eastAsia="es-CR"/>
              </w:rPr>
              <w:t>2017</w:t>
            </w:r>
          </w:p>
        </w:tc>
        <w:tc>
          <w:tcPr>
            <w:tcW w:w="1157" w:type="dxa"/>
            <w:tcBorders>
              <w:top w:val="nil"/>
              <w:left w:val="single" w:sz="8" w:space="0" w:color="auto"/>
              <w:bottom w:val="single" w:sz="8" w:space="0" w:color="auto"/>
              <w:right w:val="nil"/>
            </w:tcBorders>
            <w:shd w:val="clear" w:color="auto" w:fill="FFE599"/>
            <w:vAlign w:val="center"/>
            <w:hideMark/>
          </w:tcPr>
          <w:p w14:paraId="65F2225B" w14:textId="77777777" w:rsidR="008944CE" w:rsidRPr="00932F14" w:rsidRDefault="008944CE" w:rsidP="00932F14">
            <w:pPr>
              <w:jc w:val="center"/>
              <w:rPr>
                <w:b/>
                <w:bCs/>
                <w:lang w:eastAsia="es-CR"/>
              </w:rPr>
            </w:pPr>
            <w:r w:rsidRPr="00932F14">
              <w:rPr>
                <w:b/>
                <w:bCs/>
                <w:lang w:eastAsia="es-CR"/>
              </w:rPr>
              <w:t>2018</w:t>
            </w:r>
          </w:p>
        </w:tc>
      </w:tr>
      <w:tr w:rsidR="008944CE" w:rsidRPr="00932F14" w14:paraId="48597514" w14:textId="77777777" w:rsidTr="008944CE">
        <w:trPr>
          <w:trHeight w:val="250"/>
          <w:jc w:val="center"/>
        </w:trPr>
        <w:tc>
          <w:tcPr>
            <w:tcW w:w="3973" w:type="dxa"/>
            <w:vAlign w:val="center"/>
            <w:hideMark/>
          </w:tcPr>
          <w:p w14:paraId="13B12A93" w14:textId="77777777" w:rsidR="008944CE" w:rsidRPr="00932F14" w:rsidRDefault="008944CE" w:rsidP="00932F14">
            <w:pPr>
              <w:rPr>
                <w:b/>
                <w:bCs/>
                <w:lang w:eastAsia="es-CR"/>
              </w:rPr>
            </w:pPr>
          </w:p>
        </w:tc>
        <w:tc>
          <w:tcPr>
            <w:tcW w:w="1157" w:type="dxa"/>
            <w:vAlign w:val="center"/>
            <w:hideMark/>
          </w:tcPr>
          <w:p w14:paraId="0EBB142F" w14:textId="77777777" w:rsidR="008944CE" w:rsidRPr="00932F14" w:rsidRDefault="008944CE" w:rsidP="00932F14">
            <w:pPr>
              <w:rPr>
                <w:lang w:val="es-CR" w:eastAsia="es-CR"/>
              </w:rPr>
            </w:pPr>
          </w:p>
        </w:tc>
        <w:tc>
          <w:tcPr>
            <w:tcW w:w="1157" w:type="dxa"/>
            <w:vAlign w:val="center"/>
            <w:hideMark/>
          </w:tcPr>
          <w:p w14:paraId="3A020D31" w14:textId="77777777" w:rsidR="008944CE" w:rsidRPr="00932F14" w:rsidRDefault="008944CE" w:rsidP="00932F14">
            <w:pPr>
              <w:rPr>
                <w:lang w:val="es-CR" w:eastAsia="es-CR"/>
              </w:rPr>
            </w:pPr>
          </w:p>
        </w:tc>
        <w:tc>
          <w:tcPr>
            <w:tcW w:w="1157" w:type="dxa"/>
            <w:vAlign w:val="center"/>
            <w:hideMark/>
          </w:tcPr>
          <w:p w14:paraId="7BC0DA87" w14:textId="77777777" w:rsidR="008944CE" w:rsidRPr="00932F14" w:rsidRDefault="008944CE" w:rsidP="00932F14">
            <w:pPr>
              <w:rPr>
                <w:lang w:val="es-CR" w:eastAsia="es-CR"/>
              </w:rPr>
            </w:pPr>
          </w:p>
        </w:tc>
        <w:tc>
          <w:tcPr>
            <w:tcW w:w="1157" w:type="dxa"/>
            <w:vAlign w:val="center"/>
            <w:hideMark/>
          </w:tcPr>
          <w:p w14:paraId="308C630E" w14:textId="77777777" w:rsidR="008944CE" w:rsidRPr="00932F14" w:rsidRDefault="008944CE" w:rsidP="00932F14">
            <w:pPr>
              <w:rPr>
                <w:lang w:val="es-CR" w:eastAsia="es-CR"/>
              </w:rPr>
            </w:pPr>
          </w:p>
        </w:tc>
        <w:tc>
          <w:tcPr>
            <w:tcW w:w="1157" w:type="dxa"/>
            <w:vAlign w:val="center"/>
            <w:hideMark/>
          </w:tcPr>
          <w:p w14:paraId="14C0ED3A" w14:textId="77777777" w:rsidR="008944CE" w:rsidRPr="00932F14" w:rsidRDefault="008944CE" w:rsidP="00932F14">
            <w:pPr>
              <w:rPr>
                <w:lang w:val="es-CR" w:eastAsia="es-CR"/>
              </w:rPr>
            </w:pPr>
          </w:p>
        </w:tc>
      </w:tr>
      <w:tr w:rsidR="008944CE" w:rsidRPr="00932F14" w14:paraId="7A66A9DB" w14:textId="77777777" w:rsidTr="008944CE">
        <w:trPr>
          <w:trHeight w:val="250"/>
          <w:jc w:val="center"/>
        </w:trPr>
        <w:tc>
          <w:tcPr>
            <w:tcW w:w="3973" w:type="dxa"/>
            <w:vAlign w:val="center"/>
            <w:hideMark/>
          </w:tcPr>
          <w:p w14:paraId="2AED6426" w14:textId="77777777" w:rsidR="008944CE" w:rsidRPr="00932F14" w:rsidRDefault="008944CE" w:rsidP="00932F14">
            <w:pPr>
              <w:jc w:val="center"/>
              <w:rPr>
                <w:b/>
                <w:bCs/>
                <w:lang w:eastAsia="es-CR"/>
              </w:rPr>
            </w:pPr>
            <w:r w:rsidRPr="00932F14">
              <w:rPr>
                <w:b/>
                <w:bCs/>
                <w:lang w:eastAsia="es-CR"/>
              </w:rPr>
              <w:t>Total</w:t>
            </w:r>
          </w:p>
        </w:tc>
        <w:tc>
          <w:tcPr>
            <w:tcW w:w="1157" w:type="dxa"/>
            <w:vAlign w:val="center"/>
            <w:hideMark/>
          </w:tcPr>
          <w:p w14:paraId="7027BE26" w14:textId="77777777" w:rsidR="008944CE" w:rsidRPr="00932F14" w:rsidRDefault="008944CE" w:rsidP="00932F14">
            <w:pPr>
              <w:jc w:val="center"/>
              <w:rPr>
                <w:b/>
                <w:bCs/>
                <w:lang w:eastAsia="es-CR"/>
              </w:rPr>
            </w:pPr>
            <w:r w:rsidRPr="00932F14">
              <w:rPr>
                <w:b/>
                <w:bCs/>
                <w:lang w:eastAsia="es-CR"/>
              </w:rPr>
              <w:t>77,236</w:t>
            </w:r>
          </w:p>
        </w:tc>
        <w:tc>
          <w:tcPr>
            <w:tcW w:w="1157" w:type="dxa"/>
            <w:vAlign w:val="center"/>
            <w:hideMark/>
          </w:tcPr>
          <w:p w14:paraId="3FB6A86C" w14:textId="77777777" w:rsidR="008944CE" w:rsidRPr="00932F14" w:rsidRDefault="008944CE" w:rsidP="00932F14">
            <w:pPr>
              <w:jc w:val="center"/>
              <w:rPr>
                <w:b/>
                <w:bCs/>
                <w:lang w:eastAsia="es-CR"/>
              </w:rPr>
            </w:pPr>
            <w:r w:rsidRPr="00932F14">
              <w:rPr>
                <w:b/>
                <w:bCs/>
                <w:lang w:eastAsia="es-CR"/>
              </w:rPr>
              <w:t>81,515</w:t>
            </w:r>
          </w:p>
        </w:tc>
        <w:tc>
          <w:tcPr>
            <w:tcW w:w="1157" w:type="dxa"/>
            <w:vAlign w:val="center"/>
            <w:hideMark/>
          </w:tcPr>
          <w:p w14:paraId="5D68115F" w14:textId="77777777" w:rsidR="008944CE" w:rsidRPr="00932F14" w:rsidRDefault="008944CE" w:rsidP="00932F14">
            <w:pPr>
              <w:jc w:val="center"/>
              <w:rPr>
                <w:b/>
                <w:bCs/>
                <w:lang w:eastAsia="es-CR"/>
              </w:rPr>
            </w:pPr>
            <w:r w:rsidRPr="00932F14">
              <w:rPr>
                <w:b/>
                <w:bCs/>
                <w:lang w:eastAsia="es-CR"/>
              </w:rPr>
              <w:t>81,574</w:t>
            </w:r>
          </w:p>
        </w:tc>
        <w:tc>
          <w:tcPr>
            <w:tcW w:w="1157" w:type="dxa"/>
            <w:vAlign w:val="center"/>
            <w:hideMark/>
          </w:tcPr>
          <w:p w14:paraId="7C6F570E" w14:textId="77777777" w:rsidR="008944CE" w:rsidRPr="00932F14" w:rsidRDefault="008944CE" w:rsidP="00932F14">
            <w:pPr>
              <w:jc w:val="center"/>
              <w:rPr>
                <w:b/>
                <w:bCs/>
                <w:lang w:eastAsia="es-CR"/>
              </w:rPr>
            </w:pPr>
            <w:r w:rsidRPr="00932F14">
              <w:rPr>
                <w:b/>
                <w:bCs/>
                <w:lang w:eastAsia="es-CR"/>
              </w:rPr>
              <w:t>74,878</w:t>
            </w:r>
          </w:p>
        </w:tc>
        <w:tc>
          <w:tcPr>
            <w:tcW w:w="1157" w:type="dxa"/>
            <w:vAlign w:val="center"/>
            <w:hideMark/>
          </w:tcPr>
          <w:p w14:paraId="566BA35A" w14:textId="77777777" w:rsidR="008944CE" w:rsidRPr="00932F14" w:rsidRDefault="008944CE" w:rsidP="00932F14">
            <w:pPr>
              <w:jc w:val="center"/>
              <w:rPr>
                <w:b/>
                <w:bCs/>
                <w:lang w:eastAsia="es-CR"/>
              </w:rPr>
            </w:pPr>
            <w:r w:rsidRPr="00932F14">
              <w:rPr>
                <w:b/>
                <w:bCs/>
                <w:lang w:eastAsia="es-CR"/>
              </w:rPr>
              <w:t>79,876</w:t>
            </w:r>
          </w:p>
        </w:tc>
      </w:tr>
      <w:tr w:rsidR="008944CE" w:rsidRPr="00932F14" w14:paraId="14AC6595" w14:textId="77777777" w:rsidTr="008944CE">
        <w:trPr>
          <w:trHeight w:val="250"/>
          <w:jc w:val="center"/>
        </w:trPr>
        <w:tc>
          <w:tcPr>
            <w:tcW w:w="3973" w:type="dxa"/>
            <w:vAlign w:val="center"/>
            <w:hideMark/>
          </w:tcPr>
          <w:p w14:paraId="4F8F218E" w14:textId="77777777" w:rsidR="008944CE" w:rsidRPr="00932F14" w:rsidRDefault="008944CE" w:rsidP="00932F14">
            <w:pPr>
              <w:rPr>
                <w:b/>
                <w:bCs/>
                <w:lang w:eastAsia="es-CR"/>
              </w:rPr>
            </w:pPr>
          </w:p>
        </w:tc>
        <w:tc>
          <w:tcPr>
            <w:tcW w:w="1157" w:type="dxa"/>
            <w:vAlign w:val="center"/>
            <w:hideMark/>
          </w:tcPr>
          <w:p w14:paraId="41072D1C" w14:textId="77777777" w:rsidR="008944CE" w:rsidRPr="00932F14" w:rsidRDefault="008944CE" w:rsidP="00932F14">
            <w:pPr>
              <w:rPr>
                <w:lang w:val="es-CR" w:eastAsia="es-CR"/>
              </w:rPr>
            </w:pPr>
          </w:p>
        </w:tc>
        <w:tc>
          <w:tcPr>
            <w:tcW w:w="1157" w:type="dxa"/>
            <w:vAlign w:val="center"/>
            <w:hideMark/>
          </w:tcPr>
          <w:p w14:paraId="4B5A73EC" w14:textId="77777777" w:rsidR="008944CE" w:rsidRPr="00932F14" w:rsidRDefault="008944CE" w:rsidP="00932F14">
            <w:pPr>
              <w:rPr>
                <w:lang w:val="es-CR" w:eastAsia="es-CR"/>
              </w:rPr>
            </w:pPr>
          </w:p>
        </w:tc>
        <w:tc>
          <w:tcPr>
            <w:tcW w:w="1157" w:type="dxa"/>
            <w:vAlign w:val="center"/>
            <w:hideMark/>
          </w:tcPr>
          <w:p w14:paraId="681DFC06" w14:textId="77777777" w:rsidR="008944CE" w:rsidRPr="00932F14" w:rsidRDefault="008944CE" w:rsidP="00932F14">
            <w:pPr>
              <w:rPr>
                <w:lang w:val="es-CR" w:eastAsia="es-CR"/>
              </w:rPr>
            </w:pPr>
          </w:p>
        </w:tc>
        <w:tc>
          <w:tcPr>
            <w:tcW w:w="1157" w:type="dxa"/>
            <w:vAlign w:val="center"/>
            <w:hideMark/>
          </w:tcPr>
          <w:p w14:paraId="615A6378" w14:textId="77777777" w:rsidR="008944CE" w:rsidRPr="00932F14" w:rsidRDefault="008944CE" w:rsidP="00932F14">
            <w:pPr>
              <w:rPr>
                <w:lang w:val="es-CR" w:eastAsia="es-CR"/>
              </w:rPr>
            </w:pPr>
          </w:p>
        </w:tc>
        <w:tc>
          <w:tcPr>
            <w:tcW w:w="1157" w:type="dxa"/>
            <w:vAlign w:val="center"/>
            <w:hideMark/>
          </w:tcPr>
          <w:p w14:paraId="63A6E502" w14:textId="77777777" w:rsidR="008944CE" w:rsidRPr="00932F14" w:rsidRDefault="008944CE" w:rsidP="00932F14">
            <w:pPr>
              <w:rPr>
                <w:lang w:val="es-CR" w:eastAsia="es-CR"/>
              </w:rPr>
            </w:pPr>
          </w:p>
        </w:tc>
      </w:tr>
      <w:tr w:rsidR="008944CE" w:rsidRPr="00932F14" w14:paraId="110C82ED" w14:textId="77777777" w:rsidTr="008944CE">
        <w:trPr>
          <w:trHeight w:val="250"/>
          <w:jc w:val="center"/>
        </w:trPr>
        <w:tc>
          <w:tcPr>
            <w:tcW w:w="3973" w:type="dxa"/>
            <w:vAlign w:val="center"/>
            <w:hideMark/>
          </w:tcPr>
          <w:p w14:paraId="34C1AF2A" w14:textId="77777777" w:rsidR="008944CE" w:rsidRPr="00932F14" w:rsidRDefault="008944CE" w:rsidP="00932F14">
            <w:pPr>
              <w:jc w:val="both"/>
              <w:rPr>
                <w:lang w:eastAsia="es-CR"/>
              </w:rPr>
            </w:pPr>
            <w:r w:rsidRPr="00932F14">
              <w:rPr>
                <w:lang w:eastAsia="es-CR"/>
              </w:rPr>
              <w:t>Colisión</w:t>
            </w:r>
          </w:p>
        </w:tc>
        <w:tc>
          <w:tcPr>
            <w:tcW w:w="1157" w:type="dxa"/>
            <w:vAlign w:val="center"/>
            <w:hideMark/>
          </w:tcPr>
          <w:p w14:paraId="0569B448" w14:textId="77777777" w:rsidR="008944CE" w:rsidRPr="00932F14" w:rsidRDefault="008944CE" w:rsidP="00932F14">
            <w:pPr>
              <w:jc w:val="center"/>
              <w:rPr>
                <w:lang w:eastAsia="es-CR"/>
              </w:rPr>
            </w:pPr>
            <w:r w:rsidRPr="00932F14">
              <w:rPr>
                <w:lang w:eastAsia="es-CR"/>
              </w:rPr>
              <w:t>71,707</w:t>
            </w:r>
          </w:p>
        </w:tc>
        <w:tc>
          <w:tcPr>
            <w:tcW w:w="1157" w:type="dxa"/>
            <w:vAlign w:val="center"/>
            <w:hideMark/>
          </w:tcPr>
          <w:p w14:paraId="4335CF5A" w14:textId="77777777" w:rsidR="008944CE" w:rsidRPr="00932F14" w:rsidRDefault="008944CE" w:rsidP="00932F14">
            <w:pPr>
              <w:jc w:val="center"/>
              <w:rPr>
                <w:lang w:eastAsia="es-CR"/>
              </w:rPr>
            </w:pPr>
            <w:r w:rsidRPr="00932F14">
              <w:rPr>
                <w:lang w:eastAsia="es-CR"/>
              </w:rPr>
              <w:t>75,663</w:t>
            </w:r>
          </w:p>
        </w:tc>
        <w:tc>
          <w:tcPr>
            <w:tcW w:w="1157" w:type="dxa"/>
            <w:vAlign w:val="center"/>
            <w:hideMark/>
          </w:tcPr>
          <w:p w14:paraId="02607515" w14:textId="77777777" w:rsidR="008944CE" w:rsidRPr="00932F14" w:rsidRDefault="008944CE" w:rsidP="00932F14">
            <w:pPr>
              <w:jc w:val="center"/>
              <w:rPr>
                <w:lang w:eastAsia="es-CR"/>
              </w:rPr>
            </w:pPr>
            <w:r w:rsidRPr="00932F14">
              <w:rPr>
                <w:lang w:eastAsia="es-CR"/>
              </w:rPr>
              <w:t>75,805</w:t>
            </w:r>
          </w:p>
        </w:tc>
        <w:tc>
          <w:tcPr>
            <w:tcW w:w="1157" w:type="dxa"/>
            <w:vAlign w:val="center"/>
            <w:hideMark/>
          </w:tcPr>
          <w:p w14:paraId="497861BF" w14:textId="77777777" w:rsidR="008944CE" w:rsidRPr="00932F14" w:rsidRDefault="008944CE" w:rsidP="00932F14">
            <w:pPr>
              <w:jc w:val="center"/>
              <w:rPr>
                <w:lang w:eastAsia="es-CR"/>
              </w:rPr>
            </w:pPr>
            <w:r w:rsidRPr="00932F14">
              <w:rPr>
                <w:lang w:eastAsia="es-CR"/>
              </w:rPr>
              <w:t>69,449</w:t>
            </w:r>
          </w:p>
        </w:tc>
        <w:tc>
          <w:tcPr>
            <w:tcW w:w="1157" w:type="dxa"/>
            <w:vAlign w:val="center"/>
            <w:hideMark/>
          </w:tcPr>
          <w:p w14:paraId="2A4AC24B" w14:textId="77777777" w:rsidR="008944CE" w:rsidRPr="00932F14" w:rsidRDefault="008944CE" w:rsidP="00932F14">
            <w:pPr>
              <w:jc w:val="center"/>
              <w:rPr>
                <w:lang w:eastAsia="es-CR"/>
              </w:rPr>
            </w:pPr>
            <w:r w:rsidRPr="00932F14">
              <w:rPr>
                <w:lang w:eastAsia="es-CR"/>
              </w:rPr>
              <w:t>73,775</w:t>
            </w:r>
          </w:p>
        </w:tc>
      </w:tr>
      <w:tr w:rsidR="008944CE" w:rsidRPr="00932F14" w14:paraId="472E139D" w14:textId="77777777" w:rsidTr="008944CE">
        <w:trPr>
          <w:trHeight w:val="250"/>
          <w:jc w:val="center"/>
        </w:trPr>
        <w:tc>
          <w:tcPr>
            <w:tcW w:w="3973" w:type="dxa"/>
            <w:vAlign w:val="center"/>
            <w:hideMark/>
          </w:tcPr>
          <w:p w14:paraId="2807831C" w14:textId="77777777" w:rsidR="008944CE" w:rsidRPr="00932F14" w:rsidRDefault="008944CE" w:rsidP="00932F14">
            <w:pPr>
              <w:rPr>
                <w:lang w:eastAsia="es-CR"/>
              </w:rPr>
            </w:pPr>
            <w:r w:rsidRPr="00932F14">
              <w:rPr>
                <w:noProof/>
                <w:lang w:eastAsia="es-CR"/>
              </w:rPr>
              <w:t>Estrellonazos, vuelco, salirse de la vía</w:t>
            </w:r>
          </w:p>
        </w:tc>
        <w:tc>
          <w:tcPr>
            <w:tcW w:w="1157" w:type="dxa"/>
            <w:vAlign w:val="center"/>
            <w:hideMark/>
          </w:tcPr>
          <w:p w14:paraId="433D87D0" w14:textId="77777777" w:rsidR="008944CE" w:rsidRPr="00932F14" w:rsidRDefault="008944CE" w:rsidP="00932F14">
            <w:pPr>
              <w:jc w:val="center"/>
              <w:rPr>
                <w:lang w:eastAsia="es-CR"/>
              </w:rPr>
            </w:pPr>
            <w:r w:rsidRPr="00932F14">
              <w:rPr>
                <w:lang w:eastAsia="es-CR"/>
              </w:rPr>
              <w:t>2,846</w:t>
            </w:r>
          </w:p>
        </w:tc>
        <w:tc>
          <w:tcPr>
            <w:tcW w:w="1157" w:type="dxa"/>
            <w:vAlign w:val="center"/>
            <w:hideMark/>
          </w:tcPr>
          <w:p w14:paraId="2A900AB5" w14:textId="77777777" w:rsidR="008944CE" w:rsidRPr="00932F14" w:rsidRDefault="008944CE" w:rsidP="00932F14">
            <w:pPr>
              <w:jc w:val="center"/>
              <w:rPr>
                <w:lang w:eastAsia="es-CR"/>
              </w:rPr>
            </w:pPr>
            <w:r w:rsidRPr="00932F14">
              <w:rPr>
                <w:lang w:eastAsia="es-CR"/>
              </w:rPr>
              <w:t>2,984</w:t>
            </w:r>
          </w:p>
        </w:tc>
        <w:tc>
          <w:tcPr>
            <w:tcW w:w="1157" w:type="dxa"/>
            <w:vAlign w:val="center"/>
            <w:hideMark/>
          </w:tcPr>
          <w:p w14:paraId="72F79AEA" w14:textId="77777777" w:rsidR="008944CE" w:rsidRPr="00932F14" w:rsidRDefault="008944CE" w:rsidP="00932F14">
            <w:pPr>
              <w:jc w:val="center"/>
              <w:rPr>
                <w:lang w:eastAsia="es-CR"/>
              </w:rPr>
            </w:pPr>
            <w:r w:rsidRPr="00932F14">
              <w:rPr>
                <w:lang w:eastAsia="es-CR"/>
              </w:rPr>
              <w:t>3,004</w:t>
            </w:r>
          </w:p>
        </w:tc>
        <w:tc>
          <w:tcPr>
            <w:tcW w:w="1157" w:type="dxa"/>
            <w:vAlign w:val="center"/>
            <w:hideMark/>
          </w:tcPr>
          <w:p w14:paraId="1FFF090F" w14:textId="77777777" w:rsidR="008944CE" w:rsidRPr="00932F14" w:rsidRDefault="008944CE" w:rsidP="00932F14">
            <w:pPr>
              <w:jc w:val="center"/>
              <w:rPr>
                <w:lang w:eastAsia="es-CR"/>
              </w:rPr>
            </w:pPr>
            <w:r w:rsidRPr="00932F14">
              <w:rPr>
                <w:lang w:eastAsia="es-CR"/>
              </w:rPr>
              <w:t>2,781</w:t>
            </w:r>
          </w:p>
        </w:tc>
        <w:tc>
          <w:tcPr>
            <w:tcW w:w="1157" w:type="dxa"/>
            <w:vAlign w:val="center"/>
            <w:hideMark/>
          </w:tcPr>
          <w:p w14:paraId="160B3648" w14:textId="77777777" w:rsidR="008944CE" w:rsidRPr="00932F14" w:rsidRDefault="008944CE" w:rsidP="00932F14">
            <w:pPr>
              <w:jc w:val="center"/>
              <w:rPr>
                <w:lang w:eastAsia="es-CR"/>
              </w:rPr>
            </w:pPr>
            <w:r w:rsidRPr="00932F14">
              <w:rPr>
                <w:lang w:eastAsia="es-CR"/>
              </w:rPr>
              <w:t>3,109</w:t>
            </w:r>
          </w:p>
        </w:tc>
      </w:tr>
      <w:tr w:rsidR="008944CE" w:rsidRPr="00932F14" w14:paraId="51FE7920" w14:textId="77777777" w:rsidTr="008944CE">
        <w:trPr>
          <w:trHeight w:val="250"/>
          <w:jc w:val="center"/>
        </w:trPr>
        <w:tc>
          <w:tcPr>
            <w:tcW w:w="3973" w:type="dxa"/>
            <w:vAlign w:val="center"/>
            <w:hideMark/>
          </w:tcPr>
          <w:p w14:paraId="4DB3555C" w14:textId="77777777" w:rsidR="008944CE" w:rsidRPr="00932F14" w:rsidRDefault="008944CE" w:rsidP="00932F14">
            <w:pPr>
              <w:rPr>
                <w:lang w:eastAsia="es-CR"/>
              </w:rPr>
            </w:pPr>
            <w:r w:rsidRPr="00932F14">
              <w:rPr>
                <w:lang w:eastAsia="es-CR"/>
              </w:rPr>
              <w:t>Lesión o atropello</w:t>
            </w:r>
          </w:p>
        </w:tc>
        <w:tc>
          <w:tcPr>
            <w:tcW w:w="1157" w:type="dxa"/>
            <w:vAlign w:val="center"/>
            <w:hideMark/>
          </w:tcPr>
          <w:p w14:paraId="73DE96C4" w14:textId="77777777" w:rsidR="008944CE" w:rsidRPr="00932F14" w:rsidRDefault="008944CE" w:rsidP="00932F14">
            <w:pPr>
              <w:jc w:val="center"/>
              <w:rPr>
                <w:lang w:eastAsia="es-CR"/>
              </w:rPr>
            </w:pPr>
            <w:r w:rsidRPr="00932F14">
              <w:rPr>
                <w:lang w:eastAsia="es-CR"/>
              </w:rPr>
              <w:t>1,370</w:t>
            </w:r>
          </w:p>
        </w:tc>
        <w:tc>
          <w:tcPr>
            <w:tcW w:w="1157" w:type="dxa"/>
            <w:vAlign w:val="center"/>
            <w:hideMark/>
          </w:tcPr>
          <w:p w14:paraId="3D4AD012" w14:textId="77777777" w:rsidR="008944CE" w:rsidRPr="00932F14" w:rsidRDefault="008944CE" w:rsidP="00932F14">
            <w:pPr>
              <w:jc w:val="center"/>
              <w:rPr>
                <w:lang w:eastAsia="es-CR"/>
              </w:rPr>
            </w:pPr>
            <w:r w:rsidRPr="00932F14">
              <w:rPr>
                <w:lang w:eastAsia="es-CR"/>
              </w:rPr>
              <w:t>1,371</w:t>
            </w:r>
          </w:p>
        </w:tc>
        <w:tc>
          <w:tcPr>
            <w:tcW w:w="1157" w:type="dxa"/>
            <w:vAlign w:val="center"/>
            <w:hideMark/>
          </w:tcPr>
          <w:p w14:paraId="7A1D078B" w14:textId="77777777" w:rsidR="008944CE" w:rsidRPr="00932F14" w:rsidRDefault="008944CE" w:rsidP="00932F14">
            <w:pPr>
              <w:jc w:val="center"/>
              <w:rPr>
                <w:lang w:eastAsia="es-CR"/>
              </w:rPr>
            </w:pPr>
            <w:r w:rsidRPr="00932F14">
              <w:rPr>
                <w:lang w:eastAsia="es-CR"/>
              </w:rPr>
              <w:t>1,307</w:t>
            </w:r>
          </w:p>
        </w:tc>
        <w:tc>
          <w:tcPr>
            <w:tcW w:w="1157" w:type="dxa"/>
            <w:vAlign w:val="center"/>
            <w:hideMark/>
          </w:tcPr>
          <w:p w14:paraId="46B76ADD" w14:textId="77777777" w:rsidR="008944CE" w:rsidRPr="00932F14" w:rsidRDefault="008944CE" w:rsidP="00932F14">
            <w:pPr>
              <w:jc w:val="center"/>
              <w:rPr>
                <w:lang w:eastAsia="es-CR"/>
              </w:rPr>
            </w:pPr>
            <w:r w:rsidRPr="00932F14">
              <w:rPr>
                <w:lang w:eastAsia="es-CR"/>
              </w:rPr>
              <w:t>1,185</w:t>
            </w:r>
          </w:p>
        </w:tc>
        <w:tc>
          <w:tcPr>
            <w:tcW w:w="1157" w:type="dxa"/>
            <w:vAlign w:val="center"/>
            <w:hideMark/>
          </w:tcPr>
          <w:p w14:paraId="058B746F" w14:textId="77777777" w:rsidR="008944CE" w:rsidRPr="00932F14" w:rsidRDefault="008944CE" w:rsidP="00932F14">
            <w:pPr>
              <w:jc w:val="center"/>
              <w:rPr>
                <w:lang w:eastAsia="es-CR"/>
              </w:rPr>
            </w:pPr>
            <w:r w:rsidRPr="00932F14">
              <w:rPr>
                <w:lang w:eastAsia="es-CR"/>
              </w:rPr>
              <w:t>1,302</w:t>
            </w:r>
          </w:p>
        </w:tc>
      </w:tr>
      <w:tr w:rsidR="008944CE" w:rsidRPr="00932F14" w14:paraId="335959EA" w14:textId="77777777" w:rsidTr="008944CE">
        <w:trPr>
          <w:trHeight w:val="250"/>
          <w:jc w:val="center"/>
        </w:trPr>
        <w:tc>
          <w:tcPr>
            <w:tcW w:w="3973" w:type="dxa"/>
            <w:vAlign w:val="center"/>
            <w:hideMark/>
          </w:tcPr>
          <w:p w14:paraId="2A79A04F" w14:textId="77777777" w:rsidR="008944CE" w:rsidRPr="00932F14" w:rsidRDefault="008944CE" w:rsidP="00932F14">
            <w:pPr>
              <w:rPr>
                <w:lang w:eastAsia="es-CR"/>
              </w:rPr>
            </w:pPr>
            <w:r w:rsidRPr="00932F14">
              <w:rPr>
                <w:lang w:eastAsia="es-CR"/>
              </w:rPr>
              <w:t>Accidentes</w:t>
            </w:r>
          </w:p>
        </w:tc>
        <w:tc>
          <w:tcPr>
            <w:tcW w:w="1157" w:type="dxa"/>
            <w:vAlign w:val="center"/>
            <w:hideMark/>
          </w:tcPr>
          <w:p w14:paraId="1707CED1" w14:textId="77777777" w:rsidR="008944CE" w:rsidRPr="00932F14" w:rsidRDefault="008944CE" w:rsidP="00932F14">
            <w:pPr>
              <w:jc w:val="center"/>
              <w:rPr>
                <w:lang w:eastAsia="es-CR"/>
              </w:rPr>
            </w:pPr>
            <w:r w:rsidRPr="00932F14">
              <w:rPr>
                <w:lang w:eastAsia="es-CR"/>
              </w:rPr>
              <w:t>374</w:t>
            </w:r>
          </w:p>
        </w:tc>
        <w:tc>
          <w:tcPr>
            <w:tcW w:w="1157" w:type="dxa"/>
            <w:vAlign w:val="center"/>
            <w:hideMark/>
          </w:tcPr>
          <w:p w14:paraId="2195F2C8" w14:textId="77777777" w:rsidR="008944CE" w:rsidRPr="00932F14" w:rsidRDefault="008944CE" w:rsidP="00932F14">
            <w:pPr>
              <w:jc w:val="center"/>
              <w:rPr>
                <w:lang w:eastAsia="es-CR"/>
              </w:rPr>
            </w:pPr>
            <w:r w:rsidRPr="00932F14">
              <w:rPr>
                <w:lang w:eastAsia="es-CR"/>
              </w:rPr>
              <w:t>506</w:t>
            </w:r>
          </w:p>
        </w:tc>
        <w:tc>
          <w:tcPr>
            <w:tcW w:w="1157" w:type="dxa"/>
            <w:vAlign w:val="center"/>
            <w:hideMark/>
          </w:tcPr>
          <w:p w14:paraId="108FA7BE" w14:textId="77777777" w:rsidR="008944CE" w:rsidRPr="00932F14" w:rsidRDefault="008944CE" w:rsidP="00932F14">
            <w:pPr>
              <w:jc w:val="center"/>
              <w:rPr>
                <w:lang w:eastAsia="es-CR"/>
              </w:rPr>
            </w:pPr>
            <w:r w:rsidRPr="00932F14">
              <w:rPr>
                <w:lang w:eastAsia="es-CR"/>
              </w:rPr>
              <w:t>717</w:t>
            </w:r>
          </w:p>
        </w:tc>
        <w:tc>
          <w:tcPr>
            <w:tcW w:w="1157" w:type="dxa"/>
            <w:vAlign w:val="center"/>
            <w:hideMark/>
          </w:tcPr>
          <w:p w14:paraId="7222E9A1" w14:textId="77777777" w:rsidR="008944CE" w:rsidRPr="00932F14" w:rsidRDefault="008944CE" w:rsidP="00932F14">
            <w:pPr>
              <w:jc w:val="center"/>
              <w:rPr>
                <w:lang w:eastAsia="es-CR"/>
              </w:rPr>
            </w:pPr>
            <w:r w:rsidRPr="00932F14">
              <w:rPr>
                <w:lang w:eastAsia="es-CR"/>
              </w:rPr>
              <w:t>832</w:t>
            </w:r>
          </w:p>
        </w:tc>
        <w:tc>
          <w:tcPr>
            <w:tcW w:w="1157" w:type="dxa"/>
            <w:vAlign w:val="center"/>
            <w:hideMark/>
          </w:tcPr>
          <w:p w14:paraId="4069BBE0" w14:textId="77777777" w:rsidR="008944CE" w:rsidRPr="00932F14" w:rsidRDefault="008944CE" w:rsidP="00932F14">
            <w:pPr>
              <w:jc w:val="center"/>
              <w:rPr>
                <w:lang w:eastAsia="es-CR"/>
              </w:rPr>
            </w:pPr>
            <w:r w:rsidRPr="00932F14">
              <w:rPr>
                <w:lang w:eastAsia="es-CR"/>
              </w:rPr>
              <w:t>649</w:t>
            </w:r>
          </w:p>
        </w:tc>
      </w:tr>
      <w:tr w:rsidR="008944CE" w:rsidRPr="00932F14" w14:paraId="616298F7" w14:textId="77777777" w:rsidTr="008944CE">
        <w:trPr>
          <w:trHeight w:val="250"/>
          <w:jc w:val="center"/>
        </w:trPr>
        <w:tc>
          <w:tcPr>
            <w:tcW w:w="3973" w:type="dxa"/>
            <w:vAlign w:val="center"/>
            <w:hideMark/>
          </w:tcPr>
          <w:p w14:paraId="05DB422C" w14:textId="77777777" w:rsidR="008944CE" w:rsidRPr="00932F14" w:rsidRDefault="008944CE" w:rsidP="00932F14">
            <w:pPr>
              <w:rPr>
                <w:lang w:eastAsia="es-CR"/>
              </w:rPr>
            </w:pPr>
            <w:r w:rsidRPr="00932F14">
              <w:rPr>
                <w:lang w:eastAsia="es-CR"/>
              </w:rPr>
              <w:t>Denuncias</w:t>
            </w:r>
          </w:p>
        </w:tc>
        <w:tc>
          <w:tcPr>
            <w:tcW w:w="1157" w:type="dxa"/>
            <w:vAlign w:val="center"/>
            <w:hideMark/>
          </w:tcPr>
          <w:p w14:paraId="4786557F" w14:textId="77777777" w:rsidR="008944CE" w:rsidRPr="00932F14" w:rsidRDefault="008944CE" w:rsidP="00932F14">
            <w:pPr>
              <w:jc w:val="center"/>
              <w:rPr>
                <w:lang w:eastAsia="es-CR"/>
              </w:rPr>
            </w:pPr>
            <w:r w:rsidRPr="00932F14">
              <w:rPr>
                <w:lang w:eastAsia="es-CR"/>
              </w:rPr>
              <w:t>365</w:t>
            </w:r>
          </w:p>
        </w:tc>
        <w:tc>
          <w:tcPr>
            <w:tcW w:w="1157" w:type="dxa"/>
            <w:vAlign w:val="center"/>
            <w:hideMark/>
          </w:tcPr>
          <w:p w14:paraId="078AB5DE" w14:textId="77777777" w:rsidR="008944CE" w:rsidRPr="00932F14" w:rsidRDefault="008944CE" w:rsidP="00932F14">
            <w:pPr>
              <w:jc w:val="center"/>
              <w:rPr>
                <w:lang w:eastAsia="es-CR"/>
              </w:rPr>
            </w:pPr>
            <w:r w:rsidRPr="00932F14">
              <w:rPr>
                <w:lang w:eastAsia="es-CR"/>
              </w:rPr>
              <w:t>675</w:t>
            </w:r>
          </w:p>
        </w:tc>
        <w:tc>
          <w:tcPr>
            <w:tcW w:w="1157" w:type="dxa"/>
            <w:vAlign w:val="center"/>
            <w:hideMark/>
          </w:tcPr>
          <w:p w14:paraId="6F6FB91F" w14:textId="77777777" w:rsidR="008944CE" w:rsidRPr="00932F14" w:rsidRDefault="008944CE" w:rsidP="00932F14">
            <w:pPr>
              <w:jc w:val="center"/>
              <w:rPr>
                <w:lang w:eastAsia="es-CR"/>
              </w:rPr>
            </w:pPr>
            <w:r w:rsidRPr="00932F14">
              <w:rPr>
                <w:lang w:eastAsia="es-CR"/>
              </w:rPr>
              <w:t>549</w:t>
            </w:r>
          </w:p>
        </w:tc>
        <w:tc>
          <w:tcPr>
            <w:tcW w:w="1157" w:type="dxa"/>
            <w:vAlign w:val="center"/>
            <w:hideMark/>
          </w:tcPr>
          <w:p w14:paraId="2C1DD24C" w14:textId="77777777" w:rsidR="008944CE" w:rsidRPr="00932F14" w:rsidRDefault="008944CE" w:rsidP="00932F14">
            <w:pPr>
              <w:jc w:val="center"/>
              <w:rPr>
                <w:lang w:eastAsia="es-CR"/>
              </w:rPr>
            </w:pPr>
            <w:r w:rsidRPr="00932F14">
              <w:rPr>
                <w:lang w:eastAsia="es-CR"/>
              </w:rPr>
              <w:t>488</w:t>
            </w:r>
          </w:p>
        </w:tc>
        <w:tc>
          <w:tcPr>
            <w:tcW w:w="1157" w:type="dxa"/>
            <w:vAlign w:val="center"/>
            <w:hideMark/>
          </w:tcPr>
          <w:p w14:paraId="0F198727" w14:textId="77777777" w:rsidR="008944CE" w:rsidRPr="00932F14" w:rsidRDefault="008944CE" w:rsidP="00932F14">
            <w:pPr>
              <w:jc w:val="center"/>
              <w:rPr>
                <w:lang w:eastAsia="es-CR"/>
              </w:rPr>
            </w:pPr>
            <w:r w:rsidRPr="00932F14">
              <w:rPr>
                <w:lang w:eastAsia="es-CR"/>
              </w:rPr>
              <w:t>878</w:t>
            </w:r>
          </w:p>
        </w:tc>
      </w:tr>
      <w:tr w:rsidR="008944CE" w:rsidRPr="00932F14" w14:paraId="19E9648F" w14:textId="77777777" w:rsidTr="008944CE">
        <w:trPr>
          <w:trHeight w:val="250"/>
          <w:jc w:val="center"/>
        </w:trPr>
        <w:tc>
          <w:tcPr>
            <w:tcW w:w="3973" w:type="dxa"/>
            <w:vAlign w:val="center"/>
            <w:hideMark/>
          </w:tcPr>
          <w:p w14:paraId="1E93259B" w14:textId="77777777" w:rsidR="008944CE" w:rsidRPr="00932F14" w:rsidRDefault="008944CE" w:rsidP="00932F14">
            <w:pPr>
              <w:rPr>
                <w:lang w:eastAsia="es-CR"/>
              </w:rPr>
            </w:pPr>
            <w:r w:rsidRPr="00932F14">
              <w:rPr>
                <w:lang w:eastAsia="es-CR"/>
              </w:rPr>
              <w:t>Daños a la propiedad</w:t>
            </w:r>
          </w:p>
        </w:tc>
        <w:tc>
          <w:tcPr>
            <w:tcW w:w="1157" w:type="dxa"/>
            <w:vAlign w:val="center"/>
            <w:hideMark/>
          </w:tcPr>
          <w:p w14:paraId="0E16780A" w14:textId="77777777" w:rsidR="008944CE" w:rsidRPr="00932F14" w:rsidRDefault="008944CE" w:rsidP="00932F14">
            <w:pPr>
              <w:jc w:val="center"/>
              <w:rPr>
                <w:lang w:eastAsia="es-CR"/>
              </w:rPr>
            </w:pPr>
            <w:r w:rsidRPr="00932F14">
              <w:rPr>
                <w:lang w:eastAsia="es-CR"/>
              </w:rPr>
              <w:t>144</w:t>
            </w:r>
          </w:p>
        </w:tc>
        <w:tc>
          <w:tcPr>
            <w:tcW w:w="1157" w:type="dxa"/>
            <w:vAlign w:val="center"/>
            <w:hideMark/>
          </w:tcPr>
          <w:p w14:paraId="0F07CB1D" w14:textId="77777777" w:rsidR="008944CE" w:rsidRPr="00932F14" w:rsidRDefault="008944CE" w:rsidP="00932F14">
            <w:pPr>
              <w:jc w:val="center"/>
              <w:rPr>
                <w:lang w:eastAsia="es-CR"/>
              </w:rPr>
            </w:pPr>
            <w:r w:rsidRPr="00932F14">
              <w:rPr>
                <w:lang w:eastAsia="es-CR"/>
              </w:rPr>
              <w:t>102</w:t>
            </w:r>
          </w:p>
        </w:tc>
        <w:tc>
          <w:tcPr>
            <w:tcW w:w="1157" w:type="dxa"/>
            <w:vAlign w:val="center"/>
            <w:hideMark/>
          </w:tcPr>
          <w:p w14:paraId="3907C2D8" w14:textId="77777777" w:rsidR="008944CE" w:rsidRPr="00932F14" w:rsidRDefault="008944CE" w:rsidP="00932F14">
            <w:pPr>
              <w:jc w:val="center"/>
              <w:rPr>
                <w:lang w:eastAsia="es-CR"/>
              </w:rPr>
            </w:pPr>
            <w:r w:rsidRPr="00932F14">
              <w:rPr>
                <w:lang w:eastAsia="es-CR"/>
              </w:rPr>
              <w:t>68</w:t>
            </w:r>
          </w:p>
        </w:tc>
        <w:tc>
          <w:tcPr>
            <w:tcW w:w="1157" w:type="dxa"/>
            <w:vAlign w:val="center"/>
            <w:hideMark/>
          </w:tcPr>
          <w:p w14:paraId="79CAB1DB" w14:textId="77777777" w:rsidR="008944CE" w:rsidRPr="00932F14" w:rsidRDefault="008944CE" w:rsidP="00932F14">
            <w:pPr>
              <w:jc w:val="center"/>
              <w:rPr>
                <w:lang w:eastAsia="es-CR"/>
              </w:rPr>
            </w:pPr>
            <w:r w:rsidRPr="00932F14">
              <w:rPr>
                <w:lang w:eastAsia="es-CR"/>
              </w:rPr>
              <w:t>84</w:t>
            </w:r>
          </w:p>
        </w:tc>
        <w:tc>
          <w:tcPr>
            <w:tcW w:w="1157" w:type="dxa"/>
            <w:vAlign w:val="center"/>
            <w:hideMark/>
          </w:tcPr>
          <w:p w14:paraId="70161325" w14:textId="77777777" w:rsidR="008944CE" w:rsidRPr="00932F14" w:rsidRDefault="008944CE" w:rsidP="00932F14">
            <w:pPr>
              <w:jc w:val="center"/>
              <w:rPr>
                <w:lang w:eastAsia="es-CR"/>
              </w:rPr>
            </w:pPr>
            <w:r w:rsidRPr="00932F14">
              <w:rPr>
                <w:lang w:eastAsia="es-CR"/>
              </w:rPr>
              <w:t>122</w:t>
            </w:r>
          </w:p>
        </w:tc>
      </w:tr>
      <w:tr w:rsidR="008944CE" w:rsidRPr="00932F14" w14:paraId="1F8C2280" w14:textId="77777777" w:rsidTr="008944CE">
        <w:trPr>
          <w:trHeight w:val="250"/>
          <w:jc w:val="center"/>
        </w:trPr>
        <w:tc>
          <w:tcPr>
            <w:tcW w:w="3973" w:type="dxa"/>
            <w:vAlign w:val="center"/>
            <w:hideMark/>
          </w:tcPr>
          <w:p w14:paraId="29C38E01" w14:textId="77777777" w:rsidR="008944CE" w:rsidRPr="00932F14" w:rsidRDefault="008944CE" w:rsidP="00932F14">
            <w:pPr>
              <w:rPr>
                <w:lang w:eastAsia="es-CR"/>
              </w:rPr>
            </w:pPr>
            <w:r w:rsidRPr="00932F14">
              <w:rPr>
                <w:lang w:eastAsia="es-CR"/>
              </w:rPr>
              <w:t>Otros</w:t>
            </w:r>
          </w:p>
        </w:tc>
        <w:tc>
          <w:tcPr>
            <w:tcW w:w="1157" w:type="dxa"/>
            <w:vAlign w:val="center"/>
            <w:hideMark/>
          </w:tcPr>
          <w:p w14:paraId="4E2B7DDA" w14:textId="77777777" w:rsidR="008944CE" w:rsidRPr="00932F14" w:rsidRDefault="008944CE" w:rsidP="00932F14">
            <w:pPr>
              <w:jc w:val="center"/>
              <w:rPr>
                <w:lang w:eastAsia="es-CR"/>
              </w:rPr>
            </w:pPr>
            <w:r w:rsidRPr="00932F14">
              <w:rPr>
                <w:lang w:eastAsia="es-CR"/>
              </w:rPr>
              <w:t>430</w:t>
            </w:r>
          </w:p>
        </w:tc>
        <w:tc>
          <w:tcPr>
            <w:tcW w:w="1157" w:type="dxa"/>
            <w:vAlign w:val="center"/>
            <w:hideMark/>
          </w:tcPr>
          <w:p w14:paraId="7587E497" w14:textId="77777777" w:rsidR="008944CE" w:rsidRPr="00932F14" w:rsidRDefault="008944CE" w:rsidP="00932F14">
            <w:pPr>
              <w:jc w:val="center"/>
              <w:rPr>
                <w:lang w:eastAsia="es-CR"/>
              </w:rPr>
            </w:pPr>
            <w:r w:rsidRPr="00932F14">
              <w:rPr>
                <w:lang w:eastAsia="es-CR"/>
              </w:rPr>
              <w:t>214</w:t>
            </w:r>
          </w:p>
        </w:tc>
        <w:tc>
          <w:tcPr>
            <w:tcW w:w="1157" w:type="dxa"/>
            <w:vAlign w:val="center"/>
            <w:hideMark/>
          </w:tcPr>
          <w:p w14:paraId="7959713C" w14:textId="77777777" w:rsidR="008944CE" w:rsidRPr="00932F14" w:rsidRDefault="008944CE" w:rsidP="00932F14">
            <w:pPr>
              <w:jc w:val="center"/>
              <w:rPr>
                <w:lang w:eastAsia="es-CR"/>
              </w:rPr>
            </w:pPr>
            <w:r w:rsidRPr="00932F14">
              <w:rPr>
                <w:lang w:eastAsia="es-CR"/>
              </w:rPr>
              <w:t>124</w:t>
            </w:r>
          </w:p>
        </w:tc>
        <w:tc>
          <w:tcPr>
            <w:tcW w:w="1157" w:type="dxa"/>
            <w:vAlign w:val="center"/>
            <w:hideMark/>
          </w:tcPr>
          <w:p w14:paraId="7759F8B7" w14:textId="77777777" w:rsidR="008944CE" w:rsidRPr="00932F14" w:rsidRDefault="008944CE" w:rsidP="00932F14">
            <w:pPr>
              <w:jc w:val="center"/>
              <w:rPr>
                <w:lang w:eastAsia="es-CR"/>
              </w:rPr>
            </w:pPr>
            <w:r w:rsidRPr="00932F14">
              <w:rPr>
                <w:lang w:eastAsia="es-CR"/>
              </w:rPr>
              <w:t>59</w:t>
            </w:r>
          </w:p>
        </w:tc>
        <w:tc>
          <w:tcPr>
            <w:tcW w:w="1157" w:type="dxa"/>
            <w:vAlign w:val="center"/>
            <w:hideMark/>
          </w:tcPr>
          <w:p w14:paraId="51A7704D" w14:textId="77777777" w:rsidR="008944CE" w:rsidRPr="00932F14" w:rsidRDefault="008944CE" w:rsidP="00932F14">
            <w:pPr>
              <w:jc w:val="center"/>
              <w:rPr>
                <w:lang w:eastAsia="es-CR"/>
              </w:rPr>
            </w:pPr>
            <w:r w:rsidRPr="00932F14">
              <w:rPr>
                <w:lang w:eastAsia="es-CR"/>
              </w:rPr>
              <w:t>41</w:t>
            </w:r>
          </w:p>
        </w:tc>
      </w:tr>
      <w:tr w:rsidR="008944CE" w:rsidRPr="00932F14" w14:paraId="48D1CC49" w14:textId="77777777" w:rsidTr="008944CE">
        <w:trPr>
          <w:trHeight w:val="250"/>
          <w:jc w:val="center"/>
        </w:trPr>
        <w:tc>
          <w:tcPr>
            <w:tcW w:w="3973" w:type="dxa"/>
            <w:tcBorders>
              <w:top w:val="nil"/>
              <w:left w:val="nil"/>
              <w:bottom w:val="single" w:sz="8" w:space="0" w:color="auto"/>
              <w:right w:val="nil"/>
            </w:tcBorders>
            <w:noWrap/>
            <w:vAlign w:val="bottom"/>
            <w:hideMark/>
          </w:tcPr>
          <w:p w14:paraId="5E144AE3" w14:textId="77777777" w:rsidR="008944CE" w:rsidRPr="00932F14" w:rsidRDefault="008944CE" w:rsidP="00932F14">
            <w:pPr>
              <w:rPr>
                <w:lang w:eastAsia="es-CR"/>
              </w:rPr>
            </w:pPr>
            <w:r w:rsidRPr="00932F14">
              <w:rPr>
                <w:lang w:eastAsia="es-CR"/>
              </w:rPr>
              <w:lastRenderedPageBreak/>
              <w:t> </w:t>
            </w:r>
          </w:p>
        </w:tc>
        <w:tc>
          <w:tcPr>
            <w:tcW w:w="1157" w:type="dxa"/>
            <w:tcBorders>
              <w:top w:val="nil"/>
              <w:left w:val="nil"/>
              <w:bottom w:val="single" w:sz="8" w:space="0" w:color="auto"/>
              <w:right w:val="nil"/>
            </w:tcBorders>
            <w:noWrap/>
            <w:vAlign w:val="bottom"/>
            <w:hideMark/>
          </w:tcPr>
          <w:p w14:paraId="4B89BDC2" w14:textId="77777777" w:rsidR="008944CE" w:rsidRPr="00932F14" w:rsidRDefault="008944CE" w:rsidP="00932F14">
            <w:pPr>
              <w:rPr>
                <w:lang w:eastAsia="es-CR"/>
              </w:rPr>
            </w:pPr>
            <w:r w:rsidRPr="00932F14">
              <w:rPr>
                <w:lang w:eastAsia="es-CR"/>
              </w:rPr>
              <w:t> </w:t>
            </w:r>
          </w:p>
        </w:tc>
        <w:tc>
          <w:tcPr>
            <w:tcW w:w="1157" w:type="dxa"/>
            <w:tcBorders>
              <w:top w:val="nil"/>
              <w:left w:val="nil"/>
              <w:bottom w:val="single" w:sz="8" w:space="0" w:color="auto"/>
              <w:right w:val="nil"/>
            </w:tcBorders>
            <w:noWrap/>
            <w:vAlign w:val="bottom"/>
            <w:hideMark/>
          </w:tcPr>
          <w:p w14:paraId="7E418667" w14:textId="77777777" w:rsidR="008944CE" w:rsidRPr="00932F14" w:rsidRDefault="008944CE" w:rsidP="00932F14">
            <w:pPr>
              <w:rPr>
                <w:lang w:eastAsia="es-CR"/>
              </w:rPr>
            </w:pPr>
            <w:r w:rsidRPr="00932F14">
              <w:rPr>
                <w:lang w:eastAsia="es-CR"/>
              </w:rPr>
              <w:t> </w:t>
            </w:r>
          </w:p>
        </w:tc>
        <w:tc>
          <w:tcPr>
            <w:tcW w:w="1157" w:type="dxa"/>
            <w:tcBorders>
              <w:top w:val="nil"/>
              <w:left w:val="nil"/>
              <w:bottom w:val="single" w:sz="8" w:space="0" w:color="auto"/>
              <w:right w:val="nil"/>
            </w:tcBorders>
            <w:noWrap/>
            <w:vAlign w:val="bottom"/>
            <w:hideMark/>
          </w:tcPr>
          <w:p w14:paraId="32CE0FD6" w14:textId="77777777" w:rsidR="008944CE" w:rsidRPr="00932F14" w:rsidRDefault="008944CE" w:rsidP="00932F14">
            <w:pPr>
              <w:rPr>
                <w:lang w:eastAsia="es-CR"/>
              </w:rPr>
            </w:pPr>
            <w:r w:rsidRPr="00932F14">
              <w:rPr>
                <w:lang w:eastAsia="es-CR"/>
              </w:rPr>
              <w:t> </w:t>
            </w:r>
          </w:p>
        </w:tc>
        <w:tc>
          <w:tcPr>
            <w:tcW w:w="1157" w:type="dxa"/>
            <w:tcBorders>
              <w:top w:val="nil"/>
              <w:left w:val="nil"/>
              <w:bottom w:val="single" w:sz="8" w:space="0" w:color="auto"/>
              <w:right w:val="nil"/>
            </w:tcBorders>
            <w:noWrap/>
            <w:vAlign w:val="bottom"/>
            <w:hideMark/>
          </w:tcPr>
          <w:p w14:paraId="2642464E" w14:textId="77777777" w:rsidR="008944CE" w:rsidRPr="00932F14" w:rsidRDefault="008944CE" w:rsidP="00932F14">
            <w:pPr>
              <w:rPr>
                <w:lang w:eastAsia="es-CR"/>
              </w:rPr>
            </w:pPr>
            <w:r w:rsidRPr="00932F14">
              <w:rPr>
                <w:lang w:eastAsia="es-CR"/>
              </w:rPr>
              <w:t> </w:t>
            </w:r>
          </w:p>
        </w:tc>
        <w:tc>
          <w:tcPr>
            <w:tcW w:w="1157" w:type="dxa"/>
            <w:tcBorders>
              <w:top w:val="nil"/>
              <w:left w:val="nil"/>
              <w:bottom w:val="single" w:sz="8" w:space="0" w:color="auto"/>
              <w:right w:val="nil"/>
            </w:tcBorders>
            <w:noWrap/>
            <w:vAlign w:val="bottom"/>
            <w:hideMark/>
          </w:tcPr>
          <w:p w14:paraId="578FF5B4" w14:textId="77777777" w:rsidR="008944CE" w:rsidRPr="00932F14" w:rsidRDefault="008944CE" w:rsidP="00932F14">
            <w:pPr>
              <w:rPr>
                <w:lang w:eastAsia="es-CR"/>
              </w:rPr>
            </w:pPr>
            <w:r w:rsidRPr="00932F14">
              <w:rPr>
                <w:lang w:eastAsia="es-CR"/>
              </w:rPr>
              <w:t> </w:t>
            </w:r>
          </w:p>
        </w:tc>
      </w:tr>
      <w:tr w:rsidR="008944CE" w:rsidRPr="00932F14" w14:paraId="203B0F8C" w14:textId="77777777" w:rsidTr="008944CE">
        <w:trPr>
          <w:trHeight w:val="250"/>
          <w:jc w:val="center"/>
        </w:trPr>
        <w:tc>
          <w:tcPr>
            <w:tcW w:w="6287" w:type="dxa"/>
            <w:gridSpan w:val="3"/>
            <w:noWrap/>
            <w:vAlign w:val="center"/>
            <w:hideMark/>
          </w:tcPr>
          <w:p w14:paraId="3396FAD1" w14:textId="77777777" w:rsidR="008944CE" w:rsidRPr="00932F14" w:rsidRDefault="008944CE" w:rsidP="00932F14">
            <w:pPr>
              <w:ind w:left="851" w:right="851" w:firstLine="709"/>
              <w:jc w:val="both"/>
              <w:rPr>
                <w:lang w:eastAsia="es-CR"/>
              </w:rPr>
            </w:pPr>
            <w:r w:rsidRPr="00932F14">
              <w:rPr>
                <w:lang w:eastAsia="es-CR"/>
              </w:rPr>
              <w:t>Elaborado por: Subproceso de Estadística, Dirección de Planificación</w:t>
            </w:r>
          </w:p>
        </w:tc>
        <w:tc>
          <w:tcPr>
            <w:tcW w:w="1157" w:type="dxa"/>
            <w:noWrap/>
            <w:vAlign w:val="bottom"/>
            <w:hideMark/>
          </w:tcPr>
          <w:p w14:paraId="4220E5CA" w14:textId="77777777" w:rsidR="008944CE" w:rsidRPr="00932F14" w:rsidRDefault="008944CE" w:rsidP="00932F14">
            <w:pPr>
              <w:ind w:left="851" w:right="851" w:firstLine="709"/>
              <w:jc w:val="both"/>
              <w:rPr>
                <w:lang w:eastAsia="es-CR"/>
              </w:rPr>
            </w:pPr>
          </w:p>
        </w:tc>
        <w:tc>
          <w:tcPr>
            <w:tcW w:w="1157" w:type="dxa"/>
            <w:noWrap/>
            <w:vAlign w:val="bottom"/>
            <w:hideMark/>
          </w:tcPr>
          <w:p w14:paraId="031C4343" w14:textId="77777777" w:rsidR="008944CE" w:rsidRPr="00932F14" w:rsidRDefault="008944CE" w:rsidP="00932F14">
            <w:pPr>
              <w:ind w:left="851" w:right="851" w:firstLine="709"/>
              <w:jc w:val="both"/>
              <w:rPr>
                <w:lang w:val="es-CR" w:eastAsia="es-CR"/>
              </w:rPr>
            </w:pPr>
          </w:p>
        </w:tc>
        <w:tc>
          <w:tcPr>
            <w:tcW w:w="1157" w:type="dxa"/>
            <w:noWrap/>
            <w:vAlign w:val="bottom"/>
            <w:hideMark/>
          </w:tcPr>
          <w:p w14:paraId="6E4D22C0" w14:textId="77777777" w:rsidR="008944CE" w:rsidRPr="00932F14" w:rsidRDefault="008944CE" w:rsidP="00932F14">
            <w:pPr>
              <w:ind w:left="851" w:right="851" w:firstLine="709"/>
              <w:jc w:val="both"/>
              <w:rPr>
                <w:lang w:val="es-CR" w:eastAsia="es-CR"/>
              </w:rPr>
            </w:pPr>
          </w:p>
        </w:tc>
      </w:tr>
    </w:tbl>
    <w:p w14:paraId="14D038B7" w14:textId="77777777" w:rsidR="008944CE" w:rsidRPr="00932F14" w:rsidRDefault="008944CE" w:rsidP="00932F14">
      <w:pPr>
        <w:ind w:left="851" w:right="851" w:firstLine="709"/>
        <w:jc w:val="both"/>
        <w:rPr>
          <w:lang w:eastAsia="es-ES"/>
        </w:rPr>
      </w:pPr>
    </w:p>
    <w:p w14:paraId="131C8991" w14:textId="77777777" w:rsidR="008944CE" w:rsidRPr="00932F14" w:rsidRDefault="008944CE" w:rsidP="00932F14">
      <w:pPr>
        <w:ind w:left="851" w:right="851" w:firstLine="709"/>
        <w:jc w:val="both"/>
      </w:pPr>
      <w:r w:rsidRPr="00932F14">
        <w:t xml:space="preserve">La </w:t>
      </w:r>
      <w:r w:rsidRPr="00932F14">
        <w:rPr>
          <w:b/>
          <w:bCs/>
          <w:i/>
          <w:iCs/>
        </w:rPr>
        <w:t>colisión</w:t>
      </w:r>
      <w:r w:rsidRPr="00932F14">
        <w:t xml:space="preserve"> sigue siendo el tipo de infracción por el que mayormente ingresan los casos a los diferentes despachos. Para el 2019, del total de casos ingresados, el 92,4% fue por este tipo de falta, seguido de la categoría: </w:t>
      </w:r>
      <w:r w:rsidRPr="00932F14">
        <w:rPr>
          <w:b/>
          <w:bCs/>
          <w:i/>
          <w:iCs/>
        </w:rPr>
        <w:t>estrellonazo, vuelco, salirse de la vía</w:t>
      </w:r>
      <w:r w:rsidRPr="00932F14">
        <w:t xml:space="preserve"> con un 3,9% del total de casos ingresados.</w:t>
      </w:r>
    </w:p>
    <w:p w14:paraId="48D64549" w14:textId="77777777" w:rsidR="008944CE" w:rsidRPr="00932F14" w:rsidRDefault="008944CE" w:rsidP="00932F14">
      <w:pPr>
        <w:ind w:left="851" w:right="851" w:firstLine="709"/>
        <w:jc w:val="both"/>
      </w:pPr>
    </w:p>
    <w:p w14:paraId="5F2CD18B" w14:textId="11FDE221" w:rsidR="008944CE" w:rsidRPr="00932F14" w:rsidRDefault="008944CE" w:rsidP="00932F14">
      <w:pPr>
        <w:ind w:left="851" w:right="851" w:firstLine="709"/>
        <w:jc w:val="both"/>
      </w:pPr>
      <w:r w:rsidRPr="00932F14">
        <w:t>Es de esperar que por ubicación geográfica y concentración poblacional exista una relación directa entre los despachos más céntricos o “capitalinos” y la magnitud de causas ingresadas según tipo, ya que un supuesto que se consideraría valido es que, existe mayor probabilidad de ocurrencia de un evento relacionado con tránsito en las zonas más densamente pobladas.  En la siguiente gráfica se logra determinar la distribución para los 10 despachos a nivel nacional competentes en materia de Tránsito que mayor cantidad de casos entrados captaron durante el 2019:</w:t>
      </w:r>
    </w:p>
    <w:p w14:paraId="53D8B87F" w14:textId="77777777" w:rsidR="008944CE" w:rsidRPr="00932F14" w:rsidRDefault="008944CE" w:rsidP="00932F14">
      <w:pPr>
        <w:ind w:left="851" w:right="851" w:firstLine="709"/>
        <w:jc w:val="both"/>
      </w:pPr>
    </w:p>
    <w:p w14:paraId="556F9B09" w14:textId="77777777" w:rsidR="008944CE" w:rsidRPr="00932F14" w:rsidRDefault="008944CE" w:rsidP="00932F14">
      <w:pPr>
        <w:jc w:val="both"/>
      </w:pPr>
      <w:r w:rsidRPr="00932F14">
        <w:rPr>
          <w:noProof/>
          <w:lang w:val="es-419" w:eastAsia="es-419"/>
        </w:rPr>
        <w:drawing>
          <wp:inline distT="0" distB="0" distL="0" distR="0" wp14:anchorId="7B0A8C57" wp14:editId="5EB6DDA4">
            <wp:extent cx="5534025" cy="3437890"/>
            <wp:effectExtent l="0" t="0" r="9525" b="10160"/>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9B846F" w14:textId="77777777" w:rsidR="008944CE" w:rsidRPr="00932F14" w:rsidRDefault="008944CE" w:rsidP="00932F14">
      <w:pPr>
        <w:jc w:val="both"/>
      </w:pPr>
    </w:p>
    <w:p w14:paraId="2A3459D6" w14:textId="77777777" w:rsidR="008944CE" w:rsidRPr="00932F14" w:rsidRDefault="008944CE" w:rsidP="00932F14">
      <w:pPr>
        <w:ind w:left="851" w:right="851" w:firstLine="709"/>
        <w:jc w:val="both"/>
      </w:pPr>
      <w:r w:rsidRPr="00932F14">
        <w:t xml:space="preserve">Como era de esperarse y en concordación con el supuesto mencionado, los despachos de San José son la mayor cantidad de casos ingresados reportaron </w:t>
      </w:r>
      <w:r w:rsidRPr="00932F14">
        <w:lastRenderedPageBreak/>
        <w:t>durante el 2019 seguido de Heredia y Alajuela. Esta es la tendencia si se estudia este comportamiento para los años anteriores, siendo que estos cuatro despachos concentran aproximadamente el 46% de la totalidad de las causas que ingresan cada año en materia de Tránsito.</w:t>
      </w:r>
    </w:p>
    <w:p w14:paraId="35673378" w14:textId="77777777" w:rsidR="008944CE" w:rsidRPr="00932F14" w:rsidRDefault="008944CE" w:rsidP="00932F14">
      <w:pPr>
        <w:ind w:left="851" w:right="851" w:firstLine="709"/>
        <w:jc w:val="both"/>
      </w:pPr>
    </w:p>
    <w:p w14:paraId="532E5C6F" w14:textId="77777777" w:rsidR="008944CE" w:rsidRPr="00932F14" w:rsidRDefault="008944CE" w:rsidP="00932F14">
      <w:pPr>
        <w:keepNext/>
        <w:keepLines/>
        <w:widowControl w:val="0"/>
        <w:numPr>
          <w:ilvl w:val="0"/>
          <w:numId w:val="126"/>
        </w:numPr>
        <w:suppressAutoHyphens w:val="0"/>
        <w:autoSpaceDE w:val="0"/>
        <w:autoSpaceDN w:val="0"/>
        <w:adjustRightInd w:val="0"/>
        <w:ind w:left="851" w:right="851" w:firstLine="709"/>
        <w:jc w:val="both"/>
        <w:rPr>
          <w:b/>
          <w:bCs/>
        </w:rPr>
      </w:pPr>
      <w:bookmarkStart w:id="6" w:name="_Toc44512683"/>
      <w:r w:rsidRPr="00932F14">
        <w:rPr>
          <w:b/>
          <w:bCs/>
        </w:rPr>
        <w:t>CASOS TERMINADOS.</w:t>
      </w:r>
      <w:bookmarkEnd w:id="6"/>
    </w:p>
    <w:p w14:paraId="349CDFFF" w14:textId="77777777" w:rsidR="008944CE" w:rsidRPr="00932F14" w:rsidRDefault="008944CE" w:rsidP="00932F14">
      <w:pPr>
        <w:ind w:left="851" w:right="851" w:firstLine="709"/>
        <w:jc w:val="both"/>
      </w:pPr>
    </w:p>
    <w:p w14:paraId="014A1308" w14:textId="77777777" w:rsidR="008944CE" w:rsidRPr="00932F14" w:rsidRDefault="008944CE" w:rsidP="00932F14">
      <w:pPr>
        <w:ind w:left="851" w:right="851" w:firstLine="709"/>
        <w:jc w:val="both"/>
      </w:pPr>
      <w:r w:rsidRPr="00932F14">
        <w:t>El comportamiento del 2019, siguen el mismo patrón que en los casos entrados, donde se logra determinar el mismo cambio de dirección para el último año, y que igualmente representa la tercera magnitud más representativa para el periodo bajo estudio. Una comparación entre los periodos 2018-2019, permite determinar que el incremento para esta variable fue del 9,27% (4.570 casos) en relación con el 2018.</w:t>
      </w:r>
    </w:p>
    <w:p w14:paraId="11C8C1C5" w14:textId="77777777" w:rsidR="008944CE" w:rsidRPr="00932F14" w:rsidRDefault="008944CE" w:rsidP="00932F14">
      <w:pPr>
        <w:ind w:left="851" w:right="851" w:firstLine="709"/>
        <w:jc w:val="both"/>
      </w:pPr>
    </w:p>
    <w:p w14:paraId="5DBE6E52" w14:textId="77777777" w:rsidR="008944CE" w:rsidRPr="00932F14" w:rsidRDefault="008944CE" w:rsidP="00932F14">
      <w:pPr>
        <w:ind w:left="851" w:right="851" w:firstLine="709"/>
        <w:jc w:val="both"/>
      </w:pPr>
      <w:r w:rsidRPr="00932F14">
        <w:t>En cuanto al motivo de término por sentencia se evidencia que estas en su totalidad para el 2019 representan el 62,84% de la totalidad de los casos fenecidos y, como sería de esperarse, la categoría más común dentro del movimiento laboral por la que un proceso llega a su fin. Así mismo,  se determina que en comparación con el 2018, la cantidad de sentencias emitidas presentó un incremento del 9,27% (4.456 sentencias), siendo la cantidad para el 2019 la más elevada registrada de los últimos cinco años.</w:t>
      </w:r>
    </w:p>
    <w:p w14:paraId="6D9B1744" w14:textId="77777777" w:rsidR="008944CE" w:rsidRPr="00932F14" w:rsidRDefault="008944CE" w:rsidP="00932F14">
      <w:pPr>
        <w:ind w:left="851" w:right="851" w:firstLine="709"/>
        <w:jc w:val="both"/>
      </w:pPr>
    </w:p>
    <w:p w14:paraId="71D87B32" w14:textId="77777777" w:rsidR="008944CE" w:rsidRPr="00932F14" w:rsidRDefault="008944CE" w:rsidP="00932F14">
      <w:pPr>
        <w:ind w:left="851" w:right="851" w:firstLine="709"/>
        <w:jc w:val="both"/>
      </w:pPr>
      <w:r w:rsidRPr="00932F14">
        <w:t>A continuación, se presentan para el periodo bajo análisis la tendencia registrada por las dos variables anteriormente mencionadas:</w:t>
      </w:r>
    </w:p>
    <w:p w14:paraId="18FB11CC" w14:textId="77777777" w:rsidR="008944CE" w:rsidRPr="00932F14" w:rsidRDefault="008944CE" w:rsidP="00932F14">
      <w:pPr>
        <w:jc w:val="both"/>
      </w:pPr>
    </w:p>
    <w:p w14:paraId="72E6707C" w14:textId="77777777" w:rsidR="008944CE" w:rsidRPr="00932F14" w:rsidRDefault="008944CE" w:rsidP="00932F14">
      <w:pPr>
        <w:jc w:val="both"/>
      </w:pPr>
      <w:r w:rsidRPr="00932F14">
        <w:rPr>
          <w:noProof/>
        </w:rPr>
        <w:t xml:space="preserve"> </w:t>
      </w:r>
      <w:r w:rsidRPr="00932F14">
        <w:rPr>
          <w:noProof/>
          <w:lang w:val="es-419" w:eastAsia="es-419"/>
        </w:rPr>
        <w:drawing>
          <wp:inline distT="0" distB="0" distL="0" distR="0" wp14:anchorId="2861B61F" wp14:editId="037C6027">
            <wp:extent cx="5521960" cy="2714263"/>
            <wp:effectExtent l="0" t="0" r="2540" b="10160"/>
            <wp:docPr id="10"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7639CA" w14:textId="77777777" w:rsidR="008944CE" w:rsidRPr="00932F14" w:rsidRDefault="008944CE" w:rsidP="00932F14">
      <w:pPr>
        <w:jc w:val="both"/>
      </w:pPr>
    </w:p>
    <w:p w14:paraId="0B93ADDD" w14:textId="55815E01" w:rsidR="008944CE" w:rsidRPr="00932F14" w:rsidRDefault="008944CE" w:rsidP="00932F14">
      <w:pPr>
        <w:ind w:left="851" w:right="851" w:firstLine="709"/>
        <w:jc w:val="both"/>
      </w:pPr>
      <w:r w:rsidRPr="00932F14">
        <w:t>Al igual que como ocurre con los casos entrados, mayores magnitudes de estos producirán cargas de trabajo más amplias que derivarán en mayores cantidades de casos terminados para los despachos que las posean. En el Gráfico 4 se logra determinar que el comportamiento registrado, es exactamente igual que lo reportado por los casos entrados, siendo los despachos más céntricos los que mayor cantidad de casos finiquitan para el 2019.</w:t>
      </w:r>
    </w:p>
    <w:p w14:paraId="5F004226" w14:textId="77777777" w:rsidR="008944CE" w:rsidRPr="00932F14" w:rsidRDefault="008944CE" w:rsidP="00932F14">
      <w:pPr>
        <w:ind w:left="851" w:right="851" w:firstLine="709"/>
        <w:jc w:val="both"/>
      </w:pPr>
    </w:p>
    <w:p w14:paraId="3B81A298" w14:textId="77777777" w:rsidR="008944CE" w:rsidRPr="00932F14" w:rsidRDefault="008944CE" w:rsidP="00932F14">
      <w:pPr>
        <w:jc w:val="center"/>
        <w:rPr>
          <w:b/>
          <w:bCs/>
          <w:lang w:eastAsia="es-CR"/>
        </w:rPr>
      </w:pPr>
      <w:r w:rsidRPr="00932F14">
        <w:rPr>
          <w:b/>
          <w:bCs/>
          <w:lang w:eastAsia="es-CR"/>
        </w:rPr>
        <w:t>Gráfico 5. Distribución de los casos terminados según provincia en materia de Tránsito, y desglose para los despachos de San José.</w:t>
      </w:r>
    </w:p>
    <w:p w14:paraId="77477A9B" w14:textId="77777777" w:rsidR="008944CE" w:rsidRPr="00932F14" w:rsidRDefault="008944CE" w:rsidP="00932F14">
      <w:pPr>
        <w:jc w:val="center"/>
        <w:rPr>
          <w:b/>
          <w:bCs/>
          <w:lang w:eastAsia="es-CR"/>
        </w:rPr>
      </w:pPr>
      <w:r w:rsidRPr="00932F14">
        <w:rPr>
          <w:b/>
          <w:bCs/>
          <w:lang w:eastAsia="es-CR"/>
        </w:rPr>
        <w:t>Periodo 2019.</w:t>
      </w:r>
    </w:p>
    <w:p w14:paraId="0C3780E7" w14:textId="77777777" w:rsidR="008944CE" w:rsidRPr="00932F14" w:rsidRDefault="008944CE" w:rsidP="00932F14">
      <w:pPr>
        <w:jc w:val="center"/>
        <w:rPr>
          <w:b/>
          <w:bCs/>
          <w:lang w:eastAsia="es-CR"/>
        </w:rPr>
      </w:pPr>
    </w:p>
    <w:p w14:paraId="4858C34F" w14:textId="77777777" w:rsidR="008944CE" w:rsidRPr="00932F14" w:rsidRDefault="008944CE" w:rsidP="00932F14">
      <w:pPr>
        <w:jc w:val="center"/>
        <w:rPr>
          <w:lang w:eastAsia="es-ES"/>
        </w:rPr>
      </w:pPr>
      <w:r w:rsidRPr="00932F14">
        <w:rPr>
          <w:noProof/>
          <w:lang w:val="es-419" w:eastAsia="es-419"/>
        </w:rPr>
        <w:drawing>
          <wp:inline distT="0" distB="0" distL="0" distR="0" wp14:anchorId="25F51E53" wp14:editId="479922E1">
            <wp:extent cx="5610860" cy="316484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860" cy="3164840"/>
                    </a:xfrm>
                    <a:prstGeom prst="rect">
                      <a:avLst/>
                    </a:prstGeom>
                    <a:noFill/>
                    <a:ln>
                      <a:noFill/>
                    </a:ln>
                  </pic:spPr>
                </pic:pic>
              </a:graphicData>
            </a:graphic>
          </wp:inline>
        </w:drawing>
      </w:r>
    </w:p>
    <w:p w14:paraId="104979AE" w14:textId="77777777" w:rsidR="008944CE" w:rsidRPr="00932F14" w:rsidRDefault="008944CE" w:rsidP="00932F14">
      <w:pPr>
        <w:jc w:val="both"/>
      </w:pPr>
    </w:p>
    <w:p w14:paraId="6DCDC2BA" w14:textId="77777777" w:rsidR="008944CE" w:rsidRPr="00932F14" w:rsidRDefault="008944CE" w:rsidP="00932F14">
      <w:pPr>
        <w:ind w:left="851" w:right="851" w:firstLine="709"/>
        <w:jc w:val="both"/>
      </w:pPr>
      <w:r w:rsidRPr="00932F14">
        <w:t>Este comportamiento dentro de la provincia de San José es igualmente trasladable al evidenciado a nivel nacional, en donde los juzgados más “céntricos” dentro de esta provincia fueron los que mayores cantidades de casos dieron por fenecidos mientras que los más alejados como Mora, Acosta y Turrubares fueron lo que menor ponderación registraron para la provincia de San José en cuanto a casos terminados. A su vez por medio del gráfico anterior, se puede determinar que las provincias más alejadas de la capital (costeras) registran los porcentajes más bajos de casos terminados; específicamente Puntarenas con un 6,04% (5.053 casos), Limón con un 5,45% (4.554 casos) y Guanacaste con un 4,40% (3.682 casos).</w:t>
      </w:r>
    </w:p>
    <w:p w14:paraId="09B45475" w14:textId="77777777" w:rsidR="008944CE" w:rsidRPr="00932F14" w:rsidRDefault="008944CE" w:rsidP="00932F14">
      <w:pPr>
        <w:rPr>
          <w:b/>
          <w:bCs/>
        </w:rPr>
      </w:pPr>
    </w:p>
    <w:p w14:paraId="6618BBC8" w14:textId="77777777" w:rsidR="008944CE" w:rsidRPr="00932F14" w:rsidRDefault="008944CE" w:rsidP="00932F14">
      <w:pPr>
        <w:keepNext/>
        <w:keepLines/>
        <w:widowControl w:val="0"/>
        <w:numPr>
          <w:ilvl w:val="0"/>
          <w:numId w:val="126"/>
        </w:numPr>
        <w:suppressAutoHyphens w:val="0"/>
        <w:autoSpaceDE w:val="0"/>
        <w:autoSpaceDN w:val="0"/>
        <w:adjustRightInd w:val="0"/>
        <w:ind w:left="851" w:right="851" w:firstLine="709"/>
        <w:jc w:val="both"/>
        <w:rPr>
          <w:b/>
          <w:bCs/>
        </w:rPr>
      </w:pPr>
      <w:bookmarkStart w:id="7" w:name="_Toc44512684"/>
      <w:r w:rsidRPr="00932F14">
        <w:rPr>
          <w:b/>
          <w:bCs/>
        </w:rPr>
        <w:t>DURACIÓN PROMEDIO (SENTENCIAS).</w:t>
      </w:r>
      <w:bookmarkEnd w:id="7"/>
    </w:p>
    <w:p w14:paraId="5DE8D919" w14:textId="77777777" w:rsidR="008944CE" w:rsidRPr="00932F14" w:rsidRDefault="008944CE" w:rsidP="00932F14">
      <w:pPr>
        <w:ind w:left="851" w:right="851" w:firstLine="709"/>
        <w:jc w:val="both"/>
        <w:rPr>
          <w:b/>
          <w:bCs/>
        </w:rPr>
      </w:pPr>
    </w:p>
    <w:p w14:paraId="48DD6E12" w14:textId="77777777" w:rsidR="008944CE" w:rsidRPr="00932F14" w:rsidRDefault="008944CE" w:rsidP="00932F14">
      <w:pPr>
        <w:ind w:left="851" w:right="851" w:firstLine="709"/>
        <w:jc w:val="both"/>
      </w:pPr>
      <w:r w:rsidRPr="00932F14">
        <w:t xml:space="preserve">Cabe contextualizar que la duración promedio hace referencia al tiempo de permanencia del expediente en el despacho, por lo que en esta y en las otras materias de primera instancia, así como los despachos de instancia superior, el cálculo de las duraciones se realiza de igual manera, tomando la diferencia entre la fecha de término estadística y la fecha de entrada del expediente al despacho y dividiéndola entre 30, siendo que este es el tiempo estandarizado para manejar el periodo de un mes. </w:t>
      </w:r>
    </w:p>
    <w:p w14:paraId="71D48825" w14:textId="77777777" w:rsidR="008944CE" w:rsidRPr="00932F14" w:rsidRDefault="008944CE" w:rsidP="00932F14">
      <w:pPr>
        <w:ind w:left="851" w:right="851" w:firstLine="709"/>
        <w:jc w:val="both"/>
      </w:pPr>
    </w:p>
    <w:p w14:paraId="0177EAF5" w14:textId="77777777" w:rsidR="008944CE" w:rsidRPr="00932F14" w:rsidRDefault="008944CE" w:rsidP="00932F14">
      <w:pPr>
        <w:ind w:left="851" w:right="851" w:firstLine="709"/>
        <w:jc w:val="both"/>
      </w:pPr>
      <w:r w:rsidRPr="00932F14">
        <w:t xml:space="preserve">La duración promedio de las sentencias dictadas durante el 2019 en la materia de tránsito se ubica en cuatro meses y dos semanas, lo que en relación con el 2018 representa una disminución de un mes y una semana, o igualmente cinco semanas menos en promedio para el dictado del acumulado de las sentencias en relación con un año antes. </w:t>
      </w:r>
    </w:p>
    <w:p w14:paraId="707D61B0" w14:textId="77777777" w:rsidR="008944CE" w:rsidRPr="00932F14" w:rsidRDefault="008944CE" w:rsidP="00932F14">
      <w:pPr>
        <w:ind w:left="851" w:right="851" w:firstLine="709"/>
        <w:jc w:val="both"/>
      </w:pPr>
    </w:p>
    <w:p w14:paraId="15198EFC" w14:textId="27F69A53" w:rsidR="008944CE" w:rsidRPr="00932F14" w:rsidRDefault="008944CE" w:rsidP="00932F14">
      <w:pPr>
        <w:ind w:left="851" w:right="851" w:firstLine="709"/>
        <w:jc w:val="both"/>
      </w:pPr>
      <w:r w:rsidRPr="00932F14">
        <w:t>En el cuadro siguiente, se especifica en términos generales la duración promedio de las sentencias dictadas por los juzgados competentes en la Materia de Tránsito según el tipo de asunto, siendo las colisiones donde se reporta la mayor incidencia y en las que se registra un tiempo promedio de seis meses desde que ingresó hasta el momento en que se dictó la sentencia.</w:t>
      </w:r>
    </w:p>
    <w:p w14:paraId="3A8B38EC" w14:textId="77777777" w:rsidR="008944CE" w:rsidRPr="00932F14" w:rsidRDefault="008944CE" w:rsidP="00932F14">
      <w:pPr>
        <w:ind w:left="851" w:right="851" w:firstLine="709"/>
        <w:jc w:val="both"/>
      </w:pPr>
    </w:p>
    <w:tbl>
      <w:tblPr>
        <w:tblW w:w="5940" w:type="dxa"/>
        <w:jc w:val="center"/>
        <w:tblCellMar>
          <w:left w:w="70" w:type="dxa"/>
          <w:right w:w="70" w:type="dxa"/>
        </w:tblCellMar>
        <w:tblLook w:val="04A0" w:firstRow="1" w:lastRow="0" w:firstColumn="1" w:lastColumn="0" w:noHBand="0" w:noVBand="1"/>
      </w:tblPr>
      <w:tblGrid>
        <w:gridCol w:w="2220"/>
        <w:gridCol w:w="1423"/>
        <w:gridCol w:w="2261"/>
        <w:gridCol w:w="146"/>
      </w:tblGrid>
      <w:tr w:rsidR="008944CE" w:rsidRPr="00932F14" w14:paraId="598F00E3" w14:textId="77777777" w:rsidTr="008944CE">
        <w:trPr>
          <w:gridAfter w:val="1"/>
          <w:wAfter w:w="36" w:type="dxa"/>
          <w:trHeight w:val="345"/>
          <w:jc w:val="center"/>
        </w:trPr>
        <w:tc>
          <w:tcPr>
            <w:tcW w:w="5904" w:type="dxa"/>
            <w:gridSpan w:val="3"/>
            <w:vAlign w:val="center"/>
            <w:hideMark/>
          </w:tcPr>
          <w:p w14:paraId="108F03BC" w14:textId="77777777" w:rsidR="008944CE" w:rsidRPr="00932F14" w:rsidRDefault="008944CE" w:rsidP="00932F14">
            <w:pPr>
              <w:jc w:val="center"/>
              <w:rPr>
                <w:b/>
                <w:bCs/>
                <w:lang w:eastAsia="es-CR"/>
              </w:rPr>
            </w:pPr>
            <w:r w:rsidRPr="00932F14">
              <w:rPr>
                <w:b/>
                <w:bCs/>
                <w:lang w:eastAsia="es-CR"/>
              </w:rPr>
              <w:t>Cuadro 3</w:t>
            </w:r>
          </w:p>
        </w:tc>
      </w:tr>
      <w:tr w:rsidR="008944CE" w:rsidRPr="00932F14" w14:paraId="56205393" w14:textId="77777777" w:rsidTr="008944CE">
        <w:trPr>
          <w:gridAfter w:val="1"/>
          <w:wAfter w:w="36" w:type="dxa"/>
          <w:trHeight w:val="458"/>
          <w:jc w:val="center"/>
        </w:trPr>
        <w:tc>
          <w:tcPr>
            <w:tcW w:w="5904" w:type="dxa"/>
            <w:gridSpan w:val="3"/>
            <w:vMerge w:val="restart"/>
            <w:tcBorders>
              <w:top w:val="nil"/>
              <w:left w:val="nil"/>
              <w:bottom w:val="single" w:sz="8" w:space="0" w:color="000000"/>
              <w:right w:val="nil"/>
            </w:tcBorders>
            <w:vAlign w:val="center"/>
            <w:hideMark/>
          </w:tcPr>
          <w:p w14:paraId="5E21EA24" w14:textId="77777777" w:rsidR="008944CE" w:rsidRPr="00932F14" w:rsidRDefault="008944CE" w:rsidP="00932F14">
            <w:pPr>
              <w:jc w:val="center"/>
              <w:rPr>
                <w:b/>
                <w:bCs/>
                <w:lang w:eastAsia="es-CR"/>
              </w:rPr>
            </w:pPr>
            <w:r w:rsidRPr="00932F14">
              <w:rPr>
                <w:b/>
                <w:bCs/>
                <w:lang w:eastAsia="es-CR"/>
              </w:rPr>
              <w:t>Duración promedio de las sentencias dictadas según tipo de asunto. 2019</w:t>
            </w:r>
          </w:p>
        </w:tc>
      </w:tr>
      <w:tr w:rsidR="008944CE" w:rsidRPr="00932F14" w14:paraId="72711AAD" w14:textId="77777777" w:rsidTr="008944CE">
        <w:trPr>
          <w:trHeight w:val="330"/>
          <w:jc w:val="center"/>
        </w:trPr>
        <w:tc>
          <w:tcPr>
            <w:tcW w:w="0" w:type="auto"/>
            <w:gridSpan w:val="3"/>
            <w:vMerge/>
            <w:tcBorders>
              <w:top w:val="nil"/>
              <w:left w:val="nil"/>
              <w:bottom w:val="single" w:sz="8" w:space="0" w:color="000000"/>
              <w:right w:val="nil"/>
            </w:tcBorders>
            <w:vAlign w:val="center"/>
            <w:hideMark/>
          </w:tcPr>
          <w:p w14:paraId="313308D8" w14:textId="77777777" w:rsidR="008944CE" w:rsidRPr="00932F14" w:rsidRDefault="008944CE" w:rsidP="00932F14">
            <w:pPr>
              <w:rPr>
                <w:b/>
                <w:bCs/>
                <w:lang w:eastAsia="es-CR"/>
              </w:rPr>
            </w:pPr>
          </w:p>
        </w:tc>
        <w:tc>
          <w:tcPr>
            <w:tcW w:w="36" w:type="dxa"/>
            <w:noWrap/>
            <w:vAlign w:val="bottom"/>
            <w:hideMark/>
          </w:tcPr>
          <w:p w14:paraId="0DE7032A" w14:textId="77777777" w:rsidR="008944CE" w:rsidRPr="00932F14" w:rsidRDefault="008944CE" w:rsidP="00932F14"/>
        </w:tc>
      </w:tr>
      <w:tr w:rsidR="008944CE" w:rsidRPr="00932F14" w14:paraId="7671ADB6" w14:textId="77777777" w:rsidTr="008944CE">
        <w:trPr>
          <w:trHeight w:val="645"/>
          <w:jc w:val="center"/>
        </w:trPr>
        <w:tc>
          <w:tcPr>
            <w:tcW w:w="2220" w:type="dxa"/>
            <w:tcBorders>
              <w:top w:val="nil"/>
              <w:left w:val="single" w:sz="8" w:space="0" w:color="FFFFFF"/>
              <w:bottom w:val="single" w:sz="8" w:space="0" w:color="auto"/>
              <w:right w:val="single" w:sz="8" w:space="0" w:color="auto"/>
            </w:tcBorders>
            <w:shd w:val="clear" w:color="auto" w:fill="FFE599"/>
            <w:vAlign w:val="center"/>
            <w:hideMark/>
          </w:tcPr>
          <w:p w14:paraId="7819566E" w14:textId="77777777" w:rsidR="008944CE" w:rsidRPr="00932F14" w:rsidRDefault="008944CE" w:rsidP="00932F14">
            <w:pPr>
              <w:jc w:val="center"/>
              <w:rPr>
                <w:b/>
                <w:bCs/>
                <w:lang w:eastAsia="es-CR"/>
              </w:rPr>
            </w:pPr>
            <w:r w:rsidRPr="00932F14">
              <w:rPr>
                <w:b/>
                <w:bCs/>
                <w:lang w:eastAsia="es-CR"/>
              </w:rPr>
              <w:t>Tipo de asunto</w:t>
            </w:r>
          </w:p>
        </w:tc>
        <w:tc>
          <w:tcPr>
            <w:tcW w:w="1423" w:type="dxa"/>
            <w:tcBorders>
              <w:top w:val="nil"/>
              <w:left w:val="nil"/>
              <w:bottom w:val="single" w:sz="8" w:space="0" w:color="auto"/>
              <w:right w:val="single" w:sz="8" w:space="0" w:color="auto"/>
            </w:tcBorders>
            <w:shd w:val="clear" w:color="auto" w:fill="FFE599"/>
            <w:vAlign w:val="center"/>
            <w:hideMark/>
          </w:tcPr>
          <w:p w14:paraId="7F15B643" w14:textId="77777777" w:rsidR="008944CE" w:rsidRPr="00932F14" w:rsidRDefault="008944CE" w:rsidP="00932F14">
            <w:pPr>
              <w:jc w:val="center"/>
              <w:rPr>
                <w:b/>
                <w:bCs/>
                <w:lang w:eastAsia="es-CR"/>
              </w:rPr>
            </w:pPr>
            <w:r w:rsidRPr="00932F14">
              <w:rPr>
                <w:b/>
                <w:bCs/>
                <w:lang w:eastAsia="es-CR"/>
              </w:rPr>
              <w:t>Sentencias dictadas</w:t>
            </w:r>
          </w:p>
        </w:tc>
        <w:tc>
          <w:tcPr>
            <w:tcW w:w="2261" w:type="dxa"/>
            <w:tcBorders>
              <w:top w:val="nil"/>
              <w:left w:val="nil"/>
              <w:bottom w:val="single" w:sz="8" w:space="0" w:color="auto"/>
              <w:right w:val="single" w:sz="8" w:space="0" w:color="FFFFFF"/>
            </w:tcBorders>
            <w:shd w:val="clear" w:color="auto" w:fill="FFE599"/>
            <w:vAlign w:val="center"/>
            <w:hideMark/>
          </w:tcPr>
          <w:p w14:paraId="7EFE35BA" w14:textId="77777777" w:rsidR="008944CE" w:rsidRPr="00932F14" w:rsidRDefault="008944CE" w:rsidP="00932F14">
            <w:pPr>
              <w:jc w:val="center"/>
              <w:rPr>
                <w:b/>
                <w:bCs/>
                <w:lang w:eastAsia="es-CR"/>
              </w:rPr>
            </w:pPr>
            <w:r w:rsidRPr="00932F14">
              <w:rPr>
                <w:b/>
                <w:bCs/>
                <w:lang w:eastAsia="es-CR"/>
              </w:rPr>
              <w:t>Duración promedio</w:t>
            </w:r>
          </w:p>
        </w:tc>
        <w:tc>
          <w:tcPr>
            <w:tcW w:w="36" w:type="dxa"/>
            <w:vAlign w:val="center"/>
            <w:hideMark/>
          </w:tcPr>
          <w:p w14:paraId="7960177A" w14:textId="77777777" w:rsidR="008944CE" w:rsidRPr="00932F14" w:rsidRDefault="008944CE" w:rsidP="00932F14">
            <w:pPr>
              <w:rPr>
                <w:b/>
                <w:bCs/>
                <w:lang w:eastAsia="es-CR"/>
              </w:rPr>
            </w:pPr>
          </w:p>
        </w:tc>
      </w:tr>
      <w:tr w:rsidR="008944CE" w:rsidRPr="00932F14" w14:paraId="2770CB14" w14:textId="77777777" w:rsidTr="008944CE">
        <w:trPr>
          <w:trHeight w:val="330"/>
          <w:jc w:val="center"/>
        </w:trPr>
        <w:tc>
          <w:tcPr>
            <w:tcW w:w="2220" w:type="dxa"/>
            <w:tcBorders>
              <w:top w:val="nil"/>
              <w:left w:val="single" w:sz="8" w:space="0" w:color="FFFFFF"/>
              <w:bottom w:val="single" w:sz="8" w:space="0" w:color="FFFFFF"/>
              <w:right w:val="single" w:sz="8" w:space="0" w:color="auto"/>
            </w:tcBorders>
            <w:noWrap/>
            <w:vAlign w:val="center"/>
            <w:hideMark/>
          </w:tcPr>
          <w:p w14:paraId="02220BD8" w14:textId="77777777" w:rsidR="008944CE" w:rsidRPr="00932F14" w:rsidRDefault="008944CE" w:rsidP="00932F14">
            <w:pPr>
              <w:rPr>
                <w:lang w:eastAsia="es-CR"/>
              </w:rPr>
            </w:pPr>
            <w:r w:rsidRPr="00932F14">
              <w:rPr>
                <w:lang w:eastAsia="es-CR"/>
              </w:rPr>
              <w:t> </w:t>
            </w:r>
          </w:p>
        </w:tc>
        <w:tc>
          <w:tcPr>
            <w:tcW w:w="1423" w:type="dxa"/>
            <w:tcBorders>
              <w:top w:val="nil"/>
              <w:left w:val="nil"/>
              <w:bottom w:val="single" w:sz="8" w:space="0" w:color="FFFFFF"/>
              <w:right w:val="single" w:sz="8" w:space="0" w:color="auto"/>
            </w:tcBorders>
            <w:noWrap/>
            <w:vAlign w:val="center"/>
            <w:hideMark/>
          </w:tcPr>
          <w:p w14:paraId="6F2D0028" w14:textId="77777777" w:rsidR="008944CE" w:rsidRPr="00932F14" w:rsidRDefault="008944CE" w:rsidP="00932F14">
            <w:pPr>
              <w:jc w:val="center"/>
              <w:rPr>
                <w:b/>
                <w:bCs/>
                <w:lang w:eastAsia="es-CR"/>
              </w:rPr>
            </w:pPr>
            <w:r w:rsidRPr="00932F14">
              <w:rPr>
                <w:b/>
                <w:bCs/>
                <w:lang w:eastAsia="es-CR"/>
              </w:rPr>
              <w:t> </w:t>
            </w:r>
          </w:p>
        </w:tc>
        <w:tc>
          <w:tcPr>
            <w:tcW w:w="2261" w:type="dxa"/>
            <w:tcBorders>
              <w:top w:val="nil"/>
              <w:left w:val="nil"/>
              <w:bottom w:val="single" w:sz="8" w:space="0" w:color="FFFFFF"/>
              <w:right w:val="single" w:sz="8" w:space="0" w:color="FFFFFF"/>
            </w:tcBorders>
            <w:noWrap/>
            <w:vAlign w:val="center"/>
            <w:hideMark/>
          </w:tcPr>
          <w:p w14:paraId="2C6C028F" w14:textId="77777777" w:rsidR="008944CE" w:rsidRPr="00932F14" w:rsidRDefault="008944CE" w:rsidP="00932F14">
            <w:pPr>
              <w:rPr>
                <w:lang w:eastAsia="es-CR"/>
              </w:rPr>
            </w:pPr>
            <w:r w:rsidRPr="00932F14">
              <w:rPr>
                <w:lang w:eastAsia="es-CR"/>
              </w:rPr>
              <w:t> </w:t>
            </w:r>
          </w:p>
        </w:tc>
        <w:tc>
          <w:tcPr>
            <w:tcW w:w="36" w:type="dxa"/>
            <w:vAlign w:val="center"/>
            <w:hideMark/>
          </w:tcPr>
          <w:p w14:paraId="46AAF473" w14:textId="77777777" w:rsidR="008944CE" w:rsidRPr="00932F14" w:rsidRDefault="008944CE" w:rsidP="00932F14">
            <w:pPr>
              <w:rPr>
                <w:lang w:eastAsia="es-CR"/>
              </w:rPr>
            </w:pPr>
          </w:p>
        </w:tc>
      </w:tr>
      <w:tr w:rsidR="008944CE" w:rsidRPr="00932F14" w14:paraId="55819959" w14:textId="77777777" w:rsidTr="008944CE">
        <w:trPr>
          <w:trHeight w:val="300"/>
          <w:jc w:val="center"/>
        </w:trPr>
        <w:tc>
          <w:tcPr>
            <w:tcW w:w="2220" w:type="dxa"/>
            <w:tcBorders>
              <w:top w:val="nil"/>
              <w:left w:val="single" w:sz="8" w:space="0" w:color="FFFFFF"/>
              <w:bottom w:val="single" w:sz="8" w:space="0" w:color="FFFFFF"/>
              <w:right w:val="single" w:sz="8" w:space="0" w:color="auto"/>
            </w:tcBorders>
            <w:vAlign w:val="center"/>
            <w:hideMark/>
          </w:tcPr>
          <w:p w14:paraId="2D2B75F0" w14:textId="77777777" w:rsidR="008944CE" w:rsidRPr="00932F14" w:rsidRDefault="008944CE" w:rsidP="00932F14">
            <w:pPr>
              <w:jc w:val="center"/>
              <w:rPr>
                <w:b/>
                <w:bCs/>
                <w:lang w:eastAsia="es-CR"/>
              </w:rPr>
            </w:pPr>
            <w:r w:rsidRPr="00932F14">
              <w:rPr>
                <w:b/>
                <w:bCs/>
                <w:lang w:eastAsia="es-CR"/>
              </w:rPr>
              <w:t>Total</w:t>
            </w:r>
          </w:p>
        </w:tc>
        <w:tc>
          <w:tcPr>
            <w:tcW w:w="1423" w:type="dxa"/>
            <w:tcBorders>
              <w:top w:val="nil"/>
              <w:left w:val="nil"/>
              <w:bottom w:val="single" w:sz="8" w:space="0" w:color="FFFFFF"/>
              <w:right w:val="single" w:sz="8" w:space="0" w:color="auto"/>
            </w:tcBorders>
            <w:vAlign w:val="center"/>
            <w:hideMark/>
          </w:tcPr>
          <w:p w14:paraId="77585073" w14:textId="77777777" w:rsidR="008944CE" w:rsidRPr="00932F14" w:rsidRDefault="008944CE" w:rsidP="00932F14">
            <w:pPr>
              <w:jc w:val="center"/>
              <w:rPr>
                <w:b/>
                <w:bCs/>
                <w:lang w:eastAsia="es-CR"/>
              </w:rPr>
            </w:pPr>
            <w:r w:rsidRPr="00932F14">
              <w:rPr>
                <w:b/>
                <w:bCs/>
                <w:lang w:eastAsia="es-CR"/>
              </w:rPr>
              <w:t>52,528</w:t>
            </w:r>
          </w:p>
        </w:tc>
        <w:tc>
          <w:tcPr>
            <w:tcW w:w="2261" w:type="dxa"/>
            <w:tcBorders>
              <w:top w:val="nil"/>
              <w:left w:val="nil"/>
              <w:bottom w:val="single" w:sz="8" w:space="0" w:color="FFFFFF"/>
              <w:right w:val="single" w:sz="8" w:space="0" w:color="FFFFFF"/>
            </w:tcBorders>
            <w:vAlign w:val="center"/>
            <w:hideMark/>
          </w:tcPr>
          <w:p w14:paraId="12134AEF" w14:textId="77777777" w:rsidR="008944CE" w:rsidRPr="00932F14" w:rsidRDefault="008944CE" w:rsidP="00932F14">
            <w:pPr>
              <w:jc w:val="center"/>
              <w:rPr>
                <w:b/>
                <w:bCs/>
                <w:lang w:eastAsia="es-CR"/>
              </w:rPr>
            </w:pPr>
            <w:r w:rsidRPr="00932F14">
              <w:rPr>
                <w:b/>
                <w:bCs/>
                <w:lang w:eastAsia="es-CR"/>
              </w:rPr>
              <w:t>4 meses 2 semana</w:t>
            </w:r>
          </w:p>
        </w:tc>
        <w:tc>
          <w:tcPr>
            <w:tcW w:w="36" w:type="dxa"/>
            <w:vAlign w:val="center"/>
            <w:hideMark/>
          </w:tcPr>
          <w:p w14:paraId="092E6FBF" w14:textId="77777777" w:rsidR="008944CE" w:rsidRPr="00932F14" w:rsidRDefault="008944CE" w:rsidP="00932F14">
            <w:pPr>
              <w:rPr>
                <w:b/>
                <w:bCs/>
                <w:lang w:eastAsia="es-CR"/>
              </w:rPr>
            </w:pPr>
          </w:p>
        </w:tc>
      </w:tr>
      <w:tr w:rsidR="008944CE" w:rsidRPr="00932F14" w14:paraId="5AB1293A" w14:textId="77777777" w:rsidTr="008944CE">
        <w:trPr>
          <w:trHeight w:val="300"/>
          <w:jc w:val="center"/>
        </w:trPr>
        <w:tc>
          <w:tcPr>
            <w:tcW w:w="2220" w:type="dxa"/>
            <w:tcBorders>
              <w:top w:val="nil"/>
              <w:left w:val="single" w:sz="8" w:space="0" w:color="FFFFFF"/>
              <w:bottom w:val="single" w:sz="8" w:space="0" w:color="FFFFFF"/>
              <w:right w:val="single" w:sz="8" w:space="0" w:color="auto"/>
            </w:tcBorders>
            <w:noWrap/>
            <w:vAlign w:val="center"/>
            <w:hideMark/>
          </w:tcPr>
          <w:p w14:paraId="67E4D68D" w14:textId="77777777" w:rsidR="008944CE" w:rsidRPr="00932F14" w:rsidRDefault="008944CE" w:rsidP="00932F14">
            <w:pPr>
              <w:rPr>
                <w:lang w:eastAsia="es-CR"/>
              </w:rPr>
            </w:pPr>
            <w:r w:rsidRPr="00932F14">
              <w:rPr>
                <w:lang w:eastAsia="es-CR"/>
              </w:rPr>
              <w:t> </w:t>
            </w:r>
          </w:p>
        </w:tc>
        <w:tc>
          <w:tcPr>
            <w:tcW w:w="1423" w:type="dxa"/>
            <w:tcBorders>
              <w:top w:val="nil"/>
              <w:left w:val="nil"/>
              <w:bottom w:val="single" w:sz="8" w:space="0" w:color="FFFFFF"/>
              <w:right w:val="single" w:sz="8" w:space="0" w:color="auto"/>
            </w:tcBorders>
            <w:noWrap/>
            <w:vAlign w:val="center"/>
            <w:hideMark/>
          </w:tcPr>
          <w:p w14:paraId="5107DCA7" w14:textId="77777777" w:rsidR="008944CE" w:rsidRPr="00932F14" w:rsidRDefault="008944CE" w:rsidP="00932F14">
            <w:pPr>
              <w:rPr>
                <w:lang w:eastAsia="es-CR"/>
              </w:rPr>
            </w:pPr>
            <w:r w:rsidRPr="00932F14">
              <w:rPr>
                <w:lang w:eastAsia="es-CR"/>
              </w:rPr>
              <w:t> </w:t>
            </w:r>
          </w:p>
        </w:tc>
        <w:tc>
          <w:tcPr>
            <w:tcW w:w="2261" w:type="dxa"/>
            <w:tcBorders>
              <w:top w:val="nil"/>
              <w:left w:val="nil"/>
              <w:bottom w:val="single" w:sz="8" w:space="0" w:color="FFFFFF"/>
              <w:right w:val="single" w:sz="8" w:space="0" w:color="FFFFFF"/>
            </w:tcBorders>
            <w:noWrap/>
            <w:vAlign w:val="center"/>
            <w:hideMark/>
          </w:tcPr>
          <w:p w14:paraId="35A8CF0E" w14:textId="77777777" w:rsidR="008944CE" w:rsidRPr="00932F14" w:rsidRDefault="008944CE" w:rsidP="00932F14">
            <w:pPr>
              <w:jc w:val="center"/>
              <w:rPr>
                <w:lang w:eastAsia="es-CR"/>
              </w:rPr>
            </w:pPr>
            <w:r w:rsidRPr="00932F14">
              <w:rPr>
                <w:lang w:eastAsia="es-CR"/>
              </w:rPr>
              <w:t> </w:t>
            </w:r>
          </w:p>
        </w:tc>
        <w:tc>
          <w:tcPr>
            <w:tcW w:w="36" w:type="dxa"/>
            <w:vAlign w:val="center"/>
            <w:hideMark/>
          </w:tcPr>
          <w:p w14:paraId="281C2481" w14:textId="77777777" w:rsidR="008944CE" w:rsidRPr="00932F14" w:rsidRDefault="008944CE" w:rsidP="00932F14">
            <w:pPr>
              <w:rPr>
                <w:lang w:eastAsia="es-CR"/>
              </w:rPr>
            </w:pPr>
          </w:p>
        </w:tc>
      </w:tr>
      <w:tr w:rsidR="008944CE" w:rsidRPr="00932F14" w14:paraId="62FA0974" w14:textId="77777777" w:rsidTr="008944CE">
        <w:trPr>
          <w:trHeight w:val="300"/>
          <w:jc w:val="center"/>
        </w:trPr>
        <w:tc>
          <w:tcPr>
            <w:tcW w:w="2220" w:type="dxa"/>
            <w:tcBorders>
              <w:top w:val="nil"/>
              <w:left w:val="single" w:sz="8" w:space="0" w:color="FFFFFF"/>
              <w:bottom w:val="single" w:sz="8" w:space="0" w:color="FFFFFF"/>
              <w:right w:val="single" w:sz="8" w:space="0" w:color="auto"/>
            </w:tcBorders>
            <w:noWrap/>
            <w:vAlign w:val="center"/>
            <w:hideMark/>
          </w:tcPr>
          <w:p w14:paraId="59877108" w14:textId="77777777" w:rsidR="008944CE" w:rsidRPr="00932F14" w:rsidRDefault="008944CE" w:rsidP="00932F14">
            <w:pPr>
              <w:rPr>
                <w:lang w:eastAsia="es-CR"/>
              </w:rPr>
            </w:pPr>
            <w:r w:rsidRPr="00932F14">
              <w:rPr>
                <w:lang w:eastAsia="es-CR"/>
              </w:rPr>
              <w:t>Colisión</w:t>
            </w:r>
          </w:p>
        </w:tc>
        <w:tc>
          <w:tcPr>
            <w:tcW w:w="1423" w:type="dxa"/>
            <w:tcBorders>
              <w:top w:val="nil"/>
              <w:left w:val="nil"/>
              <w:bottom w:val="single" w:sz="8" w:space="0" w:color="FFFFFF"/>
              <w:right w:val="single" w:sz="8" w:space="0" w:color="auto"/>
            </w:tcBorders>
            <w:vAlign w:val="center"/>
            <w:hideMark/>
          </w:tcPr>
          <w:p w14:paraId="3C082D61" w14:textId="77777777" w:rsidR="008944CE" w:rsidRPr="00932F14" w:rsidRDefault="008944CE" w:rsidP="00932F14">
            <w:pPr>
              <w:jc w:val="center"/>
              <w:rPr>
                <w:lang w:eastAsia="es-CR"/>
              </w:rPr>
            </w:pPr>
            <w:r w:rsidRPr="00932F14">
              <w:rPr>
                <w:lang w:eastAsia="es-CR"/>
              </w:rPr>
              <w:t>48,879</w:t>
            </w:r>
          </w:p>
        </w:tc>
        <w:tc>
          <w:tcPr>
            <w:tcW w:w="2261" w:type="dxa"/>
            <w:tcBorders>
              <w:top w:val="nil"/>
              <w:left w:val="nil"/>
              <w:bottom w:val="single" w:sz="8" w:space="0" w:color="FFFFFF"/>
              <w:right w:val="single" w:sz="8" w:space="0" w:color="FFFFFF"/>
            </w:tcBorders>
            <w:noWrap/>
            <w:vAlign w:val="center"/>
            <w:hideMark/>
          </w:tcPr>
          <w:p w14:paraId="20C1A42D" w14:textId="77777777" w:rsidR="008944CE" w:rsidRPr="00932F14" w:rsidRDefault="008944CE" w:rsidP="00932F14">
            <w:pPr>
              <w:jc w:val="center"/>
              <w:rPr>
                <w:lang w:eastAsia="es-CR"/>
              </w:rPr>
            </w:pPr>
            <w:r w:rsidRPr="00932F14">
              <w:rPr>
                <w:lang w:eastAsia="es-CR"/>
              </w:rPr>
              <w:t>4 Meses 3 Semanas</w:t>
            </w:r>
          </w:p>
        </w:tc>
        <w:tc>
          <w:tcPr>
            <w:tcW w:w="36" w:type="dxa"/>
            <w:vAlign w:val="center"/>
            <w:hideMark/>
          </w:tcPr>
          <w:p w14:paraId="3FC42631" w14:textId="77777777" w:rsidR="008944CE" w:rsidRPr="00932F14" w:rsidRDefault="008944CE" w:rsidP="00932F14">
            <w:pPr>
              <w:rPr>
                <w:lang w:eastAsia="es-CR"/>
              </w:rPr>
            </w:pPr>
          </w:p>
        </w:tc>
      </w:tr>
      <w:tr w:rsidR="008944CE" w:rsidRPr="00932F14" w14:paraId="08592C73" w14:textId="77777777" w:rsidTr="008944CE">
        <w:trPr>
          <w:trHeight w:val="300"/>
          <w:jc w:val="center"/>
        </w:trPr>
        <w:tc>
          <w:tcPr>
            <w:tcW w:w="2220" w:type="dxa"/>
            <w:tcBorders>
              <w:top w:val="nil"/>
              <w:left w:val="single" w:sz="8" w:space="0" w:color="FFFFFF"/>
              <w:bottom w:val="single" w:sz="8" w:space="0" w:color="FFFFFF"/>
              <w:right w:val="single" w:sz="8" w:space="0" w:color="auto"/>
            </w:tcBorders>
            <w:noWrap/>
            <w:vAlign w:val="center"/>
            <w:hideMark/>
          </w:tcPr>
          <w:p w14:paraId="2D49974F" w14:textId="77777777" w:rsidR="008944CE" w:rsidRPr="00932F14" w:rsidRDefault="008944CE" w:rsidP="00932F14">
            <w:pPr>
              <w:rPr>
                <w:lang w:eastAsia="es-CR"/>
              </w:rPr>
            </w:pPr>
            <w:r w:rsidRPr="00932F14">
              <w:rPr>
                <w:lang w:eastAsia="es-CR"/>
              </w:rPr>
              <w:t xml:space="preserve">Salirse de vía </w:t>
            </w:r>
          </w:p>
        </w:tc>
        <w:tc>
          <w:tcPr>
            <w:tcW w:w="1423" w:type="dxa"/>
            <w:tcBorders>
              <w:top w:val="nil"/>
              <w:left w:val="nil"/>
              <w:bottom w:val="single" w:sz="8" w:space="0" w:color="FFFFFF"/>
              <w:right w:val="single" w:sz="8" w:space="0" w:color="auto"/>
            </w:tcBorders>
            <w:vAlign w:val="center"/>
            <w:hideMark/>
          </w:tcPr>
          <w:p w14:paraId="7B3E8850" w14:textId="77777777" w:rsidR="008944CE" w:rsidRPr="00932F14" w:rsidRDefault="008944CE" w:rsidP="00932F14">
            <w:pPr>
              <w:jc w:val="center"/>
              <w:rPr>
                <w:lang w:eastAsia="es-CR"/>
              </w:rPr>
            </w:pPr>
            <w:r w:rsidRPr="00932F14">
              <w:rPr>
                <w:lang w:eastAsia="es-CR"/>
              </w:rPr>
              <w:t>1,555</w:t>
            </w:r>
          </w:p>
        </w:tc>
        <w:tc>
          <w:tcPr>
            <w:tcW w:w="2261" w:type="dxa"/>
            <w:tcBorders>
              <w:top w:val="nil"/>
              <w:left w:val="nil"/>
              <w:bottom w:val="single" w:sz="8" w:space="0" w:color="FFFFFF"/>
              <w:right w:val="single" w:sz="8" w:space="0" w:color="FFFFFF"/>
            </w:tcBorders>
            <w:noWrap/>
            <w:vAlign w:val="center"/>
            <w:hideMark/>
          </w:tcPr>
          <w:p w14:paraId="2900645E" w14:textId="77777777" w:rsidR="008944CE" w:rsidRPr="00932F14" w:rsidRDefault="008944CE" w:rsidP="00932F14">
            <w:pPr>
              <w:jc w:val="center"/>
              <w:rPr>
                <w:lang w:eastAsia="es-CR"/>
              </w:rPr>
            </w:pPr>
            <w:r w:rsidRPr="00932F14">
              <w:rPr>
                <w:lang w:eastAsia="es-CR"/>
              </w:rPr>
              <w:t>2 Meses 3 Semanas</w:t>
            </w:r>
          </w:p>
        </w:tc>
        <w:tc>
          <w:tcPr>
            <w:tcW w:w="36" w:type="dxa"/>
            <w:vAlign w:val="center"/>
            <w:hideMark/>
          </w:tcPr>
          <w:p w14:paraId="0F173501" w14:textId="77777777" w:rsidR="008944CE" w:rsidRPr="00932F14" w:rsidRDefault="008944CE" w:rsidP="00932F14">
            <w:pPr>
              <w:rPr>
                <w:lang w:eastAsia="es-CR"/>
              </w:rPr>
            </w:pPr>
          </w:p>
        </w:tc>
      </w:tr>
      <w:tr w:rsidR="008944CE" w:rsidRPr="00932F14" w14:paraId="52911D0F" w14:textId="77777777" w:rsidTr="008944CE">
        <w:trPr>
          <w:trHeight w:val="300"/>
          <w:jc w:val="center"/>
        </w:trPr>
        <w:tc>
          <w:tcPr>
            <w:tcW w:w="2220" w:type="dxa"/>
            <w:tcBorders>
              <w:top w:val="nil"/>
              <w:left w:val="single" w:sz="8" w:space="0" w:color="FFFFFF"/>
              <w:bottom w:val="single" w:sz="8" w:space="0" w:color="FFFFFF"/>
              <w:right w:val="single" w:sz="8" w:space="0" w:color="auto"/>
            </w:tcBorders>
            <w:noWrap/>
            <w:vAlign w:val="center"/>
            <w:hideMark/>
          </w:tcPr>
          <w:p w14:paraId="600AFD62" w14:textId="77777777" w:rsidR="008944CE" w:rsidRPr="00932F14" w:rsidRDefault="008944CE" w:rsidP="00932F14">
            <w:pPr>
              <w:rPr>
                <w:lang w:eastAsia="es-CR"/>
              </w:rPr>
            </w:pPr>
            <w:r w:rsidRPr="00932F14">
              <w:rPr>
                <w:lang w:eastAsia="es-CR"/>
              </w:rPr>
              <w:t>Vuelco</w:t>
            </w:r>
          </w:p>
        </w:tc>
        <w:tc>
          <w:tcPr>
            <w:tcW w:w="1423" w:type="dxa"/>
            <w:tcBorders>
              <w:top w:val="nil"/>
              <w:left w:val="nil"/>
              <w:bottom w:val="single" w:sz="8" w:space="0" w:color="FFFFFF"/>
              <w:right w:val="single" w:sz="8" w:space="0" w:color="auto"/>
            </w:tcBorders>
            <w:vAlign w:val="center"/>
            <w:hideMark/>
          </w:tcPr>
          <w:p w14:paraId="20A78EFE" w14:textId="77777777" w:rsidR="008944CE" w:rsidRPr="00932F14" w:rsidRDefault="008944CE" w:rsidP="00932F14">
            <w:pPr>
              <w:jc w:val="center"/>
              <w:rPr>
                <w:lang w:eastAsia="es-CR"/>
              </w:rPr>
            </w:pPr>
            <w:r w:rsidRPr="00932F14">
              <w:rPr>
                <w:lang w:eastAsia="es-CR"/>
              </w:rPr>
              <w:t>664</w:t>
            </w:r>
          </w:p>
        </w:tc>
        <w:tc>
          <w:tcPr>
            <w:tcW w:w="2261" w:type="dxa"/>
            <w:tcBorders>
              <w:top w:val="nil"/>
              <w:left w:val="nil"/>
              <w:bottom w:val="single" w:sz="8" w:space="0" w:color="FFFFFF"/>
              <w:right w:val="single" w:sz="8" w:space="0" w:color="FFFFFF"/>
            </w:tcBorders>
            <w:noWrap/>
            <w:vAlign w:val="center"/>
            <w:hideMark/>
          </w:tcPr>
          <w:p w14:paraId="57255973" w14:textId="77777777" w:rsidR="008944CE" w:rsidRPr="00932F14" w:rsidRDefault="008944CE" w:rsidP="00932F14">
            <w:pPr>
              <w:jc w:val="center"/>
              <w:rPr>
                <w:lang w:eastAsia="es-CR"/>
              </w:rPr>
            </w:pPr>
            <w:r w:rsidRPr="00932F14">
              <w:rPr>
                <w:lang w:eastAsia="es-CR"/>
              </w:rPr>
              <w:t>3 Meses 0 Semanas</w:t>
            </w:r>
          </w:p>
        </w:tc>
        <w:tc>
          <w:tcPr>
            <w:tcW w:w="36" w:type="dxa"/>
            <w:vAlign w:val="center"/>
            <w:hideMark/>
          </w:tcPr>
          <w:p w14:paraId="4EE56CF0" w14:textId="77777777" w:rsidR="008944CE" w:rsidRPr="00932F14" w:rsidRDefault="008944CE" w:rsidP="00932F14">
            <w:pPr>
              <w:rPr>
                <w:lang w:eastAsia="es-CR"/>
              </w:rPr>
            </w:pPr>
          </w:p>
        </w:tc>
      </w:tr>
      <w:tr w:rsidR="008944CE" w:rsidRPr="00932F14" w14:paraId="7A741676" w14:textId="77777777" w:rsidTr="008944CE">
        <w:trPr>
          <w:trHeight w:val="300"/>
          <w:jc w:val="center"/>
        </w:trPr>
        <w:tc>
          <w:tcPr>
            <w:tcW w:w="2220" w:type="dxa"/>
            <w:tcBorders>
              <w:top w:val="nil"/>
              <w:left w:val="single" w:sz="8" w:space="0" w:color="FFFFFF"/>
              <w:bottom w:val="single" w:sz="8" w:space="0" w:color="FFFFFF"/>
              <w:right w:val="single" w:sz="8" w:space="0" w:color="auto"/>
            </w:tcBorders>
            <w:noWrap/>
            <w:vAlign w:val="center"/>
            <w:hideMark/>
          </w:tcPr>
          <w:p w14:paraId="2414BB8B" w14:textId="77777777" w:rsidR="008944CE" w:rsidRPr="00932F14" w:rsidRDefault="008944CE" w:rsidP="00932F14">
            <w:pPr>
              <w:rPr>
                <w:lang w:eastAsia="es-CR"/>
              </w:rPr>
            </w:pPr>
            <w:r w:rsidRPr="00932F14">
              <w:rPr>
                <w:lang w:eastAsia="es-CR"/>
              </w:rPr>
              <w:t>Atropello</w:t>
            </w:r>
          </w:p>
        </w:tc>
        <w:tc>
          <w:tcPr>
            <w:tcW w:w="1423" w:type="dxa"/>
            <w:tcBorders>
              <w:top w:val="nil"/>
              <w:left w:val="nil"/>
              <w:bottom w:val="single" w:sz="8" w:space="0" w:color="FFFFFF"/>
              <w:right w:val="single" w:sz="8" w:space="0" w:color="auto"/>
            </w:tcBorders>
            <w:vAlign w:val="center"/>
            <w:hideMark/>
          </w:tcPr>
          <w:p w14:paraId="4A6B76F9" w14:textId="77777777" w:rsidR="008944CE" w:rsidRPr="00932F14" w:rsidRDefault="008944CE" w:rsidP="00932F14">
            <w:pPr>
              <w:jc w:val="center"/>
              <w:rPr>
                <w:lang w:eastAsia="es-CR"/>
              </w:rPr>
            </w:pPr>
            <w:r w:rsidRPr="00932F14">
              <w:rPr>
                <w:lang w:eastAsia="es-CR"/>
              </w:rPr>
              <w:t>507</w:t>
            </w:r>
          </w:p>
        </w:tc>
        <w:tc>
          <w:tcPr>
            <w:tcW w:w="2261" w:type="dxa"/>
            <w:tcBorders>
              <w:top w:val="nil"/>
              <w:left w:val="nil"/>
              <w:bottom w:val="single" w:sz="8" w:space="0" w:color="FFFFFF"/>
              <w:right w:val="single" w:sz="8" w:space="0" w:color="FFFFFF"/>
            </w:tcBorders>
            <w:noWrap/>
            <w:vAlign w:val="center"/>
            <w:hideMark/>
          </w:tcPr>
          <w:p w14:paraId="17C00022" w14:textId="77777777" w:rsidR="008944CE" w:rsidRPr="00932F14" w:rsidRDefault="008944CE" w:rsidP="00932F14">
            <w:pPr>
              <w:jc w:val="center"/>
              <w:rPr>
                <w:lang w:eastAsia="es-CR"/>
              </w:rPr>
            </w:pPr>
            <w:r w:rsidRPr="00932F14">
              <w:rPr>
                <w:lang w:eastAsia="es-CR"/>
              </w:rPr>
              <w:t>4 Meses 1 Semana</w:t>
            </w:r>
          </w:p>
        </w:tc>
        <w:tc>
          <w:tcPr>
            <w:tcW w:w="36" w:type="dxa"/>
            <w:vAlign w:val="center"/>
            <w:hideMark/>
          </w:tcPr>
          <w:p w14:paraId="3BD1CB61" w14:textId="77777777" w:rsidR="008944CE" w:rsidRPr="00932F14" w:rsidRDefault="008944CE" w:rsidP="00932F14">
            <w:pPr>
              <w:rPr>
                <w:lang w:eastAsia="es-CR"/>
              </w:rPr>
            </w:pPr>
          </w:p>
        </w:tc>
      </w:tr>
      <w:tr w:rsidR="008944CE" w:rsidRPr="00932F14" w14:paraId="6EDFFF4C" w14:textId="77777777" w:rsidTr="008944CE">
        <w:trPr>
          <w:trHeight w:val="300"/>
          <w:jc w:val="center"/>
        </w:trPr>
        <w:tc>
          <w:tcPr>
            <w:tcW w:w="2220" w:type="dxa"/>
            <w:tcBorders>
              <w:top w:val="nil"/>
              <w:left w:val="single" w:sz="8" w:space="0" w:color="FFFFFF"/>
              <w:bottom w:val="single" w:sz="8" w:space="0" w:color="FFFFFF"/>
              <w:right w:val="single" w:sz="8" w:space="0" w:color="auto"/>
            </w:tcBorders>
            <w:noWrap/>
            <w:vAlign w:val="center"/>
            <w:hideMark/>
          </w:tcPr>
          <w:p w14:paraId="528E9EFB" w14:textId="77777777" w:rsidR="008944CE" w:rsidRPr="00932F14" w:rsidRDefault="008944CE" w:rsidP="00932F14">
            <w:pPr>
              <w:rPr>
                <w:lang w:eastAsia="es-CR"/>
              </w:rPr>
            </w:pPr>
            <w:r w:rsidRPr="00932F14">
              <w:rPr>
                <w:lang w:eastAsia="es-CR"/>
              </w:rPr>
              <w:t>Accidentes</w:t>
            </w:r>
          </w:p>
        </w:tc>
        <w:tc>
          <w:tcPr>
            <w:tcW w:w="1423" w:type="dxa"/>
            <w:tcBorders>
              <w:top w:val="nil"/>
              <w:left w:val="nil"/>
              <w:bottom w:val="single" w:sz="8" w:space="0" w:color="FFFFFF"/>
              <w:right w:val="single" w:sz="8" w:space="0" w:color="auto"/>
            </w:tcBorders>
            <w:vAlign w:val="center"/>
            <w:hideMark/>
          </w:tcPr>
          <w:p w14:paraId="4475F599" w14:textId="77777777" w:rsidR="008944CE" w:rsidRPr="00932F14" w:rsidRDefault="008944CE" w:rsidP="00932F14">
            <w:pPr>
              <w:jc w:val="center"/>
              <w:rPr>
                <w:lang w:eastAsia="es-CR"/>
              </w:rPr>
            </w:pPr>
            <w:r w:rsidRPr="00932F14">
              <w:rPr>
                <w:lang w:eastAsia="es-CR"/>
              </w:rPr>
              <w:t>481</w:t>
            </w:r>
          </w:p>
        </w:tc>
        <w:tc>
          <w:tcPr>
            <w:tcW w:w="2261" w:type="dxa"/>
            <w:tcBorders>
              <w:top w:val="nil"/>
              <w:left w:val="nil"/>
              <w:bottom w:val="single" w:sz="8" w:space="0" w:color="FFFFFF"/>
              <w:right w:val="single" w:sz="8" w:space="0" w:color="FFFFFF"/>
            </w:tcBorders>
            <w:noWrap/>
            <w:vAlign w:val="center"/>
            <w:hideMark/>
          </w:tcPr>
          <w:p w14:paraId="7C5BD66E" w14:textId="77777777" w:rsidR="008944CE" w:rsidRPr="00932F14" w:rsidRDefault="008944CE" w:rsidP="00932F14">
            <w:pPr>
              <w:jc w:val="center"/>
              <w:rPr>
                <w:lang w:eastAsia="es-CR"/>
              </w:rPr>
            </w:pPr>
            <w:r w:rsidRPr="00932F14">
              <w:rPr>
                <w:lang w:eastAsia="es-CR"/>
              </w:rPr>
              <w:t>6 Meses 1 Semana</w:t>
            </w:r>
          </w:p>
        </w:tc>
        <w:tc>
          <w:tcPr>
            <w:tcW w:w="36" w:type="dxa"/>
            <w:vAlign w:val="center"/>
            <w:hideMark/>
          </w:tcPr>
          <w:p w14:paraId="6A3E30B8" w14:textId="77777777" w:rsidR="008944CE" w:rsidRPr="00932F14" w:rsidRDefault="008944CE" w:rsidP="00932F14">
            <w:pPr>
              <w:rPr>
                <w:lang w:eastAsia="es-CR"/>
              </w:rPr>
            </w:pPr>
          </w:p>
        </w:tc>
      </w:tr>
      <w:tr w:rsidR="008944CE" w:rsidRPr="00932F14" w14:paraId="7F2A85DD" w14:textId="77777777" w:rsidTr="008944CE">
        <w:trPr>
          <w:trHeight w:val="300"/>
          <w:jc w:val="center"/>
        </w:trPr>
        <w:tc>
          <w:tcPr>
            <w:tcW w:w="2220" w:type="dxa"/>
            <w:tcBorders>
              <w:top w:val="nil"/>
              <w:left w:val="single" w:sz="8" w:space="0" w:color="FFFFFF"/>
              <w:bottom w:val="single" w:sz="8" w:space="0" w:color="FFFFFF"/>
              <w:right w:val="single" w:sz="8" w:space="0" w:color="auto"/>
            </w:tcBorders>
            <w:noWrap/>
            <w:vAlign w:val="center"/>
            <w:hideMark/>
          </w:tcPr>
          <w:p w14:paraId="2251FB80" w14:textId="77777777" w:rsidR="008944CE" w:rsidRPr="00932F14" w:rsidRDefault="008944CE" w:rsidP="00932F14">
            <w:pPr>
              <w:rPr>
                <w:lang w:eastAsia="es-CR"/>
              </w:rPr>
            </w:pPr>
            <w:r w:rsidRPr="00932F14">
              <w:rPr>
                <w:lang w:eastAsia="es-CR"/>
              </w:rPr>
              <w:t>Denuncia</w:t>
            </w:r>
          </w:p>
        </w:tc>
        <w:tc>
          <w:tcPr>
            <w:tcW w:w="1423" w:type="dxa"/>
            <w:tcBorders>
              <w:top w:val="nil"/>
              <w:left w:val="nil"/>
              <w:bottom w:val="single" w:sz="8" w:space="0" w:color="FFFFFF"/>
              <w:right w:val="single" w:sz="8" w:space="0" w:color="auto"/>
            </w:tcBorders>
            <w:noWrap/>
            <w:vAlign w:val="center"/>
            <w:hideMark/>
          </w:tcPr>
          <w:p w14:paraId="3E2A1EC3" w14:textId="77777777" w:rsidR="008944CE" w:rsidRPr="00932F14" w:rsidRDefault="008944CE" w:rsidP="00932F14">
            <w:pPr>
              <w:jc w:val="center"/>
              <w:rPr>
                <w:lang w:eastAsia="es-CR"/>
              </w:rPr>
            </w:pPr>
            <w:r w:rsidRPr="00932F14">
              <w:rPr>
                <w:lang w:eastAsia="es-CR"/>
              </w:rPr>
              <w:t>286</w:t>
            </w:r>
          </w:p>
        </w:tc>
        <w:tc>
          <w:tcPr>
            <w:tcW w:w="2261" w:type="dxa"/>
            <w:tcBorders>
              <w:top w:val="nil"/>
              <w:left w:val="nil"/>
              <w:bottom w:val="single" w:sz="8" w:space="0" w:color="FFFFFF"/>
              <w:right w:val="single" w:sz="8" w:space="0" w:color="FFFFFF"/>
            </w:tcBorders>
            <w:noWrap/>
            <w:vAlign w:val="center"/>
            <w:hideMark/>
          </w:tcPr>
          <w:p w14:paraId="70EB00B2" w14:textId="77777777" w:rsidR="008944CE" w:rsidRPr="00932F14" w:rsidRDefault="008944CE" w:rsidP="00932F14">
            <w:pPr>
              <w:jc w:val="center"/>
              <w:rPr>
                <w:lang w:eastAsia="es-CR"/>
              </w:rPr>
            </w:pPr>
            <w:r w:rsidRPr="00932F14">
              <w:rPr>
                <w:lang w:eastAsia="es-CR"/>
              </w:rPr>
              <w:t>3 Meses 0 Semanas</w:t>
            </w:r>
          </w:p>
        </w:tc>
        <w:tc>
          <w:tcPr>
            <w:tcW w:w="36" w:type="dxa"/>
            <w:vAlign w:val="center"/>
            <w:hideMark/>
          </w:tcPr>
          <w:p w14:paraId="02868F0D" w14:textId="77777777" w:rsidR="008944CE" w:rsidRPr="00932F14" w:rsidRDefault="008944CE" w:rsidP="00932F14">
            <w:pPr>
              <w:rPr>
                <w:lang w:eastAsia="es-CR"/>
              </w:rPr>
            </w:pPr>
          </w:p>
        </w:tc>
      </w:tr>
      <w:tr w:rsidR="008944CE" w:rsidRPr="00932F14" w14:paraId="74B84DE2" w14:textId="77777777" w:rsidTr="008944CE">
        <w:trPr>
          <w:trHeight w:val="300"/>
          <w:jc w:val="center"/>
        </w:trPr>
        <w:tc>
          <w:tcPr>
            <w:tcW w:w="2220" w:type="dxa"/>
            <w:tcBorders>
              <w:top w:val="nil"/>
              <w:left w:val="single" w:sz="8" w:space="0" w:color="FFFFFF"/>
              <w:bottom w:val="single" w:sz="8" w:space="0" w:color="FFFFFF"/>
              <w:right w:val="single" w:sz="8" w:space="0" w:color="auto"/>
            </w:tcBorders>
            <w:noWrap/>
            <w:vAlign w:val="center"/>
            <w:hideMark/>
          </w:tcPr>
          <w:p w14:paraId="1D5E6C92" w14:textId="77777777" w:rsidR="008944CE" w:rsidRPr="00932F14" w:rsidRDefault="008944CE" w:rsidP="00932F14">
            <w:pPr>
              <w:rPr>
                <w:lang w:eastAsia="es-CR"/>
              </w:rPr>
            </w:pPr>
            <w:r w:rsidRPr="00932F14">
              <w:rPr>
                <w:lang w:eastAsia="es-CR"/>
              </w:rPr>
              <w:lastRenderedPageBreak/>
              <w:t>Estrellonazo</w:t>
            </w:r>
          </w:p>
        </w:tc>
        <w:tc>
          <w:tcPr>
            <w:tcW w:w="1423" w:type="dxa"/>
            <w:tcBorders>
              <w:top w:val="nil"/>
              <w:left w:val="nil"/>
              <w:bottom w:val="single" w:sz="8" w:space="0" w:color="FFFFFF"/>
              <w:right w:val="single" w:sz="8" w:space="0" w:color="auto"/>
            </w:tcBorders>
            <w:vAlign w:val="center"/>
            <w:hideMark/>
          </w:tcPr>
          <w:p w14:paraId="4A77DC34" w14:textId="77777777" w:rsidR="008944CE" w:rsidRPr="00932F14" w:rsidRDefault="008944CE" w:rsidP="00932F14">
            <w:pPr>
              <w:jc w:val="center"/>
              <w:rPr>
                <w:lang w:eastAsia="es-CR"/>
              </w:rPr>
            </w:pPr>
            <w:r w:rsidRPr="00932F14">
              <w:rPr>
                <w:lang w:eastAsia="es-CR"/>
              </w:rPr>
              <w:t>77</w:t>
            </w:r>
          </w:p>
        </w:tc>
        <w:tc>
          <w:tcPr>
            <w:tcW w:w="2261" w:type="dxa"/>
            <w:tcBorders>
              <w:top w:val="nil"/>
              <w:left w:val="nil"/>
              <w:bottom w:val="single" w:sz="8" w:space="0" w:color="FFFFFF"/>
              <w:right w:val="single" w:sz="8" w:space="0" w:color="FFFFFF"/>
            </w:tcBorders>
            <w:noWrap/>
            <w:vAlign w:val="center"/>
            <w:hideMark/>
          </w:tcPr>
          <w:p w14:paraId="73479573" w14:textId="77777777" w:rsidR="008944CE" w:rsidRPr="00932F14" w:rsidRDefault="008944CE" w:rsidP="00932F14">
            <w:pPr>
              <w:jc w:val="center"/>
              <w:rPr>
                <w:lang w:eastAsia="es-CR"/>
              </w:rPr>
            </w:pPr>
            <w:r w:rsidRPr="00932F14">
              <w:rPr>
                <w:lang w:eastAsia="es-CR"/>
              </w:rPr>
              <w:t>1 Mes 2 Semanas</w:t>
            </w:r>
          </w:p>
        </w:tc>
        <w:tc>
          <w:tcPr>
            <w:tcW w:w="36" w:type="dxa"/>
            <w:vAlign w:val="center"/>
            <w:hideMark/>
          </w:tcPr>
          <w:p w14:paraId="1C3D3F76" w14:textId="77777777" w:rsidR="008944CE" w:rsidRPr="00932F14" w:rsidRDefault="008944CE" w:rsidP="00932F14">
            <w:pPr>
              <w:rPr>
                <w:lang w:eastAsia="es-CR"/>
              </w:rPr>
            </w:pPr>
          </w:p>
        </w:tc>
      </w:tr>
      <w:tr w:rsidR="008944CE" w:rsidRPr="00932F14" w14:paraId="763A92CE" w14:textId="77777777" w:rsidTr="008944CE">
        <w:trPr>
          <w:trHeight w:val="300"/>
          <w:jc w:val="center"/>
        </w:trPr>
        <w:tc>
          <w:tcPr>
            <w:tcW w:w="2220" w:type="dxa"/>
            <w:tcBorders>
              <w:top w:val="nil"/>
              <w:left w:val="single" w:sz="8" w:space="0" w:color="FFFFFF"/>
              <w:bottom w:val="single" w:sz="8" w:space="0" w:color="FFFFFF"/>
              <w:right w:val="single" w:sz="8" w:space="0" w:color="auto"/>
            </w:tcBorders>
            <w:noWrap/>
            <w:vAlign w:val="center"/>
            <w:hideMark/>
          </w:tcPr>
          <w:p w14:paraId="5D90C3E5" w14:textId="77777777" w:rsidR="008944CE" w:rsidRPr="00932F14" w:rsidRDefault="008944CE" w:rsidP="00932F14">
            <w:pPr>
              <w:rPr>
                <w:lang w:eastAsia="es-CR"/>
              </w:rPr>
            </w:pPr>
            <w:r w:rsidRPr="00932F14">
              <w:rPr>
                <w:lang w:eastAsia="es-CR"/>
              </w:rPr>
              <w:t>Daños a la propiedad</w:t>
            </w:r>
          </w:p>
        </w:tc>
        <w:tc>
          <w:tcPr>
            <w:tcW w:w="1423" w:type="dxa"/>
            <w:tcBorders>
              <w:top w:val="nil"/>
              <w:left w:val="nil"/>
              <w:bottom w:val="single" w:sz="8" w:space="0" w:color="FFFFFF"/>
              <w:right w:val="single" w:sz="8" w:space="0" w:color="auto"/>
            </w:tcBorders>
            <w:vAlign w:val="center"/>
            <w:hideMark/>
          </w:tcPr>
          <w:p w14:paraId="15B81E82" w14:textId="77777777" w:rsidR="008944CE" w:rsidRPr="00932F14" w:rsidRDefault="008944CE" w:rsidP="00932F14">
            <w:pPr>
              <w:jc w:val="center"/>
              <w:rPr>
                <w:lang w:eastAsia="es-CR"/>
              </w:rPr>
            </w:pPr>
            <w:r w:rsidRPr="00932F14">
              <w:rPr>
                <w:lang w:eastAsia="es-CR"/>
              </w:rPr>
              <w:t>60</w:t>
            </w:r>
          </w:p>
        </w:tc>
        <w:tc>
          <w:tcPr>
            <w:tcW w:w="2261" w:type="dxa"/>
            <w:tcBorders>
              <w:top w:val="nil"/>
              <w:left w:val="nil"/>
              <w:bottom w:val="single" w:sz="8" w:space="0" w:color="FFFFFF"/>
              <w:right w:val="single" w:sz="8" w:space="0" w:color="FFFFFF"/>
            </w:tcBorders>
            <w:noWrap/>
            <w:vAlign w:val="center"/>
            <w:hideMark/>
          </w:tcPr>
          <w:p w14:paraId="53770D6F" w14:textId="77777777" w:rsidR="008944CE" w:rsidRPr="00932F14" w:rsidRDefault="008944CE" w:rsidP="00932F14">
            <w:pPr>
              <w:jc w:val="center"/>
              <w:rPr>
                <w:lang w:eastAsia="es-CR"/>
              </w:rPr>
            </w:pPr>
            <w:r w:rsidRPr="00932F14">
              <w:rPr>
                <w:lang w:eastAsia="es-CR"/>
              </w:rPr>
              <w:t>2 Meses 0 Semanas</w:t>
            </w:r>
          </w:p>
        </w:tc>
        <w:tc>
          <w:tcPr>
            <w:tcW w:w="36" w:type="dxa"/>
            <w:vAlign w:val="center"/>
            <w:hideMark/>
          </w:tcPr>
          <w:p w14:paraId="194B3B9C" w14:textId="77777777" w:rsidR="008944CE" w:rsidRPr="00932F14" w:rsidRDefault="008944CE" w:rsidP="00932F14">
            <w:pPr>
              <w:rPr>
                <w:lang w:eastAsia="es-CR"/>
              </w:rPr>
            </w:pPr>
          </w:p>
        </w:tc>
      </w:tr>
      <w:tr w:rsidR="008944CE" w:rsidRPr="00932F14" w14:paraId="3279F6A7" w14:textId="77777777" w:rsidTr="008944CE">
        <w:trPr>
          <w:trHeight w:val="300"/>
          <w:jc w:val="center"/>
        </w:trPr>
        <w:tc>
          <w:tcPr>
            <w:tcW w:w="2220" w:type="dxa"/>
            <w:tcBorders>
              <w:top w:val="nil"/>
              <w:left w:val="single" w:sz="8" w:space="0" w:color="FFFFFF"/>
              <w:bottom w:val="single" w:sz="8" w:space="0" w:color="FFFFFF"/>
              <w:right w:val="single" w:sz="8" w:space="0" w:color="auto"/>
            </w:tcBorders>
            <w:noWrap/>
            <w:vAlign w:val="center"/>
            <w:hideMark/>
          </w:tcPr>
          <w:p w14:paraId="401EDF73" w14:textId="77777777" w:rsidR="008944CE" w:rsidRPr="00932F14" w:rsidRDefault="008944CE" w:rsidP="00932F14">
            <w:pPr>
              <w:rPr>
                <w:lang w:eastAsia="es-CR"/>
              </w:rPr>
            </w:pPr>
            <w:r w:rsidRPr="00932F14">
              <w:rPr>
                <w:lang w:eastAsia="es-CR"/>
              </w:rPr>
              <w:t>Otros</w:t>
            </w:r>
          </w:p>
        </w:tc>
        <w:tc>
          <w:tcPr>
            <w:tcW w:w="1423" w:type="dxa"/>
            <w:tcBorders>
              <w:top w:val="nil"/>
              <w:left w:val="nil"/>
              <w:bottom w:val="single" w:sz="8" w:space="0" w:color="FFFFFF"/>
              <w:right w:val="single" w:sz="8" w:space="0" w:color="auto"/>
            </w:tcBorders>
            <w:vAlign w:val="center"/>
            <w:hideMark/>
          </w:tcPr>
          <w:p w14:paraId="7B6F06EE" w14:textId="77777777" w:rsidR="008944CE" w:rsidRPr="00932F14" w:rsidRDefault="008944CE" w:rsidP="00932F14">
            <w:pPr>
              <w:jc w:val="center"/>
              <w:rPr>
                <w:lang w:eastAsia="es-CR"/>
              </w:rPr>
            </w:pPr>
            <w:r w:rsidRPr="00932F14">
              <w:rPr>
                <w:lang w:eastAsia="es-CR"/>
              </w:rPr>
              <w:t>15</w:t>
            </w:r>
          </w:p>
        </w:tc>
        <w:tc>
          <w:tcPr>
            <w:tcW w:w="2261" w:type="dxa"/>
            <w:tcBorders>
              <w:top w:val="nil"/>
              <w:left w:val="nil"/>
              <w:bottom w:val="single" w:sz="8" w:space="0" w:color="FFFFFF"/>
              <w:right w:val="single" w:sz="8" w:space="0" w:color="FFFFFF"/>
            </w:tcBorders>
            <w:noWrap/>
            <w:vAlign w:val="center"/>
            <w:hideMark/>
          </w:tcPr>
          <w:p w14:paraId="6D69D597" w14:textId="77777777" w:rsidR="008944CE" w:rsidRPr="00932F14" w:rsidRDefault="008944CE" w:rsidP="00932F14">
            <w:pPr>
              <w:jc w:val="center"/>
              <w:rPr>
                <w:lang w:eastAsia="es-CR"/>
              </w:rPr>
            </w:pPr>
            <w:r w:rsidRPr="00932F14">
              <w:rPr>
                <w:lang w:eastAsia="es-CR"/>
              </w:rPr>
              <w:t>6 Meses 2 Semanas</w:t>
            </w:r>
          </w:p>
        </w:tc>
        <w:tc>
          <w:tcPr>
            <w:tcW w:w="36" w:type="dxa"/>
            <w:vAlign w:val="center"/>
            <w:hideMark/>
          </w:tcPr>
          <w:p w14:paraId="1033E8E3" w14:textId="77777777" w:rsidR="008944CE" w:rsidRPr="00932F14" w:rsidRDefault="008944CE" w:rsidP="00932F14">
            <w:pPr>
              <w:rPr>
                <w:lang w:eastAsia="es-CR"/>
              </w:rPr>
            </w:pPr>
          </w:p>
        </w:tc>
      </w:tr>
      <w:tr w:rsidR="008944CE" w:rsidRPr="00932F14" w14:paraId="45887AB8" w14:textId="77777777" w:rsidTr="008944CE">
        <w:trPr>
          <w:trHeight w:val="300"/>
          <w:jc w:val="center"/>
        </w:trPr>
        <w:tc>
          <w:tcPr>
            <w:tcW w:w="2220" w:type="dxa"/>
            <w:tcBorders>
              <w:top w:val="nil"/>
              <w:left w:val="single" w:sz="8" w:space="0" w:color="FFFFFF"/>
              <w:bottom w:val="single" w:sz="8" w:space="0" w:color="FFFFFF"/>
              <w:right w:val="single" w:sz="8" w:space="0" w:color="auto"/>
            </w:tcBorders>
            <w:noWrap/>
            <w:vAlign w:val="center"/>
            <w:hideMark/>
          </w:tcPr>
          <w:p w14:paraId="0BF82243" w14:textId="77777777" w:rsidR="008944CE" w:rsidRPr="00932F14" w:rsidRDefault="008944CE" w:rsidP="00932F14">
            <w:pPr>
              <w:rPr>
                <w:lang w:eastAsia="es-CR"/>
              </w:rPr>
            </w:pPr>
            <w:r w:rsidRPr="00932F14">
              <w:rPr>
                <w:lang w:eastAsia="es-CR"/>
              </w:rPr>
              <w:t>Obstrucción en la vía</w:t>
            </w:r>
          </w:p>
        </w:tc>
        <w:tc>
          <w:tcPr>
            <w:tcW w:w="1423" w:type="dxa"/>
            <w:tcBorders>
              <w:top w:val="nil"/>
              <w:left w:val="nil"/>
              <w:bottom w:val="single" w:sz="8" w:space="0" w:color="FFFFFF"/>
              <w:right w:val="single" w:sz="8" w:space="0" w:color="auto"/>
            </w:tcBorders>
            <w:vAlign w:val="center"/>
            <w:hideMark/>
          </w:tcPr>
          <w:p w14:paraId="494723A7" w14:textId="77777777" w:rsidR="008944CE" w:rsidRPr="00932F14" w:rsidRDefault="008944CE" w:rsidP="00932F14">
            <w:pPr>
              <w:jc w:val="center"/>
              <w:rPr>
                <w:lang w:eastAsia="es-CR"/>
              </w:rPr>
            </w:pPr>
            <w:r w:rsidRPr="00932F14">
              <w:rPr>
                <w:lang w:eastAsia="es-CR"/>
              </w:rPr>
              <w:t>2</w:t>
            </w:r>
          </w:p>
        </w:tc>
        <w:tc>
          <w:tcPr>
            <w:tcW w:w="2261" w:type="dxa"/>
            <w:tcBorders>
              <w:top w:val="nil"/>
              <w:left w:val="nil"/>
              <w:bottom w:val="single" w:sz="8" w:space="0" w:color="FFFFFF"/>
              <w:right w:val="single" w:sz="8" w:space="0" w:color="FFFFFF"/>
            </w:tcBorders>
            <w:noWrap/>
            <w:vAlign w:val="center"/>
            <w:hideMark/>
          </w:tcPr>
          <w:p w14:paraId="492FAA2A" w14:textId="77777777" w:rsidR="008944CE" w:rsidRPr="00932F14" w:rsidRDefault="008944CE" w:rsidP="00932F14">
            <w:pPr>
              <w:jc w:val="center"/>
              <w:rPr>
                <w:lang w:eastAsia="es-CR"/>
              </w:rPr>
            </w:pPr>
            <w:r w:rsidRPr="00932F14">
              <w:rPr>
                <w:lang w:eastAsia="es-CR"/>
              </w:rPr>
              <w:t>6 Meses 0 Semanas</w:t>
            </w:r>
          </w:p>
        </w:tc>
        <w:tc>
          <w:tcPr>
            <w:tcW w:w="36" w:type="dxa"/>
            <w:vAlign w:val="center"/>
            <w:hideMark/>
          </w:tcPr>
          <w:p w14:paraId="449FE7B2" w14:textId="77777777" w:rsidR="008944CE" w:rsidRPr="00932F14" w:rsidRDefault="008944CE" w:rsidP="00932F14">
            <w:pPr>
              <w:rPr>
                <w:lang w:eastAsia="es-CR"/>
              </w:rPr>
            </w:pPr>
          </w:p>
        </w:tc>
      </w:tr>
      <w:tr w:rsidR="008944CE" w:rsidRPr="00932F14" w14:paraId="1FD7EB13" w14:textId="77777777" w:rsidTr="008944CE">
        <w:trPr>
          <w:trHeight w:val="300"/>
          <w:jc w:val="center"/>
        </w:trPr>
        <w:tc>
          <w:tcPr>
            <w:tcW w:w="2220" w:type="dxa"/>
            <w:tcBorders>
              <w:top w:val="nil"/>
              <w:left w:val="single" w:sz="8" w:space="0" w:color="FFFFFF"/>
              <w:bottom w:val="single" w:sz="8" w:space="0" w:color="FFFFFF"/>
              <w:right w:val="single" w:sz="8" w:space="0" w:color="auto"/>
            </w:tcBorders>
            <w:noWrap/>
            <w:vAlign w:val="center"/>
            <w:hideMark/>
          </w:tcPr>
          <w:p w14:paraId="1FD8C3A1" w14:textId="77777777" w:rsidR="008944CE" w:rsidRPr="00932F14" w:rsidRDefault="008944CE" w:rsidP="00932F14">
            <w:pPr>
              <w:rPr>
                <w:lang w:eastAsia="es-CR"/>
              </w:rPr>
            </w:pPr>
            <w:r w:rsidRPr="00932F14">
              <w:rPr>
                <w:lang w:eastAsia="es-CR"/>
              </w:rPr>
              <w:t xml:space="preserve">Lesiones </w:t>
            </w:r>
          </w:p>
        </w:tc>
        <w:tc>
          <w:tcPr>
            <w:tcW w:w="1423" w:type="dxa"/>
            <w:tcBorders>
              <w:top w:val="nil"/>
              <w:left w:val="nil"/>
              <w:bottom w:val="single" w:sz="8" w:space="0" w:color="FFFFFF"/>
              <w:right w:val="single" w:sz="8" w:space="0" w:color="auto"/>
            </w:tcBorders>
            <w:vAlign w:val="center"/>
            <w:hideMark/>
          </w:tcPr>
          <w:p w14:paraId="59D5C8B6" w14:textId="77777777" w:rsidR="008944CE" w:rsidRPr="00932F14" w:rsidRDefault="008944CE" w:rsidP="00932F14">
            <w:pPr>
              <w:jc w:val="center"/>
              <w:rPr>
                <w:lang w:eastAsia="es-CR"/>
              </w:rPr>
            </w:pPr>
            <w:r w:rsidRPr="00932F14">
              <w:rPr>
                <w:lang w:eastAsia="es-CR"/>
              </w:rPr>
              <w:t>1</w:t>
            </w:r>
          </w:p>
        </w:tc>
        <w:tc>
          <w:tcPr>
            <w:tcW w:w="2261" w:type="dxa"/>
            <w:tcBorders>
              <w:top w:val="nil"/>
              <w:left w:val="nil"/>
              <w:bottom w:val="single" w:sz="8" w:space="0" w:color="FFFFFF"/>
              <w:right w:val="single" w:sz="8" w:space="0" w:color="FFFFFF"/>
            </w:tcBorders>
            <w:noWrap/>
            <w:vAlign w:val="center"/>
            <w:hideMark/>
          </w:tcPr>
          <w:p w14:paraId="7981C40F" w14:textId="77777777" w:rsidR="008944CE" w:rsidRPr="00932F14" w:rsidRDefault="008944CE" w:rsidP="00932F14">
            <w:pPr>
              <w:jc w:val="center"/>
              <w:rPr>
                <w:lang w:eastAsia="es-CR"/>
              </w:rPr>
            </w:pPr>
            <w:r w:rsidRPr="00932F14">
              <w:rPr>
                <w:lang w:eastAsia="es-CR"/>
              </w:rPr>
              <w:t>9 Meses 2 Semanas</w:t>
            </w:r>
          </w:p>
        </w:tc>
        <w:tc>
          <w:tcPr>
            <w:tcW w:w="36" w:type="dxa"/>
            <w:vAlign w:val="center"/>
            <w:hideMark/>
          </w:tcPr>
          <w:p w14:paraId="024B5A68" w14:textId="77777777" w:rsidR="008944CE" w:rsidRPr="00932F14" w:rsidRDefault="008944CE" w:rsidP="00932F14">
            <w:pPr>
              <w:rPr>
                <w:lang w:eastAsia="es-CR"/>
              </w:rPr>
            </w:pPr>
          </w:p>
        </w:tc>
      </w:tr>
      <w:tr w:rsidR="008944CE" w:rsidRPr="00932F14" w14:paraId="5BEEA36F" w14:textId="77777777" w:rsidTr="008944CE">
        <w:trPr>
          <w:trHeight w:val="315"/>
          <w:jc w:val="center"/>
        </w:trPr>
        <w:tc>
          <w:tcPr>
            <w:tcW w:w="2220" w:type="dxa"/>
            <w:tcBorders>
              <w:top w:val="nil"/>
              <w:left w:val="single" w:sz="8" w:space="0" w:color="FFFFFF"/>
              <w:bottom w:val="single" w:sz="8" w:space="0" w:color="FFFFFF"/>
              <w:right w:val="single" w:sz="8" w:space="0" w:color="auto"/>
            </w:tcBorders>
            <w:noWrap/>
            <w:vAlign w:val="center"/>
            <w:hideMark/>
          </w:tcPr>
          <w:p w14:paraId="39620096" w14:textId="77777777" w:rsidR="008944CE" w:rsidRPr="00932F14" w:rsidRDefault="008944CE" w:rsidP="00932F14">
            <w:pPr>
              <w:rPr>
                <w:lang w:eastAsia="es-CR"/>
              </w:rPr>
            </w:pPr>
            <w:r w:rsidRPr="00932F14">
              <w:rPr>
                <w:lang w:eastAsia="es-CR"/>
              </w:rPr>
              <w:t>Infracción simple</w:t>
            </w:r>
          </w:p>
        </w:tc>
        <w:tc>
          <w:tcPr>
            <w:tcW w:w="1423" w:type="dxa"/>
            <w:tcBorders>
              <w:top w:val="nil"/>
              <w:left w:val="nil"/>
              <w:bottom w:val="single" w:sz="8" w:space="0" w:color="FFFFFF"/>
              <w:right w:val="single" w:sz="8" w:space="0" w:color="auto"/>
            </w:tcBorders>
            <w:vAlign w:val="center"/>
            <w:hideMark/>
          </w:tcPr>
          <w:p w14:paraId="7FBD4C4F" w14:textId="77777777" w:rsidR="008944CE" w:rsidRPr="00932F14" w:rsidRDefault="008944CE" w:rsidP="00932F14">
            <w:pPr>
              <w:jc w:val="center"/>
              <w:rPr>
                <w:lang w:eastAsia="es-CR"/>
              </w:rPr>
            </w:pPr>
            <w:r w:rsidRPr="00932F14">
              <w:rPr>
                <w:lang w:eastAsia="es-CR"/>
              </w:rPr>
              <w:t>1</w:t>
            </w:r>
          </w:p>
        </w:tc>
        <w:tc>
          <w:tcPr>
            <w:tcW w:w="2261" w:type="dxa"/>
            <w:tcBorders>
              <w:top w:val="nil"/>
              <w:left w:val="nil"/>
              <w:bottom w:val="single" w:sz="8" w:space="0" w:color="FFFFFF"/>
              <w:right w:val="single" w:sz="8" w:space="0" w:color="FFFFFF"/>
            </w:tcBorders>
            <w:noWrap/>
            <w:vAlign w:val="center"/>
            <w:hideMark/>
          </w:tcPr>
          <w:p w14:paraId="1C258064" w14:textId="77777777" w:rsidR="008944CE" w:rsidRPr="00932F14" w:rsidRDefault="008944CE" w:rsidP="00932F14">
            <w:pPr>
              <w:jc w:val="center"/>
              <w:rPr>
                <w:lang w:eastAsia="es-CR"/>
              </w:rPr>
            </w:pPr>
            <w:r w:rsidRPr="00932F14">
              <w:rPr>
                <w:lang w:eastAsia="es-CR"/>
              </w:rPr>
              <w:t>3 Meses 0 Semanas</w:t>
            </w:r>
          </w:p>
        </w:tc>
        <w:tc>
          <w:tcPr>
            <w:tcW w:w="36" w:type="dxa"/>
            <w:vAlign w:val="center"/>
            <w:hideMark/>
          </w:tcPr>
          <w:p w14:paraId="65BB4262" w14:textId="77777777" w:rsidR="008944CE" w:rsidRPr="00932F14" w:rsidRDefault="008944CE" w:rsidP="00932F14">
            <w:pPr>
              <w:rPr>
                <w:lang w:eastAsia="es-CR"/>
              </w:rPr>
            </w:pPr>
          </w:p>
        </w:tc>
      </w:tr>
      <w:tr w:rsidR="008944CE" w:rsidRPr="00932F14" w14:paraId="6C1239AA" w14:textId="77777777" w:rsidTr="008944CE">
        <w:trPr>
          <w:trHeight w:val="300"/>
          <w:jc w:val="center"/>
        </w:trPr>
        <w:tc>
          <w:tcPr>
            <w:tcW w:w="2220" w:type="dxa"/>
            <w:tcBorders>
              <w:top w:val="nil"/>
              <w:left w:val="single" w:sz="8" w:space="0" w:color="FFFFFF"/>
              <w:bottom w:val="single" w:sz="8" w:space="0" w:color="auto"/>
              <w:right w:val="single" w:sz="8" w:space="0" w:color="auto"/>
            </w:tcBorders>
            <w:noWrap/>
            <w:vAlign w:val="center"/>
            <w:hideMark/>
          </w:tcPr>
          <w:p w14:paraId="6D00C080" w14:textId="77777777" w:rsidR="008944CE" w:rsidRPr="00932F14" w:rsidRDefault="008944CE" w:rsidP="00932F14">
            <w:pPr>
              <w:rPr>
                <w:lang w:eastAsia="es-CR"/>
              </w:rPr>
            </w:pPr>
            <w:r w:rsidRPr="00932F14">
              <w:rPr>
                <w:lang w:eastAsia="es-CR"/>
              </w:rPr>
              <w:t> </w:t>
            </w:r>
          </w:p>
        </w:tc>
        <w:tc>
          <w:tcPr>
            <w:tcW w:w="1423" w:type="dxa"/>
            <w:tcBorders>
              <w:top w:val="nil"/>
              <w:left w:val="nil"/>
              <w:bottom w:val="single" w:sz="8" w:space="0" w:color="auto"/>
              <w:right w:val="single" w:sz="8" w:space="0" w:color="auto"/>
            </w:tcBorders>
            <w:vAlign w:val="center"/>
            <w:hideMark/>
          </w:tcPr>
          <w:p w14:paraId="50E5CCE9" w14:textId="77777777" w:rsidR="008944CE" w:rsidRPr="00932F14" w:rsidRDefault="008944CE" w:rsidP="00932F14">
            <w:pPr>
              <w:jc w:val="center"/>
              <w:rPr>
                <w:lang w:eastAsia="es-CR"/>
              </w:rPr>
            </w:pPr>
            <w:r w:rsidRPr="00932F14">
              <w:rPr>
                <w:lang w:eastAsia="es-CR"/>
              </w:rPr>
              <w:t> </w:t>
            </w:r>
          </w:p>
        </w:tc>
        <w:tc>
          <w:tcPr>
            <w:tcW w:w="2261" w:type="dxa"/>
            <w:tcBorders>
              <w:top w:val="nil"/>
              <w:left w:val="nil"/>
              <w:bottom w:val="single" w:sz="8" w:space="0" w:color="auto"/>
              <w:right w:val="single" w:sz="8" w:space="0" w:color="FFFFFF"/>
            </w:tcBorders>
            <w:noWrap/>
            <w:vAlign w:val="center"/>
            <w:hideMark/>
          </w:tcPr>
          <w:p w14:paraId="1AF2DB64" w14:textId="77777777" w:rsidR="008944CE" w:rsidRPr="00932F14" w:rsidRDefault="008944CE" w:rsidP="00932F14">
            <w:pPr>
              <w:jc w:val="center"/>
              <w:rPr>
                <w:lang w:eastAsia="es-CR"/>
              </w:rPr>
            </w:pPr>
            <w:r w:rsidRPr="00932F14">
              <w:rPr>
                <w:lang w:eastAsia="es-CR"/>
              </w:rPr>
              <w:t> </w:t>
            </w:r>
          </w:p>
        </w:tc>
        <w:tc>
          <w:tcPr>
            <w:tcW w:w="36" w:type="dxa"/>
            <w:vAlign w:val="center"/>
            <w:hideMark/>
          </w:tcPr>
          <w:p w14:paraId="71D74F83" w14:textId="77777777" w:rsidR="008944CE" w:rsidRPr="00932F14" w:rsidRDefault="008944CE" w:rsidP="00932F14">
            <w:pPr>
              <w:rPr>
                <w:lang w:eastAsia="es-CR"/>
              </w:rPr>
            </w:pPr>
          </w:p>
        </w:tc>
      </w:tr>
      <w:tr w:rsidR="008944CE" w:rsidRPr="00932F14" w14:paraId="70785BEC" w14:textId="77777777" w:rsidTr="008944CE">
        <w:trPr>
          <w:trHeight w:val="300"/>
          <w:jc w:val="center"/>
        </w:trPr>
        <w:tc>
          <w:tcPr>
            <w:tcW w:w="5904" w:type="dxa"/>
            <w:gridSpan w:val="3"/>
            <w:noWrap/>
            <w:vAlign w:val="center"/>
            <w:hideMark/>
          </w:tcPr>
          <w:p w14:paraId="123B3050" w14:textId="77777777" w:rsidR="008944CE" w:rsidRPr="00932F14" w:rsidRDefault="008944CE" w:rsidP="00932F14">
            <w:pPr>
              <w:rPr>
                <w:lang w:eastAsia="es-CR"/>
              </w:rPr>
            </w:pPr>
            <w:r w:rsidRPr="00932F14">
              <w:rPr>
                <w:lang w:eastAsia="es-CR"/>
              </w:rPr>
              <w:t>Elaborado por: Subproceso de Estadística, Dirección de Planificación</w:t>
            </w:r>
          </w:p>
        </w:tc>
        <w:tc>
          <w:tcPr>
            <w:tcW w:w="36" w:type="dxa"/>
            <w:vAlign w:val="center"/>
            <w:hideMark/>
          </w:tcPr>
          <w:p w14:paraId="03B922CA" w14:textId="77777777" w:rsidR="008944CE" w:rsidRPr="00932F14" w:rsidRDefault="008944CE" w:rsidP="00932F14">
            <w:pPr>
              <w:rPr>
                <w:lang w:eastAsia="es-CR"/>
              </w:rPr>
            </w:pPr>
          </w:p>
        </w:tc>
      </w:tr>
    </w:tbl>
    <w:p w14:paraId="546B63F2" w14:textId="77777777" w:rsidR="008944CE" w:rsidRPr="00932F14" w:rsidRDefault="008944CE" w:rsidP="00932F14">
      <w:pPr>
        <w:rPr>
          <w:lang w:eastAsia="es-ES"/>
        </w:rPr>
      </w:pPr>
    </w:p>
    <w:p w14:paraId="36E61474" w14:textId="77777777" w:rsidR="008944CE" w:rsidRPr="00932F14" w:rsidRDefault="008944CE" w:rsidP="00932F14">
      <w:pPr>
        <w:keepNext/>
        <w:keepLines/>
        <w:widowControl w:val="0"/>
        <w:numPr>
          <w:ilvl w:val="0"/>
          <w:numId w:val="126"/>
        </w:numPr>
        <w:suppressAutoHyphens w:val="0"/>
        <w:autoSpaceDE w:val="0"/>
        <w:autoSpaceDN w:val="0"/>
        <w:adjustRightInd w:val="0"/>
        <w:ind w:left="851" w:right="851" w:firstLine="709"/>
        <w:jc w:val="both"/>
        <w:rPr>
          <w:b/>
          <w:bCs/>
        </w:rPr>
      </w:pPr>
      <w:bookmarkStart w:id="8" w:name="_Toc44512685"/>
      <w:r w:rsidRPr="00932F14">
        <w:rPr>
          <w:b/>
          <w:bCs/>
        </w:rPr>
        <w:t>CIRCULANTE AL FINALIZAR EL AÑO.</w:t>
      </w:r>
      <w:bookmarkEnd w:id="8"/>
    </w:p>
    <w:p w14:paraId="33AB824E" w14:textId="77777777" w:rsidR="008944CE" w:rsidRPr="00932F14" w:rsidRDefault="008944CE" w:rsidP="00932F14">
      <w:pPr>
        <w:ind w:left="851" w:right="851" w:firstLine="709"/>
        <w:jc w:val="both"/>
      </w:pPr>
    </w:p>
    <w:p w14:paraId="55B2ADD8" w14:textId="0A137640" w:rsidR="008944CE" w:rsidRPr="00932F14" w:rsidRDefault="008944CE" w:rsidP="00932F14">
      <w:pPr>
        <w:ind w:left="851" w:right="851" w:firstLine="709"/>
        <w:jc w:val="both"/>
      </w:pPr>
      <w:r w:rsidRPr="00932F14">
        <w:t xml:space="preserve">Al 31 de diciembre de 2019 se registra un circulante de 25.437 casos, lo cual en comparación con el 2018 representa una disminución del 7,79% (2.150 casos) y, posicionándolo como la cantidad de activos más baja del periodo bajo estudio. </w:t>
      </w:r>
    </w:p>
    <w:p w14:paraId="27AC37CA" w14:textId="77777777" w:rsidR="008944CE" w:rsidRPr="00932F14" w:rsidRDefault="008944CE" w:rsidP="00932F14">
      <w:pPr>
        <w:ind w:left="851" w:right="851" w:firstLine="709"/>
        <w:jc w:val="both"/>
      </w:pPr>
    </w:p>
    <w:p w14:paraId="42C42A8F" w14:textId="77777777" w:rsidR="008944CE" w:rsidRPr="00932F14" w:rsidRDefault="008944CE" w:rsidP="00932F14">
      <w:r w:rsidRPr="00932F14">
        <w:rPr>
          <w:noProof/>
          <w:lang w:val="es-419" w:eastAsia="es-419"/>
        </w:rPr>
        <w:drawing>
          <wp:inline distT="0" distB="0" distL="0" distR="0" wp14:anchorId="58DBEB93" wp14:editId="07E95E71">
            <wp:extent cx="5836920" cy="3331210"/>
            <wp:effectExtent l="0" t="0" r="11430" b="2540"/>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A189C9" w14:textId="77777777" w:rsidR="008944CE" w:rsidRPr="00932F14" w:rsidRDefault="008944CE" w:rsidP="00932F14">
      <w:pPr>
        <w:tabs>
          <w:tab w:val="left" w:pos="284"/>
        </w:tabs>
        <w:ind w:left="-851"/>
        <w:jc w:val="center"/>
      </w:pPr>
    </w:p>
    <w:p w14:paraId="222FDC0F" w14:textId="77777777" w:rsidR="008944CE" w:rsidRPr="00932F14" w:rsidRDefault="008944CE" w:rsidP="00932F14"/>
    <w:p w14:paraId="2119DEA1" w14:textId="14E4FF40" w:rsidR="008944CE" w:rsidRPr="00932F14" w:rsidRDefault="008944CE" w:rsidP="00932F14">
      <w:pPr>
        <w:ind w:left="851" w:right="851" w:firstLine="709"/>
        <w:jc w:val="both"/>
      </w:pPr>
      <w:r w:rsidRPr="00932F14">
        <w:lastRenderedPageBreak/>
        <w:t xml:space="preserve">En relación con la fase de los activos al finalizar, históricamente la magnitud más significativa la posee la </w:t>
      </w:r>
      <w:r w:rsidRPr="00932F14">
        <w:rPr>
          <w:i/>
          <w:iCs/>
        </w:rPr>
        <w:t>Demanda</w:t>
      </w:r>
      <w:r w:rsidRPr="00932F14">
        <w:t xml:space="preserve"> representando ésta el 61,6% (17.627 casos) de la totalidad. Cabe destacar al observar el Gráfico 5 que, en relación con la fase definida como </w:t>
      </w:r>
      <w:r w:rsidRPr="00932F14">
        <w:rPr>
          <w:i/>
          <w:iCs/>
        </w:rPr>
        <w:t xml:space="preserve">Sin Fase </w:t>
      </w:r>
      <w:r w:rsidRPr="00932F14">
        <w:t xml:space="preserve">lo cual se interpretaba como expedientes activos a los cuales no se les registró una fase dentro del Sistema Costarricense de Gestión de Despachos Judiciales por parte de los despachos, para el 2019 no registro casos,  mientras que, si se observa el comportamiento histórico para esta fase en el 2015, ésta se posicionaba como la segunda categoría en magnitud, solo por debajo de la </w:t>
      </w:r>
      <w:r w:rsidRPr="00932F14">
        <w:rPr>
          <w:i/>
          <w:iCs/>
        </w:rPr>
        <w:t xml:space="preserve">Demanda </w:t>
      </w:r>
      <w:r w:rsidRPr="00932F14">
        <w:t>y que representaba el 23,97% del total para ese año.</w:t>
      </w:r>
    </w:p>
    <w:p w14:paraId="3020FCF0" w14:textId="77777777" w:rsidR="008944CE" w:rsidRPr="00932F14" w:rsidRDefault="008944CE" w:rsidP="00932F14">
      <w:pPr>
        <w:ind w:left="851" w:right="851" w:firstLine="709"/>
        <w:jc w:val="both"/>
      </w:pPr>
    </w:p>
    <w:p w14:paraId="787E7C49" w14:textId="77777777" w:rsidR="008944CE" w:rsidRPr="00932F14" w:rsidRDefault="008944CE" w:rsidP="00932F14">
      <w:pPr>
        <w:ind w:left="851" w:right="851" w:firstLine="709"/>
        <w:jc w:val="both"/>
      </w:pPr>
      <w:r w:rsidRPr="00932F14">
        <w:t>Lo anterior es un reflejo del resultado en cuanto al acompañameinto que ha realizado el Subproceso de Estadística en los últimos años, en cuanto a la temática de inventarios, evidenciando esta clase de situaciones como inconsistencias dentro del movimiento de trabajo, y laborando en conjunto con los despachos judiciales a nivel nacional para solventarlas.</w:t>
      </w:r>
    </w:p>
    <w:p w14:paraId="2772E665" w14:textId="77777777" w:rsidR="008944CE" w:rsidRPr="00932F14" w:rsidRDefault="008944CE" w:rsidP="00932F14">
      <w:pPr>
        <w:ind w:left="851" w:right="851" w:firstLine="709"/>
        <w:jc w:val="both"/>
      </w:pPr>
    </w:p>
    <w:p w14:paraId="7DFD7D7D" w14:textId="77777777" w:rsidR="008944CE" w:rsidRPr="00932F14" w:rsidRDefault="008944CE" w:rsidP="00932F14">
      <w:pPr>
        <w:keepNext/>
        <w:keepLines/>
        <w:widowControl w:val="0"/>
        <w:numPr>
          <w:ilvl w:val="0"/>
          <w:numId w:val="126"/>
        </w:numPr>
        <w:suppressAutoHyphens w:val="0"/>
        <w:autoSpaceDE w:val="0"/>
        <w:autoSpaceDN w:val="0"/>
        <w:adjustRightInd w:val="0"/>
        <w:ind w:left="851" w:right="851" w:firstLine="709"/>
        <w:jc w:val="both"/>
        <w:rPr>
          <w:b/>
          <w:bCs/>
        </w:rPr>
      </w:pPr>
      <w:bookmarkStart w:id="9" w:name="_Toc44512686"/>
      <w:r w:rsidRPr="00932F14">
        <w:rPr>
          <w:b/>
          <w:bCs/>
        </w:rPr>
        <w:t xml:space="preserve"> PROYECCIONES.</w:t>
      </w:r>
      <w:bookmarkEnd w:id="9"/>
    </w:p>
    <w:p w14:paraId="00C42B96" w14:textId="77777777" w:rsidR="008944CE" w:rsidRPr="00932F14" w:rsidRDefault="008944CE" w:rsidP="00932F14">
      <w:pPr>
        <w:ind w:left="851" w:right="851" w:firstLine="709"/>
        <w:jc w:val="both"/>
      </w:pPr>
    </w:p>
    <w:p w14:paraId="00C8C0AF" w14:textId="77777777" w:rsidR="008944CE" w:rsidRPr="00932F14" w:rsidRDefault="008944CE" w:rsidP="00932F14">
      <w:pPr>
        <w:ind w:left="851" w:right="851" w:firstLine="709"/>
        <w:jc w:val="both"/>
      </w:pPr>
      <w:r w:rsidRPr="00932F14">
        <w:t>Este apartado comprende mediante la utilización del método estadístico de Regresión Lineal Simple, la definición del comportamiento que se esperaría tendrá a futuro cada una de las principales variables que fueron abordadas en el presente análisis. Tomando como base de análisis un histórico de 12 años para cada una de las variables de casos entrados, terminados y circulante al finalizar, se aplicaron distintos tipos de modelos de regresión lineal simple para pronosticar el comportamiento de los años 2020 y 2021 en aras de tener un insumo validado matemáticamente para toma de decisiones.</w:t>
      </w:r>
    </w:p>
    <w:p w14:paraId="3094ACFA" w14:textId="77777777" w:rsidR="008944CE" w:rsidRPr="00932F14" w:rsidRDefault="008944CE" w:rsidP="00932F14">
      <w:pPr>
        <w:ind w:left="851" w:right="851" w:firstLine="709"/>
        <w:jc w:val="both"/>
      </w:pPr>
    </w:p>
    <w:p w14:paraId="52BCC906" w14:textId="7C944FFC" w:rsidR="008944CE" w:rsidRPr="00932F14" w:rsidRDefault="008944CE" w:rsidP="00932F14">
      <w:pPr>
        <w:ind w:left="851" w:right="851" w:firstLine="709"/>
        <w:jc w:val="both"/>
      </w:pPr>
      <w:r w:rsidRPr="00932F14">
        <w:t xml:space="preserve">Como mecanismo de elección del mejor modelo, se utilizó el coeficiente de determinación o más conocido por su designación de </w:t>
      </w:r>
      <m:oMath>
        <m:sSup>
          <m:sSupPr>
            <m:ctrlPr>
              <w:rPr>
                <w:rFonts w:ascii="Cambria Math" w:hAnsi="Cambria Math"/>
                <w:i/>
                <w:lang w:eastAsia="es-ES"/>
              </w:rPr>
            </m:ctrlPr>
          </m:sSupPr>
          <m:e>
            <m:r>
              <w:rPr>
                <w:rFonts w:ascii="Cambria Math" w:hAnsi="Cambria Math"/>
              </w:rPr>
              <m:t>R</m:t>
            </m:r>
          </m:e>
          <m:sup>
            <m:r>
              <w:rPr>
                <w:rFonts w:ascii="Cambria Math" w:hAnsi="Cambria Math"/>
              </w:rPr>
              <m:t>2</m:t>
            </m:r>
          </m:sup>
        </m:sSup>
      </m:oMath>
      <w:r w:rsidRPr="00932F14">
        <w:t xml:space="preserve"> (léase R cuadrado) el cual refleja la bondad de ajuste del modelo utilizado en relación con la variable que se pretende explicar. Es importante saber que el resultado del coeficiente de determinación oscila entre 0 y 1, donde entre más cercano sea el valor obtenido a 1, mayor será el ajuste del modelo a la variable que estamos intentando explicar. De forma inversa, cuanto más cerca de cero, menos ajustado estará el modelo y, por tanto, menos fiable será.  </w:t>
      </w:r>
    </w:p>
    <w:p w14:paraId="60CD7DB7" w14:textId="77777777" w:rsidR="008944CE" w:rsidRPr="00932F14" w:rsidRDefault="008944CE" w:rsidP="00932F14">
      <w:pPr>
        <w:ind w:left="851" w:right="851" w:firstLine="709"/>
        <w:jc w:val="both"/>
      </w:pPr>
    </w:p>
    <w:p w14:paraId="2F78C056" w14:textId="465CC965" w:rsidR="008944CE" w:rsidRPr="00932F14" w:rsidRDefault="008944CE" w:rsidP="00932F14">
      <w:pPr>
        <w:ind w:left="851" w:right="851" w:firstLine="709"/>
        <w:jc w:val="both"/>
      </w:pPr>
      <w:r w:rsidRPr="00932F14">
        <w:t>Por medio del Cuadro 4 se exponen los resultados obtenidos en la aplicación de los modelos utilizados:</w:t>
      </w:r>
    </w:p>
    <w:p w14:paraId="70A70174" w14:textId="77777777" w:rsidR="008944CE" w:rsidRPr="00932F14" w:rsidRDefault="008944CE" w:rsidP="00932F14">
      <w:pPr>
        <w:ind w:left="851" w:right="851" w:firstLine="709"/>
        <w:jc w:val="both"/>
      </w:pPr>
    </w:p>
    <w:tbl>
      <w:tblPr>
        <w:tblW w:w="0" w:type="auto"/>
        <w:jc w:val="center"/>
        <w:tblCellMar>
          <w:left w:w="70" w:type="dxa"/>
          <w:right w:w="70" w:type="dxa"/>
        </w:tblCellMar>
        <w:tblLook w:val="04A0" w:firstRow="1" w:lastRow="0" w:firstColumn="1" w:lastColumn="0" w:noHBand="0" w:noVBand="1"/>
      </w:tblPr>
      <w:tblGrid>
        <w:gridCol w:w="2225"/>
        <w:gridCol w:w="797"/>
        <w:gridCol w:w="797"/>
        <w:gridCol w:w="798"/>
        <w:gridCol w:w="798"/>
        <w:gridCol w:w="798"/>
        <w:gridCol w:w="798"/>
        <w:gridCol w:w="798"/>
        <w:gridCol w:w="798"/>
        <w:gridCol w:w="798"/>
      </w:tblGrid>
      <w:tr w:rsidR="008944CE" w:rsidRPr="00932F14" w14:paraId="70A78491" w14:textId="77777777" w:rsidTr="008944CE">
        <w:trPr>
          <w:trHeight w:val="315"/>
          <w:jc w:val="center"/>
        </w:trPr>
        <w:tc>
          <w:tcPr>
            <w:tcW w:w="0" w:type="auto"/>
            <w:gridSpan w:val="10"/>
            <w:shd w:val="clear" w:color="auto" w:fill="FFFFFF"/>
            <w:noWrap/>
            <w:vAlign w:val="center"/>
            <w:hideMark/>
          </w:tcPr>
          <w:p w14:paraId="46777A9C" w14:textId="77777777" w:rsidR="008944CE" w:rsidRPr="00932F14" w:rsidRDefault="008944CE" w:rsidP="00932F14">
            <w:pPr>
              <w:jc w:val="center"/>
              <w:rPr>
                <w:b/>
                <w:bCs/>
                <w:lang w:eastAsia="es-CR"/>
              </w:rPr>
            </w:pPr>
            <w:r w:rsidRPr="00932F14">
              <w:rPr>
                <w:b/>
                <w:bCs/>
                <w:lang w:eastAsia="es-CR"/>
              </w:rPr>
              <w:lastRenderedPageBreak/>
              <w:t>Cuadro 4</w:t>
            </w:r>
          </w:p>
        </w:tc>
      </w:tr>
      <w:tr w:rsidR="008944CE" w:rsidRPr="00932F14" w14:paraId="37B3BE52" w14:textId="77777777" w:rsidTr="008944CE">
        <w:trPr>
          <w:trHeight w:val="315"/>
          <w:jc w:val="center"/>
        </w:trPr>
        <w:tc>
          <w:tcPr>
            <w:tcW w:w="0" w:type="auto"/>
            <w:gridSpan w:val="10"/>
            <w:shd w:val="clear" w:color="auto" w:fill="FFFFFF"/>
            <w:noWrap/>
            <w:vAlign w:val="center"/>
            <w:hideMark/>
          </w:tcPr>
          <w:p w14:paraId="65959CF8" w14:textId="77777777" w:rsidR="008944CE" w:rsidRPr="00932F14" w:rsidRDefault="008944CE" w:rsidP="00932F14">
            <w:pPr>
              <w:jc w:val="center"/>
              <w:rPr>
                <w:b/>
                <w:bCs/>
                <w:lang w:eastAsia="es-CR"/>
              </w:rPr>
            </w:pPr>
            <w:r w:rsidRPr="00932F14">
              <w:rPr>
                <w:b/>
                <w:bCs/>
                <w:lang w:eastAsia="es-CR"/>
              </w:rPr>
              <w:t xml:space="preserve">Materia de Tránsito: Casos entrados, casos terminados y circulante al finalizar el año </w:t>
            </w:r>
          </w:p>
        </w:tc>
      </w:tr>
      <w:tr w:rsidR="008944CE" w:rsidRPr="00932F14" w14:paraId="5DED8D88" w14:textId="77777777" w:rsidTr="008944CE">
        <w:trPr>
          <w:trHeight w:val="315"/>
          <w:jc w:val="center"/>
        </w:trPr>
        <w:tc>
          <w:tcPr>
            <w:tcW w:w="0" w:type="auto"/>
            <w:gridSpan w:val="10"/>
            <w:shd w:val="clear" w:color="auto" w:fill="FFFFFF"/>
            <w:noWrap/>
            <w:vAlign w:val="center"/>
            <w:hideMark/>
          </w:tcPr>
          <w:p w14:paraId="05991CAB" w14:textId="77777777" w:rsidR="008944CE" w:rsidRPr="00932F14" w:rsidRDefault="008944CE" w:rsidP="00932F14">
            <w:pPr>
              <w:jc w:val="center"/>
              <w:rPr>
                <w:b/>
                <w:bCs/>
                <w:lang w:eastAsia="es-CR"/>
              </w:rPr>
            </w:pPr>
            <w:r w:rsidRPr="00932F14">
              <w:rPr>
                <w:b/>
                <w:bCs/>
                <w:lang w:eastAsia="es-CR"/>
              </w:rPr>
              <w:t>durante el período 2013-2019 y proyecciones estadísticas, para el bienio 2020-2021</w:t>
            </w:r>
          </w:p>
        </w:tc>
      </w:tr>
      <w:tr w:rsidR="008944CE" w:rsidRPr="00932F14" w14:paraId="147D5ACA" w14:textId="77777777" w:rsidTr="008944CE">
        <w:trPr>
          <w:trHeight w:val="315"/>
          <w:jc w:val="center"/>
        </w:trPr>
        <w:tc>
          <w:tcPr>
            <w:tcW w:w="0" w:type="auto"/>
            <w:shd w:val="clear" w:color="auto" w:fill="FFFFFF"/>
            <w:noWrap/>
            <w:vAlign w:val="center"/>
            <w:hideMark/>
          </w:tcPr>
          <w:p w14:paraId="7D5B8A32" w14:textId="77777777" w:rsidR="008944CE" w:rsidRPr="00932F14" w:rsidRDefault="008944CE" w:rsidP="00932F14">
            <w:pPr>
              <w:rPr>
                <w:lang w:eastAsia="es-CR"/>
              </w:rPr>
            </w:pPr>
            <w:r w:rsidRPr="00932F14">
              <w:rPr>
                <w:lang w:eastAsia="es-CR"/>
              </w:rPr>
              <w:t> </w:t>
            </w:r>
          </w:p>
        </w:tc>
        <w:tc>
          <w:tcPr>
            <w:tcW w:w="0" w:type="auto"/>
            <w:shd w:val="clear" w:color="auto" w:fill="FFFFFF"/>
            <w:noWrap/>
            <w:vAlign w:val="center"/>
            <w:hideMark/>
          </w:tcPr>
          <w:p w14:paraId="3BD1A0AB" w14:textId="77777777" w:rsidR="008944CE" w:rsidRPr="00932F14" w:rsidRDefault="008944CE" w:rsidP="00932F14">
            <w:pPr>
              <w:jc w:val="center"/>
              <w:rPr>
                <w:lang w:eastAsia="es-CR"/>
              </w:rPr>
            </w:pPr>
            <w:r w:rsidRPr="00932F14">
              <w:rPr>
                <w:lang w:eastAsia="es-CR"/>
              </w:rPr>
              <w:t> </w:t>
            </w:r>
          </w:p>
        </w:tc>
        <w:tc>
          <w:tcPr>
            <w:tcW w:w="0" w:type="auto"/>
            <w:shd w:val="clear" w:color="auto" w:fill="FFFFFF"/>
            <w:noWrap/>
            <w:vAlign w:val="center"/>
            <w:hideMark/>
          </w:tcPr>
          <w:p w14:paraId="740D8760" w14:textId="77777777" w:rsidR="008944CE" w:rsidRPr="00932F14" w:rsidRDefault="008944CE" w:rsidP="00932F14">
            <w:pPr>
              <w:jc w:val="center"/>
              <w:rPr>
                <w:lang w:eastAsia="es-CR"/>
              </w:rPr>
            </w:pPr>
            <w:r w:rsidRPr="00932F14">
              <w:rPr>
                <w:lang w:eastAsia="es-CR"/>
              </w:rPr>
              <w:t> </w:t>
            </w:r>
          </w:p>
        </w:tc>
        <w:tc>
          <w:tcPr>
            <w:tcW w:w="0" w:type="auto"/>
            <w:shd w:val="clear" w:color="auto" w:fill="FFFFFF"/>
            <w:noWrap/>
            <w:vAlign w:val="center"/>
            <w:hideMark/>
          </w:tcPr>
          <w:p w14:paraId="460F641D" w14:textId="77777777" w:rsidR="008944CE" w:rsidRPr="00932F14" w:rsidRDefault="008944CE" w:rsidP="00932F14">
            <w:pPr>
              <w:jc w:val="center"/>
              <w:rPr>
                <w:lang w:eastAsia="es-CR"/>
              </w:rPr>
            </w:pPr>
            <w:r w:rsidRPr="00932F14">
              <w:rPr>
                <w:lang w:eastAsia="es-CR"/>
              </w:rPr>
              <w:t> </w:t>
            </w:r>
          </w:p>
        </w:tc>
        <w:tc>
          <w:tcPr>
            <w:tcW w:w="0" w:type="auto"/>
            <w:shd w:val="clear" w:color="auto" w:fill="FFFFFF"/>
            <w:noWrap/>
            <w:vAlign w:val="center"/>
            <w:hideMark/>
          </w:tcPr>
          <w:p w14:paraId="57807849" w14:textId="77777777" w:rsidR="008944CE" w:rsidRPr="00932F14" w:rsidRDefault="008944CE" w:rsidP="00932F14">
            <w:pPr>
              <w:rPr>
                <w:lang w:eastAsia="es-CR"/>
              </w:rPr>
            </w:pPr>
          </w:p>
        </w:tc>
        <w:tc>
          <w:tcPr>
            <w:tcW w:w="0" w:type="auto"/>
            <w:shd w:val="clear" w:color="auto" w:fill="FFFFFF"/>
            <w:noWrap/>
            <w:vAlign w:val="center"/>
            <w:hideMark/>
          </w:tcPr>
          <w:p w14:paraId="76937ADB" w14:textId="77777777" w:rsidR="008944CE" w:rsidRPr="00932F14" w:rsidRDefault="008944CE" w:rsidP="00932F14">
            <w:pPr>
              <w:jc w:val="center"/>
              <w:rPr>
                <w:lang w:eastAsia="es-CR"/>
              </w:rPr>
            </w:pPr>
            <w:r w:rsidRPr="00932F14">
              <w:rPr>
                <w:lang w:eastAsia="es-CR"/>
              </w:rPr>
              <w:t> </w:t>
            </w:r>
          </w:p>
        </w:tc>
        <w:tc>
          <w:tcPr>
            <w:tcW w:w="0" w:type="auto"/>
            <w:shd w:val="clear" w:color="auto" w:fill="FFFFFF"/>
            <w:noWrap/>
            <w:vAlign w:val="center"/>
            <w:hideMark/>
          </w:tcPr>
          <w:p w14:paraId="12DD2ACF" w14:textId="77777777" w:rsidR="008944CE" w:rsidRPr="00932F14" w:rsidRDefault="008944CE" w:rsidP="00932F14">
            <w:pPr>
              <w:jc w:val="center"/>
              <w:rPr>
                <w:lang w:eastAsia="es-CR"/>
              </w:rPr>
            </w:pPr>
            <w:r w:rsidRPr="00932F14">
              <w:rPr>
                <w:lang w:eastAsia="es-CR"/>
              </w:rPr>
              <w:t> </w:t>
            </w:r>
          </w:p>
        </w:tc>
        <w:tc>
          <w:tcPr>
            <w:tcW w:w="0" w:type="auto"/>
            <w:shd w:val="clear" w:color="auto" w:fill="FFFFFF"/>
            <w:noWrap/>
            <w:vAlign w:val="center"/>
            <w:hideMark/>
          </w:tcPr>
          <w:p w14:paraId="49BFF56E" w14:textId="77777777" w:rsidR="008944CE" w:rsidRPr="00932F14" w:rsidRDefault="008944CE" w:rsidP="00932F14">
            <w:pPr>
              <w:jc w:val="center"/>
              <w:rPr>
                <w:lang w:eastAsia="es-CR"/>
              </w:rPr>
            </w:pPr>
            <w:r w:rsidRPr="00932F14">
              <w:rPr>
                <w:lang w:eastAsia="es-CR"/>
              </w:rPr>
              <w:t> </w:t>
            </w:r>
          </w:p>
        </w:tc>
        <w:tc>
          <w:tcPr>
            <w:tcW w:w="0" w:type="auto"/>
            <w:tcBorders>
              <w:top w:val="nil"/>
              <w:left w:val="nil"/>
              <w:bottom w:val="single" w:sz="8" w:space="0" w:color="auto"/>
              <w:right w:val="nil"/>
            </w:tcBorders>
            <w:shd w:val="clear" w:color="auto" w:fill="FFFFFF"/>
            <w:noWrap/>
            <w:vAlign w:val="center"/>
            <w:hideMark/>
          </w:tcPr>
          <w:p w14:paraId="64375992" w14:textId="77777777" w:rsidR="008944CE" w:rsidRPr="00932F14" w:rsidRDefault="008944CE" w:rsidP="00932F14">
            <w:pPr>
              <w:rPr>
                <w:lang w:eastAsia="es-CR"/>
              </w:rPr>
            </w:pPr>
            <w:r w:rsidRPr="00932F14">
              <w:rPr>
                <w:lang w:eastAsia="es-CR"/>
              </w:rPr>
              <w:t> </w:t>
            </w:r>
          </w:p>
        </w:tc>
        <w:tc>
          <w:tcPr>
            <w:tcW w:w="0" w:type="auto"/>
            <w:tcBorders>
              <w:top w:val="nil"/>
              <w:left w:val="nil"/>
              <w:bottom w:val="single" w:sz="8" w:space="0" w:color="auto"/>
              <w:right w:val="nil"/>
            </w:tcBorders>
            <w:shd w:val="clear" w:color="auto" w:fill="FFFFFF"/>
            <w:noWrap/>
            <w:vAlign w:val="center"/>
            <w:hideMark/>
          </w:tcPr>
          <w:p w14:paraId="3A74235C" w14:textId="77777777" w:rsidR="008944CE" w:rsidRPr="00932F14" w:rsidRDefault="008944CE" w:rsidP="00932F14">
            <w:pPr>
              <w:rPr>
                <w:lang w:eastAsia="es-CR"/>
              </w:rPr>
            </w:pPr>
            <w:r w:rsidRPr="00932F14">
              <w:rPr>
                <w:lang w:eastAsia="es-CR"/>
              </w:rPr>
              <w:t> </w:t>
            </w:r>
          </w:p>
        </w:tc>
      </w:tr>
      <w:tr w:rsidR="008944CE" w:rsidRPr="00932F14" w14:paraId="2A41D7FB" w14:textId="77777777" w:rsidTr="008944CE">
        <w:trPr>
          <w:trHeight w:val="390"/>
          <w:jc w:val="center"/>
        </w:trPr>
        <w:tc>
          <w:tcPr>
            <w:tcW w:w="0" w:type="auto"/>
            <w:vMerge w:val="restart"/>
            <w:tcBorders>
              <w:top w:val="single" w:sz="8" w:space="0" w:color="auto"/>
              <w:left w:val="nil"/>
              <w:bottom w:val="single" w:sz="8" w:space="0" w:color="000000"/>
              <w:right w:val="single" w:sz="8" w:space="0" w:color="auto"/>
            </w:tcBorders>
            <w:shd w:val="clear" w:color="auto" w:fill="FFFFFF"/>
            <w:noWrap/>
            <w:vAlign w:val="center"/>
            <w:hideMark/>
          </w:tcPr>
          <w:p w14:paraId="2810AD1C" w14:textId="77777777" w:rsidR="008944CE" w:rsidRPr="00932F14" w:rsidRDefault="008944CE" w:rsidP="00932F14">
            <w:pPr>
              <w:jc w:val="center"/>
              <w:rPr>
                <w:b/>
                <w:bCs/>
                <w:lang w:eastAsia="es-CR"/>
              </w:rPr>
            </w:pPr>
            <w:r w:rsidRPr="00932F14">
              <w:rPr>
                <w:b/>
                <w:bCs/>
                <w:lang w:eastAsia="es-CR"/>
              </w:rPr>
              <w:t>Variable</w:t>
            </w:r>
          </w:p>
        </w:tc>
        <w:tc>
          <w:tcPr>
            <w:tcW w:w="0" w:type="auto"/>
            <w:gridSpan w:val="7"/>
            <w:tcBorders>
              <w:top w:val="single" w:sz="8" w:space="0" w:color="auto"/>
              <w:left w:val="nil"/>
              <w:bottom w:val="single" w:sz="8" w:space="0" w:color="auto"/>
              <w:right w:val="single" w:sz="8" w:space="0" w:color="000000"/>
            </w:tcBorders>
            <w:shd w:val="clear" w:color="auto" w:fill="E7E6E6"/>
            <w:noWrap/>
            <w:vAlign w:val="center"/>
            <w:hideMark/>
          </w:tcPr>
          <w:p w14:paraId="22CDC7B7" w14:textId="77777777" w:rsidR="008944CE" w:rsidRPr="00932F14" w:rsidRDefault="008944CE" w:rsidP="00932F14">
            <w:pPr>
              <w:jc w:val="center"/>
              <w:rPr>
                <w:b/>
                <w:bCs/>
                <w:lang w:eastAsia="es-CR"/>
              </w:rPr>
            </w:pPr>
            <w:r w:rsidRPr="00932F14">
              <w:rPr>
                <w:b/>
                <w:bCs/>
                <w:lang w:eastAsia="es-CR"/>
              </w:rPr>
              <w:t>Movimientos ocurridos por año</w:t>
            </w:r>
          </w:p>
        </w:tc>
        <w:tc>
          <w:tcPr>
            <w:tcW w:w="0" w:type="auto"/>
            <w:gridSpan w:val="2"/>
            <w:tcBorders>
              <w:top w:val="single" w:sz="8" w:space="0" w:color="auto"/>
              <w:left w:val="nil"/>
              <w:bottom w:val="single" w:sz="8" w:space="0" w:color="auto"/>
              <w:right w:val="nil"/>
            </w:tcBorders>
            <w:shd w:val="clear" w:color="auto" w:fill="FCE4D6"/>
            <w:noWrap/>
            <w:vAlign w:val="center"/>
            <w:hideMark/>
          </w:tcPr>
          <w:p w14:paraId="4B738854" w14:textId="77777777" w:rsidR="008944CE" w:rsidRPr="00932F14" w:rsidRDefault="008944CE" w:rsidP="00932F14">
            <w:pPr>
              <w:jc w:val="center"/>
              <w:rPr>
                <w:b/>
                <w:bCs/>
                <w:lang w:eastAsia="es-CR"/>
              </w:rPr>
            </w:pPr>
            <w:r w:rsidRPr="00932F14">
              <w:rPr>
                <w:b/>
                <w:bCs/>
                <w:lang w:eastAsia="es-CR"/>
              </w:rPr>
              <w:t>Proyección</w:t>
            </w:r>
            <w:r w:rsidRPr="00932F14">
              <w:rPr>
                <w:b/>
                <w:bCs/>
                <w:vertAlign w:val="superscript"/>
                <w:lang w:eastAsia="es-CR"/>
              </w:rPr>
              <w:t>(1)</w:t>
            </w:r>
          </w:p>
        </w:tc>
      </w:tr>
      <w:tr w:rsidR="008944CE" w:rsidRPr="00932F14" w14:paraId="1E0726B3" w14:textId="77777777" w:rsidTr="008944CE">
        <w:trPr>
          <w:trHeight w:val="330"/>
          <w:jc w:val="center"/>
        </w:trPr>
        <w:tc>
          <w:tcPr>
            <w:tcW w:w="0" w:type="auto"/>
            <w:vMerge/>
            <w:tcBorders>
              <w:top w:val="single" w:sz="8" w:space="0" w:color="auto"/>
              <w:left w:val="nil"/>
              <w:bottom w:val="single" w:sz="8" w:space="0" w:color="000000"/>
              <w:right w:val="single" w:sz="8" w:space="0" w:color="auto"/>
            </w:tcBorders>
            <w:vAlign w:val="center"/>
            <w:hideMark/>
          </w:tcPr>
          <w:p w14:paraId="3B078D61" w14:textId="77777777" w:rsidR="008944CE" w:rsidRPr="00932F14" w:rsidRDefault="008944CE" w:rsidP="00932F14">
            <w:pPr>
              <w:rPr>
                <w:b/>
                <w:bCs/>
                <w:lang w:eastAsia="es-CR"/>
              </w:rPr>
            </w:pPr>
          </w:p>
        </w:tc>
        <w:tc>
          <w:tcPr>
            <w:tcW w:w="0" w:type="auto"/>
            <w:tcBorders>
              <w:top w:val="nil"/>
              <w:left w:val="nil"/>
              <w:bottom w:val="single" w:sz="8" w:space="0" w:color="auto"/>
              <w:right w:val="single" w:sz="8" w:space="0" w:color="auto"/>
            </w:tcBorders>
            <w:shd w:val="clear" w:color="auto" w:fill="E7E6E6"/>
            <w:noWrap/>
            <w:vAlign w:val="center"/>
            <w:hideMark/>
          </w:tcPr>
          <w:p w14:paraId="2BC789DF" w14:textId="77777777" w:rsidR="008944CE" w:rsidRPr="00932F14" w:rsidRDefault="008944CE" w:rsidP="00932F14">
            <w:pPr>
              <w:jc w:val="center"/>
              <w:rPr>
                <w:b/>
                <w:bCs/>
                <w:lang w:eastAsia="es-CR"/>
              </w:rPr>
            </w:pPr>
            <w:r w:rsidRPr="00932F14">
              <w:rPr>
                <w:b/>
                <w:bCs/>
                <w:lang w:eastAsia="es-CR"/>
              </w:rPr>
              <w:t>2013</w:t>
            </w:r>
          </w:p>
        </w:tc>
        <w:tc>
          <w:tcPr>
            <w:tcW w:w="0" w:type="auto"/>
            <w:tcBorders>
              <w:top w:val="nil"/>
              <w:left w:val="nil"/>
              <w:bottom w:val="single" w:sz="8" w:space="0" w:color="auto"/>
              <w:right w:val="single" w:sz="8" w:space="0" w:color="auto"/>
            </w:tcBorders>
            <w:shd w:val="clear" w:color="auto" w:fill="E7E6E6"/>
            <w:noWrap/>
            <w:vAlign w:val="center"/>
            <w:hideMark/>
          </w:tcPr>
          <w:p w14:paraId="2100FC5E" w14:textId="77777777" w:rsidR="008944CE" w:rsidRPr="00932F14" w:rsidRDefault="008944CE" w:rsidP="00932F14">
            <w:pPr>
              <w:jc w:val="center"/>
              <w:rPr>
                <w:b/>
                <w:bCs/>
                <w:lang w:eastAsia="es-CR"/>
              </w:rPr>
            </w:pPr>
            <w:r w:rsidRPr="00932F14">
              <w:rPr>
                <w:b/>
                <w:bCs/>
                <w:lang w:eastAsia="es-CR"/>
              </w:rPr>
              <w:t>2014</w:t>
            </w:r>
          </w:p>
        </w:tc>
        <w:tc>
          <w:tcPr>
            <w:tcW w:w="0" w:type="auto"/>
            <w:tcBorders>
              <w:top w:val="nil"/>
              <w:left w:val="nil"/>
              <w:bottom w:val="single" w:sz="8" w:space="0" w:color="auto"/>
              <w:right w:val="single" w:sz="8" w:space="0" w:color="auto"/>
            </w:tcBorders>
            <w:shd w:val="clear" w:color="auto" w:fill="E7E6E6"/>
            <w:noWrap/>
            <w:vAlign w:val="center"/>
            <w:hideMark/>
          </w:tcPr>
          <w:p w14:paraId="3DDE5925" w14:textId="77777777" w:rsidR="008944CE" w:rsidRPr="00932F14" w:rsidRDefault="008944CE" w:rsidP="00932F14">
            <w:pPr>
              <w:jc w:val="center"/>
              <w:rPr>
                <w:b/>
                <w:bCs/>
                <w:lang w:eastAsia="es-CR"/>
              </w:rPr>
            </w:pPr>
            <w:r w:rsidRPr="00932F14">
              <w:rPr>
                <w:b/>
                <w:bCs/>
                <w:lang w:eastAsia="es-CR"/>
              </w:rPr>
              <w:t>2015</w:t>
            </w:r>
          </w:p>
        </w:tc>
        <w:tc>
          <w:tcPr>
            <w:tcW w:w="0" w:type="auto"/>
            <w:tcBorders>
              <w:top w:val="nil"/>
              <w:left w:val="nil"/>
              <w:bottom w:val="single" w:sz="8" w:space="0" w:color="auto"/>
              <w:right w:val="single" w:sz="8" w:space="0" w:color="auto"/>
            </w:tcBorders>
            <w:shd w:val="clear" w:color="auto" w:fill="E7E6E6"/>
            <w:noWrap/>
            <w:vAlign w:val="center"/>
            <w:hideMark/>
          </w:tcPr>
          <w:p w14:paraId="160EC6B9" w14:textId="77777777" w:rsidR="008944CE" w:rsidRPr="00932F14" w:rsidRDefault="008944CE" w:rsidP="00932F14">
            <w:pPr>
              <w:jc w:val="center"/>
              <w:rPr>
                <w:b/>
                <w:bCs/>
                <w:lang w:eastAsia="es-CR"/>
              </w:rPr>
            </w:pPr>
            <w:r w:rsidRPr="00932F14">
              <w:rPr>
                <w:b/>
                <w:bCs/>
                <w:lang w:eastAsia="es-CR"/>
              </w:rPr>
              <w:t>2016</w:t>
            </w:r>
          </w:p>
        </w:tc>
        <w:tc>
          <w:tcPr>
            <w:tcW w:w="0" w:type="auto"/>
            <w:tcBorders>
              <w:top w:val="nil"/>
              <w:left w:val="nil"/>
              <w:bottom w:val="single" w:sz="8" w:space="0" w:color="auto"/>
              <w:right w:val="single" w:sz="8" w:space="0" w:color="auto"/>
            </w:tcBorders>
            <w:shd w:val="clear" w:color="auto" w:fill="E7E6E6"/>
            <w:noWrap/>
            <w:vAlign w:val="center"/>
            <w:hideMark/>
          </w:tcPr>
          <w:p w14:paraId="4FEA585C" w14:textId="77777777" w:rsidR="008944CE" w:rsidRPr="00932F14" w:rsidRDefault="008944CE" w:rsidP="00932F14">
            <w:pPr>
              <w:jc w:val="center"/>
              <w:rPr>
                <w:b/>
                <w:bCs/>
                <w:lang w:eastAsia="es-CR"/>
              </w:rPr>
            </w:pPr>
            <w:r w:rsidRPr="00932F14">
              <w:rPr>
                <w:b/>
                <w:bCs/>
                <w:lang w:eastAsia="es-CR"/>
              </w:rPr>
              <w:t>2017</w:t>
            </w:r>
          </w:p>
        </w:tc>
        <w:tc>
          <w:tcPr>
            <w:tcW w:w="0" w:type="auto"/>
            <w:tcBorders>
              <w:top w:val="nil"/>
              <w:left w:val="nil"/>
              <w:bottom w:val="single" w:sz="8" w:space="0" w:color="auto"/>
              <w:right w:val="single" w:sz="8" w:space="0" w:color="auto"/>
            </w:tcBorders>
            <w:shd w:val="clear" w:color="auto" w:fill="E7E6E6"/>
            <w:noWrap/>
            <w:vAlign w:val="center"/>
            <w:hideMark/>
          </w:tcPr>
          <w:p w14:paraId="6C4CA141" w14:textId="77777777" w:rsidR="008944CE" w:rsidRPr="00932F14" w:rsidRDefault="008944CE" w:rsidP="00932F14">
            <w:pPr>
              <w:jc w:val="center"/>
              <w:rPr>
                <w:b/>
                <w:bCs/>
                <w:lang w:eastAsia="es-CR"/>
              </w:rPr>
            </w:pPr>
            <w:r w:rsidRPr="00932F14">
              <w:rPr>
                <w:b/>
                <w:bCs/>
                <w:lang w:eastAsia="es-CR"/>
              </w:rPr>
              <w:t>2018</w:t>
            </w:r>
          </w:p>
        </w:tc>
        <w:tc>
          <w:tcPr>
            <w:tcW w:w="0" w:type="auto"/>
            <w:tcBorders>
              <w:top w:val="nil"/>
              <w:left w:val="nil"/>
              <w:bottom w:val="single" w:sz="8" w:space="0" w:color="auto"/>
              <w:right w:val="single" w:sz="8" w:space="0" w:color="auto"/>
            </w:tcBorders>
            <w:shd w:val="clear" w:color="auto" w:fill="E7E6E6"/>
            <w:noWrap/>
            <w:vAlign w:val="center"/>
            <w:hideMark/>
          </w:tcPr>
          <w:p w14:paraId="52D320AA" w14:textId="77777777" w:rsidR="008944CE" w:rsidRPr="00932F14" w:rsidRDefault="008944CE" w:rsidP="00932F14">
            <w:pPr>
              <w:jc w:val="center"/>
              <w:rPr>
                <w:b/>
                <w:bCs/>
                <w:lang w:eastAsia="es-CR"/>
              </w:rPr>
            </w:pPr>
            <w:r w:rsidRPr="00932F14">
              <w:rPr>
                <w:b/>
                <w:bCs/>
                <w:lang w:eastAsia="es-CR"/>
              </w:rPr>
              <w:t>2019</w:t>
            </w:r>
          </w:p>
        </w:tc>
        <w:tc>
          <w:tcPr>
            <w:tcW w:w="0" w:type="auto"/>
            <w:tcBorders>
              <w:top w:val="nil"/>
              <w:left w:val="nil"/>
              <w:bottom w:val="single" w:sz="8" w:space="0" w:color="auto"/>
              <w:right w:val="single" w:sz="8" w:space="0" w:color="auto"/>
            </w:tcBorders>
            <w:shd w:val="clear" w:color="auto" w:fill="FCE4D6"/>
            <w:noWrap/>
            <w:vAlign w:val="center"/>
            <w:hideMark/>
          </w:tcPr>
          <w:p w14:paraId="089902E3" w14:textId="77777777" w:rsidR="008944CE" w:rsidRPr="00932F14" w:rsidRDefault="008944CE" w:rsidP="00932F14">
            <w:pPr>
              <w:jc w:val="center"/>
              <w:rPr>
                <w:b/>
                <w:bCs/>
                <w:lang w:eastAsia="es-CR"/>
              </w:rPr>
            </w:pPr>
            <w:r w:rsidRPr="00932F14">
              <w:rPr>
                <w:b/>
                <w:bCs/>
                <w:lang w:eastAsia="es-CR"/>
              </w:rPr>
              <w:t>2020</w:t>
            </w:r>
          </w:p>
        </w:tc>
        <w:tc>
          <w:tcPr>
            <w:tcW w:w="0" w:type="auto"/>
            <w:tcBorders>
              <w:top w:val="nil"/>
              <w:left w:val="nil"/>
              <w:bottom w:val="single" w:sz="8" w:space="0" w:color="auto"/>
              <w:right w:val="nil"/>
            </w:tcBorders>
            <w:shd w:val="clear" w:color="auto" w:fill="FCE4D6"/>
            <w:noWrap/>
            <w:vAlign w:val="center"/>
            <w:hideMark/>
          </w:tcPr>
          <w:p w14:paraId="71106BDE" w14:textId="77777777" w:rsidR="008944CE" w:rsidRPr="00932F14" w:rsidRDefault="008944CE" w:rsidP="00932F14">
            <w:pPr>
              <w:jc w:val="center"/>
              <w:rPr>
                <w:b/>
                <w:bCs/>
                <w:lang w:eastAsia="es-CR"/>
              </w:rPr>
            </w:pPr>
            <w:r w:rsidRPr="00932F14">
              <w:rPr>
                <w:b/>
                <w:bCs/>
                <w:lang w:eastAsia="es-CR"/>
              </w:rPr>
              <w:t>2021</w:t>
            </w:r>
          </w:p>
        </w:tc>
      </w:tr>
      <w:tr w:rsidR="008944CE" w:rsidRPr="00932F14" w14:paraId="02264EDB" w14:textId="77777777" w:rsidTr="008944CE">
        <w:trPr>
          <w:trHeight w:val="315"/>
          <w:jc w:val="center"/>
        </w:trPr>
        <w:tc>
          <w:tcPr>
            <w:tcW w:w="0" w:type="auto"/>
            <w:shd w:val="clear" w:color="auto" w:fill="FFFFFF"/>
            <w:noWrap/>
            <w:vAlign w:val="center"/>
            <w:hideMark/>
          </w:tcPr>
          <w:p w14:paraId="13646F08" w14:textId="77777777" w:rsidR="008944CE" w:rsidRPr="00932F14" w:rsidRDefault="008944CE" w:rsidP="00932F14">
            <w:pPr>
              <w:rPr>
                <w:lang w:eastAsia="es-CR"/>
              </w:rPr>
            </w:pPr>
            <w:r w:rsidRPr="00932F14">
              <w:rPr>
                <w:lang w:eastAsia="es-CR"/>
              </w:rPr>
              <w:t>Casos entrados</w:t>
            </w:r>
          </w:p>
        </w:tc>
        <w:tc>
          <w:tcPr>
            <w:tcW w:w="0" w:type="auto"/>
            <w:shd w:val="clear" w:color="auto" w:fill="FFFFFF"/>
            <w:noWrap/>
            <w:vAlign w:val="center"/>
            <w:hideMark/>
          </w:tcPr>
          <w:p w14:paraId="0F043CC2" w14:textId="77777777" w:rsidR="008944CE" w:rsidRPr="00932F14" w:rsidRDefault="008944CE" w:rsidP="00932F14">
            <w:pPr>
              <w:jc w:val="center"/>
              <w:rPr>
                <w:lang w:eastAsia="es-CR"/>
              </w:rPr>
            </w:pPr>
            <w:r w:rsidRPr="00932F14">
              <w:rPr>
                <w:lang w:eastAsia="es-CR"/>
              </w:rPr>
              <w:t>62,144</w:t>
            </w:r>
          </w:p>
        </w:tc>
        <w:tc>
          <w:tcPr>
            <w:tcW w:w="0" w:type="auto"/>
            <w:shd w:val="clear" w:color="auto" w:fill="FFFFFF"/>
            <w:noWrap/>
            <w:vAlign w:val="center"/>
            <w:hideMark/>
          </w:tcPr>
          <w:p w14:paraId="309B9074" w14:textId="77777777" w:rsidR="008944CE" w:rsidRPr="00932F14" w:rsidRDefault="008944CE" w:rsidP="00932F14">
            <w:pPr>
              <w:jc w:val="center"/>
              <w:rPr>
                <w:lang w:eastAsia="es-CR"/>
              </w:rPr>
            </w:pPr>
            <w:r w:rsidRPr="00932F14">
              <w:rPr>
                <w:lang w:eastAsia="es-CR"/>
              </w:rPr>
              <w:t>66,447</w:t>
            </w:r>
          </w:p>
        </w:tc>
        <w:tc>
          <w:tcPr>
            <w:tcW w:w="0" w:type="auto"/>
            <w:shd w:val="clear" w:color="auto" w:fill="FFFFFF"/>
            <w:noWrap/>
            <w:vAlign w:val="center"/>
            <w:hideMark/>
          </w:tcPr>
          <w:p w14:paraId="5B0191E6" w14:textId="77777777" w:rsidR="008944CE" w:rsidRPr="00932F14" w:rsidRDefault="008944CE" w:rsidP="00932F14">
            <w:pPr>
              <w:jc w:val="center"/>
              <w:rPr>
                <w:lang w:eastAsia="es-CR"/>
              </w:rPr>
            </w:pPr>
            <w:r w:rsidRPr="00932F14">
              <w:rPr>
                <w:lang w:eastAsia="es-CR"/>
              </w:rPr>
              <w:t>77,236</w:t>
            </w:r>
          </w:p>
        </w:tc>
        <w:tc>
          <w:tcPr>
            <w:tcW w:w="0" w:type="auto"/>
            <w:shd w:val="clear" w:color="auto" w:fill="FFFFFF"/>
            <w:noWrap/>
            <w:vAlign w:val="center"/>
            <w:hideMark/>
          </w:tcPr>
          <w:p w14:paraId="664703A3" w14:textId="77777777" w:rsidR="008944CE" w:rsidRPr="00932F14" w:rsidRDefault="008944CE" w:rsidP="00932F14">
            <w:pPr>
              <w:jc w:val="center"/>
              <w:rPr>
                <w:lang w:eastAsia="es-CR"/>
              </w:rPr>
            </w:pPr>
            <w:r w:rsidRPr="00932F14">
              <w:rPr>
                <w:lang w:eastAsia="es-CR"/>
              </w:rPr>
              <w:t>81,515</w:t>
            </w:r>
          </w:p>
        </w:tc>
        <w:tc>
          <w:tcPr>
            <w:tcW w:w="0" w:type="auto"/>
            <w:shd w:val="clear" w:color="auto" w:fill="FFFFFF"/>
            <w:noWrap/>
            <w:vAlign w:val="center"/>
            <w:hideMark/>
          </w:tcPr>
          <w:p w14:paraId="4D63714F" w14:textId="77777777" w:rsidR="008944CE" w:rsidRPr="00932F14" w:rsidRDefault="008944CE" w:rsidP="00932F14">
            <w:pPr>
              <w:jc w:val="center"/>
              <w:rPr>
                <w:lang w:eastAsia="es-CR"/>
              </w:rPr>
            </w:pPr>
            <w:r w:rsidRPr="00932F14">
              <w:rPr>
                <w:lang w:eastAsia="es-CR"/>
              </w:rPr>
              <w:t>81,574</w:t>
            </w:r>
          </w:p>
        </w:tc>
        <w:tc>
          <w:tcPr>
            <w:tcW w:w="0" w:type="auto"/>
            <w:shd w:val="clear" w:color="auto" w:fill="FFFFFF"/>
            <w:noWrap/>
            <w:vAlign w:val="center"/>
            <w:hideMark/>
          </w:tcPr>
          <w:p w14:paraId="7AFECF85" w14:textId="77777777" w:rsidR="008944CE" w:rsidRPr="00932F14" w:rsidRDefault="008944CE" w:rsidP="00932F14">
            <w:pPr>
              <w:jc w:val="center"/>
              <w:rPr>
                <w:lang w:eastAsia="es-CR"/>
              </w:rPr>
            </w:pPr>
            <w:r w:rsidRPr="00932F14">
              <w:rPr>
                <w:lang w:eastAsia="es-CR"/>
              </w:rPr>
              <w:t>74,878</w:t>
            </w:r>
          </w:p>
        </w:tc>
        <w:tc>
          <w:tcPr>
            <w:tcW w:w="0" w:type="auto"/>
            <w:tcBorders>
              <w:top w:val="nil"/>
              <w:left w:val="nil"/>
              <w:bottom w:val="nil"/>
              <w:right w:val="single" w:sz="8" w:space="0" w:color="auto"/>
            </w:tcBorders>
            <w:shd w:val="clear" w:color="auto" w:fill="FFFFFF"/>
            <w:noWrap/>
            <w:vAlign w:val="center"/>
            <w:hideMark/>
          </w:tcPr>
          <w:p w14:paraId="1C6C09C5" w14:textId="77777777" w:rsidR="008944CE" w:rsidRPr="00932F14" w:rsidRDefault="008944CE" w:rsidP="00932F14">
            <w:pPr>
              <w:jc w:val="center"/>
              <w:rPr>
                <w:lang w:eastAsia="es-CR"/>
              </w:rPr>
            </w:pPr>
            <w:r w:rsidRPr="00932F14">
              <w:rPr>
                <w:lang w:eastAsia="es-CR"/>
              </w:rPr>
              <w:t>79,876</w:t>
            </w:r>
          </w:p>
        </w:tc>
        <w:tc>
          <w:tcPr>
            <w:tcW w:w="0" w:type="auto"/>
            <w:shd w:val="clear" w:color="auto" w:fill="FFFFFF"/>
            <w:noWrap/>
            <w:vAlign w:val="center"/>
            <w:hideMark/>
          </w:tcPr>
          <w:p w14:paraId="77BF8622" w14:textId="77777777" w:rsidR="008944CE" w:rsidRPr="00932F14" w:rsidRDefault="008944CE" w:rsidP="00932F14">
            <w:pPr>
              <w:jc w:val="center"/>
              <w:rPr>
                <w:lang w:eastAsia="es-CR"/>
              </w:rPr>
            </w:pPr>
            <w:r w:rsidRPr="00932F14">
              <w:rPr>
                <w:lang w:eastAsia="es-CR"/>
              </w:rPr>
              <w:t>80,475</w:t>
            </w:r>
          </w:p>
        </w:tc>
        <w:tc>
          <w:tcPr>
            <w:tcW w:w="0" w:type="auto"/>
            <w:shd w:val="clear" w:color="auto" w:fill="FFFFFF"/>
            <w:noWrap/>
            <w:vAlign w:val="center"/>
            <w:hideMark/>
          </w:tcPr>
          <w:p w14:paraId="0989AFB4" w14:textId="77777777" w:rsidR="008944CE" w:rsidRPr="00932F14" w:rsidRDefault="008944CE" w:rsidP="00932F14">
            <w:pPr>
              <w:jc w:val="center"/>
              <w:rPr>
                <w:lang w:eastAsia="es-CR"/>
              </w:rPr>
            </w:pPr>
            <w:r w:rsidRPr="00932F14">
              <w:rPr>
                <w:lang w:eastAsia="es-CR"/>
              </w:rPr>
              <w:t>82,172</w:t>
            </w:r>
          </w:p>
        </w:tc>
      </w:tr>
      <w:tr w:rsidR="008944CE" w:rsidRPr="00932F14" w14:paraId="62A1A3B1" w14:textId="77777777" w:rsidTr="008944CE">
        <w:trPr>
          <w:trHeight w:val="315"/>
          <w:jc w:val="center"/>
        </w:trPr>
        <w:tc>
          <w:tcPr>
            <w:tcW w:w="0" w:type="auto"/>
            <w:shd w:val="clear" w:color="auto" w:fill="FFFFFF"/>
            <w:noWrap/>
            <w:vAlign w:val="center"/>
            <w:hideMark/>
          </w:tcPr>
          <w:p w14:paraId="12ABDF75" w14:textId="77777777" w:rsidR="008944CE" w:rsidRPr="00932F14" w:rsidRDefault="008944CE" w:rsidP="00932F14">
            <w:pPr>
              <w:rPr>
                <w:lang w:eastAsia="es-CR"/>
              </w:rPr>
            </w:pPr>
            <w:r w:rsidRPr="00932F14">
              <w:rPr>
                <w:lang w:eastAsia="es-CR"/>
              </w:rPr>
              <w:t>Casos terminados</w:t>
            </w:r>
          </w:p>
        </w:tc>
        <w:tc>
          <w:tcPr>
            <w:tcW w:w="0" w:type="auto"/>
            <w:shd w:val="clear" w:color="auto" w:fill="FFFFFF"/>
            <w:noWrap/>
            <w:vAlign w:val="center"/>
            <w:hideMark/>
          </w:tcPr>
          <w:p w14:paraId="66A85250" w14:textId="77777777" w:rsidR="008944CE" w:rsidRPr="00932F14" w:rsidRDefault="008944CE" w:rsidP="00932F14">
            <w:pPr>
              <w:jc w:val="center"/>
              <w:rPr>
                <w:lang w:eastAsia="es-CR"/>
              </w:rPr>
            </w:pPr>
            <w:r w:rsidRPr="00932F14">
              <w:rPr>
                <w:lang w:eastAsia="es-CR"/>
              </w:rPr>
              <w:t>59,989</w:t>
            </w:r>
          </w:p>
        </w:tc>
        <w:tc>
          <w:tcPr>
            <w:tcW w:w="0" w:type="auto"/>
            <w:shd w:val="clear" w:color="auto" w:fill="FFFFFF"/>
            <w:noWrap/>
            <w:vAlign w:val="center"/>
            <w:hideMark/>
          </w:tcPr>
          <w:p w14:paraId="626AAA7E" w14:textId="77777777" w:rsidR="008944CE" w:rsidRPr="00932F14" w:rsidRDefault="008944CE" w:rsidP="00932F14">
            <w:pPr>
              <w:jc w:val="center"/>
              <w:rPr>
                <w:lang w:eastAsia="es-CR"/>
              </w:rPr>
            </w:pPr>
            <w:r w:rsidRPr="00932F14">
              <w:rPr>
                <w:lang w:eastAsia="es-CR"/>
              </w:rPr>
              <w:t>68,238</w:t>
            </w:r>
          </w:p>
        </w:tc>
        <w:tc>
          <w:tcPr>
            <w:tcW w:w="0" w:type="auto"/>
            <w:shd w:val="clear" w:color="auto" w:fill="FFFFFF"/>
            <w:noWrap/>
            <w:vAlign w:val="center"/>
            <w:hideMark/>
          </w:tcPr>
          <w:p w14:paraId="311B7F0A" w14:textId="77777777" w:rsidR="008944CE" w:rsidRPr="00932F14" w:rsidRDefault="008944CE" w:rsidP="00932F14">
            <w:pPr>
              <w:jc w:val="center"/>
              <w:rPr>
                <w:lang w:eastAsia="es-CR"/>
              </w:rPr>
            </w:pPr>
            <w:r w:rsidRPr="00932F14">
              <w:rPr>
                <w:lang w:eastAsia="es-CR"/>
              </w:rPr>
              <w:t>75,235</w:t>
            </w:r>
          </w:p>
        </w:tc>
        <w:tc>
          <w:tcPr>
            <w:tcW w:w="0" w:type="auto"/>
            <w:shd w:val="clear" w:color="auto" w:fill="FFFFFF"/>
            <w:noWrap/>
            <w:vAlign w:val="center"/>
            <w:hideMark/>
          </w:tcPr>
          <w:p w14:paraId="06E55F41" w14:textId="77777777" w:rsidR="008944CE" w:rsidRPr="00932F14" w:rsidRDefault="008944CE" w:rsidP="00932F14">
            <w:pPr>
              <w:jc w:val="center"/>
              <w:rPr>
                <w:lang w:eastAsia="es-CR"/>
              </w:rPr>
            </w:pPr>
            <w:r w:rsidRPr="00932F14">
              <w:rPr>
                <w:lang w:eastAsia="es-CR"/>
              </w:rPr>
              <w:t>83,428</w:t>
            </w:r>
          </w:p>
        </w:tc>
        <w:tc>
          <w:tcPr>
            <w:tcW w:w="0" w:type="auto"/>
            <w:shd w:val="clear" w:color="auto" w:fill="FFFFFF"/>
            <w:noWrap/>
            <w:vAlign w:val="center"/>
            <w:hideMark/>
          </w:tcPr>
          <w:p w14:paraId="2883F211" w14:textId="77777777" w:rsidR="008944CE" w:rsidRPr="00932F14" w:rsidRDefault="008944CE" w:rsidP="00932F14">
            <w:pPr>
              <w:jc w:val="center"/>
              <w:rPr>
                <w:lang w:eastAsia="es-CR"/>
              </w:rPr>
            </w:pPr>
            <w:r w:rsidRPr="00932F14">
              <w:rPr>
                <w:lang w:eastAsia="es-CR"/>
              </w:rPr>
              <w:t>83,340</w:t>
            </w:r>
          </w:p>
        </w:tc>
        <w:tc>
          <w:tcPr>
            <w:tcW w:w="0" w:type="auto"/>
            <w:shd w:val="clear" w:color="auto" w:fill="FFFFFF"/>
            <w:noWrap/>
            <w:vAlign w:val="center"/>
            <w:hideMark/>
          </w:tcPr>
          <w:p w14:paraId="68EA4B84" w14:textId="77777777" w:rsidR="008944CE" w:rsidRPr="00932F14" w:rsidRDefault="008944CE" w:rsidP="00932F14">
            <w:pPr>
              <w:jc w:val="center"/>
              <w:rPr>
                <w:lang w:eastAsia="es-CR"/>
              </w:rPr>
            </w:pPr>
            <w:r w:rsidRPr="00932F14">
              <w:rPr>
                <w:lang w:eastAsia="es-CR"/>
              </w:rPr>
              <w:t>79,020</w:t>
            </w:r>
          </w:p>
        </w:tc>
        <w:tc>
          <w:tcPr>
            <w:tcW w:w="0" w:type="auto"/>
            <w:tcBorders>
              <w:top w:val="nil"/>
              <w:left w:val="nil"/>
              <w:bottom w:val="nil"/>
              <w:right w:val="single" w:sz="8" w:space="0" w:color="auto"/>
            </w:tcBorders>
            <w:shd w:val="clear" w:color="auto" w:fill="FFFFFF"/>
            <w:noWrap/>
            <w:vAlign w:val="center"/>
            <w:hideMark/>
          </w:tcPr>
          <w:p w14:paraId="7F6002E2" w14:textId="77777777" w:rsidR="008944CE" w:rsidRPr="00932F14" w:rsidRDefault="008944CE" w:rsidP="00932F14">
            <w:pPr>
              <w:jc w:val="center"/>
              <w:rPr>
                <w:lang w:eastAsia="es-CR"/>
              </w:rPr>
            </w:pPr>
            <w:r w:rsidRPr="00932F14">
              <w:rPr>
                <w:lang w:eastAsia="es-CR"/>
              </w:rPr>
              <w:t>83,590</w:t>
            </w:r>
          </w:p>
        </w:tc>
        <w:tc>
          <w:tcPr>
            <w:tcW w:w="0" w:type="auto"/>
            <w:shd w:val="clear" w:color="auto" w:fill="FFFFFF"/>
            <w:noWrap/>
            <w:vAlign w:val="center"/>
            <w:hideMark/>
          </w:tcPr>
          <w:p w14:paraId="215B8294" w14:textId="77777777" w:rsidR="008944CE" w:rsidRPr="00932F14" w:rsidRDefault="008944CE" w:rsidP="00932F14">
            <w:pPr>
              <w:jc w:val="center"/>
              <w:rPr>
                <w:lang w:eastAsia="es-CR"/>
              </w:rPr>
            </w:pPr>
            <w:r w:rsidRPr="00932F14">
              <w:rPr>
                <w:lang w:eastAsia="es-CR"/>
              </w:rPr>
              <w:t>85,829</w:t>
            </w:r>
          </w:p>
        </w:tc>
        <w:tc>
          <w:tcPr>
            <w:tcW w:w="0" w:type="auto"/>
            <w:shd w:val="clear" w:color="auto" w:fill="FFFFFF"/>
            <w:noWrap/>
            <w:vAlign w:val="center"/>
            <w:hideMark/>
          </w:tcPr>
          <w:p w14:paraId="4EAD1F96" w14:textId="77777777" w:rsidR="008944CE" w:rsidRPr="00932F14" w:rsidRDefault="008944CE" w:rsidP="00932F14">
            <w:pPr>
              <w:jc w:val="center"/>
              <w:rPr>
                <w:lang w:eastAsia="es-CR"/>
              </w:rPr>
            </w:pPr>
            <w:r w:rsidRPr="00932F14">
              <w:rPr>
                <w:lang w:eastAsia="es-CR"/>
              </w:rPr>
              <w:t>87,846</w:t>
            </w:r>
          </w:p>
        </w:tc>
      </w:tr>
      <w:tr w:rsidR="008944CE" w:rsidRPr="00932F14" w14:paraId="10A4697E" w14:textId="77777777" w:rsidTr="008944CE">
        <w:trPr>
          <w:trHeight w:val="330"/>
          <w:jc w:val="center"/>
        </w:trPr>
        <w:tc>
          <w:tcPr>
            <w:tcW w:w="0" w:type="auto"/>
            <w:tcBorders>
              <w:top w:val="nil"/>
              <w:left w:val="nil"/>
              <w:bottom w:val="single" w:sz="8" w:space="0" w:color="auto"/>
              <w:right w:val="nil"/>
            </w:tcBorders>
            <w:shd w:val="clear" w:color="auto" w:fill="FFFFFF"/>
            <w:noWrap/>
            <w:vAlign w:val="center"/>
            <w:hideMark/>
          </w:tcPr>
          <w:p w14:paraId="6E11B436" w14:textId="77777777" w:rsidR="008944CE" w:rsidRPr="00932F14" w:rsidRDefault="008944CE" w:rsidP="00932F14">
            <w:pPr>
              <w:rPr>
                <w:lang w:eastAsia="es-CR"/>
              </w:rPr>
            </w:pPr>
            <w:r w:rsidRPr="00932F14">
              <w:rPr>
                <w:lang w:eastAsia="es-CR"/>
              </w:rPr>
              <w:t>Circulante al finalizar</w:t>
            </w:r>
          </w:p>
        </w:tc>
        <w:tc>
          <w:tcPr>
            <w:tcW w:w="0" w:type="auto"/>
            <w:tcBorders>
              <w:top w:val="nil"/>
              <w:left w:val="nil"/>
              <w:bottom w:val="single" w:sz="8" w:space="0" w:color="auto"/>
              <w:right w:val="nil"/>
            </w:tcBorders>
            <w:shd w:val="clear" w:color="auto" w:fill="FFFFFF"/>
            <w:noWrap/>
            <w:vAlign w:val="center"/>
            <w:hideMark/>
          </w:tcPr>
          <w:p w14:paraId="383B5F93" w14:textId="77777777" w:rsidR="008944CE" w:rsidRPr="00932F14" w:rsidRDefault="008944CE" w:rsidP="00932F14">
            <w:pPr>
              <w:jc w:val="center"/>
              <w:rPr>
                <w:lang w:eastAsia="es-CR"/>
              </w:rPr>
            </w:pPr>
            <w:r w:rsidRPr="00932F14">
              <w:rPr>
                <w:lang w:eastAsia="es-CR"/>
              </w:rPr>
              <w:t>25,366</w:t>
            </w:r>
          </w:p>
        </w:tc>
        <w:tc>
          <w:tcPr>
            <w:tcW w:w="0" w:type="auto"/>
            <w:tcBorders>
              <w:top w:val="nil"/>
              <w:left w:val="nil"/>
              <w:bottom w:val="single" w:sz="8" w:space="0" w:color="auto"/>
              <w:right w:val="nil"/>
            </w:tcBorders>
            <w:shd w:val="clear" w:color="auto" w:fill="FFFFFF"/>
            <w:noWrap/>
            <w:vAlign w:val="center"/>
            <w:hideMark/>
          </w:tcPr>
          <w:p w14:paraId="58CE49DE" w14:textId="77777777" w:rsidR="008944CE" w:rsidRPr="00932F14" w:rsidRDefault="008944CE" w:rsidP="00932F14">
            <w:pPr>
              <w:jc w:val="center"/>
              <w:rPr>
                <w:lang w:eastAsia="es-CR"/>
              </w:rPr>
            </w:pPr>
            <w:r w:rsidRPr="00932F14">
              <w:rPr>
                <w:lang w:eastAsia="es-CR"/>
              </w:rPr>
              <w:t>25,522</w:t>
            </w:r>
          </w:p>
        </w:tc>
        <w:tc>
          <w:tcPr>
            <w:tcW w:w="0" w:type="auto"/>
            <w:tcBorders>
              <w:top w:val="nil"/>
              <w:left w:val="nil"/>
              <w:bottom w:val="single" w:sz="8" w:space="0" w:color="auto"/>
              <w:right w:val="nil"/>
            </w:tcBorders>
            <w:shd w:val="clear" w:color="auto" w:fill="FFFFFF"/>
            <w:noWrap/>
            <w:vAlign w:val="center"/>
            <w:hideMark/>
          </w:tcPr>
          <w:p w14:paraId="7CF49DB7" w14:textId="77777777" w:rsidR="008944CE" w:rsidRPr="00932F14" w:rsidRDefault="008944CE" w:rsidP="00932F14">
            <w:pPr>
              <w:jc w:val="center"/>
              <w:rPr>
                <w:lang w:eastAsia="es-CR"/>
              </w:rPr>
            </w:pPr>
            <w:r w:rsidRPr="00932F14">
              <w:rPr>
                <w:lang w:eastAsia="es-CR"/>
              </w:rPr>
              <w:t>29,475</w:t>
            </w:r>
          </w:p>
        </w:tc>
        <w:tc>
          <w:tcPr>
            <w:tcW w:w="0" w:type="auto"/>
            <w:tcBorders>
              <w:top w:val="nil"/>
              <w:left w:val="nil"/>
              <w:bottom w:val="single" w:sz="8" w:space="0" w:color="auto"/>
              <w:right w:val="nil"/>
            </w:tcBorders>
            <w:shd w:val="clear" w:color="auto" w:fill="FFFFFF"/>
            <w:noWrap/>
            <w:vAlign w:val="center"/>
            <w:hideMark/>
          </w:tcPr>
          <w:p w14:paraId="4F536E0A" w14:textId="77777777" w:rsidR="008944CE" w:rsidRPr="00932F14" w:rsidRDefault="008944CE" w:rsidP="00932F14">
            <w:pPr>
              <w:jc w:val="center"/>
              <w:rPr>
                <w:lang w:eastAsia="es-CR"/>
              </w:rPr>
            </w:pPr>
            <w:r w:rsidRPr="00932F14">
              <w:rPr>
                <w:lang w:eastAsia="es-CR"/>
              </w:rPr>
              <w:t>30,418</w:t>
            </w:r>
          </w:p>
        </w:tc>
        <w:tc>
          <w:tcPr>
            <w:tcW w:w="0" w:type="auto"/>
            <w:tcBorders>
              <w:top w:val="nil"/>
              <w:left w:val="nil"/>
              <w:bottom w:val="single" w:sz="8" w:space="0" w:color="auto"/>
              <w:right w:val="nil"/>
            </w:tcBorders>
            <w:shd w:val="clear" w:color="auto" w:fill="FFFFFF"/>
            <w:noWrap/>
            <w:vAlign w:val="center"/>
            <w:hideMark/>
          </w:tcPr>
          <w:p w14:paraId="4EB15983" w14:textId="77777777" w:rsidR="008944CE" w:rsidRPr="00932F14" w:rsidRDefault="008944CE" w:rsidP="00932F14">
            <w:pPr>
              <w:jc w:val="center"/>
              <w:rPr>
                <w:lang w:eastAsia="es-CR"/>
              </w:rPr>
            </w:pPr>
            <w:r w:rsidRPr="00932F14">
              <w:rPr>
                <w:lang w:eastAsia="es-CR"/>
              </w:rPr>
              <w:t>30,462</w:t>
            </w:r>
          </w:p>
        </w:tc>
        <w:tc>
          <w:tcPr>
            <w:tcW w:w="0" w:type="auto"/>
            <w:tcBorders>
              <w:top w:val="nil"/>
              <w:left w:val="nil"/>
              <w:bottom w:val="single" w:sz="8" w:space="0" w:color="auto"/>
              <w:right w:val="nil"/>
            </w:tcBorders>
            <w:shd w:val="clear" w:color="auto" w:fill="FFFFFF"/>
            <w:noWrap/>
            <w:vAlign w:val="center"/>
            <w:hideMark/>
          </w:tcPr>
          <w:p w14:paraId="04C3D54E" w14:textId="77777777" w:rsidR="008944CE" w:rsidRPr="00932F14" w:rsidRDefault="008944CE" w:rsidP="00932F14">
            <w:pPr>
              <w:jc w:val="center"/>
              <w:rPr>
                <w:lang w:eastAsia="es-CR"/>
              </w:rPr>
            </w:pPr>
            <w:r w:rsidRPr="00932F14">
              <w:rPr>
                <w:lang w:eastAsia="es-CR"/>
              </w:rPr>
              <w:t>27,587</w:t>
            </w:r>
          </w:p>
        </w:tc>
        <w:tc>
          <w:tcPr>
            <w:tcW w:w="0" w:type="auto"/>
            <w:tcBorders>
              <w:top w:val="nil"/>
              <w:left w:val="nil"/>
              <w:bottom w:val="single" w:sz="8" w:space="0" w:color="auto"/>
              <w:right w:val="single" w:sz="8" w:space="0" w:color="auto"/>
            </w:tcBorders>
            <w:shd w:val="clear" w:color="auto" w:fill="FFFFFF"/>
            <w:noWrap/>
            <w:vAlign w:val="center"/>
            <w:hideMark/>
          </w:tcPr>
          <w:p w14:paraId="67DAB539" w14:textId="77777777" w:rsidR="008944CE" w:rsidRPr="00932F14" w:rsidRDefault="008944CE" w:rsidP="00932F14">
            <w:pPr>
              <w:jc w:val="center"/>
              <w:rPr>
                <w:lang w:eastAsia="es-CR"/>
              </w:rPr>
            </w:pPr>
            <w:r w:rsidRPr="00932F14">
              <w:rPr>
                <w:lang w:eastAsia="es-CR"/>
              </w:rPr>
              <w:t>25,437</w:t>
            </w:r>
          </w:p>
        </w:tc>
        <w:tc>
          <w:tcPr>
            <w:tcW w:w="0" w:type="auto"/>
            <w:tcBorders>
              <w:top w:val="nil"/>
              <w:left w:val="nil"/>
              <w:bottom w:val="single" w:sz="8" w:space="0" w:color="auto"/>
              <w:right w:val="nil"/>
            </w:tcBorders>
            <w:shd w:val="clear" w:color="auto" w:fill="FFFFFF"/>
            <w:noWrap/>
            <w:vAlign w:val="center"/>
            <w:hideMark/>
          </w:tcPr>
          <w:p w14:paraId="4C674C22" w14:textId="77777777" w:rsidR="008944CE" w:rsidRPr="00932F14" w:rsidRDefault="008944CE" w:rsidP="00932F14">
            <w:pPr>
              <w:jc w:val="center"/>
              <w:rPr>
                <w:lang w:eastAsia="es-CR"/>
              </w:rPr>
            </w:pPr>
            <w:r w:rsidRPr="00932F14">
              <w:rPr>
                <w:lang w:eastAsia="es-CR"/>
              </w:rPr>
              <w:t>26,989</w:t>
            </w:r>
          </w:p>
        </w:tc>
        <w:tc>
          <w:tcPr>
            <w:tcW w:w="0" w:type="auto"/>
            <w:tcBorders>
              <w:top w:val="nil"/>
              <w:left w:val="nil"/>
              <w:bottom w:val="single" w:sz="8" w:space="0" w:color="auto"/>
              <w:right w:val="nil"/>
            </w:tcBorders>
            <w:shd w:val="clear" w:color="auto" w:fill="FFFFFF"/>
            <w:noWrap/>
            <w:vAlign w:val="center"/>
            <w:hideMark/>
          </w:tcPr>
          <w:p w14:paraId="31E09AEE" w14:textId="77777777" w:rsidR="008944CE" w:rsidRPr="00932F14" w:rsidRDefault="008944CE" w:rsidP="00932F14">
            <w:pPr>
              <w:jc w:val="center"/>
              <w:rPr>
                <w:lang w:eastAsia="es-CR"/>
              </w:rPr>
            </w:pPr>
            <w:r w:rsidRPr="00932F14">
              <w:rPr>
                <w:lang w:eastAsia="es-CR"/>
              </w:rPr>
              <w:t>24,570</w:t>
            </w:r>
          </w:p>
        </w:tc>
      </w:tr>
      <w:tr w:rsidR="008944CE" w:rsidRPr="00932F14" w14:paraId="6DB68D06" w14:textId="77777777" w:rsidTr="008944CE">
        <w:trPr>
          <w:trHeight w:val="300"/>
          <w:jc w:val="center"/>
        </w:trPr>
        <w:tc>
          <w:tcPr>
            <w:tcW w:w="0" w:type="auto"/>
            <w:gridSpan w:val="10"/>
            <w:shd w:val="clear" w:color="auto" w:fill="FFFFFF"/>
            <w:noWrap/>
            <w:vAlign w:val="center"/>
            <w:hideMark/>
          </w:tcPr>
          <w:p w14:paraId="0E6FAFC3" w14:textId="77777777" w:rsidR="008944CE" w:rsidRPr="00932F14" w:rsidRDefault="008944CE" w:rsidP="00932F14">
            <w:pPr>
              <w:rPr>
                <w:lang w:eastAsia="es-CR"/>
              </w:rPr>
            </w:pPr>
            <w:r w:rsidRPr="00932F14">
              <w:rPr>
                <w:lang w:eastAsia="es-CR"/>
              </w:rPr>
              <w:t>Elaborado por: Sub Proceso de Estadística, Dirección de Planificación</w:t>
            </w:r>
          </w:p>
        </w:tc>
      </w:tr>
    </w:tbl>
    <w:p w14:paraId="0F4D206F" w14:textId="77777777" w:rsidR="008944CE" w:rsidRPr="00932F14" w:rsidRDefault="008944CE" w:rsidP="00932F14">
      <w:pPr>
        <w:jc w:val="both"/>
        <w:rPr>
          <w:lang w:eastAsia="es-ES"/>
        </w:rPr>
      </w:pPr>
    </w:p>
    <w:p w14:paraId="1CE2028A" w14:textId="77777777" w:rsidR="008944CE" w:rsidRPr="00932F14" w:rsidRDefault="008944CE" w:rsidP="00932F14">
      <w:pPr>
        <w:ind w:left="851" w:right="851" w:firstLine="709"/>
        <w:jc w:val="both"/>
      </w:pPr>
      <w:r w:rsidRPr="00932F14">
        <w:t>Según los resultados obtenidos se tendría que los casos entrados experimentarían un incremento para el 2019 del 0,75% (599 casos) en relación con un año antes, mientras que para el bienio 2019-2020 esta variable conservaría la tendencia creciente al registrar un aumento de 1.697 casos.</w:t>
      </w:r>
    </w:p>
    <w:p w14:paraId="25883529" w14:textId="77777777" w:rsidR="008944CE" w:rsidRPr="00932F14" w:rsidRDefault="008944CE" w:rsidP="00932F14">
      <w:pPr>
        <w:ind w:left="851" w:right="851" w:firstLine="709"/>
        <w:jc w:val="both"/>
      </w:pPr>
    </w:p>
    <w:p w14:paraId="756C353E" w14:textId="77777777" w:rsidR="008944CE" w:rsidRPr="00932F14" w:rsidRDefault="008944CE" w:rsidP="00932F14">
      <w:pPr>
        <w:ind w:left="851" w:right="851" w:firstLine="709"/>
        <w:jc w:val="both"/>
      </w:pPr>
      <w:r w:rsidRPr="00932F14">
        <w:t>Los casos terminados registrarían igualmente incrementos del 2,68% (2.239 casos) para el 2020 y del 2,35% (2.016 casos) para el 2021, lo cual retornaría al comportamiento creciente que venía manifestando esta variable durante el periodo 2013-2016.</w:t>
      </w:r>
    </w:p>
    <w:p w14:paraId="53437313" w14:textId="77777777" w:rsidR="008944CE" w:rsidRPr="00932F14" w:rsidRDefault="008944CE" w:rsidP="00932F14">
      <w:pPr>
        <w:ind w:left="851" w:right="851" w:firstLine="709"/>
        <w:jc w:val="both"/>
      </w:pPr>
    </w:p>
    <w:p w14:paraId="5DA27AF0" w14:textId="77777777" w:rsidR="008944CE" w:rsidRPr="00932F14" w:rsidRDefault="008944CE" w:rsidP="00932F14">
      <w:pPr>
        <w:ind w:left="851" w:right="851" w:firstLine="709"/>
        <w:jc w:val="both"/>
      </w:pPr>
      <w:r w:rsidRPr="00932F14">
        <w:t xml:space="preserve">El circulante al finalizar por otro lado, inicialmente registraría un incremento del 6,10% (1.552 casos) para posteriormente disminuir en un 8,96% (2.419 casos) en cuanto a la cantidad de activos para el 2021. </w:t>
      </w:r>
    </w:p>
    <w:p w14:paraId="3D533DA0" w14:textId="77777777" w:rsidR="008944CE" w:rsidRPr="00932F14" w:rsidRDefault="008944CE" w:rsidP="00932F14">
      <w:pPr>
        <w:ind w:left="851" w:right="851" w:firstLine="709"/>
        <w:jc w:val="both"/>
      </w:pPr>
    </w:p>
    <w:p w14:paraId="3D70074E" w14:textId="77777777" w:rsidR="008944CE" w:rsidRPr="00932F14" w:rsidRDefault="008944CE" w:rsidP="00932F14">
      <w:pPr>
        <w:ind w:left="851" w:right="851" w:firstLine="709"/>
        <w:jc w:val="both"/>
      </w:pPr>
      <w:r w:rsidRPr="00932F14">
        <w:t xml:space="preserve">En el Anexo 1 se puede ver el detalle de los modelos utilizados, las ecuaciones resultantes, así como el </w:t>
      </w:r>
      <m:oMath>
        <m:sSup>
          <m:sSupPr>
            <m:ctrlPr>
              <w:rPr>
                <w:rFonts w:ascii="Cambria Math" w:hAnsi="Cambria Math"/>
                <w:i/>
                <w:lang w:eastAsia="es-ES"/>
              </w:rPr>
            </m:ctrlPr>
          </m:sSupPr>
          <m:e>
            <m:r>
              <w:rPr>
                <w:rFonts w:ascii="Cambria Math" w:hAnsi="Cambria Math"/>
              </w:rPr>
              <m:t>R</m:t>
            </m:r>
          </m:e>
          <m:sup>
            <m:r>
              <w:rPr>
                <w:rFonts w:ascii="Cambria Math" w:hAnsi="Cambria Math"/>
              </w:rPr>
              <m:t>2</m:t>
            </m:r>
          </m:sup>
        </m:sSup>
      </m:oMath>
      <w:r w:rsidRPr="00932F14">
        <w:t xml:space="preserve"> obtenido para cada una de las variables proyectadas.</w:t>
      </w:r>
    </w:p>
    <w:p w14:paraId="0DD50F8F" w14:textId="77777777" w:rsidR="008944CE" w:rsidRPr="00932F14" w:rsidRDefault="008944CE" w:rsidP="00932F14">
      <w:pPr>
        <w:ind w:left="851" w:right="851" w:firstLine="709"/>
        <w:jc w:val="both"/>
      </w:pPr>
    </w:p>
    <w:p w14:paraId="41C29AB8" w14:textId="77777777" w:rsidR="008944CE" w:rsidRPr="00932F14" w:rsidRDefault="008944CE" w:rsidP="00932F14">
      <w:pPr>
        <w:keepNext/>
        <w:keepLines/>
        <w:widowControl w:val="0"/>
        <w:numPr>
          <w:ilvl w:val="0"/>
          <w:numId w:val="126"/>
        </w:numPr>
        <w:suppressAutoHyphens w:val="0"/>
        <w:autoSpaceDE w:val="0"/>
        <w:autoSpaceDN w:val="0"/>
        <w:adjustRightInd w:val="0"/>
        <w:ind w:left="851" w:right="851" w:firstLine="709"/>
        <w:jc w:val="both"/>
        <w:rPr>
          <w:b/>
          <w:bCs/>
        </w:rPr>
      </w:pPr>
      <w:bookmarkStart w:id="10" w:name="_Toc44512687"/>
      <w:r w:rsidRPr="00932F14">
        <w:rPr>
          <w:b/>
          <w:bCs/>
        </w:rPr>
        <w:t>OPORTUNIDADES DE MEJORA.</w:t>
      </w:r>
      <w:bookmarkEnd w:id="10"/>
    </w:p>
    <w:p w14:paraId="61B66068" w14:textId="77777777" w:rsidR="008944CE" w:rsidRPr="00932F14" w:rsidRDefault="008944CE" w:rsidP="00932F14">
      <w:pPr>
        <w:ind w:left="851" w:right="851" w:firstLine="709"/>
        <w:jc w:val="both"/>
      </w:pPr>
    </w:p>
    <w:p w14:paraId="2C9D4E46" w14:textId="77777777" w:rsidR="008944CE" w:rsidRPr="00932F14" w:rsidRDefault="008944CE" w:rsidP="00932F14">
      <w:pPr>
        <w:ind w:left="851" w:right="851" w:firstLine="709"/>
        <w:jc w:val="both"/>
      </w:pPr>
      <w:r w:rsidRPr="00932F14">
        <w:t xml:space="preserve">Se considera que la práctica en cuanto a la temática de inventarios a derivado en un ordenamiento tanto físico como en el sistema de gestión para la correcta clasificación de las variables, y que puede verse visualizado en la eliminación de registros en fase de activos </w:t>
      </w:r>
      <w:r w:rsidRPr="00932F14">
        <w:rPr>
          <w:i/>
          <w:iCs/>
        </w:rPr>
        <w:t>Sin fase</w:t>
      </w:r>
      <w:r w:rsidRPr="00932F14">
        <w:t>, lo que da buenas señales de la verificación y depuración del sistema informático.</w:t>
      </w:r>
    </w:p>
    <w:p w14:paraId="29D09AC3" w14:textId="77777777" w:rsidR="008944CE" w:rsidRPr="00932F14" w:rsidRDefault="008944CE" w:rsidP="00932F14">
      <w:pPr>
        <w:ind w:left="851" w:right="851" w:firstLine="709"/>
        <w:jc w:val="both"/>
      </w:pPr>
    </w:p>
    <w:p w14:paraId="42CE01AF" w14:textId="77777777" w:rsidR="008944CE" w:rsidRPr="00932F14" w:rsidRDefault="008944CE" w:rsidP="00932F14">
      <w:pPr>
        <w:ind w:left="851" w:right="851" w:firstLine="709"/>
        <w:jc w:val="both"/>
      </w:pPr>
      <w:r w:rsidRPr="00932F14">
        <w:t xml:space="preserve">En los diferentes despachos se sugiere, mantener un nivel resolutivo por encima del volumen de los casos ingresados, lo cual redundará en la disminución del circulante.  </w:t>
      </w:r>
    </w:p>
    <w:p w14:paraId="74235E0E" w14:textId="77777777" w:rsidR="008944CE" w:rsidRPr="00932F14" w:rsidRDefault="008944CE" w:rsidP="00932F14">
      <w:pPr>
        <w:ind w:left="851" w:right="851" w:firstLine="709"/>
        <w:jc w:val="both"/>
      </w:pPr>
    </w:p>
    <w:p w14:paraId="0BDC23DE" w14:textId="77777777" w:rsidR="008944CE" w:rsidRPr="00932F14" w:rsidRDefault="008944CE" w:rsidP="00932F14">
      <w:pPr>
        <w:keepNext/>
        <w:keepLines/>
        <w:widowControl w:val="0"/>
        <w:numPr>
          <w:ilvl w:val="0"/>
          <w:numId w:val="126"/>
        </w:numPr>
        <w:suppressAutoHyphens w:val="0"/>
        <w:autoSpaceDE w:val="0"/>
        <w:autoSpaceDN w:val="0"/>
        <w:adjustRightInd w:val="0"/>
        <w:ind w:left="851" w:right="851" w:firstLine="709"/>
        <w:jc w:val="both"/>
        <w:rPr>
          <w:b/>
          <w:bCs/>
        </w:rPr>
      </w:pPr>
      <w:bookmarkStart w:id="11" w:name="_Toc44512688"/>
      <w:r w:rsidRPr="00932F14">
        <w:rPr>
          <w:b/>
          <w:bCs/>
        </w:rPr>
        <w:t>PERSONAS INTERVINIENTES.</w:t>
      </w:r>
      <w:bookmarkEnd w:id="11"/>
    </w:p>
    <w:p w14:paraId="1758BAF7" w14:textId="77777777" w:rsidR="008944CE" w:rsidRPr="00932F14" w:rsidRDefault="008944CE" w:rsidP="00932F14">
      <w:pPr>
        <w:ind w:left="851" w:right="851" w:firstLine="709"/>
        <w:jc w:val="both"/>
      </w:pPr>
    </w:p>
    <w:p w14:paraId="42095BDD" w14:textId="77777777" w:rsidR="008944CE" w:rsidRPr="00932F14" w:rsidRDefault="008944CE" w:rsidP="00932F14">
      <w:pPr>
        <w:ind w:left="851" w:right="851" w:firstLine="709"/>
        <w:jc w:val="both"/>
      </w:pPr>
      <w:r w:rsidRPr="00932F14">
        <w:t>Para el 2019 se reporta una cantidad de 115.700 intervinientes</w:t>
      </w:r>
      <w:r w:rsidRPr="00932F14">
        <w:rPr>
          <w:vertAlign w:val="superscript"/>
        </w:rPr>
        <w:footnoteReference w:id="2"/>
      </w:r>
      <w:r w:rsidRPr="00932F14">
        <w:t xml:space="preserve"> en procesos relacionados en materia de Tránsito, con un total de 90.401 hombres y 25.299 mujeres.</w:t>
      </w:r>
    </w:p>
    <w:p w14:paraId="7C1607B8" w14:textId="77777777" w:rsidR="008944CE" w:rsidRPr="00932F14" w:rsidRDefault="008944CE" w:rsidP="00932F14">
      <w:pPr>
        <w:ind w:left="851" w:right="851" w:firstLine="709"/>
        <w:jc w:val="both"/>
      </w:pPr>
    </w:p>
    <w:p w14:paraId="74332742" w14:textId="77777777" w:rsidR="008944CE" w:rsidRPr="00932F14" w:rsidRDefault="008944CE" w:rsidP="00932F14">
      <w:pPr>
        <w:ind w:left="851" w:right="851" w:firstLine="709"/>
        <w:jc w:val="both"/>
      </w:pPr>
      <w:r w:rsidRPr="00932F14">
        <w:t>Tomando en consideración los rangos de edad según el tipo de interviniente, queda en evidencia que los focos más grandes de intervinientes son contenidos en los rangos de edad correspondientes para 27 a 35 años (25,76% = 29.799 personas) y de 36 a 44 años (22,52% = 26.058 personas), es decir, en conjunto albergan al 48.28% de la totalidad de intervinientes en procesos de Tránsito para el 2019. En el siguiente cuadro se expone el detalle de la información:</w:t>
      </w:r>
    </w:p>
    <w:p w14:paraId="69761446" w14:textId="77777777" w:rsidR="008944CE" w:rsidRPr="00932F14" w:rsidRDefault="008944CE" w:rsidP="00932F14">
      <w:pPr>
        <w:ind w:left="851" w:right="851" w:firstLine="709"/>
        <w:jc w:val="both"/>
      </w:pPr>
    </w:p>
    <w:tbl>
      <w:tblPr>
        <w:tblpPr w:leftFromText="141" w:rightFromText="141" w:vertAnchor="text"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tblGrid>
      <w:tr w:rsidR="008944CE" w:rsidRPr="00932F14" w14:paraId="50C46E6D" w14:textId="77777777" w:rsidTr="008944CE">
        <w:tc>
          <w:tcPr>
            <w:tcW w:w="7105" w:type="dxa"/>
            <w:tcBorders>
              <w:top w:val="nil"/>
              <w:left w:val="nil"/>
              <w:bottom w:val="nil"/>
              <w:right w:val="nil"/>
            </w:tcBorders>
            <w:hideMark/>
          </w:tcPr>
          <w:p w14:paraId="71F4A0A9" w14:textId="77777777" w:rsidR="008944CE" w:rsidRPr="00932F14" w:rsidRDefault="008944CE" w:rsidP="00932F14">
            <w:pPr>
              <w:ind w:left="851" w:right="851" w:firstLine="709"/>
              <w:jc w:val="both"/>
              <w:rPr>
                <w:b/>
              </w:rPr>
            </w:pPr>
            <w:r w:rsidRPr="00932F14">
              <w:rPr>
                <w:b/>
              </w:rPr>
              <w:t>Cuadro 5</w:t>
            </w:r>
          </w:p>
        </w:tc>
      </w:tr>
      <w:tr w:rsidR="008944CE" w:rsidRPr="00932F14" w14:paraId="4C9D7A4A" w14:textId="77777777" w:rsidTr="008944CE">
        <w:tc>
          <w:tcPr>
            <w:tcW w:w="7105" w:type="dxa"/>
            <w:tcBorders>
              <w:top w:val="nil"/>
              <w:left w:val="nil"/>
              <w:bottom w:val="nil"/>
              <w:right w:val="nil"/>
            </w:tcBorders>
            <w:hideMark/>
          </w:tcPr>
          <w:p w14:paraId="1ACD2F54" w14:textId="77777777" w:rsidR="008944CE" w:rsidRPr="00932F14" w:rsidRDefault="008944CE" w:rsidP="00932F14">
            <w:pPr>
              <w:ind w:left="851" w:right="851" w:firstLine="709"/>
              <w:jc w:val="both"/>
              <w:rPr>
                <w:b/>
              </w:rPr>
            </w:pPr>
            <w:r w:rsidRPr="00932F14">
              <w:rPr>
                <w:b/>
              </w:rPr>
              <w:t xml:space="preserve">Volumen de intervinientes en la materia de Tránsito por tipo de </w:t>
            </w:r>
          </w:p>
        </w:tc>
      </w:tr>
      <w:tr w:rsidR="008944CE" w:rsidRPr="00932F14" w14:paraId="7017D18D" w14:textId="77777777" w:rsidTr="008944CE">
        <w:tc>
          <w:tcPr>
            <w:tcW w:w="7105" w:type="dxa"/>
            <w:tcBorders>
              <w:top w:val="nil"/>
              <w:left w:val="nil"/>
              <w:bottom w:val="nil"/>
              <w:right w:val="nil"/>
            </w:tcBorders>
            <w:hideMark/>
          </w:tcPr>
          <w:p w14:paraId="50693B61" w14:textId="77777777" w:rsidR="008944CE" w:rsidRPr="00932F14" w:rsidRDefault="008944CE" w:rsidP="00932F14">
            <w:pPr>
              <w:ind w:left="851" w:right="851" w:firstLine="709"/>
              <w:jc w:val="both"/>
              <w:rPr>
                <w:b/>
              </w:rPr>
            </w:pPr>
            <w:r w:rsidRPr="00932F14">
              <w:rPr>
                <w:b/>
              </w:rPr>
              <w:t>Interviniente y sexo biológico según rango de edad. 2019</w:t>
            </w:r>
          </w:p>
        </w:tc>
      </w:tr>
      <w:tr w:rsidR="008944CE" w:rsidRPr="00932F14" w14:paraId="0BA05D6C" w14:textId="77777777" w:rsidTr="008944CE">
        <w:tc>
          <w:tcPr>
            <w:tcW w:w="7105" w:type="dxa"/>
            <w:tcBorders>
              <w:top w:val="nil"/>
              <w:left w:val="nil"/>
              <w:bottom w:val="nil"/>
              <w:right w:val="nil"/>
            </w:tcBorders>
          </w:tcPr>
          <w:p w14:paraId="5CCEFBD7" w14:textId="77777777" w:rsidR="008944CE" w:rsidRPr="00932F14" w:rsidRDefault="008944CE" w:rsidP="00932F14">
            <w:pPr>
              <w:jc w:val="center"/>
              <w:rPr>
                <w:b/>
              </w:rPr>
            </w:pPr>
          </w:p>
        </w:tc>
      </w:tr>
    </w:tbl>
    <w:p w14:paraId="222CA472" w14:textId="77777777" w:rsidR="008944CE" w:rsidRPr="00932F14" w:rsidRDefault="008944CE" w:rsidP="00932F14">
      <w:pPr>
        <w:rPr>
          <w:lang w:eastAsia="es-ES"/>
        </w:rPr>
      </w:pPr>
    </w:p>
    <w:p w14:paraId="25AD6356" w14:textId="77777777" w:rsidR="008944CE" w:rsidRPr="00932F14" w:rsidRDefault="008944CE" w:rsidP="00932F14"/>
    <w:tbl>
      <w:tblPr>
        <w:tblW w:w="5000" w:type="pct"/>
        <w:tblCellMar>
          <w:left w:w="70" w:type="dxa"/>
          <w:right w:w="70" w:type="dxa"/>
        </w:tblCellMar>
        <w:tblLook w:val="04A0" w:firstRow="1" w:lastRow="0" w:firstColumn="1" w:lastColumn="0" w:noHBand="0" w:noVBand="1"/>
      </w:tblPr>
      <w:tblGrid>
        <w:gridCol w:w="3843"/>
        <w:gridCol w:w="1569"/>
        <w:gridCol w:w="1213"/>
        <w:gridCol w:w="1561"/>
        <w:gridCol w:w="1219"/>
      </w:tblGrid>
      <w:tr w:rsidR="008944CE" w:rsidRPr="00932F14" w14:paraId="4BC53A92" w14:textId="77777777" w:rsidTr="008944CE">
        <w:trPr>
          <w:trHeight w:val="315"/>
        </w:trPr>
        <w:tc>
          <w:tcPr>
            <w:tcW w:w="2043" w:type="pct"/>
            <w:vMerge w:val="restart"/>
            <w:tcBorders>
              <w:top w:val="single" w:sz="4" w:space="0" w:color="auto"/>
              <w:left w:val="nil"/>
              <w:bottom w:val="single" w:sz="8" w:space="0" w:color="000000"/>
              <w:right w:val="single" w:sz="4" w:space="0" w:color="auto"/>
            </w:tcBorders>
            <w:vAlign w:val="center"/>
            <w:hideMark/>
          </w:tcPr>
          <w:p w14:paraId="07C89D62" w14:textId="77777777" w:rsidR="008944CE" w:rsidRPr="00932F14" w:rsidRDefault="008944CE" w:rsidP="00932F14">
            <w:pPr>
              <w:jc w:val="center"/>
              <w:rPr>
                <w:b/>
                <w:bCs/>
                <w:lang w:eastAsia="es-CR"/>
              </w:rPr>
            </w:pPr>
            <w:r w:rsidRPr="00932F14">
              <w:rPr>
                <w:b/>
                <w:bCs/>
                <w:lang w:eastAsia="es-CR"/>
              </w:rPr>
              <w:t xml:space="preserve">Rango de Edad </w:t>
            </w:r>
          </w:p>
        </w:tc>
        <w:tc>
          <w:tcPr>
            <w:tcW w:w="1479" w:type="pct"/>
            <w:gridSpan w:val="2"/>
            <w:tcBorders>
              <w:top w:val="single" w:sz="4" w:space="0" w:color="auto"/>
              <w:left w:val="nil"/>
              <w:bottom w:val="single" w:sz="4" w:space="0" w:color="auto"/>
              <w:right w:val="single" w:sz="4" w:space="0" w:color="auto"/>
            </w:tcBorders>
            <w:vAlign w:val="center"/>
            <w:hideMark/>
          </w:tcPr>
          <w:p w14:paraId="364A627D" w14:textId="77777777" w:rsidR="008944CE" w:rsidRPr="00932F14" w:rsidRDefault="008944CE" w:rsidP="00932F14">
            <w:pPr>
              <w:jc w:val="center"/>
              <w:rPr>
                <w:b/>
                <w:bCs/>
                <w:lang w:eastAsia="es-CR"/>
              </w:rPr>
            </w:pPr>
            <w:r w:rsidRPr="00932F14">
              <w:rPr>
                <w:b/>
                <w:bCs/>
                <w:lang w:eastAsia="es-CR"/>
              </w:rPr>
              <w:t>Ofendido(a)</w:t>
            </w:r>
          </w:p>
        </w:tc>
        <w:tc>
          <w:tcPr>
            <w:tcW w:w="1479" w:type="pct"/>
            <w:gridSpan w:val="2"/>
            <w:tcBorders>
              <w:top w:val="single" w:sz="4" w:space="0" w:color="auto"/>
              <w:left w:val="single" w:sz="4" w:space="0" w:color="auto"/>
              <w:bottom w:val="single" w:sz="4" w:space="0" w:color="auto"/>
              <w:right w:val="nil"/>
            </w:tcBorders>
            <w:vAlign w:val="center"/>
            <w:hideMark/>
          </w:tcPr>
          <w:p w14:paraId="5EB11D7D" w14:textId="77777777" w:rsidR="008944CE" w:rsidRPr="00932F14" w:rsidRDefault="008944CE" w:rsidP="00932F14">
            <w:pPr>
              <w:jc w:val="center"/>
              <w:rPr>
                <w:b/>
                <w:bCs/>
                <w:lang w:eastAsia="es-CR"/>
              </w:rPr>
            </w:pPr>
            <w:r w:rsidRPr="00932F14">
              <w:rPr>
                <w:b/>
                <w:bCs/>
                <w:lang w:eastAsia="es-CR"/>
              </w:rPr>
              <w:t>Imputado(a)</w:t>
            </w:r>
          </w:p>
        </w:tc>
      </w:tr>
      <w:tr w:rsidR="008944CE" w:rsidRPr="00932F14" w14:paraId="3043F311" w14:textId="77777777" w:rsidTr="008944CE">
        <w:trPr>
          <w:trHeight w:val="330"/>
        </w:trPr>
        <w:tc>
          <w:tcPr>
            <w:tcW w:w="0" w:type="auto"/>
            <w:vMerge/>
            <w:tcBorders>
              <w:top w:val="single" w:sz="4" w:space="0" w:color="auto"/>
              <w:left w:val="nil"/>
              <w:bottom w:val="single" w:sz="8" w:space="0" w:color="000000"/>
              <w:right w:val="single" w:sz="4" w:space="0" w:color="auto"/>
            </w:tcBorders>
            <w:vAlign w:val="center"/>
            <w:hideMark/>
          </w:tcPr>
          <w:p w14:paraId="6864DE09" w14:textId="77777777" w:rsidR="008944CE" w:rsidRPr="00932F14" w:rsidRDefault="008944CE" w:rsidP="00932F14">
            <w:pPr>
              <w:rPr>
                <w:b/>
                <w:bCs/>
                <w:lang w:eastAsia="es-CR"/>
              </w:rPr>
            </w:pPr>
          </w:p>
        </w:tc>
        <w:tc>
          <w:tcPr>
            <w:tcW w:w="834" w:type="pct"/>
            <w:tcBorders>
              <w:top w:val="nil"/>
              <w:left w:val="nil"/>
              <w:bottom w:val="single" w:sz="8" w:space="0" w:color="auto"/>
              <w:right w:val="single" w:sz="4" w:space="0" w:color="auto"/>
            </w:tcBorders>
            <w:noWrap/>
            <w:vAlign w:val="center"/>
            <w:hideMark/>
          </w:tcPr>
          <w:p w14:paraId="00A6E7CC" w14:textId="77777777" w:rsidR="008944CE" w:rsidRPr="00932F14" w:rsidRDefault="008944CE" w:rsidP="00932F14">
            <w:pPr>
              <w:jc w:val="center"/>
              <w:rPr>
                <w:b/>
                <w:bCs/>
                <w:lang w:eastAsia="es-CR"/>
              </w:rPr>
            </w:pPr>
            <w:r w:rsidRPr="00932F14">
              <w:rPr>
                <w:b/>
                <w:bCs/>
                <w:lang w:eastAsia="es-CR"/>
              </w:rPr>
              <w:t>Hombre</w:t>
            </w:r>
          </w:p>
        </w:tc>
        <w:tc>
          <w:tcPr>
            <w:tcW w:w="645" w:type="pct"/>
            <w:tcBorders>
              <w:top w:val="nil"/>
              <w:left w:val="nil"/>
              <w:bottom w:val="single" w:sz="8" w:space="0" w:color="auto"/>
              <w:right w:val="single" w:sz="4" w:space="0" w:color="auto"/>
            </w:tcBorders>
            <w:noWrap/>
            <w:vAlign w:val="center"/>
            <w:hideMark/>
          </w:tcPr>
          <w:p w14:paraId="1E173F80" w14:textId="77777777" w:rsidR="008944CE" w:rsidRPr="00932F14" w:rsidRDefault="008944CE" w:rsidP="00932F14">
            <w:pPr>
              <w:jc w:val="center"/>
              <w:rPr>
                <w:b/>
                <w:bCs/>
                <w:lang w:eastAsia="es-CR"/>
              </w:rPr>
            </w:pPr>
            <w:r w:rsidRPr="00932F14">
              <w:rPr>
                <w:b/>
                <w:bCs/>
                <w:lang w:eastAsia="es-CR"/>
              </w:rPr>
              <w:t>Mujer</w:t>
            </w:r>
          </w:p>
        </w:tc>
        <w:tc>
          <w:tcPr>
            <w:tcW w:w="830" w:type="pct"/>
            <w:tcBorders>
              <w:top w:val="single" w:sz="4" w:space="0" w:color="auto"/>
              <w:left w:val="nil"/>
              <w:bottom w:val="single" w:sz="8" w:space="0" w:color="auto"/>
              <w:right w:val="single" w:sz="4" w:space="0" w:color="auto"/>
            </w:tcBorders>
            <w:noWrap/>
            <w:vAlign w:val="center"/>
            <w:hideMark/>
          </w:tcPr>
          <w:p w14:paraId="7CEBC26D" w14:textId="77777777" w:rsidR="008944CE" w:rsidRPr="00932F14" w:rsidRDefault="008944CE" w:rsidP="00932F14">
            <w:pPr>
              <w:jc w:val="center"/>
              <w:rPr>
                <w:b/>
                <w:bCs/>
                <w:lang w:eastAsia="es-CR"/>
              </w:rPr>
            </w:pPr>
            <w:r w:rsidRPr="00932F14">
              <w:rPr>
                <w:b/>
                <w:bCs/>
                <w:lang w:eastAsia="es-CR"/>
              </w:rPr>
              <w:t>Hombre</w:t>
            </w:r>
          </w:p>
        </w:tc>
        <w:tc>
          <w:tcPr>
            <w:tcW w:w="648" w:type="pct"/>
            <w:tcBorders>
              <w:top w:val="single" w:sz="4" w:space="0" w:color="auto"/>
              <w:left w:val="nil"/>
              <w:bottom w:val="single" w:sz="8" w:space="0" w:color="auto"/>
              <w:right w:val="nil"/>
            </w:tcBorders>
            <w:noWrap/>
            <w:vAlign w:val="center"/>
            <w:hideMark/>
          </w:tcPr>
          <w:p w14:paraId="7B8ECC63" w14:textId="77777777" w:rsidR="008944CE" w:rsidRPr="00932F14" w:rsidRDefault="008944CE" w:rsidP="00932F14">
            <w:pPr>
              <w:jc w:val="center"/>
              <w:rPr>
                <w:b/>
                <w:bCs/>
                <w:lang w:eastAsia="es-CR"/>
              </w:rPr>
            </w:pPr>
            <w:r w:rsidRPr="00932F14">
              <w:rPr>
                <w:b/>
                <w:bCs/>
                <w:lang w:eastAsia="es-CR"/>
              </w:rPr>
              <w:t>Mujer</w:t>
            </w:r>
          </w:p>
        </w:tc>
      </w:tr>
      <w:tr w:rsidR="008944CE" w:rsidRPr="00932F14" w14:paraId="38EEE335" w14:textId="77777777" w:rsidTr="008944CE">
        <w:trPr>
          <w:trHeight w:val="315"/>
        </w:trPr>
        <w:tc>
          <w:tcPr>
            <w:tcW w:w="2043" w:type="pct"/>
            <w:tcBorders>
              <w:top w:val="nil"/>
              <w:left w:val="nil"/>
              <w:bottom w:val="nil"/>
              <w:right w:val="single" w:sz="4" w:space="0" w:color="auto"/>
            </w:tcBorders>
            <w:vAlign w:val="center"/>
            <w:hideMark/>
          </w:tcPr>
          <w:p w14:paraId="39D0ABD1" w14:textId="77777777" w:rsidR="008944CE" w:rsidRPr="00932F14" w:rsidRDefault="008944CE" w:rsidP="00932F14">
            <w:pPr>
              <w:jc w:val="center"/>
              <w:rPr>
                <w:b/>
                <w:bCs/>
                <w:lang w:eastAsia="es-CR"/>
              </w:rPr>
            </w:pPr>
            <w:r w:rsidRPr="00932F14">
              <w:rPr>
                <w:b/>
                <w:bCs/>
                <w:lang w:eastAsia="es-CR"/>
              </w:rPr>
              <w:t> </w:t>
            </w:r>
          </w:p>
        </w:tc>
        <w:tc>
          <w:tcPr>
            <w:tcW w:w="834" w:type="pct"/>
            <w:noWrap/>
            <w:vAlign w:val="center"/>
            <w:hideMark/>
          </w:tcPr>
          <w:p w14:paraId="155C4632" w14:textId="77777777" w:rsidR="008944CE" w:rsidRPr="00932F14" w:rsidRDefault="008944CE" w:rsidP="00932F14">
            <w:pPr>
              <w:rPr>
                <w:b/>
                <w:bCs/>
                <w:lang w:eastAsia="es-CR"/>
              </w:rPr>
            </w:pPr>
          </w:p>
        </w:tc>
        <w:tc>
          <w:tcPr>
            <w:tcW w:w="645" w:type="pct"/>
            <w:noWrap/>
            <w:vAlign w:val="center"/>
            <w:hideMark/>
          </w:tcPr>
          <w:p w14:paraId="0FFDBAC4" w14:textId="77777777" w:rsidR="008944CE" w:rsidRPr="00932F14" w:rsidRDefault="008944CE" w:rsidP="00932F14">
            <w:pPr>
              <w:rPr>
                <w:lang w:val="es-CR" w:eastAsia="es-CR"/>
              </w:rPr>
            </w:pPr>
          </w:p>
        </w:tc>
        <w:tc>
          <w:tcPr>
            <w:tcW w:w="830" w:type="pct"/>
            <w:noWrap/>
            <w:vAlign w:val="center"/>
            <w:hideMark/>
          </w:tcPr>
          <w:p w14:paraId="13F2B970" w14:textId="77777777" w:rsidR="008944CE" w:rsidRPr="00932F14" w:rsidRDefault="008944CE" w:rsidP="00932F14">
            <w:pPr>
              <w:rPr>
                <w:lang w:val="es-CR" w:eastAsia="es-CR"/>
              </w:rPr>
            </w:pPr>
          </w:p>
        </w:tc>
        <w:tc>
          <w:tcPr>
            <w:tcW w:w="648" w:type="pct"/>
            <w:noWrap/>
            <w:vAlign w:val="center"/>
            <w:hideMark/>
          </w:tcPr>
          <w:p w14:paraId="61C0B50F" w14:textId="77777777" w:rsidR="008944CE" w:rsidRPr="00932F14" w:rsidRDefault="008944CE" w:rsidP="00932F14">
            <w:pPr>
              <w:rPr>
                <w:lang w:val="es-CR" w:eastAsia="es-CR"/>
              </w:rPr>
            </w:pPr>
          </w:p>
        </w:tc>
      </w:tr>
      <w:tr w:rsidR="008944CE" w:rsidRPr="00932F14" w14:paraId="51E3159D" w14:textId="77777777" w:rsidTr="008944CE">
        <w:trPr>
          <w:trHeight w:val="315"/>
        </w:trPr>
        <w:tc>
          <w:tcPr>
            <w:tcW w:w="2043" w:type="pct"/>
            <w:tcBorders>
              <w:top w:val="nil"/>
              <w:left w:val="nil"/>
              <w:bottom w:val="nil"/>
              <w:right w:val="single" w:sz="4" w:space="0" w:color="auto"/>
            </w:tcBorders>
            <w:noWrap/>
            <w:vAlign w:val="center"/>
            <w:hideMark/>
          </w:tcPr>
          <w:p w14:paraId="3F8F2B2A" w14:textId="77777777" w:rsidR="008944CE" w:rsidRPr="00932F14" w:rsidRDefault="008944CE" w:rsidP="00932F14">
            <w:pPr>
              <w:jc w:val="center"/>
              <w:rPr>
                <w:b/>
                <w:bCs/>
                <w:lang w:eastAsia="es-CR"/>
              </w:rPr>
            </w:pPr>
            <w:r w:rsidRPr="00932F14">
              <w:rPr>
                <w:b/>
                <w:bCs/>
                <w:lang w:eastAsia="es-CR"/>
              </w:rPr>
              <w:t xml:space="preserve">Total </w:t>
            </w:r>
          </w:p>
        </w:tc>
        <w:tc>
          <w:tcPr>
            <w:tcW w:w="834" w:type="pct"/>
            <w:noWrap/>
            <w:vAlign w:val="center"/>
            <w:hideMark/>
          </w:tcPr>
          <w:p w14:paraId="7277CBF6" w14:textId="77777777" w:rsidR="008944CE" w:rsidRPr="00932F14" w:rsidRDefault="008944CE" w:rsidP="00932F14">
            <w:pPr>
              <w:jc w:val="center"/>
              <w:rPr>
                <w:b/>
                <w:bCs/>
                <w:lang w:eastAsia="es-CR"/>
              </w:rPr>
            </w:pPr>
            <w:r w:rsidRPr="00932F14">
              <w:rPr>
                <w:b/>
                <w:bCs/>
                <w:lang w:eastAsia="es-CR"/>
              </w:rPr>
              <w:t>1,942</w:t>
            </w:r>
          </w:p>
        </w:tc>
        <w:tc>
          <w:tcPr>
            <w:tcW w:w="645" w:type="pct"/>
            <w:noWrap/>
            <w:vAlign w:val="center"/>
            <w:hideMark/>
          </w:tcPr>
          <w:p w14:paraId="78D8972C" w14:textId="77777777" w:rsidR="008944CE" w:rsidRPr="00932F14" w:rsidRDefault="008944CE" w:rsidP="00932F14">
            <w:pPr>
              <w:jc w:val="center"/>
              <w:rPr>
                <w:b/>
                <w:bCs/>
                <w:lang w:eastAsia="es-CR"/>
              </w:rPr>
            </w:pPr>
            <w:r w:rsidRPr="00932F14">
              <w:rPr>
                <w:b/>
                <w:bCs/>
                <w:lang w:eastAsia="es-CR"/>
              </w:rPr>
              <w:t>2,860</w:t>
            </w:r>
          </w:p>
        </w:tc>
        <w:tc>
          <w:tcPr>
            <w:tcW w:w="830" w:type="pct"/>
            <w:noWrap/>
            <w:vAlign w:val="center"/>
            <w:hideMark/>
          </w:tcPr>
          <w:p w14:paraId="282C6819" w14:textId="77777777" w:rsidR="008944CE" w:rsidRPr="00932F14" w:rsidRDefault="008944CE" w:rsidP="00932F14">
            <w:pPr>
              <w:jc w:val="center"/>
              <w:rPr>
                <w:b/>
                <w:bCs/>
                <w:lang w:eastAsia="es-CR"/>
              </w:rPr>
            </w:pPr>
            <w:r w:rsidRPr="00932F14">
              <w:rPr>
                <w:b/>
                <w:bCs/>
                <w:lang w:eastAsia="es-CR"/>
              </w:rPr>
              <w:t>88,459</w:t>
            </w:r>
          </w:p>
        </w:tc>
        <w:tc>
          <w:tcPr>
            <w:tcW w:w="648" w:type="pct"/>
            <w:noWrap/>
            <w:vAlign w:val="center"/>
            <w:hideMark/>
          </w:tcPr>
          <w:p w14:paraId="4AA25D53" w14:textId="77777777" w:rsidR="008944CE" w:rsidRPr="00932F14" w:rsidRDefault="008944CE" w:rsidP="00932F14">
            <w:pPr>
              <w:jc w:val="center"/>
              <w:rPr>
                <w:b/>
                <w:bCs/>
                <w:lang w:eastAsia="es-CR"/>
              </w:rPr>
            </w:pPr>
            <w:r w:rsidRPr="00932F14">
              <w:rPr>
                <w:b/>
                <w:bCs/>
                <w:lang w:eastAsia="es-CR"/>
              </w:rPr>
              <w:t>22,439</w:t>
            </w:r>
          </w:p>
        </w:tc>
      </w:tr>
      <w:tr w:rsidR="008944CE" w:rsidRPr="00932F14" w14:paraId="3280F27F" w14:textId="77777777" w:rsidTr="008944CE">
        <w:trPr>
          <w:trHeight w:val="315"/>
        </w:trPr>
        <w:tc>
          <w:tcPr>
            <w:tcW w:w="2043" w:type="pct"/>
            <w:tcBorders>
              <w:top w:val="nil"/>
              <w:left w:val="nil"/>
              <w:bottom w:val="nil"/>
              <w:right w:val="single" w:sz="4" w:space="0" w:color="auto"/>
            </w:tcBorders>
            <w:noWrap/>
            <w:vAlign w:val="center"/>
            <w:hideMark/>
          </w:tcPr>
          <w:p w14:paraId="0FC1076C" w14:textId="77777777" w:rsidR="008944CE" w:rsidRPr="00932F14" w:rsidRDefault="008944CE" w:rsidP="00932F14">
            <w:pPr>
              <w:jc w:val="center"/>
              <w:rPr>
                <w:b/>
                <w:bCs/>
                <w:lang w:eastAsia="es-CR"/>
              </w:rPr>
            </w:pPr>
            <w:r w:rsidRPr="00932F14">
              <w:rPr>
                <w:b/>
                <w:bCs/>
                <w:lang w:eastAsia="es-CR"/>
              </w:rPr>
              <w:t> </w:t>
            </w:r>
          </w:p>
        </w:tc>
        <w:tc>
          <w:tcPr>
            <w:tcW w:w="834" w:type="pct"/>
            <w:noWrap/>
            <w:vAlign w:val="center"/>
            <w:hideMark/>
          </w:tcPr>
          <w:p w14:paraId="7B467679" w14:textId="77777777" w:rsidR="008944CE" w:rsidRPr="00932F14" w:rsidRDefault="008944CE" w:rsidP="00932F14">
            <w:pPr>
              <w:rPr>
                <w:b/>
                <w:bCs/>
                <w:lang w:eastAsia="es-CR"/>
              </w:rPr>
            </w:pPr>
          </w:p>
        </w:tc>
        <w:tc>
          <w:tcPr>
            <w:tcW w:w="645" w:type="pct"/>
            <w:noWrap/>
            <w:vAlign w:val="center"/>
            <w:hideMark/>
          </w:tcPr>
          <w:p w14:paraId="593C01A8" w14:textId="77777777" w:rsidR="008944CE" w:rsidRPr="00932F14" w:rsidRDefault="008944CE" w:rsidP="00932F14">
            <w:pPr>
              <w:rPr>
                <w:lang w:val="es-CR" w:eastAsia="es-CR"/>
              </w:rPr>
            </w:pPr>
          </w:p>
        </w:tc>
        <w:tc>
          <w:tcPr>
            <w:tcW w:w="830" w:type="pct"/>
            <w:noWrap/>
            <w:vAlign w:val="center"/>
            <w:hideMark/>
          </w:tcPr>
          <w:p w14:paraId="6E18740D" w14:textId="77777777" w:rsidR="008944CE" w:rsidRPr="00932F14" w:rsidRDefault="008944CE" w:rsidP="00932F14">
            <w:pPr>
              <w:rPr>
                <w:lang w:val="es-CR" w:eastAsia="es-CR"/>
              </w:rPr>
            </w:pPr>
          </w:p>
        </w:tc>
        <w:tc>
          <w:tcPr>
            <w:tcW w:w="648" w:type="pct"/>
            <w:noWrap/>
            <w:vAlign w:val="center"/>
            <w:hideMark/>
          </w:tcPr>
          <w:p w14:paraId="3B2917C0" w14:textId="77777777" w:rsidR="008944CE" w:rsidRPr="00932F14" w:rsidRDefault="008944CE" w:rsidP="00932F14">
            <w:pPr>
              <w:rPr>
                <w:lang w:val="es-CR" w:eastAsia="es-CR"/>
              </w:rPr>
            </w:pPr>
          </w:p>
        </w:tc>
      </w:tr>
      <w:tr w:rsidR="008944CE" w:rsidRPr="00932F14" w14:paraId="7DB8204F" w14:textId="77777777" w:rsidTr="008944CE">
        <w:trPr>
          <w:trHeight w:val="315"/>
        </w:trPr>
        <w:tc>
          <w:tcPr>
            <w:tcW w:w="2043" w:type="pct"/>
            <w:tcBorders>
              <w:top w:val="nil"/>
              <w:left w:val="nil"/>
              <w:bottom w:val="nil"/>
              <w:right w:val="single" w:sz="4" w:space="0" w:color="auto"/>
            </w:tcBorders>
            <w:noWrap/>
            <w:vAlign w:val="center"/>
            <w:hideMark/>
          </w:tcPr>
          <w:p w14:paraId="17E3D27F" w14:textId="77777777" w:rsidR="008944CE" w:rsidRPr="00932F14" w:rsidRDefault="008944CE" w:rsidP="00932F14">
            <w:pPr>
              <w:jc w:val="center"/>
              <w:rPr>
                <w:lang w:eastAsia="es-CR"/>
              </w:rPr>
            </w:pPr>
            <w:r w:rsidRPr="00932F14">
              <w:rPr>
                <w:lang w:eastAsia="es-CR"/>
              </w:rPr>
              <w:t>De 0 a 8 años</w:t>
            </w:r>
          </w:p>
        </w:tc>
        <w:tc>
          <w:tcPr>
            <w:tcW w:w="834" w:type="pct"/>
            <w:noWrap/>
            <w:vAlign w:val="center"/>
            <w:hideMark/>
          </w:tcPr>
          <w:p w14:paraId="1A0F1C3E" w14:textId="77777777" w:rsidR="008944CE" w:rsidRPr="00932F14" w:rsidRDefault="008944CE" w:rsidP="00932F14">
            <w:pPr>
              <w:jc w:val="center"/>
              <w:rPr>
                <w:lang w:eastAsia="es-CR"/>
              </w:rPr>
            </w:pPr>
            <w:r w:rsidRPr="00932F14">
              <w:rPr>
                <w:lang w:eastAsia="es-CR"/>
              </w:rPr>
              <w:t>98</w:t>
            </w:r>
          </w:p>
        </w:tc>
        <w:tc>
          <w:tcPr>
            <w:tcW w:w="645" w:type="pct"/>
            <w:noWrap/>
            <w:vAlign w:val="center"/>
            <w:hideMark/>
          </w:tcPr>
          <w:p w14:paraId="50BB42A6" w14:textId="77777777" w:rsidR="008944CE" w:rsidRPr="00932F14" w:rsidRDefault="008944CE" w:rsidP="00932F14">
            <w:pPr>
              <w:jc w:val="center"/>
              <w:rPr>
                <w:lang w:eastAsia="es-CR"/>
              </w:rPr>
            </w:pPr>
            <w:r w:rsidRPr="00932F14">
              <w:rPr>
                <w:lang w:eastAsia="es-CR"/>
              </w:rPr>
              <w:t>72</w:t>
            </w:r>
          </w:p>
        </w:tc>
        <w:tc>
          <w:tcPr>
            <w:tcW w:w="830" w:type="pct"/>
            <w:noWrap/>
            <w:vAlign w:val="center"/>
            <w:hideMark/>
          </w:tcPr>
          <w:p w14:paraId="3AF8C920" w14:textId="77777777" w:rsidR="008944CE" w:rsidRPr="00932F14" w:rsidRDefault="008944CE" w:rsidP="00932F14">
            <w:pPr>
              <w:jc w:val="center"/>
              <w:rPr>
                <w:lang w:eastAsia="es-CR"/>
              </w:rPr>
            </w:pPr>
            <w:r w:rsidRPr="00932F14">
              <w:rPr>
                <w:lang w:eastAsia="es-CR"/>
              </w:rPr>
              <w:t>--</w:t>
            </w:r>
          </w:p>
        </w:tc>
        <w:tc>
          <w:tcPr>
            <w:tcW w:w="648" w:type="pct"/>
            <w:noWrap/>
            <w:vAlign w:val="center"/>
            <w:hideMark/>
          </w:tcPr>
          <w:p w14:paraId="75489CE6" w14:textId="77777777" w:rsidR="008944CE" w:rsidRPr="00932F14" w:rsidRDefault="008944CE" w:rsidP="00932F14">
            <w:pPr>
              <w:jc w:val="center"/>
              <w:rPr>
                <w:lang w:eastAsia="es-CR"/>
              </w:rPr>
            </w:pPr>
            <w:r w:rsidRPr="00932F14">
              <w:rPr>
                <w:lang w:eastAsia="es-CR"/>
              </w:rPr>
              <w:t>--</w:t>
            </w:r>
          </w:p>
        </w:tc>
      </w:tr>
      <w:tr w:rsidR="008944CE" w:rsidRPr="00932F14" w14:paraId="6CF2B95C" w14:textId="77777777" w:rsidTr="008944CE">
        <w:trPr>
          <w:trHeight w:val="315"/>
        </w:trPr>
        <w:tc>
          <w:tcPr>
            <w:tcW w:w="2043" w:type="pct"/>
            <w:tcBorders>
              <w:top w:val="nil"/>
              <w:left w:val="nil"/>
              <w:bottom w:val="nil"/>
              <w:right w:val="single" w:sz="4" w:space="0" w:color="auto"/>
            </w:tcBorders>
            <w:noWrap/>
            <w:vAlign w:val="center"/>
            <w:hideMark/>
          </w:tcPr>
          <w:p w14:paraId="1BBC612D" w14:textId="77777777" w:rsidR="008944CE" w:rsidRPr="00932F14" w:rsidRDefault="008944CE" w:rsidP="00932F14">
            <w:pPr>
              <w:jc w:val="center"/>
              <w:rPr>
                <w:lang w:eastAsia="es-CR"/>
              </w:rPr>
            </w:pPr>
            <w:r w:rsidRPr="00932F14">
              <w:rPr>
                <w:lang w:eastAsia="es-CR"/>
              </w:rPr>
              <w:t>De 9 a 17 años</w:t>
            </w:r>
          </w:p>
        </w:tc>
        <w:tc>
          <w:tcPr>
            <w:tcW w:w="834" w:type="pct"/>
            <w:noWrap/>
            <w:vAlign w:val="center"/>
            <w:hideMark/>
          </w:tcPr>
          <w:p w14:paraId="24E8B32C" w14:textId="77777777" w:rsidR="008944CE" w:rsidRPr="00932F14" w:rsidRDefault="008944CE" w:rsidP="00932F14">
            <w:pPr>
              <w:jc w:val="center"/>
              <w:rPr>
                <w:lang w:eastAsia="es-CR"/>
              </w:rPr>
            </w:pPr>
            <w:r w:rsidRPr="00932F14">
              <w:rPr>
                <w:lang w:eastAsia="es-CR"/>
              </w:rPr>
              <w:t>122</w:t>
            </w:r>
          </w:p>
        </w:tc>
        <w:tc>
          <w:tcPr>
            <w:tcW w:w="645" w:type="pct"/>
            <w:noWrap/>
            <w:vAlign w:val="center"/>
            <w:hideMark/>
          </w:tcPr>
          <w:p w14:paraId="0E2E5ED4" w14:textId="77777777" w:rsidR="008944CE" w:rsidRPr="00932F14" w:rsidRDefault="008944CE" w:rsidP="00932F14">
            <w:pPr>
              <w:jc w:val="center"/>
              <w:rPr>
                <w:lang w:eastAsia="es-CR"/>
              </w:rPr>
            </w:pPr>
            <w:r w:rsidRPr="00932F14">
              <w:rPr>
                <w:lang w:eastAsia="es-CR"/>
              </w:rPr>
              <w:t>206</w:t>
            </w:r>
          </w:p>
        </w:tc>
        <w:tc>
          <w:tcPr>
            <w:tcW w:w="830" w:type="pct"/>
            <w:noWrap/>
            <w:vAlign w:val="center"/>
            <w:hideMark/>
          </w:tcPr>
          <w:p w14:paraId="23F89534" w14:textId="77777777" w:rsidR="008944CE" w:rsidRPr="00932F14" w:rsidRDefault="008944CE" w:rsidP="00932F14">
            <w:pPr>
              <w:jc w:val="center"/>
              <w:rPr>
                <w:lang w:eastAsia="es-CR"/>
              </w:rPr>
            </w:pPr>
            <w:r w:rsidRPr="00932F14">
              <w:rPr>
                <w:lang w:eastAsia="es-CR"/>
              </w:rPr>
              <w:t>204</w:t>
            </w:r>
          </w:p>
        </w:tc>
        <w:tc>
          <w:tcPr>
            <w:tcW w:w="648" w:type="pct"/>
            <w:noWrap/>
            <w:vAlign w:val="center"/>
            <w:hideMark/>
          </w:tcPr>
          <w:p w14:paraId="1280A97C" w14:textId="77777777" w:rsidR="008944CE" w:rsidRPr="00932F14" w:rsidRDefault="008944CE" w:rsidP="00932F14">
            <w:pPr>
              <w:jc w:val="center"/>
              <w:rPr>
                <w:lang w:eastAsia="es-CR"/>
              </w:rPr>
            </w:pPr>
            <w:r w:rsidRPr="00932F14">
              <w:rPr>
                <w:lang w:eastAsia="es-CR"/>
              </w:rPr>
              <w:t>86</w:t>
            </w:r>
          </w:p>
        </w:tc>
      </w:tr>
      <w:tr w:rsidR="008944CE" w:rsidRPr="00932F14" w14:paraId="61EF72BC" w14:textId="77777777" w:rsidTr="008944CE">
        <w:trPr>
          <w:trHeight w:val="315"/>
        </w:trPr>
        <w:tc>
          <w:tcPr>
            <w:tcW w:w="2043" w:type="pct"/>
            <w:tcBorders>
              <w:top w:val="nil"/>
              <w:left w:val="nil"/>
              <w:bottom w:val="nil"/>
              <w:right w:val="single" w:sz="4" w:space="0" w:color="auto"/>
            </w:tcBorders>
            <w:noWrap/>
            <w:vAlign w:val="center"/>
            <w:hideMark/>
          </w:tcPr>
          <w:p w14:paraId="36BDEAEB" w14:textId="77777777" w:rsidR="008944CE" w:rsidRPr="00932F14" w:rsidRDefault="008944CE" w:rsidP="00932F14">
            <w:pPr>
              <w:jc w:val="center"/>
              <w:rPr>
                <w:lang w:eastAsia="es-CR"/>
              </w:rPr>
            </w:pPr>
            <w:r w:rsidRPr="00932F14">
              <w:rPr>
                <w:lang w:eastAsia="es-CR"/>
              </w:rPr>
              <w:t>De 18 a 26 años</w:t>
            </w:r>
          </w:p>
        </w:tc>
        <w:tc>
          <w:tcPr>
            <w:tcW w:w="834" w:type="pct"/>
            <w:noWrap/>
            <w:vAlign w:val="center"/>
            <w:hideMark/>
          </w:tcPr>
          <w:p w14:paraId="2EEA13D0" w14:textId="77777777" w:rsidR="008944CE" w:rsidRPr="00932F14" w:rsidRDefault="008944CE" w:rsidP="00932F14">
            <w:pPr>
              <w:jc w:val="center"/>
              <w:rPr>
                <w:lang w:eastAsia="es-CR"/>
              </w:rPr>
            </w:pPr>
            <w:r w:rsidRPr="00932F14">
              <w:rPr>
                <w:lang w:eastAsia="es-CR"/>
              </w:rPr>
              <w:t>444</w:t>
            </w:r>
          </w:p>
        </w:tc>
        <w:tc>
          <w:tcPr>
            <w:tcW w:w="645" w:type="pct"/>
            <w:noWrap/>
            <w:vAlign w:val="center"/>
            <w:hideMark/>
          </w:tcPr>
          <w:p w14:paraId="6506CF41" w14:textId="77777777" w:rsidR="008944CE" w:rsidRPr="00932F14" w:rsidRDefault="008944CE" w:rsidP="00932F14">
            <w:pPr>
              <w:jc w:val="center"/>
              <w:rPr>
                <w:lang w:eastAsia="es-CR"/>
              </w:rPr>
            </w:pPr>
            <w:r w:rsidRPr="00932F14">
              <w:rPr>
                <w:lang w:eastAsia="es-CR"/>
              </w:rPr>
              <w:t>583</w:t>
            </w:r>
          </w:p>
        </w:tc>
        <w:tc>
          <w:tcPr>
            <w:tcW w:w="830" w:type="pct"/>
            <w:noWrap/>
            <w:vAlign w:val="center"/>
            <w:hideMark/>
          </w:tcPr>
          <w:p w14:paraId="5149CF66" w14:textId="77777777" w:rsidR="008944CE" w:rsidRPr="00932F14" w:rsidRDefault="008944CE" w:rsidP="00932F14">
            <w:pPr>
              <w:jc w:val="center"/>
              <w:rPr>
                <w:lang w:eastAsia="es-CR"/>
              </w:rPr>
            </w:pPr>
            <w:r w:rsidRPr="00932F14">
              <w:rPr>
                <w:lang w:eastAsia="es-CR"/>
              </w:rPr>
              <w:t>11,096</w:t>
            </w:r>
          </w:p>
        </w:tc>
        <w:tc>
          <w:tcPr>
            <w:tcW w:w="648" w:type="pct"/>
            <w:noWrap/>
            <w:vAlign w:val="center"/>
            <w:hideMark/>
          </w:tcPr>
          <w:p w14:paraId="17A64D48" w14:textId="77777777" w:rsidR="008944CE" w:rsidRPr="00932F14" w:rsidRDefault="008944CE" w:rsidP="00932F14">
            <w:pPr>
              <w:jc w:val="center"/>
              <w:rPr>
                <w:lang w:eastAsia="es-CR"/>
              </w:rPr>
            </w:pPr>
            <w:r w:rsidRPr="00932F14">
              <w:rPr>
                <w:lang w:eastAsia="es-CR"/>
              </w:rPr>
              <w:t>2,764</w:t>
            </w:r>
          </w:p>
        </w:tc>
      </w:tr>
      <w:tr w:rsidR="008944CE" w:rsidRPr="00932F14" w14:paraId="068C360A" w14:textId="77777777" w:rsidTr="008944CE">
        <w:trPr>
          <w:trHeight w:val="315"/>
        </w:trPr>
        <w:tc>
          <w:tcPr>
            <w:tcW w:w="2043" w:type="pct"/>
            <w:tcBorders>
              <w:top w:val="nil"/>
              <w:left w:val="nil"/>
              <w:bottom w:val="nil"/>
              <w:right w:val="single" w:sz="4" w:space="0" w:color="auto"/>
            </w:tcBorders>
            <w:noWrap/>
            <w:vAlign w:val="center"/>
            <w:hideMark/>
          </w:tcPr>
          <w:p w14:paraId="3A117D40" w14:textId="77777777" w:rsidR="008944CE" w:rsidRPr="00932F14" w:rsidRDefault="008944CE" w:rsidP="00932F14">
            <w:pPr>
              <w:jc w:val="center"/>
              <w:rPr>
                <w:lang w:eastAsia="es-CR"/>
              </w:rPr>
            </w:pPr>
            <w:r w:rsidRPr="00932F14">
              <w:rPr>
                <w:lang w:eastAsia="es-CR"/>
              </w:rPr>
              <w:t>De 27 a 35 años</w:t>
            </w:r>
          </w:p>
        </w:tc>
        <w:tc>
          <w:tcPr>
            <w:tcW w:w="834" w:type="pct"/>
            <w:noWrap/>
            <w:vAlign w:val="center"/>
            <w:hideMark/>
          </w:tcPr>
          <w:p w14:paraId="4BFEC9C1" w14:textId="77777777" w:rsidR="008944CE" w:rsidRPr="00932F14" w:rsidRDefault="008944CE" w:rsidP="00932F14">
            <w:pPr>
              <w:jc w:val="center"/>
              <w:rPr>
                <w:lang w:eastAsia="es-CR"/>
              </w:rPr>
            </w:pPr>
            <w:r w:rsidRPr="00932F14">
              <w:rPr>
                <w:lang w:eastAsia="es-CR"/>
              </w:rPr>
              <w:t>349</w:t>
            </w:r>
          </w:p>
        </w:tc>
        <w:tc>
          <w:tcPr>
            <w:tcW w:w="645" w:type="pct"/>
            <w:noWrap/>
            <w:vAlign w:val="center"/>
            <w:hideMark/>
          </w:tcPr>
          <w:p w14:paraId="088ED239" w14:textId="77777777" w:rsidR="008944CE" w:rsidRPr="00932F14" w:rsidRDefault="008944CE" w:rsidP="00932F14">
            <w:pPr>
              <w:jc w:val="center"/>
              <w:rPr>
                <w:lang w:eastAsia="es-CR"/>
              </w:rPr>
            </w:pPr>
            <w:r w:rsidRPr="00932F14">
              <w:rPr>
                <w:lang w:eastAsia="es-CR"/>
              </w:rPr>
              <w:t>621</w:t>
            </w:r>
          </w:p>
        </w:tc>
        <w:tc>
          <w:tcPr>
            <w:tcW w:w="830" w:type="pct"/>
            <w:noWrap/>
            <w:vAlign w:val="center"/>
            <w:hideMark/>
          </w:tcPr>
          <w:p w14:paraId="6A2397C4" w14:textId="77777777" w:rsidR="008944CE" w:rsidRPr="00932F14" w:rsidRDefault="008944CE" w:rsidP="00932F14">
            <w:pPr>
              <w:jc w:val="center"/>
              <w:rPr>
                <w:lang w:eastAsia="es-CR"/>
              </w:rPr>
            </w:pPr>
            <w:r w:rsidRPr="00932F14">
              <w:rPr>
                <w:lang w:eastAsia="es-CR"/>
              </w:rPr>
              <w:t>22,190</w:t>
            </w:r>
          </w:p>
        </w:tc>
        <w:tc>
          <w:tcPr>
            <w:tcW w:w="648" w:type="pct"/>
            <w:noWrap/>
            <w:vAlign w:val="center"/>
            <w:hideMark/>
          </w:tcPr>
          <w:p w14:paraId="728229D8" w14:textId="77777777" w:rsidR="008944CE" w:rsidRPr="00932F14" w:rsidRDefault="008944CE" w:rsidP="00932F14">
            <w:pPr>
              <w:jc w:val="center"/>
              <w:rPr>
                <w:lang w:eastAsia="es-CR"/>
              </w:rPr>
            </w:pPr>
            <w:r w:rsidRPr="00932F14">
              <w:rPr>
                <w:lang w:eastAsia="es-CR"/>
              </w:rPr>
              <w:t>6,639</w:t>
            </w:r>
          </w:p>
        </w:tc>
      </w:tr>
      <w:tr w:rsidR="008944CE" w:rsidRPr="00932F14" w14:paraId="34CC549A" w14:textId="77777777" w:rsidTr="008944CE">
        <w:trPr>
          <w:trHeight w:val="315"/>
        </w:trPr>
        <w:tc>
          <w:tcPr>
            <w:tcW w:w="2043" w:type="pct"/>
            <w:tcBorders>
              <w:top w:val="nil"/>
              <w:left w:val="nil"/>
              <w:bottom w:val="nil"/>
              <w:right w:val="single" w:sz="4" w:space="0" w:color="auto"/>
            </w:tcBorders>
            <w:noWrap/>
            <w:vAlign w:val="center"/>
            <w:hideMark/>
          </w:tcPr>
          <w:p w14:paraId="4C01C6C5" w14:textId="77777777" w:rsidR="008944CE" w:rsidRPr="00932F14" w:rsidRDefault="008944CE" w:rsidP="00932F14">
            <w:pPr>
              <w:jc w:val="center"/>
              <w:rPr>
                <w:lang w:eastAsia="es-CR"/>
              </w:rPr>
            </w:pPr>
            <w:r w:rsidRPr="00932F14">
              <w:rPr>
                <w:lang w:eastAsia="es-CR"/>
              </w:rPr>
              <w:lastRenderedPageBreak/>
              <w:t>De 36 a 44 años</w:t>
            </w:r>
          </w:p>
        </w:tc>
        <w:tc>
          <w:tcPr>
            <w:tcW w:w="834" w:type="pct"/>
            <w:noWrap/>
            <w:vAlign w:val="center"/>
            <w:hideMark/>
          </w:tcPr>
          <w:p w14:paraId="7B3342B0" w14:textId="77777777" w:rsidR="008944CE" w:rsidRPr="00932F14" w:rsidRDefault="008944CE" w:rsidP="00932F14">
            <w:pPr>
              <w:jc w:val="center"/>
              <w:rPr>
                <w:lang w:eastAsia="es-CR"/>
              </w:rPr>
            </w:pPr>
            <w:r w:rsidRPr="00932F14">
              <w:rPr>
                <w:lang w:eastAsia="es-CR"/>
              </w:rPr>
              <w:t>281</w:t>
            </w:r>
          </w:p>
        </w:tc>
        <w:tc>
          <w:tcPr>
            <w:tcW w:w="645" w:type="pct"/>
            <w:noWrap/>
            <w:vAlign w:val="center"/>
            <w:hideMark/>
          </w:tcPr>
          <w:p w14:paraId="789252F2" w14:textId="77777777" w:rsidR="008944CE" w:rsidRPr="00932F14" w:rsidRDefault="008944CE" w:rsidP="00932F14">
            <w:pPr>
              <w:jc w:val="center"/>
              <w:rPr>
                <w:lang w:eastAsia="es-CR"/>
              </w:rPr>
            </w:pPr>
            <w:r w:rsidRPr="00932F14">
              <w:rPr>
                <w:lang w:eastAsia="es-CR"/>
              </w:rPr>
              <w:t>432</w:t>
            </w:r>
          </w:p>
        </w:tc>
        <w:tc>
          <w:tcPr>
            <w:tcW w:w="830" w:type="pct"/>
            <w:noWrap/>
            <w:vAlign w:val="center"/>
            <w:hideMark/>
          </w:tcPr>
          <w:p w14:paraId="2084F53E" w14:textId="77777777" w:rsidR="008944CE" w:rsidRPr="00932F14" w:rsidRDefault="008944CE" w:rsidP="00932F14">
            <w:pPr>
              <w:jc w:val="center"/>
              <w:rPr>
                <w:lang w:eastAsia="es-CR"/>
              </w:rPr>
            </w:pPr>
            <w:r w:rsidRPr="00932F14">
              <w:rPr>
                <w:lang w:eastAsia="es-CR"/>
              </w:rPr>
              <w:t>19,771</w:t>
            </w:r>
          </w:p>
        </w:tc>
        <w:tc>
          <w:tcPr>
            <w:tcW w:w="648" w:type="pct"/>
            <w:noWrap/>
            <w:vAlign w:val="center"/>
            <w:hideMark/>
          </w:tcPr>
          <w:p w14:paraId="27C11195" w14:textId="77777777" w:rsidR="008944CE" w:rsidRPr="00932F14" w:rsidRDefault="008944CE" w:rsidP="00932F14">
            <w:pPr>
              <w:jc w:val="center"/>
              <w:rPr>
                <w:lang w:eastAsia="es-CR"/>
              </w:rPr>
            </w:pPr>
            <w:r w:rsidRPr="00932F14">
              <w:rPr>
                <w:lang w:eastAsia="es-CR"/>
              </w:rPr>
              <w:t>5,574</w:t>
            </w:r>
          </w:p>
        </w:tc>
      </w:tr>
      <w:tr w:rsidR="008944CE" w:rsidRPr="00932F14" w14:paraId="62A59D55" w14:textId="77777777" w:rsidTr="008944CE">
        <w:trPr>
          <w:trHeight w:val="315"/>
        </w:trPr>
        <w:tc>
          <w:tcPr>
            <w:tcW w:w="2043" w:type="pct"/>
            <w:tcBorders>
              <w:top w:val="nil"/>
              <w:left w:val="nil"/>
              <w:bottom w:val="nil"/>
              <w:right w:val="single" w:sz="4" w:space="0" w:color="auto"/>
            </w:tcBorders>
            <w:noWrap/>
            <w:vAlign w:val="center"/>
            <w:hideMark/>
          </w:tcPr>
          <w:p w14:paraId="1DD658C3" w14:textId="77777777" w:rsidR="008944CE" w:rsidRPr="00932F14" w:rsidRDefault="008944CE" w:rsidP="00932F14">
            <w:pPr>
              <w:jc w:val="center"/>
              <w:rPr>
                <w:lang w:eastAsia="es-CR"/>
              </w:rPr>
            </w:pPr>
            <w:r w:rsidRPr="00932F14">
              <w:rPr>
                <w:lang w:eastAsia="es-CR"/>
              </w:rPr>
              <w:t>De 45 a 53 años</w:t>
            </w:r>
          </w:p>
        </w:tc>
        <w:tc>
          <w:tcPr>
            <w:tcW w:w="834" w:type="pct"/>
            <w:noWrap/>
            <w:vAlign w:val="center"/>
            <w:hideMark/>
          </w:tcPr>
          <w:p w14:paraId="4317E8E3" w14:textId="77777777" w:rsidR="008944CE" w:rsidRPr="00932F14" w:rsidRDefault="008944CE" w:rsidP="00932F14">
            <w:pPr>
              <w:jc w:val="center"/>
              <w:rPr>
                <w:lang w:eastAsia="es-CR"/>
              </w:rPr>
            </w:pPr>
            <w:r w:rsidRPr="00932F14">
              <w:rPr>
                <w:lang w:eastAsia="es-CR"/>
              </w:rPr>
              <w:t>185</w:t>
            </w:r>
          </w:p>
        </w:tc>
        <w:tc>
          <w:tcPr>
            <w:tcW w:w="645" w:type="pct"/>
            <w:noWrap/>
            <w:vAlign w:val="center"/>
            <w:hideMark/>
          </w:tcPr>
          <w:p w14:paraId="074E2136" w14:textId="77777777" w:rsidR="008944CE" w:rsidRPr="00932F14" w:rsidRDefault="008944CE" w:rsidP="00932F14">
            <w:pPr>
              <w:jc w:val="center"/>
              <w:rPr>
                <w:lang w:eastAsia="es-CR"/>
              </w:rPr>
            </w:pPr>
            <w:r w:rsidRPr="00932F14">
              <w:rPr>
                <w:lang w:eastAsia="es-CR"/>
              </w:rPr>
              <w:t>317</w:t>
            </w:r>
          </w:p>
        </w:tc>
        <w:tc>
          <w:tcPr>
            <w:tcW w:w="830" w:type="pct"/>
            <w:noWrap/>
            <w:vAlign w:val="center"/>
            <w:hideMark/>
          </w:tcPr>
          <w:p w14:paraId="5B5CD8CD" w14:textId="77777777" w:rsidR="008944CE" w:rsidRPr="00932F14" w:rsidRDefault="008944CE" w:rsidP="00932F14">
            <w:pPr>
              <w:jc w:val="center"/>
              <w:rPr>
                <w:lang w:eastAsia="es-CR"/>
              </w:rPr>
            </w:pPr>
            <w:r w:rsidRPr="00932F14">
              <w:rPr>
                <w:lang w:eastAsia="es-CR"/>
              </w:rPr>
              <w:t>14,210</w:t>
            </w:r>
          </w:p>
        </w:tc>
        <w:tc>
          <w:tcPr>
            <w:tcW w:w="648" w:type="pct"/>
            <w:noWrap/>
            <w:vAlign w:val="center"/>
            <w:hideMark/>
          </w:tcPr>
          <w:p w14:paraId="13F6158E" w14:textId="77777777" w:rsidR="008944CE" w:rsidRPr="00932F14" w:rsidRDefault="008944CE" w:rsidP="00932F14">
            <w:pPr>
              <w:jc w:val="center"/>
              <w:rPr>
                <w:lang w:eastAsia="es-CR"/>
              </w:rPr>
            </w:pPr>
            <w:r w:rsidRPr="00932F14">
              <w:rPr>
                <w:lang w:eastAsia="es-CR"/>
              </w:rPr>
              <w:t>3,282</w:t>
            </w:r>
          </w:p>
        </w:tc>
      </w:tr>
      <w:tr w:rsidR="008944CE" w:rsidRPr="00932F14" w14:paraId="5D7D086F" w14:textId="77777777" w:rsidTr="008944CE">
        <w:trPr>
          <w:trHeight w:val="315"/>
        </w:trPr>
        <w:tc>
          <w:tcPr>
            <w:tcW w:w="2043" w:type="pct"/>
            <w:tcBorders>
              <w:top w:val="nil"/>
              <w:left w:val="nil"/>
              <w:bottom w:val="nil"/>
              <w:right w:val="single" w:sz="4" w:space="0" w:color="auto"/>
            </w:tcBorders>
            <w:noWrap/>
            <w:vAlign w:val="center"/>
            <w:hideMark/>
          </w:tcPr>
          <w:p w14:paraId="0691C14A" w14:textId="77777777" w:rsidR="008944CE" w:rsidRPr="00932F14" w:rsidRDefault="008944CE" w:rsidP="00932F14">
            <w:pPr>
              <w:jc w:val="center"/>
              <w:rPr>
                <w:lang w:eastAsia="es-CR"/>
              </w:rPr>
            </w:pPr>
            <w:r w:rsidRPr="00932F14">
              <w:rPr>
                <w:lang w:eastAsia="es-CR"/>
              </w:rPr>
              <w:t>De 54 a 62 años</w:t>
            </w:r>
          </w:p>
        </w:tc>
        <w:tc>
          <w:tcPr>
            <w:tcW w:w="834" w:type="pct"/>
            <w:noWrap/>
            <w:vAlign w:val="center"/>
            <w:hideMark/>
          </w:tcPr>
          <w:p w14:paraId="20B0ED94" w14:textId="77777777" w:rsidR="008944CE" w:rsidRPr="00932F14" w:rsidRDefault="008944CE" w:rsidP="00932F14">
            <w:pPr>
              <w:jc w:val="center"/>
              <w:rPr>
                <w:lang w:eastAsia="es-CR"/>
              </w:rPr>
            </w:pPr>
            <w:r w:rsidRPr="00932F14">
              <w:rPr>
                <w:lang w:eastAsia="es-CR"/>
              </w:rPr>
              <w:t>167</w:t>
            </w:r>
          </w:p>
        </w:tc>
        <w:tc>
          <w:tcPr>
            <w:tcW w:w="645" w:type="pct"/>
            <w:noWrap/>
            <w:vAlign w:val="center"/>
            <w:hideMark/>
          </w:tcPr>
          <w:p w14:paraId="3E971B5C" w14:textId="77777777" w:rsidR="008944CE" w:rsidRPr="00932F14" w:rsidRDefault="008944CE" w:rsidP="00932F14">
            <w:pPr>
              <w:jc w:val="center"/>
              <w:rPr>
                <w:lang w:eastAsia="es-CR"/>
              </w:rPr>
            </w:pPr>
            <w:r w:rsidRPr="00932F14">
              <w:rPr>
                <w:lang w:eastAsia="es-CR"/>
              </w:rPr>
              <w:t>281</w:t>
            </w:r>
          </w:p>
        </w:tc>
        <w:tc>
          <w:tcPr>
            <w:tcW w:w="830" w:type="pct"/>
            <w:noWrap/>
            <w:vAlign w:val="center"/>
            <w:hideMark/>
          </w:tcPr>
          <w:p w14:paraId="46017508" w14:textId="77777777" w:rsidR="008944CE" w:rsidRPr="00932F14" w:rsidRDefault="008944CE" w:rsidP="00932F14">
            <w:pPr>
              <w:jc w:val="center"/>
              <w:rPr>
                <w:lang w:eastAsia="es-CR"/>
              </w:rPr>
            </w:pPr>
            <w:r w:rsidRPr="00932F14">
              <w:rPr>
                <w:lang w:eastAsia="es-CR"/>
              </w:rPr>
              <w:t>10,997</w:t>
            </w:r>
          </w:p>
        </w:tc>
        <w:tc>
          <w:tcPr>
            <w:tcW w:w="648" w:type="pct"/>
            <w:noWrap/>
            <w:vAlign w:val="center"/>
            <w:hideMark/>
          </w:tcPr>
          <w:p w14:paraId="40F3A13A" w14:textId="77777777" w:rsidR="008944CE" w:rsidRPr="00932F14" w:rsidRDefault="008944CE" w:rsidP="00932F14">
            <w:pPr>
              <w:jc w:val="center"/>
              <w:rPr>
                <w:lang w:eastAsia="es-CR"/>
              </w:rPr>
            </w:pPr>
            <w:r w:rsidRPr="00932F14">
              <w:rPr>
                <w:lang w:eastAsia="es-CR"/>
              </w:rPr>
              <w:t>2,113</w:t>
            </w:r>
          </w:p>
        </w:tc>
      </w:tr>
      <w:tr w:rsidR="008944CE" w:rsidRPr="00932F14" w14:paraId="09145F16" w14:textId="77777777" w:rsidTr="008944CE">
        <w:trPr>
          <w:trHeight w:val="315"/>
        </w:trPr>
        <w:tc>
          <w:tcPr>
            <w:tcW w:w="2043" w:type="pct"/>
            <w:tcBorders>
              <w:top w:val="nil"/>
              <w:left w:val="nil"/>
              <w:bottom w:val="nil"/>
              <w:right w:val="single" w:sz="4" w:space="0" w:color="auto"/>
            </w:tcBorders>
            <w:noWrap/>
            <w:vAlign w:val="center"/>
            <w:hideMark/>
          </w:tcPr>
          <w:p w14:paraId="20B9666A" w14:textId="77777777" w:rsidR="008944CE" w:rsidRPr="00932F14" w:rsidRDefault="008944CE" w:rsidP="00932F14">
            <w:pPr>
              <w:jc w:val="center"/>
              <w:rPr>
                <w:lang w:eastAsia="es-CR"/>
              </w:rPr>
            </w:pPr>
            <w:r w:rsidRPr="00932F14">
              <w:rPr>
                <w:lang w:eastAsia="es-CR"/>
              </w:rPr>
              <w:t>De 63 a 71 años</w:t>
            </w:r>
          </w:p>
        </w:tc>
        <w:tc>
          <w:tcPr>
            <w:tcW w:w="834" w:type="pct"/>
            <w:noWrap/>
            <w:vAlign w:val="center"/>
            <w:hideMark/>
          </w:tcPr>
          <w:p w14:paraId="039AAD0E" w14:textId="77777777" w:rsidR="008944CE" w:rsidRPr="00932F14" w:rsidRDefault="008944CE" w:rsidP="00932F14">
            <w:pPr>
              <w:jc w:val="center"/>
              <w:rPr>
                <w:lang w:eastAsia="es-CR"/>
              </w:rPr>
            </w:pPr>
            <w:r w:rsidRPr="00932F14">
              <w:rPr>
                <w:lang w:eastAsia="es-CR"/>
              </w:rPr>
              <w:t>104</w:t>
            </w:r>
          </w:p>
        </w:tc>
        <w:tc>
          <w:tcPr>
            <w:tcW w:w="645" w:type="pct"/>
            <w:noWrap/>
            <w:vAlign w:val="center"/>
            <w:hideMark/>
          </w:tcPr>
          <w:p w14:paraId="5FED9C92" w14:textId="77777777" w:rsidR="008944CE" w:rsidRPr="00932F14" w:rsidRDefault="008944CE" w:rsidP="00932F14">
            <w:pPr>
              <w:jc w:val="center"/>
              <w:rPr>
                <w:lang w:eastAsia="es-CR"/>
              </w:rPr>
            </w:pPr>
            <w:r w:rsidRPr="00932F14">
              <w:rPr>
                <w:lang w:eastAsia="es-CR"/>
              </w:rPr>
              <w:t>151</w:t>
            </w:r>
          </w:p>
        </w:tc>
        <w:tc>
          <w:tcPr>
            <w:tcW w:w="830" w:type="pct"/>
            <w:noWrap/>
            <w:vAlign w:val="center"/>
            <w:hideMark/>
          </w:tcPr>
          <w:p w14:paraId="399C6681" w14:textId="77777777" w:rsidR="008944CE" w:rsidRPr="00932F14" w:rsidRDefault="008944CE" w:rsidP="00932F14">
            <w:pPr>
              <w:jc w:val="center"/>
              <w:rPr>
                <w:lang w:eastAsia="es-CR"/>
              </w:rPr>
            </w:pPr>
            <w:r w:rsidRPr="00932F14">
              <w:rPr>
                <w:lang w:eastAsia="es-CR"/>
              </w:rPr>
              <w:t>4,765</w:t>
            </w:r>
          </w:p>
        </w:tc>
        <w:tc>
          <w:tcPr>
            <w:tcW w:w="648" w:type="pct"/>
            <w:noWrap/>
            <w:vAlign w:val="center"/>
            <w:hideMark/>
          </w:tcPr>
          <w:p w14:paraId="4015380F" w14:textId="77777777" w:rsidR="008944CE" w:rsidRPr="00932F14" w:rsidRDefault="008944CE" w:rsidP="00932F14">
            <w:pPr>
              <w:jc w:val="center"/>
              <w:rPr>
                <w:lang w:eastAsia="es-CR"/>
              </w:rPr>
            </w:pPr>
            <w:r w:rsidRPr="00932F14">
              <w:rPr>
                <w:lang w:eastAsia="es-CR"/>
              </w:rPr>
              <w:t>850</w:t>
            </w:r>
          </w:p>
        </w:tc>
      </w:tr>
      <w:tr w:rsidR="008944CE" w:rsidRPr="00932F14" w14:paraId="30367359" w14:textId="77777777" w:rsidTr="008944CE">
        <w:trPr>
          <w:trHeight w:val="315"/>
        </w:trPr>
        <w:tc>
          <w:tcPr>
            <w:tcW w:w="2043" w:type="pct"/>
            <w:tcBorders>
              <w:top w:val="nil"/>
              <w:left w:val="nil"/>
              <w:bottom w:val="nil"/>
              <w:right w:val="single" w:sz="4" w:space="0" w:color="auto"/>
            </w:tcBorders>
            <w:noWrap/>
            <w:vAlign w:val="center"/>
            <w:hideMark/>
          </w:tcPr>
          <w:p w14:paraId="6D9074FA" w14:textId="77777777" w:rsidR="008944CE" w:rsidRPr="00932F14" w:rsidRDefault="008944CE" w:rsidP="00932F14">
            <w:pPr>
              <w:jc w:val="center"/>
              <w:rPr>
                <w:lang w:eastAsia="es-CR"/>
              </w:rPr>
            </w:pPr>
            <w:r w:rsidRPr="00932F14">
              <w:rPr>
                <w:lang w:eastAsia="es-CR"/>
              </w:rPr>
              <w:t>De 72 a 80 años</w:t>
            </w:r>
          </w:p>
        </w:tc>
        <w:tc>
          <w:tcPr>
            <w:tcW w:w="834" w:type="pct"/>
            <w:noWrap/>
            <w:vAlign w:val="center"/>
            <w:hideMark/>
          </w:tcPr>
          <w:p w14:paraId="59E49E8B" w14:textId="77777777" w:rsidR="008944CE" w:rsidRPr="00932F14" w:rsidRDefault="008944CE" w:rsidP="00932F14">
            <w:pPr>
              <w:jc w:val="center"/>
              <w:rPr>
                <w:lang w:eastAsia="es-CR"/>
              </w:rPr>
            </w:pPr>
            <w:r w:rsidRPr="00932F14">
              <w:rPr>
                <w:lang w:eastAsia="es-CR"/>
              </w:rPr>
              <w:t>46</w:t>
            </w:r>
          </w:p>
        </w:tc>
        <w:tc>
          <w:tcPr>
            <w:tcW w:w="645" w:type="pct"/>
            <w:noWrap/>
            <w:vAlign w:val="center"/>
            <w:hideMark/>
          </w:tcPr>
          <w:p w14:paraId="32A320ED" w14:textId="77777777" w:rsidR="008944CE" w:rsidRPr="00932F14" w:rsidRDefault="008944CE" w:rsidP="00932F14">
            <w:pPr>
              <w:jc w:val="center"/>
              <w:rPr>
                <w:lang w:eastAsia="es-CR"/>
              </w:rPr>
            </w:pPr>
            <w:r w:rsidRPr="00932F14">
              <w:rPr>
                <w:lang w:eastAsia="es-CR"/>
              </w:rPr>
              <w:t>60</w:t>
            </w:r>
          </w:p>
        </w:tc>
        <w:tc>
          <w:tcPr>
            <w:tcW w:w="830" w:type="pct"/>
            <w:noWrap/>
            <w:vAlign w:val="center"/>
            <w:hideMark/>
          </w:tcPr>
          <w:p w14:paraId="3732E330" w14:textId="77777777" w:rsidR="008944CE" w:rsidRPr="00932F14" w:rsidRDefault="008944CE" w:rsidP="00932F14">
            <w:pPr>
              <w:jc w:val="center"/>
              <w:rPr>
                <w:lang w:eastAsia="es-CR"/>
              </w:rPr>
            </w:pPr>
            <w:r w:rsidRPr="00932F14">
              <w:rPr>
                <w:lang w:eastAsia="es-CR"/>
              </w:rPr>
              <w:t>1,303</w:t>
            </w:r>
          </w:p>
        </w:tc>
        <w:tc>
          <w:tcPr>
            <w:tcW w:w="648" w:type="pct"/>
            <w:noWrap/>
            <w:vAlign w:val="center"/>
            <w:hideMark/>
          </w:tcPr>
          <w:p w14:paraId="36428008" w14:textId="77777777" w:rsidR="008944CE" w:rsidRPr="00932F14" w:rsidRDefault="008944CE" w:rsidP="00932F14">
            <w:pPr>
              <w:jc w:val="center"/>
              <w:rPr>
                <w:lang w:eastAsia="es-CR"/>
              </w:rPr>
            </w:pPr>
            <w:r w:rsidRPr="00932F14">
              <w:rPr>
                <w:lang w:eastAsia="es-CR"/>
              </w:rPr>
              <w:t>264</w:t>
            </w:r>
          </w:p>
        </w:tc>
      </w:tr>
      <w:tr w:rsidR="008944CE" w:rsidRPr="00932F14" w14:paraId="0A42828A" w14:textId="77777777" w:rsidTr="008944CE">
        <w:trPr>
          <w:trHeight w:val="315"/>
        </w:trPr>
        <w:tc>
          <w:tcPr>
            <w:tcW w:w="2043" w:type="pct"/>
            <w:tcBorders>
              <w:top w:val="nil"/>
              <w:left w:val="nil"/>
              <w:bottom w:val="nil"/>
              <w:right w:val="single" w:sz="4" w:space="0" w:color="auto"/>
            </w:tcBorders>
            <w:noWrap/>
            <w:vAlign w:val="center"/>
            <w:hideMark/>
          </w:tcPr>
          <w:p w14:paraId="33F3D8E7" w14:textId="77777777" w:rsidR="008944CE" w:rsidRPr="00932F14" w:rsidRDefault="008944CE" w:rsidP="00932F14">
            <w:pPr>
              <w:jc w:val="center"/>
              <w:rPr>
                <w:lang w:eastAsia="es-CR"/>
              </w:rPr>
            </w:pPr>
            <w:r w:rsidRPr="00932F14">
              <w:rPr>
                <w:lang w:eastAsia="es-CR"/>
              </w:rPr>
              <w:t>De 81 a 89 años</w:t>
            </w:r>
          </w:p>
        </w:tc>
        <w:tc>
          <w:tcPr>
            <w:tcW w:w="834" w:type="pct"/>
            <w:noWrap/>
            <w:vAlign w:val="center"/>
            <w:hideMark/>
          </w:tcPr>
          <w:p w14:paraId="2CD4D8E8" w14:textId="77777777" w:rsidR="008944CE" w:rsidRPr="00932F14" w:rsidRDefault="008944CE" w:rsidP="00932F14">
            <w:pPr>
              <w:jc w:val="center"/>
              <w:rPr>
                <w:lang w:eastAsia="es-CR"/>
              </w:rPr>
            </w:pPr>
            <w:r w:rsidRPr="00932F14">
              <w:rPr>
                <w:lang w:eastAsia="es-CR"/>
              </w:rPr>
              <w:t>16</w:t>
            </w:r>
          </w:p>
        </w:tc>
        <w:tc>
          <w:tcPr>
            <w:tcW w:w="645" w:type="pct"/>
            <w:noWrap/>
            <w:vAlign w:val="center"/>
            <w:hideMark/>
          </w:tcPr>
          <w:p w14:paraId="7C91FE97" w14:textId="77777777" w:rsidR="008944CE" w:rsidRPr="00932F14" w:rsidRDefault="008944CE" w:rsidP="00932F14">
            <w:pPr>
              <w:jc w:val="center"/>
              <w:rPr>
                <w:lang w:eastAsia="es-CR"/>
              </w:rPr>
            </w:pPr>
            <w:r w:rsidRPr="00932F14">
              <w:rPr>
                <w:lang w:eastAsia="es-CR"/>
              </w:rPr>
              <w:t>23</w:t>
            </w:r>
          </w:p>
        </w:tc>
        <w:tc>
          <w:tcPr>
            <w:tcW w:w="830" w:type="pct"/>
            <w:noWrap/>
            <w:vAlign w:val="center"/>
            <w:hideMark/>
          </w:tcPr>
          <w:p w14:paraId="07E0DD8C" w14:textId="77777777" w:rsidR="008944CE" w:rsidRPr="00932F14" w:rsidRDefault="008944CE" w:rsidP="00932F14">
            <w:pPr>
              <w:jc w:val="center"/>
              <w:rPr>
                <w:lang w:eastAsia="es-CR"/>
              </w:rPr>
            </w:pPr>
            <w:r w:rsidRPr="00932F14">
              <w:rPr>
                <w:lang w:eastAsia="es-CR"/>
              </w:rPr>
              <w:t>255</w:t>
            </w:r>
          </w:p>
        </w:tc>
        <w:tc>
          <w:tcPr>
            <w:tcW w:w="648" w:type="pct"/>
            <w:noWrap/>
            <w:vAlign w:val="center"/>
            <w:hideMark/>
          </w:tcPr>
          <w:p w14:paraId="589FEC8B" w14:textId="77777777" w:rsidR="008944CE" w:rsidRPr="00932F14" w:rsidRDefault="008944CE" w:rsidP="00932F14">
            <w:pPr>
              <w:jc w:val="center"/>
              <w:rPr>
                <w:lang w:eastAsia="es-CR"/>
              </w:rPr>
            </w:pPr>
            <w:r w:rsidRPr="00932F14">
              <w:rPr>
                <w:lang w:eastAsia="es-CR"/>
              </w:rPr>
              <w:t>56</w:t>
            </w:r>
          </w:p>
        </w:tc>
      </w:tr>
      <w:tr w:rsidR="008944CE" w:rsidRPr="00932F14" w14:paraId="3491BC89" w14:textId="77777777" w:rsidTr="008944CE">
        <w:trPr>
          <w:trHeight w:val="315"/>
        </w:trPr>
        <w:tc>
          <w:tcPr>
            <w:tcW w:w="2043" w:type="pct"/>
            <w:tcBorders>
              <w:top w:val="nil"/>
              <w:left w:val="nil"/>
              <w:bottom w:val="nil"/>
              <w:right w:val="single" w:sz="4" w:space="0" w:color="auto"/>
            </w:tcBorders>
            <w:noWrap/>
            <w:vAlign w:val="center"/>
            <w:hideMark/>
          </w:tcPr>
          <w:p w14:paraId="3496AD25" w14:textId="77777777" w:rsidR="008944CE" w:rsidRPr="00932F14" w:rsidRDefault="008944CE" w:rsidP="00932F14">
            <w:pPr>
              <w:jc w:val="center"/>
              <w:rPr>
                <w:lang w:eastAsia="es-CR"/>
              </w:rPr>
            </w:pPr>
            <w:r w:rsidRPr="00932F14">
              <w:rPr>
                <w:lang w:eastAsia="es-CR"/>
              </w:rPr>
              <w:t>De 90 a más años</w:t>
            </w:r>
          </w:p>
        </w:tc>
        <w:tc>
          <w:tcPr>
            <w:tcW w:w="834" w:type="pct"/>
            <w:noWrap/>
            <w:vAlign w:val="center"/>
            <w:hideMark/>
          </w:tcPr>
          <w:p w14:paraId="137D2316" w14:textId="77777777" w:rsidR="008944CE" w:rsidRPr="00932F14" w:rsidRDefault="008944CE" w:rsidP="00932F14">
            <w:pPr>
              <w:jc w:val="center"/>
              <w:rPr>
                <w:lang w:eastAsia="es-CR"/>
              </w:rPr>
            </w:pPr>
            <w:r w:rsidRPr="00932F14">
              <w:rPr>
                <w:lang w:eastAsia="es-CR"/>
              </w:rPr>
              <w:t>4</w:t>
            </w:r>
          </w:p>
        </w:tc>
        <w:tc>
          <w:tcPr>
            <w:tcW w:w="645" w:type="pct"/>
            <w:noWrap/>
            <w:vAlign w:val="center"/>
            <w:hideMark/>
          </w:tcPr>
          <w:p w14:paraId="42B7B0C6" w14:textId="77777777" w:rsidR="008944CE" w:rsidRPr="00932F14" w:rsidRDefault="008944CE" w:rsidP="00932F14">
            <w:pPr>
              <w:jc w:val="center"/>
              <w:rPr>
                <w:lang w:eastAsia="es-CR"/>
              </w:rPr>
            </w:pPr>
            <w:r w:rsidRPr="00932F14">
              <w:rPr>
                <w:lang w:eastAsia="es-CR"/>
              </w:rPr>
              <w:t>8</w:t>
            </w:r>
          </w:p>
        </w:tc>
        <w:tc>
          <w:tcPr>
            <w:tcW w:w="830" w:type="pct"/>
            <w:noWrap/>
            <w:vAlign w:val="center"/>
            <w:hideMark/>
          </w:tcPr>
          <w:p w14:paraId="1C057519" w14:textId="77777777" w:rsidR="008944CE" w:rsidRPr="00932F14" w:rsidRDefault="008944CE" w:rsidP="00932F14">
            <w:pPr>
              <w:jc w:val="center"/>
              <w:rPr>
                <w:lang w:eastAsia="es-CR"/>
              </w:rPr>
            </w:pPr>
            <w:r w:rsidRPr="00932F14">
              <w:rPr>
                <w:lang w:eastAsia="es-CR"/>
              </w:rPr>
              <w:t>24</w:t>
            </w:r>
          </w:p>
        </w:tc>
        <w:tc>
          <w:tcPr>
            <w:tcW w:w="648" w:type="pct"/>
            <w:noWrap/>
            <w:vAlign w:val="center"/>
            <w:hideMark/>
          </w:tcPr>
          <w:p w14:paraId="1869F968" w14:textId="77777777" w:rsidR="008944CE" w:rsidRPr="00932F14" w:rsidRDefault="008944CE" w:rsidP="00932F14">
            <w:pPr>
              <w:jc w:val="center"/>
              <w:rPr>
                <w:lang w:eastAsia="es-CR"/>
              </w:rPr>
            </w:pPr>
            <w:r w:rsidRPr="00932F14">
              <w:rPr>
                <w:lang w:eastAsia="es-CR"/>
              </w:rPr>
              <w:t>4</w:t>
            </w:r>
          </w:p>
        </w:tc>
      </w:tr>
      <w:tr w:rsidR="008944CE" w:rsidRPr="00932F14" w14:paraId="1A10F924" w14:textId="77777777" w:rsidTr="008944CE">
        <w:trPr>
          <w:trHeight w:val="315"/>
        </w:trPr>
        <w:tc>
          <w:tcPr>
            <w:tcW w:w="2043" w:type="pct"/>
            <w:tcBorders>
              <w:top w:val="nil"/>
              <w:left w:val="nil"/>
              <w:bottom w:val="nil"/>
              <w:right w:val="single" w:sz="4" w:space="0" w:color="auto"/>
            </w:tcBorders>
            <w:noWrap/>
            <w:vAlign w:val="center"/>
            <w:hideMark/>
          </w:tcPr>
          <w:p w14:paraId="55FA9E9F" w14:textId="77777777" w:rsidR="008944CE" w:rsidRPr="00932F14" w:rsidRDefault="008944CE" w:rsidP="00932F14">
            <w:pPr>
              <w:jc w:val="center"/>
              <w:rPr>
                <w:lang w:eastAsia="es-CR"/>
              </w:rPr>
            </w:pPr>
            <w:r w:rsidRPr="00932F14">
              <w:rPr>
                <w:lang w:eastAsia="es-CR"/>
              </w:rPr>
              <w:t>Dato desconocido</w:t>
            </w:r>
          </w:p>
        </w:tc>
        <w:tc>
          <w:tcPr>
            <w:tcW w:w="834" w:type="pct"/>
            <w:noWrap/>
            <w:vAlign w:val="center"/>
            <w:hideMark/>
          </w:tcPr>
          <w:p w14:paraId="0AA42536" w14:textId="77777777" w:rsidR="008944CE" w:rsidRPr="00932F14" w:rsidRDefault="008944CE" w:rsidP="00932F14">
            <w:pPr>
              <w:jc w:val="center"/>
              <w:rPr>
                <w:lang w:eastAsia="es-CR"/>
              </w:rPr>
            </w:pPr>
            <w:r w:rsidRPr="00932F14">
              <w:rPr>
                <w:lang w:eastAsia="es-CR"/>
              </w:rPr>
              <w:t>126</w:t>
            </w:r>
          </w:p>
        </w:tc>
        <w:tc>
          <w:tcPr>
            <w:tcW w:w="645" w:type="pct"/>
            <w:noWrap/>
            <w:vAlign w:val="center"/>
            <w:hideMark/>
          </w:tcPr>
          <w:p w14:paraId="56344E39" w14:textId="77777777" w:rsidR="008944CE" w:rsidRPr="00932F14" w:rsidRDefault="008944CE" w:rsidP="00932F14">
            <w:pPr>
              <w:jc w:val="center"/>
              <w:rPr>
                <w:lang w:eastAsia="es-CR"/>
              </w:rPr>
            </w:pPr>
            <w:r w:rsidRPr="00932F14">
              <w:rPr>
                <w:lang w:eastAsia="es-CR"/>
              </w:rPr>
              <w:t>106</w:t>
            </w:r>
          </w:p>
        </w:tc>
        <w:tc>
          <w:tcPr>
            <w:tcW w:w="830" w:type="pct"/>
            <w:noWrap/>
            <w:vAlign w:val="center"/>
            <w:hideMark/>
          </w:tcPr>
          <w:p w14:paraId="2FA9D718" w14:textId="77777777" w:rsidR="008944CE" w:rsidRPr="00932F14" w:rsidRDefault="008944CE" w:rsidP="00932F14">
            <w:pPr>
              <w:jc w:val="center"/>
              <w:rPr>
                <w:lang w:eastAsia="es-CR"/>
              </w:rPr>
            </w:pPr>
            <w:r w:rsidRPr="00932F14">
              <w:rPr>
                <w:lang w:eastAsia="es-CR"/>
              </w:rPr>
              <w:t>3,644</w:t>
            </w:r>
          </w:p>
        </w:tc>
        <w:tc>
          <w:tcPr>
            <w:tcW w:w="648" w:type="pct"/>
            <w:noWrap/>
            <w:vAlign w:val="center"/>
            <w:hideMark/>
          </w:tcPr>
          <w:p w14:paraId="21AD8D43" w14:textId="77777777" w:rsidR="008944CE" w:rsidRPr="00932F14" w:rsidRDefault="008944CE" w:rsidP="00932F14">
            <w:pPr>
              <w:jc w:val="center"/>
              <w:rPr>
                <w:lang w:eastAsia="es-CR"/>
              </w:rPr>
            </w:pPr>
            <w:r w:rsidRPr="00932F14">
              <w:rPr>
                <w:lang w:eastAsia="es-CR"/>
              </w:rPr>
              <w:t>807</w:t>
            </w:r>
          </w:p>
        </w:tc>
      </w:tr>
      <w:tr w:rsidR="008944CE" w:rsidRPr="00932F14" w14:paraId="2E1D3772" w14:textId="77777777" w:rsidTr="008944CE">
        <w:trPr>
          <w:trHeight w:val="315"/>
        </w:trPr>
        <w:tc>
          <w:tcPr>
            <w:tcW w:w="2043" w:type="pct"/>
            <w:tcBorders>
              <w:top w:val="nil"/>
              <w:left w:val="nil"/>
              <w:bottom w:val="single" w:sz="4" w:space="0" w:color="auto"/>
              <w:right w:val="single" w:sz="4" w:space="0" w:color="auto"/>
            </w:tcBorders>
            <w:noWrap/>
            <w:vAlign w:val="center"/>
            <w:hideMark/>
          </w:tcPr>
          <w:p w14:paraId="18329D97" w14:textId="77777777" w:rsidR="008944CE" w:rsidRPr="00932F14" w:rsidRDefault="008944CE" w:rsidP="00932F14">
            <w:pPr>
              <w:jc w:val="center"/>
              <w:rPr>
                <w:lang w:eastAsia="es-CR"/>
              </w:rPr>
            </w:pPr>
            <w:r w:rsidRPr="00932F14">
              <w:rPr>
                <w:lang w:eastAsia="es-CR"/>
              </w:rPr>
              <w:t> </w:t>
            </w:r>
          </w:p>
        </w:tc>
        <w:tc>
          <w:tcPr>
            <w:tcW w:w="834" w:type="pct"/>
            <w:tcBorders>
              <w:top w:val="nil"/>
              <w:left w:val="nil"/>
              <w:bottom w:val="single" w:sz="4" w:space="0" w:color="auto"/>
              <w:right w:val="nil"/>
            </w:tcBorders>
            <w:noWrap/>
            <w:vAlign w:val="center"/>
            <w:hideMark/>
          </w:tcPr>
          <w:p w14:paraId="68D47694" w14:textId="77777777" w:rsidR="008944CE" w:rsidRPr="00932F14" w:rsidRDefault="008944CE" w:rsidP="00932F14">
            <w:pPr>
              <w:jc w:val="center"/>
              <w:rPr>
                <w:lang w:eastAsia="es-CR"/>
              </w:rPr>
            </w:pPr>
            <w:r w:rsidRPr="00932F14">
              <w:rPr>
                <w:lang w:eastAsia="es-CR"/>
              </w:rPr>
              <w:t> </w:t>
            </w:r>
          </w:p>
        </w:tc>
        <w:tc>
          <w:tcPr>
            <w:tcW w:w="645" w:type="pct"/>
            <w:tcBorders>
              <w:top w:val="nil"/>
              <w:left w:val="nil"/>
              <w:bottom w:val="single" w:sz="4" w:space="0" w:color="auto"/>
              <w:right w:val="nil"/>
            </w:tcBorders>
            <w:noWrap/>
            <w:vAlign w:val="center"/>
            <w:hideMark/>
          </w:tcPr>
          <w:p w14:paraId="39D60BF8" w14:textId="77777777" w:rsidR="008944CE" w:rsidRPr="00932F14" w:rsidRDefault="008944CE" w:rsidP="00932F14">
            <w:pPr>
              <w:jc w:val="center"/>
              <w:rPr>
                <w:lang w:eastAsia="es-CR"/>
              </w:rPr>
            </w:pPr>
            <w:r w:rsidRPr="00932F14">
              <w:rPr>
                <w:lang w:eastAsia="es-CR"/>
              </w:rPr>
              <w:t> </w:t>
            </w:r>
          </w:p>
        </w:tc>
        <w:tc>
          <w:tcPr>
            <w:tcW w:w="830" w:type="pct"/>
            <w:tcBorders>
              <w:top w:val="nil"/>
              <w:left w:val="nil"/>
              <w:bottom w:val="single" w:sz="4" w:space="0" w:color="auto"/>
              <w:right w:val="nil"/>
            </w:tcBorders>
            <w:noWrap/>
            <w:vAlign w:val="center"/>
            <w:hideMark/>
          </w:tcPr>
          <w:p w14:paraId="6395FAC4" w14:textId="77777777" w:rsidR="008944CE" w:rsidRPr="00932F14" w:rsidRDefault="008944CE" w:rsidP="00932F14">
            <w:pPr>
              <w:jc w:val="center"/>
              <w:rPr>
                <w:lang w:eastAsia="es-CR"/>
              </w:rPr>
            </w:pPr>
            <w:r w:rsidRPr="00932F14">
              <w:rPr>
                <w:lang w:eastAsia="es-CR"/>
              </w:rPr>
              <w:t> </w:t>
            </w:r>
          </w:p>
        </w:tc>
        <w:tc>
          <w:tcPr>
            <w:tcW w:w="648" w:type="pct"/>
            <w:tcBorders>
              <w:top w:val="nil"/>
              <w:left w:val="nil"/>
              <w:bottom w:val="single" w:sz="4" w:space="0" w:color="auto"/>
              <w:right w:val="nil"/>
            </w:tcBorders>
            <w:noWrap/>
            <w:vAlign w:val="center"/>
            <w:hideMark/>
          </w:tcPr>
          <w:p w14:paraId="0BC20A99" w14:textId="77777777" w:rsidR="008944CE" w:rsidRPr="00932F14" w:rsidRDefault="008944CE" w:rsidP="00932F14">
            <w:pPr>
              <w:jc w:val="center"/>
              <w:rPr>
                <w:lang w:eastAsia="es-CR"/>
              </w:rPr>
            </w:pPr>
            <w:r w:rsidRPr="00932F14">
              <w:rPr>
                <w:lang w:eastAsia="es-CR"/>
              </w:rPr>
              <w:t> </w:t>
            </w:r>
          </w:p>
        </w:tc>
      </w:tr>
      <w:tr w:rsidR="008944CE" w:rsidRPr="00932F14" w14:paraId="33DF2999" w14:textId="77777777" w:rsidTr="008944CE">
        <w:trPr>
          <w:trHeight w:val="255"/>
        </w:trPr>
        <w:tc>
          <w:tcPr>
            <w:tcW w:w="5000" w:type="pct"/>
            <w:gridSpan w:val="5"/>
            <w:noWrap/>
            <w:vAlign w:val="center"/>
            <w:hideMark/>
          </w:tcPr>
          <w:p w14:paraId="31E4DC2B" w14:textId="77777777" w:rsidR="008944CE" w:rsidRPr="00932F14" w:rsidRDefault="008944CE" w:rsidP="00932F14">
            <w:pPr>
              <w:rPr>
                <w:lang w:eastAsia="es-CR"/>
              </w:rPr>
            </w:pPr>
            <w:r w:rsidRPr="00932F14">
              <w:rPr>
                <w:lang w:eastAsia="es-CR"/>
              </w:rPr>
              <w:t>Elaborado por: Subproceso de Estadística, Dirección de Planificación.</w:t>
            </w:r>
          </w:p>
        </w:tc>
      </w:tr>
    </w:tbl>
    <w:p w14:paraId="134BB378" w14:textId="77777777" w:rsidR="008944CE" w:rsidRPr="00932F14" w:rsidRDefault="008944CE" w:rsidP="00932F14">
      <w:pPr>
        <w:rPr>
          <w:lang w:eastAsia="es-ES"/>
        </w:rPr>
      </w:pPr>
    </w:p>
    <w:p w14:paraId="5A30B0C0" w14:textId="77777777" w:rsidR="008944CE" w:rsidRPr="00932F14" w:rsidRDefault="008944CE" w:rsidP="00932F14">
      <w:pPr>
        <w:ind w:left="851" w:right="851" w:firstLine="709"/>
        <w:jc w:val="both"/>
      </w:pPr>
      <w:r w:rsidRPr="00932F14">
        <w:t xml:space="preserve">Cabe destacar que los intervinientes Ofendido(a) representan el 4,15% (4.802 personas) mientras que la parte Imputada lo hace con el restante 95,85% (110.898 personas). Al tomar en consideración la variable estado civil, la categoría más común resultan ser los solteros con un 41,84% (48.414 personas) seguido de los casados con un 39,36% (45.539 personas) y se presenta un nivel de ignorados o dato desconocido del 4,80% (5,558 personas). </w:t>
      </w:r>
    </w:p>
    <w:p w14:paraId="18F98B65" w14:textId="77777777" w:rsidR="008944CE" w:rsidRPr="00932F14" w:rsidRDefault="008944CE" w:rsidP="00932F14">
      <w:pPr>
        <w:ind w:left="851" w:right="851" w:firstLine="709"/>
        <w:jc w:val="both"/>
      </w:pPr>
    </w:p>
    <w:p w14:paraId="38656CC5" w14:textId="51EFB035" w:rsidR="008944CE" w:rsidRPr="00932F14" w:rsidRDefault="008944CE" w:rsidP="00932F14">
      <w:pPr>
        <w:ind w:left="851" w:right="851" w:firstLine="709"/>
        <w:jc w:val="both"/>
      </w:pPr>
      <w:r w:rsidRPr="00932F14">
        <w:t>Como es de esperarse, los intervinientes costarricenses son la categoría más común según la nacionalidad, seguido de los nicaragüenses, mientras que la presencia de alguna discapacidad en las personas intervinientes refleja que solamente el 0,08% (93 personas) fueron plenamente identificadas con la presencia de algún tipo de discapacidad (para mayor detalle, abordar el archivo anexo número 2).</w:t>
      </w:r>
    </w:p>
    <w:p w14:paraId="7347BED6" w14:textId="77777777" w:rsidR="008944CE" w:rsidRPr="00932F14" w:rsidRDefault="008944CE" w:rsidP="00932F14">
      <w:pPr>
        <w:ind w:left="851" w:right="851" w:firstLine="709"/>
        <w:jc w:val="both"/>
      </w:pPr>
    </w:p>
    <w:p w14:paraId="260A9B8F" w14:textId="77777777" w:rsidR="008944CE" w:rsidRPr="00932F14" w:rsidRDefault="008944CE" w:rsidP="00932F14">
      <w:pPr>
        <w:keepNext/>
        <w:keepLines/>
        <w:widowControl w:val="0"/>
        <w:numPr>
          <w:ilvl w:val="0"/>
          <w:numId w:val="126"/>
        </w:numPr>
        <w:suppressAutoHyphens w:val="0"/>
        <w:autoSpaceDE w:val="0"/>
        <w:autoSpaceDN w:val="0"/>
        <w:adjustRightInd w:val="0"/>
        <w:ind w:left="851" w:right="851" w:firstLine="709"/>
        <w:jc w:val="both"/>
        <w:rPr>
          <w:b/>
          <w:bCs/>
        </w:rPr>
      </w:pPr>
      <w:bookmarkStart w:id="12" w:name="_Toc44512689"/>
      <w:r w:rsidRPr="00932F14">
        <w:rPr>
          <w:b/>
          <w:bCs/>
        </w:rPr>
        <w:t>ANEXOS.</w:t>
      </w:r>
      <w:bookmarkEnd w:id="12"/>
    </w:p>
    <w:p w14:paraId="7FFE7631" w14:textId="77777777" w:rsidR="008944CE" w:rsidRPr="00932F14" w:rsidRDefault="008944CE" w:rsidP="00932F14"/>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4113"/>
      </w:tblGrid>
      <w:tr w:rsidR="008944CE" w:rsidRPr="00932F14" w14:paraId="61C89536" w14:textId="77777777" w:rsidTr="008944CE">
        <w:tc>
          <w:tcPr>
            <w:tcW w:w="4095" w:type="dxa"/>
            <w:tcBorders>
              <w:top w:val="single" w:sz="4" w:space="0" w:color="auto"/>
              <w:left w:val="single" w:sz="4" w:space="0" w:color="auto"/>
              <w:bottom w:val="single" w:sz="4" w:space="0" w:color="auto"/>
              <w:right w:val="single" w:sz="4" w:space="0" w:color="auto"/>
            </w:tcBorders>
            <w:shd w:val="clear" w:color="auto" w:fill="B4C6E7"/>
            <w:hideMark/>
          </w:tcPr>
          <w:p w14:paraId="60092D4F" w14:textId="77777777" w:rsidR="008944CE" w:rsidRPr="00932F14" w:rsidRDefault="008944CE" w:rsidP="00932F14">
            <w:pPr>
              <w:jc w:val="center"/>
              <w:rPr>
                <w:b/>
                <w:bCs/>
              </w:rPr>
            </w:pPr>
            <w:r w:rsidRPr="00932F14">
              <w:rPr>
                <w:b/>
                <w:bCs/>
              </w:rPr>
              <w:t>Documento</w:t>
            </w:r>
          </w:p>
        </w:tc>
        <w:tc>
          <w:tcPr>
            <w:tcW w:w="4113" w:type="dxa"/>
            <w:tcBorders>
              <w:top w:val="single" w:sz="4" w:space="0" w:color="auto"/>
              <w:left w:val="single" w:sz="4" w:space="0" w:color="auto"/>
              <w:bottom w:val="single" w:sz="4" w:space="0" w:color="auto"/>
              <w:right w:val="single" w:sz="4" w:space="0" w:color="auto"/>
            </w:tcBorders>
            <w:shd w:val="clear" w:color="auto" w:fill="B4C6E7"/>
            <w:hideMark/>
          </w:tcPr>
          <w:p w14:paraId="5B1C251C" w14:textId="77777777" w:rsidR="008944CE" w:rsidRPr="00932F14" w:rsidRDefault="008944CE" w:rsidP="00932F14">
            <w:pPr>
              <w:jc w:val="center"/>
              <w:rPr>
                <w:b/>
                <w:bCs/>
              </w:rPr>
            </w:pPr>
            <w:r w:rsidRPr="00932F14">
              <w:rPr>
                <w:b/>
                <w:bCs/>
              </w:rPr>
              <w:t>Cuadros</w:t>
            </w:r>
          </w:p>
        </w:tc>
      </w:tr>
      <w:tr w:rsidR="008944CE" w:rsidRPr="00932F14" w14:paraId="37843627" w14:textId="77777777" w:rsidTr="008944CE">
        <w:tc>
          <w:tcPr>
            <w:tcW w:w="4095" w:type="dxa"/>
            <w:tcBorders>
              <w:top w:val="single" w:sz="4" w:space="0" w:color="auto"/>
              <w:left w:val="single" w:sz="4" w:space="0" w:color="auto"/>
              <w:bottom w:val="single" w:sz="4" w:space="0" w:color="auto"/>
              <w:right w:val="single" w:sz="4" w:space="0" w:color="auto"/>
            </w:tcBorders>
            <w:hideMark/>
          </w:tcPr>
          <w:p w14:paraId="671123FD" w14:textId="77777777" w:rsidR="008944CE" w:rsidRPr="00932F14" w:rsidRDefault="008944CE" w:rsidP="00932F14">
            <w:pPr>
              <w:widowControl w:val="0"/>
              <w:numPr>
                <w:ilvl w:val="0"/>
                <w:numId w:val="127"/>
              </w:numPr>
              <w:suppressAutoHyphens w:val="0"/>
              <w:autoSpaceDE w:val="0"/>
              <w:autoSpaceDN w:val="0"/>
              <w:adjustRightInd w:val="0"/>
              <w:jc w:val="center"/>
              <w:rPr>
                <w:b/>
                <w:bCs/>
              </w:rPr>
            </w:pPr>
            <w:r w:rsidRPr="00932F14">
              <w:rPr>
                <w:b/>
                <w:bCs/>
              </w:rPr>
              <w:t>Cuadros anuales</w:t>
            </w:r>
          </w:p>
        </w:tc>
        <w:tc>
          <w:tcPr>
            <w:tcW w:w="4113" w:type="dxa"/>
            <w:tcBorders>
              <w:top w:val="single" w:sz="4" w:space="0" w:color="auto"/>
              <w:left w:val="single" w:sz="4" w:space="0" w:color="auto"/>
              <w:bottom w:val="single" w:sz="4" w:space="0" w:color="auto"/>
              <w:right w:val="single" w:sz="4" w:space="0" w:color="auto"/>
            </w:tcBorders>
            <w:hideMark/>
          </w:tcPr>
          <w:p w14:paraId="179E85EB" w14:textId="77777777" w:rsidR="008944CE" w:rsidRPr="00932F14" w:rsidRDefault="008944CE" w:rsidP="00932F14">
            <w:pPr>
              <w:jc w:val="center"/>
              <w:rPr>
                <w:b/>
                <w:bCs/>
              </w:rPr>
            </w:pPr>
            <w:r w:rsidRPr="00932F14">
              <w:rPr>
                <w:b/>
                <w:bCs/>
                <w:lang w:eastAsia="es-ES"/>
              </w:rPr>
              <w:object w:dxaOrig="1305" w:dyaOrig="840" w14:anchorId="3EDB8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42pt" o:ole="">
                  <v:imagedata r:id="rId13" o:title=""/>
                </v:shape>
                <o:OLEObject Type="Embed" ProgID="Excel.Sheet.12" ShapeID="_x0000_i1025" DrawAspect="Icon" ObjectID="_1674372763" r:id="rId14"/>
              </w:object>
            </w:r>
          </w:p>
        </w:tc>
      </w:tr>
      <w:tr w:rsidR="008944CE" w:rsidRPr="00932F14" w14:paraId="3FB71F6E" w14:textId="77777777" w:rsidTr="008944CE">
        <w:tc>
          <w:tcPr>
            <w:tcW w:w="4095" w:type="dxa"/>
            <w:tcBorders>
              <w:top w:val="single" w:sz="4" w:space="0" w:color="auto"/>
              <w:left w:val="single" w:sz="4" w:space="0" w:color="auto"/>
              <w:bottom w:val="single" w:sz="4" w:space="0" w:color="auto"/>
              <w:right w:val="single" w:sz="4" w:space="0" w:color="auto"/>
            </w:tcBorders>
            <w:hideMark/>
          </w:tcPr>
          <w:p w14:paraId="661E4F55" w14:textId="77777777" w:rsidR="008944CE" w:rsidRPr="00932F14" w:rsidRDefault="008944CE" w:rsidP="00932F14">
            <w:pPr>
              <w:widowControl w:val="0"/>
              <w:numPr>
                <w:ilvl w:val="0"/>
                <w:numId w:val="127"/>
              </w:numPr>
              <w:suppressAutoHyphens w:val="0"/>
              <w:autoSpaceDE w:val="0"/>
              <w:autoSpaceDN w:val="0"/>
              <w:adjustRightInd w:val="0"/>
              <w:jc w:val="center"/>
              <w:rPr>
                <w:b/>
                <w:bCs/>
              </w:rPr>
            </w:pPr>
            <w:r w:rsidRPr="00932F14">
              <w:rPr>
                <w:b/>
                <w:bCs/>
              </w:rPr>
              <w:t>Cuadros de intervinientes</w:t>
            </w:r>
          </w:p>
        </w:tc>
        <w:tc>
          <w:tcPr>
            <w:tcW w:w="4113" w:type="dxa"/>
            <w:tcBorders>
              <w:top w:val="single" w:sz="4" w:space="0" w:color="auto"/>
              <w:left w:val="single" w:sz="4" w:space="0" w:color="auto"/>
              <w:bottom w:val="single" w:sz="4" w:space="0" w:color="auto"/>
              <w:right w:val="single" w:sz="4" w:space="0" w:color="auto"/>
            </w:tcBorders>
            <w:hideMark/>
          </w:tcPr>
          <w:p w14:paraId="33D64F90" w14:textId="77777777" w:rsidR="008944CE" w:rsidRPr="00932F14" w:rsidRDefault="008944CE" w:rsidP="00932F14">
            <w:pPr>
              <w:jc w:val="center"/>
              <w:rPr>
                <w:b/>
                <w:bCs/>
              </w:rPr>
            </w:pPr>
            <w:r w:rsidRPr="00932F14">
              <w:rPr>
                <w:b/>
                <w:bCs/>
                <w:lang w:eastAsia="es-ES"/>
              </w:rPr>
              <w:object w:dxaOrig="1515" w:dyaOrig="975" w14:anchorId="06134879">
                <v:shape id="_x0000_i1026" type="#_x0000_t75" style="width:76pt;height:48.5pt" o:ole="">
                  <v:imagedata r:id="rId15" o:title=""/>
                </v:shape>
                <o:OLEObject Type="Embed" ProgID="Excel.Sheet.12" ShapeID="_x0000_i1026" DrawAspect="Icon" ObjectID="_1674372764" r:id="rId16"/>
              </w:object>
            </w:r>
          </w:p>
        </w:tc>
      </w:tr>
      <w:tr w:rsidR="008944CE" w:rsidRPr="00932F14" w14:paraId="01F124DA" w14:textId="77777777" w:rsidTr="008944CE">
        <w:tc>
          <w:tcPr>
            <w:tcW w:w="4095" w:type="dxa"/>
            <w:tcBorders>
              <w:top w:val="single" w:sz="4" w:space="0" w:color="auto"/>
              <w:left w:val="single" w:sz="4" w:space="0" w:color="auto"/>
              <w:bottom w:val="single" w:sz="4" w:space="0" w:color="auto"/>
              <w:right w:val="single" w:sz="4" w:space="0" w:color="auto"/>
            </w:tcBorders>
            <w:hideMark/>
          </w:tcPr>
          <w:p w14:paraId="6F3D89D0" w14:textId="77777777" w:rsidR="008944CE" w:rsidRPr="00932F14" w:rsidRDefault="008944CE" w:rsidP="00932F14">
            <w:pPr>
              <w:widowControl w:val="0"/>
              <w:numPr>
                <w:ilvl w:val="0"/>
                <w:numId w:val="127"/>
              </w:numPr>
              <w:suppressAutoHyphens w:val="0"/>
              <w:autoSpaceDE w:val="0"/>
              <w:autoSpaceDN w:val="0"/>
              <w:adjustRightInd w:val="0"/>
              <w:jc w:val="center"/>
              <w:rPr>
                <w:b/>
                <w:bCs/>
              </w:rPr>
            </w:pPr>
            <w:r w:rsidRPr="00932F14">
              <w:rPr>
                <w:b/>
                <w:bCs/>
              </w:rPr>
              <w:t>Proyecciones</w:t>
            </w:r>
          </w:p>
        </w:tc>
        <w:tc>
          <w:tcPr>
            <w:tcW w:w="4113" w:type="dxa"/>
            <w:tcBorders>
              <w:top w:val="single" w:sz="4" w:space="0" w:color="auto"/>
              <w:left w:val="single" w:sz="4" w:space="0" w:color="auto"/>
              <w:bottom w:val="single" w:sz="4" w:space="0" w:color="auto"/>
              <w:right w:val="single" w:sz="4" w:space="0" w:color="auto"/>
            </w:tcBorders>
            <w:hideMark/>
          </w:tcPr>
          <w:p w14:paraId="26DCDC03" w14:textId="77777777" w:rsidR="008944CE" w:rsidRPr="00932F14" w:rsidRDefault="008944CE" w:rsidP="00932F14">
            <w:pPr>
              <w:jc w:val="center"/>
              <w:rPr>
                <w:b/>
                <w:bCs/>
              </w:rPr>
            </w:pPr>
            <w:r w:rsidRPr="00932F14">
              <w:rPr>
                <w:b/>
                <w:bCs/>
                <w:lang w:eastAsia="es-ES"/>
              </w:rPr>
              <w:object w:dxaOrig="1305" w:dyaOrig="840" w14:anchorId="2CCFFD5C">
                <v:shape id="_x0000_i1027" type="#_x0000_t75" style="width:65.5pt;height:42pt" o:ole="">
                  <v:imagedata r:id="rId17" o:title=""/>
                </v:shape>
                <o:OLEObject Type="Embed" ProgID="Excel.Sheet.12" ShapeID="_x0000_i1027" DrawAspect="Icon" ObjectID="_1674372765" r:id="rId18"/>
              </w:object>
            </w:r>
          </w:p>
        </w:tc>
      </w:tr>
      <w:tr w:rsidR="008944CE" w:rsidRPr="00932F14" w14:paraId="74A368E8" w14:textId="77777777" w:rsidTr="008944CE">
        <w:tc>
          <w:tcPr>
            <w:tcW w:w="4095" w:type="dxa"/>
            <w:tcBorders>
              <w:top w:val="single" w:sz="4" w:space="0" w:color="auto"/>
              <w:left w:val="single" w:sz="4" w:space="0" w:color="auto"/>
              <w:bottom w:val="single" w:sz="4" w:space="0" w:color="auto"/>
              <w:right w:val="single" w:sz="4" w:space="0" w:color="auto"/>
            </w:tcBorders>
            <w:hideMark/>
          </w:tcPr>
          <w:p w14:paraId="1B1F76CB" w14:textId="77777777" w:rsidR="008944CE" w:rsidRPr="00932F14" w:rsidRDefault="008944CE" w:rsidP="00932F14">
            <w:pPr>
              <w:widowControl w:val="0"/>
              <w:numPr>
                <w:ilvl w:val="0"/>
                <w:numId w:val="127"/>
              </w:numPr>
              <w:suppressAutoHyphens w:val="0"/>
              <w:autoSpaceDE w:val="0"/>
              <w:autoSpaceDN w:val="0"/>
              <w:adjustRightInd w:val="0"/>
              <w:jc w:val="center"/>
              <w:rPr>
                <w:b/>
                <w:bCs/>
              </w:rPr>
            </w:pPr>
            <w:r w:rsidRPr="00932F14">
              <w:rPr>
                <w:b/>
                <w:bCs/>
              </w:rPr>
              <w:lastRenderedPageBreak/>
              <w:t>Observaciones realizadas a oficio 1282-PLA-ES-2020</w:t>
            </w:r>
          </w:p>
        </w:tc>
        <w:tc>
          <w:tcPr>
            <w:tcW w:w="4113" w:type="dxa"/>
            <w:tcBorders>
              <w:top w:val="single" w:sz="4" w:space="0" w:color="auto"/>
              <w:left w:val="single" w:sz="4" w:space="0" w:color="auto"/>
              <w:bottom w:val="single" w:sz="4" w:space="0" w:color="auto"/>
              <w:right w:val="single" w:sz="4" w:space="0" w:color="auto"/>
            </w:tcBorders>
            <w:hideMark/>
          </w:tcPr>
          <w:p w14:paraId="211D1B0C" w14:textId="77777777" w:rsidR="008944CE" w:rsidRPr="00932F14" w:rsidRDefault="008944CE" w:rsidP="00932F14">
            <w:pPr>
              <w:jc w:val="center"/>
              <w:rPr>
                <w:b/>
                <w:bCs/>
              </w:rPr>
            </w:pPr>
            <w:r w:rsidRPr="00932F14">
              <w:rPr>
                <w:b/>
                <w:bCs/>
                <w:lang w:eastAsia="es-ES"/>
              </w:rPr>
              <w:object w:dxaOrig="1515" w:dyaOrig="975" w14:anchorId="42377D20">
                <v:shape id="_x0000_i1028" type="#_x0000_t75" style="width:76pt;height:48.5pt" o:ole="">
                  <v:imagedata r:id="rId19" o:title=""/>
                </v:shape>
                <o:OLEObject Type="Embed" ProgID="Word.Document.12" ShapeID="_x0000_i1028" DrawAspect="Icon" ObjectID="_1674372766" r:id="rId20">
                  <o:FieldCodes>\s</o:FieldCodes>
                </o:OLEObject>
              </w:object>
            </w:r>
          </w:p>
        </w:tc>
      </w:tr>
    </w:tbl>
    <w:p w14:paraId="3BFC8C69" w14:textId="77777777" w:rsidR="008944CE" w:rsidRPr="00932F14" w:rsidRDefault="008944CE" w:rsidP="00932F14"/>
    <w:p w14:paraId="62A362FF" w14:textId="77777777" w:rsidR="008944CE" w:rsidRPr="00932F14" w:rsidRDefault="008944CE" w:rsidP="00932F14">
      <w:pPr>
        <w:ind w:firstLine="708"/>
        <w:jc w:val="center"/>
        <w:rPr>
          <w:b/>
          <w:bCs/>
        </w:rPr>
      </w:pPr>
      <w:r w:rsidRPr="00932F14">
        <w:rPr>
          <w:b/>
          <w:bCs/>
        </w:rPr>
        <w:t>-0-</w:t>
      </w:r>
    </w:p>
    <w:p w14:paraId="3119BC16" w14:textId="77777777" w:rsidR="008944CE" w:rsidRPr="00932F14" w:rsidRDefault="008944CE" w:rsidP="00932F14">
      <w:pPr>
        <w:ind w:firstLine="708"/>
        <w:jc w:val="center"/>
        <w:rPr>
          <w:b/>
          <w:bCs/>
        </w:rPr>
      </w:pPr>
    </w:p>
    <w:p w14:paraId="31C6CF0A" w14:textId="66EFD940" w:rsidR="00294863" w:rsidRPr="00932F14" w:rsidRDefault="008944CE" w:rsidP="00932F14">
      <w:pPr>
        <w:tabs>
          <w:tab w:val="num" w:pos="426"/>
        </w:tabs>
        <w:ind w:firstLine="709"/>
        <w:jc w:val="both"/>
        <w:rPr>
          <w:lang w:val="es-CR"/>
        </w:rPr>
      </w:pPr>
      <w:r w:rsidRPr="00932F14">
        <w:rPr>
          <w:b/>
          <w:bCs/>
          <w:lang w:val="es-CR"/>
        </w:rPr>
        <w:t xml:space="preserve">Se acordó: 1) </w:t>
      </w:r>
      <w:r w:rsidRPr="00932F14">
        <w:rPr>
          <w:lang w:val="es-CR"/>
        </w:rPr>
        <w:t xml:space="preserve">Tener por rendido el oficio </w:t>
      </w:r>
      <w:r w:rsidRPr="00932F14">
        <w:rPr>
          <w:lang w:val="es-CR" w:eastAsia="en-US"/>
        </w:rPr>
        <w:t xml:space="preserve">Nº </w:t>
      </w:r>
      <w:r w:rsidRPr="00932F14">
        <w:rPr>
          <w:lang w:eastAsia="en-US"/>
        </w:rPr>
        <w:t xml:space="preserve">2034-PLA-ES-2020 </w:t>
      </w:r>
      <w:r w:rsidRPr="00932F14">
        <w:rPr>
          <w:lang w:val="es-CR"/>
        </w:rPr>
        <w:t xml:space="preserve">de la Dirección de Planificación, mediante el cual se remite el informe </w:t>
      </w:r>
      <w:r w:rsidRPr="00932F14">
        <w:t>relacionado con los movimientos de trabajo en los juzgados competentes en materia de Tránsito, durante el 2019 y el último quinquenio, para su incorporación en el Anuario Estadístico;</w:t>
      </w:r>
      <w:r w:rsidRPr="00932F14">
        <w:rPr>
          <w:lang w:val="es-CR"/>
        </w:rPr>
        <w:t xml:space="preserve"> y ordenar su publicación en Intranet y en la página Web del Poder Judicial. </w:t>
      </w:r>
      <w:r w:rsidRPr="00932F14">
        <w:rPr>
          <w:b/>
          <w:bCs/>
          <w:lang w:val="es-CR"/>
        </w:rPr>
        <w:t xml:space="preserve">2) </w:t>
      </w:r>
      <w:r w:rsidRPr="00932F14">
        <w:rPr>
          <w:lang w:val="es-CR"/>
        </w:rPr>
        <w:t xml:space="preserve">Hacer este acuerdo de conocimiento de la Dirección de Planificación, de la </w:t>
      </w:r>
      <w:r w:rsidRPr="00932F14">
        <w:t>Comisión Interinstitucional de Tránsito</w:t>
      </w:r>
      <w:r w:rsidRPr="00932F14">
        <w:rPr>
          <w:lang w:val="es-CR"/>
        </w:rPr>
        <w:t>, de la Inspección Judicial, de la Auditoría Judicial, de los despachos judiciales que tramitan materia de Tránsito, así como del Departamento de Prensa y Comunicación Organizacional, para lo de su cargo.</w:t>
      </w:r>
      <w:r w:rsidR="009F45D2" w:rsidRPr="00932F14">
        <w:t>”</w:t>
      </w:r>
    </w:p>
    <w:p w14:paraId="3301832F" w14:textId="77777777" w:rsidR="00294863" w:rsidRPr="00932F14" w:rsidRDefault="00294863" w:rsidP="00932F14">
      <w:pPr>
        <w:widowControl w:val="0"/>
        <w:autoSpaceDE w:val="0"/>
        <w:autoSpaceDN w:val="0"/>
        <w:adjustRightInd w:val="0"/>
        <w:ind w:left="851" w:right="851"/>
        <w:jc w:val="both"/>
      </w:pPr>
    </w:p>
    <w:p w14:paraId="5C125FAA" w14:textId="77777777" w:rsidR="009033DA" w:rsidRPr="00932F14" w:rsidRDefault="009033DA" w:rsidP="00932F14">
      <w:pPr>
        <w:widowControl w:val="0"/>
        <w:autoSpaceDE w:val="0"/>
        <w:autoSpaceDN w:val="0"/>
        <w:adjustRightInd w:val="0"/>
        <w:ind w:left="851" w:right="851"/>
        <w:jc w:val="both"/>
      </w:pPr>
    </w:p>
    <w:p w14:paraId="47ECE26F" w14:textId="77777777" w:rsidR="003D6337" w:rsidRPr="00932F14" w:rsidRDefault="00561024" w:rsidP="00932F14">
      <w:pPr>
        <w:tabs>
          <w:tab w:val="left" w:pos="4295"/>
        </w:tabs>
        <w:ind w:left="4248"/>
        <w:jc w:val="both"/>
        <w:rPr>
          <w:b/>
          <w:bCs/>
        </w:rPr>
      </w:pPr>
      <w:r w:rsidRPr="00932F14">
        <w:rPr>
          <w:b/>
          <w:bCs/>
        </w:rPr>
        <w:t>A</w:t>
      </w:r>
      <w:r w:rsidR="003D6337" w:rsidRPr="00932F14">
        <w:rPr>
          <w:b/>
          <w:bCs/>
        </w:rPr>
        <w:t xml:space="preserve">tentamente, </w:t>
      </w:r>
    </w:p>
    <w:p w14:paraId="65B7A8D2" w14:textId="77777777" w:rsidR="003D6337" w:rsidRPr="00932F14" w:rsidRDefault="003D6337" w:rsidP="00932F14">
      <w:pPr>
        <w:ind w:left="-708"/>
        <w:jc w:val="both"/>
        <w:rPr>
          <w:b/>
          <w:bCs/>
        </w:rPr>
      </w:pPr>
    </w:p>
    <w:p w14:paraId="51D45ABA" w14:textId="77777777" w:rsidR="003D6337" w:rsidRPr="00932F14" w:rsidRDefault="003D6337" w:rsidP="00932F14">
      <w:pPr>
        <w:ind w:left="-708"/>
        <w:jc w:val="both"/>
        <w:rPr>
          <w:b/>
          <w:bCs/>
        </w:rPr>
      </w:pPr>
    </w:p>
    <w:p w14:paraId="5AA974A0" w14:textId="77777777" w:rsidR="003D6337" w:rsidRPr="00932F14" w:rsidRDefault="003D6337" w:rsidP="00932F14">
      <w:pPr>
        <w:ind w:left="708"/>
        <w:jc w:val="both"/>
        <w:rPr>
          <w:b/>
          <w:bCs/>
          <w:lang w:val="es-ES_tradnl"/>
        </w:rPr>
      </w:pPr>
    </w:p>
    <w:p w14:paraId="31EBFCE9" w14:textId="77777777" w:rsidR="00910D0C" w:rsidRPr="00932F14" w:rsidRDefault="00910D0C" w:rsidP="00932F14">
      <w:pPr>
        <w:ind w:left="708"/>
        <w:jc w:val="both"/>
        <w:rPr>
          <w:b/>
          <w:bCs/>
          <w:lang w:val="es-ES_tradnl"/>
        </w:rPr>
      </w:pPr>
    </w:p>
    <w:p w14:paraId="65323630" w14:textId="77777777" w:rsidR="008944CE" w:rsidRPr="00932F14" w:rsidRDefault="008944CE" w:rsidP="00932F14">
      <w:pPr>
        <w:autoSpaceDE w:val="0"/>
        <w:autoSpaceDN w:val="0"/>
        <w:jc w:val="center"/>
        <w:rPr>
          <w:b/>
          <w:bCs/>
        </w:rPr>
      </w:pPr>
      <w:r w:rsidRPr="00932F14">
        <w:rPr>
          <w:b/>
          <w:bCs/>
        </w:rPr>
        <w:t>Lic. Carlos T.  Mora Rodríguez</w:t>
      </w:r>
    </w:p>
    <w:p w14:paraId="5255AB26" w14:textId="77777777" w:rsidR="008944CE" w:rsidRPr="00932F14" w:rsidRDefault="008944CE" w:rsidP="00932F14">
      <w:pPr>
        <w:autoSpaceDE w:val="0"/>
        <w:autoSpaceDN w:val="0"/>
        <w:jc w:val="center"/>
        <w:rPr>
          <w:b/>
          <w:bCs/>
        </w:rPr>
      </w:pPr>
      <w:r w:rsidRPr="00932F14">
        <w:rPr>
          <w:b/>
          <w:bCs/>
        </w:rPr>
        <w:t>Subsecretario General Interino</w:t>
      </w:r>
    </w:p>
    <w:p w14:paraId="3B93B73B" w14:textId="77777777" w:rsidR="008944CE" w:rsidRPr="00932F14" w:rsidRDefault="008944CE" w:rsidP="00932F14">
      <w:pPr>
        <w:autoSpaceDE w:val="0"/>
        <w:autoSpaceDN w:val="0"/>
        <w:jc w:val="center"/>
        <w:rPr>
          <w:b/>
          <w:bCs/>
        </w:rPr>
      </w:pPr>
      <w:r w:rsidRPr="00932F14">
        <w:rPr>
          <w:b/>
          <w:bCs/>
        </w:rPr>
        <w:t>Corte Suprema de Justicia</w:t>
      </w:r>
    </w:p>
    <w:p w14:paraId="6CFD6FA5" w14:textId="77777777" w:rsidR="009033DA" w:rsidRPr="00932F14" w:rsidRDefault="00477DCD" w:rsidP="00932F14">
      <w:pPr>
        <w:pStyle w:val="Ttulo51"/>
        <w:keepNext w:val="0"/>
        <w:tabs>
          <w:tab w:val="clear" w:pos="0"/>
        </w:tabs>
        <w:jc w:val="both"/>
        <w:rPr>
          <w:rFonts w:eastAsia="Times New Roman"/>
          <w:i w:val="0"/>
          <w:iCs w:val="0"/>
          <w:sz w:val="24"/>
          <w:szCs w:val="24"/>
          <w:u w:val="none"/>
          <w:shd w:val="clear" w:color="auto" w:fill="auto"/>
          <w:lang w:val="es-CR"/>
        </w:rPr>
      </w:pPr>
      <w:r w:rsidRPr="00932F14">
        <w:rPr>
          <w:rFonts w:eastAsia="Times New Roman"/>
          <w:i w:val="0"/>
          <w:iCs w:val="0"/>
          <w:sz w:val="24"/>
          <w:szCs w:val="24"/>
          <w:u w:val="none"/>
          <w:shd w:val="clear" w:color="auto" w:fill="auto"/>
          <w:lang w:val="es-CR"/>
        </w:rPr>
        <w:t xml:space="preserve"> </w:t>
      </w:r>
    </w:p>
    <w:p w14:paraId="51B0ECD9" w14:textId="008ADBFF" w:rsidR="000D212B" w:rsidRPr="00932F14" w:rsidRDefault="00790B81" w:rsidP="00932F14">
      <w:pPr>
        <w:jc w:val="both"/>
      </w:pPr>
      <w:r w:rsidRPr="00932F14">
        <w:t>C</w:t>
      </w:r>
      <w:r w:rsidR="00B46B14" w:rsidRPr="00932F14">
        <w:t>c</w:t>
      </w:r>
      <w:r w:rsidR="0029216A" w:rsidRPr="00932F14">
        <w:t>:</w:t>
      </w:r>
      <w:r w:rsidR="009033DA" w:rsidRPr="00932F14">
        <w:t xml:space="preserve"> </w:t>
      </w:r>
    </w:p>
    <w:p w14:paraId="6093E41F" w14:textId="77777777" w:rsidR="00687E3C" w:rsidRPr="00932F14" w:rsidRDefault="00687E3C" w:rsidP="00932F14">
      <w:pPr>
        <w:widowControl w:val="0"/>
        <w:ind w:firstLine="708"/>
        <w:jc w:val="both"/>
      </w:pPr>
      <w:r w:rsidRPr="00932F14">
        <w:t>Comisión de la Jurisdicción Penal</w:t>
      </w:r>
    </w:p>
    <w:p w14:paraId="2AD725AD" w14:textId="4A0D5DDE" w:rsidR="00687E3C" w:rsidRPr="00932F14" w:rsidRDefault="00932F14" w:rsidP="00932F14">
      <w:pPr>
        <w:widowControl w:val="0"/>
        <w:ind w:firstLine="708"/>
        <w:jc w:val="both"/>
      </w:pPr>
      <w:r w:rsidRPr="00932F14">
        <w:t>J</w:t>
      </w:r>
      <w:r w:rsidR="00175A22" w:rsidRPr="00932F14">
        <w:t xml:space="preserve">uzgado de Transito del Segundo Circuito Judicial de San José </w:t>
      </w:r>
    </w:p>
    <w:p w14:paraId="01D2494C" w14:textId="1FCCDBE2" w:rsidR="00175A22" w:rsidRPr="00932F14" w:rsidRDefault="00175A22" w:rsidP="00932F14">
      <w:pPr>
        <w:widowControl w:val="0"/>
        <w:ind w:firstLine="708"/>
        <w:jc w:val="both"/>
      </w:pPr>
      <w:r w:rsidRPr="00932F14">
        <w:t xml:space="preserve">Juzgado de Transito de Alajuela </w:t>
      </w:r>
    </w:p>
    <w:p w14:paraId="7B529C75" w14:textId="38B4FEE9" w:rsidR="00175A22" w:rsidRPr="00932F14" w:rsidRDefault="00175A22" w:rsidP="00932F14">
      <w:pPr>
        <w:widowControl w:val="0"/>
        <w:ind w:firstLine="708"/>
        <w:jc w:val="both"/>
      </w:pPr>
      <w:r w:rsidRPr="00932F14">
        <w:t xml:space="preserve">Juzgado de Transito de Desamparados </w:t>
      </w:r>
    </w:p>
    <w:p w14:paraId="38EE3755" w14:textId="2E4A5A13" w:rsidR="00175A22" w:rsidRPr="00932F14" w:rsidRDefault="00175A22" w:rsidP="00932F14">
      <w:pPr>
        <w:widowControl w:val="0"/>
        <w:ind w:firstLine="708"/>
        <w:jc w:val="both"/>
      </w:pPr>
      <w:r w:rsidRPr="00932F14">
        <w:t>Juzgado de Transito de Grecia</w:t>
      </w:r>
    </w:p>
    <w:p w14:paraId="60AF3131" w14:textId="77777777" w:rsidR="00175A22" w:rsidRPr="00932F14" w:rsidRDefault="00175A22" w:rsidP="00932F14">
      <w:pPr>
        <w:widowControl w:val="0"/>
        <w:ind w:firstLine="708"/>
        <w:jc w:val="both"/>
      </w:pPr>
      <w:r w:rsidRPr="00932F14">
        <w:t xml:space="preserve">Juzgado de Transito de Guacimo </w:t>
      </w:r>
    </w:p>
    <w:p w14:paraId="3BFF10EC" w14:textId="04FDD1A0" w:rsidR="00175A22" w:rsidRPr="00932F14" w:rsidRDefault="00175A22" w:rsidP="00932F14">
      <w:pPr>
        <w:widowControl w:val="0"/>
        <w:ind w:firstLine="708"/>
        <w:jc w:val="both"/>
      </w:pPr>
      <w:r w:rsidRPr="00932F14">
        <w:t>Juzgado de Transito de Hatillo</w:t>
      </w:r>
    </w:p>
    <w:p w14:paraId="280C19FB" w14:textId="77777777" w:rsidR="00175A22" w:rsidRPr="00932F14" w:rsidRDefault="00175A22" w:rsidP="00932F14">
      <w:pPr>
        <w:widowControl w:val="0"/>
        <w:ind w:firstLine="708"/>
        <w:jc w:val="both"/>
      </w:pPr>
      <w:r w:rsidRPr="00932F14">
        <w:t xml:space="preserve">Juzgado de Transito de Liberia </w:t>
      </w:r>
    </w:p>
    <w:p w14:paraId="69565667" w14:textId="3499008D" w:rsidR="00175A22" w:rsidRPr="00932F14" w:rsidRDefault="00175A22" w:rsidP="00932F14">
      <w:pPr>
        <w:widowControl w:val="0"/>
        <w:ind w:firstLine="708"/>
        <w:jc w:val="both"/>
      </w:pPr>
      <w:r w:rsidRPr="00932F14">
        <w:t xml:space="preserve">Juzgado de Transito de Limon </w:t>
      </w:r>
    </w:p>
    <w:p w14:paraId="435FDFC2" w14:textId="05F4B22F" w:rsidR="00175A22" w:rsidRPr="00932F14" w:rsidRDefault="00175A22" w:rsidP="00932F14">
      <w:pPr>
        <w:widowControl w:val="0"/>
        <w:ind w:firstLine="708"/>
        <w:jc w:val="both"/>
      </w:pPr>
      <w:r w:rsidRPr="00932F14">
        <w:t xml:space="preserve">Juzgado de Transito de Puntarenas </w:t>
      </w:r>
    </w:p>
    <w:p w14:paraId="01D23D7C" w14:textId="56060EB3" w:rsidR="00175A22" w:rsidRPr="00932F14" w:rsidRDefault="00175A22" w:rsidP="00932F14">
      <w:pPr>
        <w:widowControl w:val="0"/>
        <w:ind w:firstLine="708"/>
        <w:jc w:val="both"/>
      </w:pPr>
      <w:r w:rsidRPr="00932F14">
        <w:t xml:space="preserve">Juzgado de Transito de San Carlos </w:t>
      </w:r>
    </w:p>
    <w:p w14:paraId="53221A34" w14:textId="3B248890" w:rsidR="00175A22" w:rsidRPr="00932F14" w:rsidRDefault="00175A22" w:rsidP="00932F14">
      <w:pPr>
        <w:widowControl w:val="0"/>
        <w:ind w:firstLine="708"/>
        <w:jc w:val="both"/>
      </w:pPr>
      <w:r w:rsidRPr="00932F14">
        <w:t>Juzgado de Transito de San Ramón</w:t>
      </w:r>
    </w:p>
    <w:p w14:paraId="6F958F27" w14:textId="53DDBB51" w:rsidR="00175A22" w:rsidRPr="00932F14" w:rsidRDefault="00175A22" w:rsidP="00932F14">
      <w:pPr>
        <w:widowControl w:val="0"/>
        <w:ind w:firstLine="708"/>
        <w:jc w:val="both"/>
      </w:pPr>
      <w:r w:rsidRPr="00932F14">
        <w:t xml:space="preserve">Juzgado de Transito del Primer Circuito Judicial de San José </w:t>
      </w:r>
    </w:p>
    <w:p w14:paraId="79DA4ABA" w14:textId="77777777" w:rsidR="00175A22" w:rsidRPr="00932F14" w:rsidRDefault="00175A22" w:rsidP="00932F14">
      <w:pPr>
        <w:widowControl w:val="0"/>
        <w:ind w:firstLine="708"/>
        <w:jc w:val="both"/>
      </w:pPr>
      <w:r w:rsidRPr="00932F14">
        <w:t>Juzgado de Transito de Cartago</w:t>
      </w:r>
    </w:p>
    <w:p w14:paraId="2F0895BF" w14:textId="4770CB62" w:rsidR="00175A22" w:rsidRPr="008B1033" w:rsidRDefault="00175A22" w:rsidP="008B1033">
      <w:pPr>
        <w:widowControl w:val="0"/>
        <w:ind w:firstLine="708"/>
        <w:jc w:val="both"/>
      </w:pPr>
      <w:r w:rsidRPr="008B1033">
        <w:lastRenderedPageBreak/>
        <w:t>Juzgado de Tránsito</w:t>
      </w:r>
      <w:r w:rsidR="00932F14" w:rsidRPr="008B1033">
        <w:t xml:space="preserve"> de Heredia</w:t>
      </w:r>
    </w:p>
    <w:p w14:paraId="4F883220" w14:textId="4A39087A" w:rsidR="00175A22" w:rsidRPr="00932F14" w:rsidRDefault="00175A22" w:rsidP="008B1033">
      <w:pPr>
        <w:widowControl w:val="0"/>
        <w:ind w:firstLine="708"/>
        <w:jc w:val="both"/>
      </w:pPr>
      <w:r w:rsidRPr="008B1033">
        <w:t>Juzgado de Tránsito del Primer Circuito Judicial de Zona Sur</w:t>
      </w:r>
      <w:r w:rsidRPr="00932F14">
        <w:t xml:space="preserve"> </w:t>
      </w:r>
    </w:p>
    <w:p w14:paraId="416ECFAE" w14:textId="5064F67B" w:rsidR="00175A22" w:rsidRPr="00932F14" w:rsidRDefault="00175A22" w:rsidP="008B1033">
      <w:pPr>
        <w:widowControl w:val="0"/>
        <w:ind w:firstLine="708"/>
        <w:jc w:val="both"/>
      </w:pPr>
      <w:r w:rsidRPr="008B1033">
        <w:t>Juzgado de Tránsito del Segundo Circuito Judicial de la Zona Atlántica </w:t>
      </w:r>
    </w:p>
    <w:p w14:paraId="356F592F" w14:textId="58827319" w:rsidR="00932F14" w:rsidRPr="008B1033" w:rsidRDefault="00932F14" w:rsidP="008B1033">
      <w:pPr>
        <w:widowControl w:val="0"/>
        <w:ind w:firstLine="708"/>
        <w:jc w:val="both"/>
      </w:pPr>
      <w:r w:rsidRPr="00932F14">
        <w:t>Juzgado de Tránsito y Menor Cuantía</w:t>
      </w:r>
      <w:r w:rsidRPr="008B1033">
        <w:t xml:space="preserve"> del Segundo Circuito Judicial de Guanacaste</w:t>
      </w:r>
    </w:p>
    <w:p w14:paraId="1764670E" w14:textId="3EDDB7E9" w:rsidR="00175A22" w:rsidRDefault="00932F14" w:rsidP="008B1033">
      <w:pPr>
        <w:widowControl w:val="0"/>
        <w:ind w:firstLine="708"/>
        <w:jc w:val="both"/>
      </w:pPr>
      <w:r w:rsidRPr="008B1033">
        <w:t>Juzgado de Menor Cuantía y Transito del Primer Circuito Judicial de Guanacaste</w:t>
      </w:r>
    </w:p>
    <w:p w14:paraId="2FEB8DAD" w14:textId="0DA0D5DF" w:rsidR="00932F14" w:rsidRPr="00932F14" w:rsidRDefault="00932F14" w:rsidP="00AD27D1">
      <w:pPr>
        <w:widowControl w:val="0"/>
        <w:ind w:firstLine="708"/>
        <w:jc w:val="both"/>
      </w:pPr>
      <w:r w:rsidRPr="00932F14">
        <w:t xml:space="preserve">Juzgado Contravencional y Transito Santo Domingo </w:t>
      </w:r>
    </w:p>
    <w:p w14:paraId="2DE57B35" w14:textId="6F51167B" w:rsidR="00932F14" w:rsidRPr="00932F14" w:rsidRDefault="00932F14" w:rsidP="008B1033">
      <w:pPr>
        <w:widowControl w:val="0"/>
        <w:ind w:firstLine="708"/>
        <w:jc w:val="both"/>
      </w:pPr>
      <w:r w:rsidRPr="00932F14">
        <w:t xml:space="preserve">Juzgado Contravencional y Transito San Rafael </w:t>
      </w:r>
    </w:p>
    <w:p w14:paraId="0E52A5A0" w14:textId="5EAF93F9" w:rsidR="00932F14" w:rsidRDefault="00932F14" w:rsidP="008B1033">
      <w:pPr>
        <w:widowControl w:val="0"/>
        <w:ind w:firstLine="708"/>
        <w:jc w:val="both"/>
      </w:pPr>
      <w:r w:rsidRPr="00932F14">
        <w:t xml:space="preserve">Juzgado Contravencional y Transito Sarapiqui </w:t>
      </w:r>
    </w:p>
    <w:p w14:paraId="53621EA2" w14:textId="18A9AFBE" w:rsidR="00D1044F" w:rsidRDefault="00D1044F" w:rsidP="00D1044F">
      <w:pPr>
        <w:widowControl w:val="0"/>
        <w:ind w:firstLine="708"/>
        <w:jc w:val="both"/>
      </w:pPr>
      <w:r>
        <w:t xml:space="preserve">Juzgado Contravencional y Transito San Isidro </w:t>
      </w:r>
    </w:p>
    <w:p w14:paraId="4C0F616E" w14:textId="71912493" w:rsidR="00687E3C" w:rsidRPr="00932F14" w:rsidRDefault="00687E3C" w:rsidP="00D1044F">
      <w:pPr>
        <w:widowControl w:val="0"/>
        <w:ind w:firstLine="708"/>
        <w:jc w:val="both"/>
      </w:pPr>
      <w:r w:rsidRPr="00932F14">
        <w:t>Dirección de Planificación</w:t>
      </w:r>
    </w:p>
    <w:p w14:paraId="42C26164" w14:textId="77777777" w:rsidR="00687E3C" w:rsidRPr="00932F14" w:rsidRDefault="00687E3C" w:rsidP="008B1033">
      <w:pPr>
        <w:widowControl w:val="0"/>
        <w:ind w:firstLine="708"/>
        <w:jc w:val="both"/>
      </w:pPr>
      <w:r w:rsidRPr="00932F14">
        <w:t>Auditoría</w:t>
      </w:r>
    </w:p>
    <w:p w14:paraId="638DAF01" w14:textId="77777777" w:rsidR="00687E3C" w:rsidRPr="00932F14" w:rsidRDefault="00687E3C" w:rsidP="008B1033">
      <w:pPr>
        <w:widowControl w:val="0"/>
        <w:ind w:firstLine="708"/>
        <w:jc w:val="both"/>
      </w:pPr>
      <w:r w:rsidRPr="00932F14">
        <w:t>Departamento de Prensa y Comunicación Organizacional</w:t>
      </w:r>
    </w:p>
    <w:p w14:paraId="0B7B2DDB" w14:textId="462F8BC9" w:rsidR="0029216A" w:rsidRPr="00932F14" w:rsidRDefault="0029216A" w:rsidP="008B1033">
      <w:pPr>
        <w:ind w:firstLine="708"/>
        <w:jc w:val="both"/>
        <w:rPr>
          <w:b/>
          <w:bCs/>
        </w:rPr>
      </w:pPr>
      <w:r w:rsidRPr="00932F14">
        <w:t>Diligencias / Refs: (</w:t>
      </w:r>
      <w:r w:rsidR="008944CE" w:rsidRPr="00932F14">
        <w:rPr>
          <w:b/>
          <w:bCs/>
        </w:rPr>
        <w:t>14670-2020</w:t>
      </w:r>
      <w:r w:rsidRPr="00932F14">
        <w:t xml:space="preserve">) </w:t>
      </w:r>
    </w:p>
    <w:p w14:paraId="44EB5DEE" w14:textId="3CDE740B" w:rsidR="009F45D2" w:rsidRPr="00932F14" w:rsidRDefault="00223F22" w:rsidP="008B1033">
      <w:pPr>
        <w:ind w:firstLine="708"/>
        <w:jc w:val="both"/>
        <w:rPr>
          <w:b/>
          <w:shd w:val="clear" w:color="auto" w:fill="FFFFFF"/>
          <w:lang w:val="es-ES_tradnl"/>
        </w:rPr>
      </w:pPr>
      <w:r w:rsidRPr="00932F14">
        <w:rPr>
          <w:b/>
          <w:shd w:val="clear" w:color="auto" w:fill="FFFFFF"/>
          <w:lang w:val="es-ES_tradnl"/>
        </w:rPr>
        <w:t>ediazo</w:t>
      </w:r>
    </w:p>
    <w:sectPr w:rsidR="009F45D2" w:rsidRPr="00932F14" w:rsidSect="00186ADE">
      <w:headerReference w:type="even" r:id="rId21"/>
      <w:headerReference w:type="default" r:id="rId22"/>
      <w:footerReference w:type="even" r:id="rId23"/>
      <w:footerReference w:type="default" r:id="rId24"/>
      <w:headerReference w:type="first" r:id="rId25"/>
      <w:footerReference w:type="first" r:id="rId26"/>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3D988" w14:textId="77777777" w:rsidR="00FA648A" w:rsidRDefault="00FA648A">
      <w:r>
        <w:separator/>
      </w:r>
    </w:p>
  </w:endnote>
  <w:endnote w:type="continuationSeparator" w:id="0">
    <w:p w14:paraId="41FC87C0" w14:textId="77777777" w:rsidR="00FA648A" w:rsidRDefault="00FA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charset w:val="00"/>
    <w:family w:val="auto"/>
    <w:pitch w:val="default"/>
    <w:sig w:usb0="00000003" w:usb1="08070000" w:usb2="00000010" w:usb3="00000000" w:csb0="0002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C579" w14:textId="77777777" w:rsidR="008944CE" w:rsidRDefault="008944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7FFB" w14:textId="77777777" w:rsidR="008944CE" w:rsidRDefault="008944CE">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2295-3845 //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Apdo: 1-1003 San José</w:t>
    </w:r>
  </w:p>
  <w:p w14:paraId="7694B644" w14:textId="77777777" w:rsidR="008944CE" w:rsidRDefault="008944CE">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8944CE" w:rsidRDefault="008944CE">
    <w:pPr>
      <w:jc w:val="center"/>
    </w:pPr>
    <w:r>
      <w:rPr>
        <w:b/>
        <w:sz w:val="16"/>
        <w:szCs w:val="16"/>
        <w:lang w:val="es-CR"/>
      </w:rPr>
      <w:fldChar w:fldCharType="begin"/>
    </w:r>
    <w:r>
      <w:rPr>
        <w:b/>
        <w:sz w:val="16"/>
        <w:szCs w:val="16"/>
        <w:lang w:val="es-CR"/>
      </w:rPr>
      <w:instrText xml:space="preserve"> PAGE </w:instrText>
    </w:r>
    <w:r>
      <w:rPr>
        <w:b/>
        <w:sz w:val="16"/>
        <w:szCs w:val="16"/>
        <w:lang w:val="es-CR"/>
      </w:rPr>
      <w:fldChar w:fldCharType="separate"/>
    </w:r>
    <w:r>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CC7E" w14:textId="77777777" w:rsidR="008944CE" w:rsidRDefault="00894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B4F98" w14:textId="77777777" w:rsidR="00FA648A" w:rsidRDefault="00FA648A">
      <w:r>
        <w:separator/>
      </w:r>
    </w:p>
  </w:footnote>
  <w:footnote w:type="continuationSeparator" w:id="0">
    <w:p w14:paraId="7734A9DE" w14:textId="77777777" w:rsidR="00FA648A" w:rsidRDefault="00FA648A">
      <w:r>
        <w:continuationSeparator/>
      </w:r>
    </w:p>
  </w:footnote>
  <w:footnote w:id="1">
    <w:p w14:paraId="1ED8C814" w14:textId="77777777" w:rsidR="008944CE" w:rsidRDefault="008944CE" w:rsidP="008944CE">
      <w:pPr>
        <w:pStyle w:val="Textonotapie"/>
        <w:rPr>
          <w:rFonts w:ascii="Arial" w:hAnsi="Arial"/>
          <w:lang w:val="es-CR"/>
        </w:rPr>
      </w:pPr>
      <w:r>
        <w:rPr>
          <w:rStyle w:val="Refdenotaalpie"/>
          <w:rFonts w:ascii="Arial" w:hAnsi="Arial"/>
        </w:rPr>
        <w:footnoteRef/>
      </w:r>
      <w:r>
        <w:t xml:space="preserve"> </w:t>
      </w:r>
      <w:r>
        <w:rPr>
          <w:lang w:val="es-CR"/>
        </w:rPr>
        <w:t>En referencia a los casos ingresados por accidentes de tránsito, y no relacionado con infracciones de multa fija.</w:t>
      </w:r>
    </w:p>
  </w:footnote>
  <w:footnote w:id="2">
    <w:p w14:paraId="7D80757D" w14:textId="77777777" w:rsidR="008944CE" w:rsidRDefault="008944CE" w:rsidP="008944CE">
      <w:pPr>
        <w:pStyle w:val="Textonotapie"/>
        <w:rPr>
          <w:lang w:val="es-MX"/>
        </w:rPr>
      </w:pPr>
      <w:r>
        <w:rPr>
          <w:rStyle w:val="Refdenotaalpie"/>
          <w:rFonts w:ascii="Arial" w:hAnsi="Arial"/>
        </w:rPr>
        <w:footnoteRef/>
      </w:r>
      <w:r>
        <w:t xml:space="preserve"> </w:t>
      </w:r>
      <w:r>
        <w:rPr>
          <w:lang w:val="es-MX"/>
        </w:rPr>
        <w:t xml:space="preserve">Fueron los procesos donde fue posible la clasificación según el correcto registro de los datos en el sistema informático.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893F" w14:textId="77777777" w:rsidR="008944CE" w:rsidRDefault="008944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4DA1" w14:textId="24998ECA" w:rsidR="008944CE" w:rsidRDefault="008944CE">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056DDC23" wp14:editId="2DB8C63B">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2E5C2" w14:textId="77777777" w:rsidR="008944CE" w:rsidRDefault="008944CE"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DDC23"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" stroked="f">
              <v:textbox style="mso-fit-shape-to-text:t" inset="0,0,0,0">
                <w:txbxContent>
                  <w:p w14:paraId="62A2E5C2" w14:textId="77777777" w:rsidR="008944CE" w:rsidRDefault="008944CE"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Pr>
        <w:rFonts w:cs="Times New Roman"/>
        <w:u w:val="none"/>
        <w:shd w:val="clear" w:color="auto" w:fill="auto"/>
      </w:rPr>
      <w:t xml:space="preserve">                    </w:t>
    </w:r>
    <w:r>
      <w:rPr>
        <w:rFonts w:ascii="Times New Roman" w:hAnsi="Times New Roman" w:cs="Times New Roman"/>
        <w:b/>
        <w:i/>
        <w:u w:val="none"/>
        <w:shd w:val="clear" w:color="auto" w:fill="auto"/>
        <w:lang w:val="es-CR"/>
      </w:rPr>
      <w:t>Corte Suprema de Justicia</w:t>
    </w:r>
  </w:p>
  <w:p w14:paraId="1203DAE7" w14:textId="77777777" w:rsidR="008944CE" w:rsidRDefault="008944CE">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EA08" w14:textId="77777777" w:rsidR="008944CE" w:rsidRDefault="008944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2BB6531"/>
    <w:multiLevelType w:val="hybridMultilevel"/>
    <w:tmpl w:val="096CE98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7F04BA"/>
    <w:multiLevelType w:val="hybridMultilevel"/>
    <w:tmpl w:val="128E3B7E"/>
    <w:lvl w:ilvl="0" w:tplc="3C668CB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6564F04"/>
    <w:multiLevelType w:val="hybridMultilevel"/>
    <w:tmpl w:val="28BC398E"/>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66F7BCB"/>
    <w:multiLevelType w:val="hybridMultilevel"/>
    <w:tmpl w:val="4FF627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9E14D7"/>
    <w:multiLevelType w:val="hybridMultilevel"/>
    <w:tmpl w:val="1EFAE6E0"/>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1" w15:restartNumberingAfterBreak="0">
    <w:nsid w:val="07F74430"/>
    <w:multiLevelType w:val="hybridMultilevel"/>
    <w:tmpl w:val="F52E800E"/>
    <w:lvl w:ilvl="0" w:tplc="12B4D714">
      <w:start w:val="1"/>
      <w:numFmt w:val="decimal"/>
      <w:lvlText w:val="%1."/>
      <w:lvlJc w:val="left"/>
      <w:pPr>
        <w:ind w:left="720" w:hanging="360"/>
      </w:pPr>
    </w:lvl>
    <w:lvl w:ilvl="1" w:tplc="2028EB52">
      <w:start w:val="19"/>
      <w:numFmt w:val="bullet"/>
      <w:lvlText w:val="-"/>
      <w:lvlJc w:val="left"/>
      <w:pPr>
        <w:tabs>
          <w:tab w:val="num" w:pos="1742"/>
        </w:tabs>
        <w:ind w:left="1742" w:hanging="360"/>
      </w:pPr>
      <w:rPr>
        <w:rFonts w:ascii="Times New Roman" w:eastAsia="Times New Roman" w:hAnsi="Times New Roman" w:cs="Times New Roman" w:hint="default"/>
      </w:rPr>
    </w:lvl>
    <w:lvl w:ilvl="2" w:tplc="0C0A001B" w:tentative="1">
      <w:start w:val="1"/>
      <w:numFmt w:val="lowerRoman"/>
      <w:lvlText w:val="%3."/>
      <w:lvlJc w:val="right"/>
      <w:pPr>
        <w:tabs>
          <w:tab w:val="num" w:pos="2462"/>
        </w:tabs>
        <w:ind w:left="2462" w:hanging="180"/>
      </w:pPr>
    </w:lvl>
    <w:lvl w:ilvl="3" w:tplc="0C0A000F" w:tentative="1">
      <w:start w:val="1"/>
      <w:numFmt w:val="decimal"/>
      <w:lvlText w:val="%4."/>
      <w:lvlJc w:val="left"/>
      <w:pPr>
        <w:tabs>
          <w:tab w:val="num" w:pos="3182"/>
        </w:tabs>
        <w:ind w:left="3182" w:hanging="360"/>
      </w:pPr>
    </w:lvl>
    <w:lvl w:ilvl="4" w:tplc="0C0A0019" w:tentative="1">
      <w:start w:val="1"/>
      <w:numFmt w:val="lowerLetter"/>
      <w:lvlText w:val="%5."/>
      <w:lvlJc w:val="left"/>
      <w:pPr>
        <w:tabs>
          <w:tab w:val="num" w:pos="3902"/>
        </w:tabs>
        <w:ind w:left="3902" w:hanging="360"/>
      </w:pPr>
    </w:lvl>
    <w:lvl w:ilvl="5" w:tplc="0C0A001B" w:tentative="1">
      <w:start w:val="1"/>
      <w:numFmt w:val="lowerRoman"/>
      <w:lvlText w:val="%6."/>
      <w:lvlJc w:val="right"/>
      <w:pPr>
        <w:tabs>
          <w:tab w:val="num" w:pos="4622"/>
        </w:tabs>
        <w:ind w:left="4622" w:hanging="180"/>
      </w:pPr>
    </w:lvl>
    <w:lvl w:ilvl="6" w:tplc="0C0A000F" w:tentative="1">
      <w:start w:val="1"/>
      <w:numFmt w:val="decimal"/>
      <w:lvlText w:val="%7."/>
      <w:lvlJc w:val="left"/>
      <w:pPr>
        <w:tabs>
          <w:tab w:val="num" w:pos="5342"/>
        </w:tabs>
        <w:ind w:left="5342" w:hanging="360"/>
      </w:pPr>
    </w:lvl>
    <w:lvl w:ilvl="7" w:tplc="0C0A0019" w:tentative="1">
      <w:start w:val="1"/>
      <w:numFmt w:val="lowerLetter"/>
      <w:lvlText w:val="%8."/>
      <w:lvlJc w:val="left"/>
      <w:pPr>
        <w:tabs>
          <w:tab w:val="num" w:pos="6062"/>
        </w:tabs>
        <w:ind w:left="6062" w:hanging="360"/>
      </w:pPr>
    </w:lvl>
    <w:lvl w:ilvl="8" w:tplc="0C0A001B" w:tentative="1">
      <w:start w:val="1"/>
      <w:numFmt w:val="lowerRoman"/>
      <w:lvlText w:val="%9."/>
      <w:lvlJc w:val="right"/>
      <w:pPr>
        <w:tabs>
          <w:tab w:val="num" w:pos="6782"/>
        </w:tabs>
        <w:ind w:left="6782" w:hanging="180"/>
      </w:pPr>
    </w:lvl>
  </w:abstractNum>
  <w:abstractNum w:abstractNumId="12" w15:restartNumberingAfterBreak="0">
    <w:nsid w:val="08443967"/>
    <w:multiLevelType w:val="hybridMultilevel"/>
    <w:tmpl w:val="9A54ED40"/>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9EF51DC"/>
    <w:multiLevelType w:val="hybridMultilevel"/>
    <w:tmpl w:val="8034C3D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A5105A2"/>
    <w:multiLevelType w:val="hybridMultilevel"/>
    <w:tmpl w:val="D8A0EC56"/>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5"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D5761A"/>
    <w:multiLevelType w:val="hybridMultilevel"/>
    <w:tmpl w:val="20A0028A"/>
    <w:lvl w:ilvl="0" w:tplc="F606C4BC">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0E2424C9"/>
    <w:multiLevelType w:val="hybridMultilevel"/>
    <w:tmpl w:val="FBDA7FF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1F35652"/>
    <w:multiLevelType w:val="hybridMultilevel"/>
    <w:tmpl w:val="F362B242"/>
    <w:lvl w:ilvl="0" w:tplc="0C0A000B">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9" w15:restartNumberingAfterBreak="0">
    <w:nsid w:val="13D04621"/>
    <w:multiLevelType w:val="hybridMultilevel"/>
    <w:tmpl w:val="AD24D942"/>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0" w15:restartNumberingAfterBreak="0">
    <w:nsid w:val="14CD40DC"/>
    <w:multiLevelType w:val="hybridMultilevel"/>
    <w:tmpl w:val="F9864834"/>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56E4E56"/>
    <w:multiLevelType w:val="hybridMultilevel"/>
    <w:tmpl w:val="604EFD9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6556F3B"/>
    <w:multiLevelType w:val="hybridMultilevel"/>
    <w:tmpl w:val="D826BA2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76E000F"/>
    <w:multiLevelType w:val="hybridMultilevel"/>
    <w:tmpl w:val="28EE8B74"/>
    <w:lvl w:ilvl="0" w:tplc="9BEAC5B0">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4" w15:restartNumberingAfterBreak="0">
    <w:nsid w:val="179D2524"/>
    <w:multiLevelType w:val="hybridMultilevel"/>
    <w:tmpl w:val="8D52E54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8413D1C"/>
    <w:multiLevelType w:val="hybridMultilevel"/>
    <w:tmpl w:val="A13646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93E128E"/>
    <w:multiLevelType w:val="hybridMultilevel"/>
    <w:tmpl w:val="BF42DC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1A6C47BD"/>
    <w:multiLevelType w:val="hybridMultilevel"/>
    <w:tmpl w:val="BE2400B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1A887D86"/>
    <w:multiLevelType w:val="hybridMultilevel"/>
    <w:tmpl w:val="570E4F0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B507943"/>
    <w:multiLevelType w:val="hybridMultilevel"/>
    <w:tmpl w:val="570E4F0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D4E7C90"/>
    <w:multiLevelType w:val="hybridMultilevel"/>
    <w:tmpl w:val="58B447D4"/>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1" w15:restartNumberingAfterBreak="0">
    <w:nsid w:val="1DC251E8"/>
    <w:multiLevelType w:val="hybridMultilevel"/>
    <w:tmpl w:val="CEEA787C"/>
    <w:lvl w:ilvl="0" w:tplc="E3469C80">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1DD645A6"/>
    <w:multiLevelType w:val="hybridMultilevel"/>
    <w:tmpl w:val="B286496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1FC864DC"/>
    <w:multiLevelType w:val="hybridMultilevel"/>
    <w:tmpl w:val="8066289C"/>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04F317C"/>
    <w:multiLevelType w:val="hybridMultilevel"/>
    <w:tmpl w:val="51466EAC"/>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5" w15:restartNumberingAfterBreak="0">
    <w:nsid w:val="20E932B4"/>
    <w:multiLevelType w:val="hybridMultilevel"/>
    <w:tmpl w:val="9A54ED40"/>
    <w:lvl w:ilvl="0" w:tplc="0C0A0001">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6" w15:restartNumberingAfterBreak="0">
    <w:nsid w:val="2386037D"/>
    <w:multiLevelType w:val="hybridMultilevel"/>
    <w:tmpl w:val="19D0C24E"/>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7"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38" w15:restartNumberingAfterBreak="0">
    <w:nsid w:val="24F45739"/>
    <w:multiLevelType w:val="hybridMultilevel"/>
    <w:tmpl w:val="521C89FC"/>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253D4FDF"/>
    <w:multiLevelType w:val="hybridMultilevel"/>
    <w:tmpl w:val="8E12D6C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28947928"/>
    <w:multiLevelType w:val="hybridMultilevel"/>
    <w:tmpl w:val="515A393E"/>
    <w:lvl w:ilvl="0" w:tplc="6B22631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2" w15:restartNumberingAfterBreak="0">
    <w:nsid w:val="289E743B"/>
    <w:multiLevelType w:val="hybridMultilevel"/>
    <w:tmpl w:val="604EFD9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9A37D38"/>
    <w:multiLevelType w:val="hybridMultilevel"/>
    <w:tmpl w:val="F5A44DE2"/>
    <w:lvl w:ilvl="0" w:tplc="0C0A0001">
      <w:start w:val="1"/>
      <w:numFmt w:val="decimal"/>
      <w:lvlText w:val="%1."/>
      <w:lvlJc w:val="left"/>
      <w:pPr>
        <w:tabs>
          <w:tab w:val="num" w:pos="790"/>
        </w:tabs>
        <w:ind w:left="790"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4" w15:restartNumberingAfterBreak="0">
    <w:nsid w:val="2A3870D9"/>
    <w:multiLevelType w:val="hybridMultilevel"/>
    <w:tmpl w:val="6C44F788"/>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2A47200C"/>
    <w:multiLevelType w:val="hybridMultilevel"/>
    <w:tmpl w:val="28EE8B7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B675C0B"/>
    <w:multiLevelType w:val="hybridMultilevel"/>
    <w:tmpl w:val="C528382C"/>
    <w:lvl w:ilvl="0" w:tplc="0C0A000F">
      <w:start w:val="1"/>
      <w:numFmt w:val="bullet"/>
      <w:lvlText w:val=""/>
      <w:lvlJc w:val="left"/>
      <w:pPr>
        <w:tabs>
          <w:tab w:val="num" w:pos="720"/>
        </w:tabs>
        <w:ind w:left="720" w:hanging="360"/>
      </w:pPr>
      <w:rPr>
        <w:rFonts w:ascii="Symbol" w:hAnsi="Symbol" w:hint="default"/>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7" w15:restartNumberingAfterBreak="0">
    <w:nsid w:val="2DB41070"/>
    <w:multiLevelType w:val="hybridMultilevel"/>
    <w:tmpl w:val="E4BEC7D2"/>
    <w:lvl w:ilvl="0" w:tplc="B3544DF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2E286D86"/>
    <w:multiLevelType w:val="hybridMultilevel"/>
    <w:tmpl w:val="E954FC54"/>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3C010FD"/>
    <w:multiLevelType w:val="hybridMultilevel"/>
    <w:tmpl w:val="D5B8755A"/>
    <w:lvl w:ilvl="0" w:tplc="140A000F">
      <w:start w:val="5"/>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50" w15:restartNumberingAfterBreak="0">
    <w:nsid w:val="37125B8F"/>
    <w:multiLevelType w:val="hybridMultilevel"/>
    <w:tmpl w:val="C5422314"/>
    <w:lvl w:ilvl="0" w:tplc="F238F1F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380D7BB3"/>
    <w:multiLevelType w:val="hybridMultilevel"/>
    <w:tmpl w:val="B0F89B4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9745ACD"/>
    <w:multiLevelType w:val="hybridMultilevel"/>
    <w:tmpl w:val="3A08D230"/>
    <w:lvl w:ilvl="0" w:tplc="267A8BD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A3A730C"/>
    <w:multiLevelType w:val="hybridMultilevel"/>
    <w:tmpl w:val="0F5E1008"/>
    <w:lvl w:ilvl="0" w:tplc="66AAF970">
      <w:start w:val="1"/>
      <w:numFmt w:val="decimal"/>
      <w:lvlText w:val="%1)"/>
      <w:lvlJc w:val="left"/>
      <w:pPr>
        <w:tabs>
          <w:tab w:val="num" w:pos="1588"/>
        </w:tabs>
        <w:ind w:left="1588" w:hanging="435"/>
      </w:pPr>
      <w:rPr>
        <w:rFonts w:hint="default"/>
        <w:b/>
      </w:rPr>
    </w:lvl>
    <w:lvl w:ilvl="1" w:tplc="0C0A0019" w:tentative="1">
      <w:start w:val="1"/>
      <w:numFmt w:val="lowerLetter"/>
      <w:lvlText w:val="%2."/>
      <w:lvlJc w:val="left"/>
      <w:pPr>
        <w:tabs>
          <w:tab w:val="num" w:pos="2233"/>
        </w:tabs>
        <w:ind w:left="2233" w:hanging="360"/>
      </w:pPr>
    </w:lvl>
    <w:lvl w:ilvl="2" w:tplc="0C0A001B" w:tentative="1">
      <w:start w:val="1"/>
      <w:numFmt w:val="lowerRoman"/>
      <w:lvlText w:val="%3."/>
      <w:lvlJc w:val="right"/>
      <w:pPr>
        <w:tabs>
          <w:tab w:val="num" w:pos="2953"/>
        </w:tabs>
        <w:ind w:left="2953" w:hanging="180"/>
      </w:pPr>
    </w:lvl>
    <w:lvl w:ilvl="3" w:tplc="0C0A000F" w:tentative="1">
      <w:start w:val="1"/>
      <w:numFmt w:val="decimal"/>
      <w:lvlText w:val="%4."/>
      <w:lvlJc w:val="left"/>
      <w:pPr>
        <w:tabs>
          <w:tab w:val="num" w:pos="3673"/>
        </w:tabs>
        <w:ind w:left="3673" w:hanging="360"/>
      </w:pPr>
    </w:lvl>
    <w:lvl w:ilvl="4" w:tplc="0C0A0019" w:tentative="1">
      <w:start w:val="1"/>
      <w:numFmt w:val="lowerLetter"/>
      <w:lvlText w:val="%5."/>
      <w:lvlJc w:val="left"/>
      <w:pPr>
        <w:tabs>
          <w:tab w:val="num" w:pos="4393"/>
        </w:tabs>
        <w:ind w:left="4393" w:hanging="360"/>
      </w:pPr>
    </w:lvl>
    <w:lvl w:ilvl="5" w:tplc="0C0A001B" w:tentative="1">
      <w:start w:val="1"/>
      <w:numFmt w:val="lowerRoman"/>
      <w:lvlText w:val="%6."/>
      <w:lvlJc w:val="right"/>
      <w:pPr>
        <w:tabs>
          <w:tab w:val="num" w:pos="5113"/>
        </w:tabs>
        <w:ind w:left="5113" w:hanging="180"/>
      </w:pPr>
    </w:lvl>
    <w:lvl w:ilvl="6" w:tplc="0C0A000F" w:tentative="1">
      <w:start w:val="1"/>
      <w:numFmt w:val="decimal"/>
      <w:lvlText w:val="%7."/>
      <w:lvlJc w:val="left"/>
      <w:pPr>
        <w:tabs>
          <w:tab w:val="num" w:pos="5833"/>
        </w:tabs>
        <w:ind w:left="5833" w:hanging="360"/>
      </w:pPr>
    </w:lvl>
    <w:lvl w:ilvl="7" w:tplc="0C0A0019" w:tentative="1">
      <w:start w:val="1"/>
      <w:numFmt w:val="lowerLetter"/>
      <w:lvlText w:val="%8."/>
      <w:lvlJc w:val="left"/>
      <w:pPr>
        <w:tabs>
          <w:tab w:val="num" w:pos="6553"/>
        </w:tabs>
        <w:ind w:left="6553" w:hanging="360"/>
      </w:pPr>
    </w:lvl>
    <w:lvl w:ilvl="8" w:tplc="0C0A001B" w:tentative="1">
      <w:start w:val="1"/>
      <w:numFmt w:val="lowerRoman"/>
      <w:lvlText w:val="%9."/>
      <w:lvlJc w:val="right"/>
      <w:pPr>
        <w:tabs>
          <w:tab w:val="num" w:pos="7273"/>
        </w:tabs>
        <w:ind w:left="7273" w:hanging="180"/>
      </w:pPr>
    </w:lvl>
  </w:abstractNum>
  <w:abstractNum w:abstractNumId="54" w15:restartNumberingAfterBreak="0">
    <w:nsid w:val="3AA62CEB"/>
    <w:multiLevelType w:val="hybridMultilevel"/>
    <w:tmpl w:val="D390CCE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3B31078F"/>
    <w:multiLevelType w:val="hybridMultilevel"/>
    <w:tmpl w:val="4EACADBA"/>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D39027C"/>
    <w:multiLevelType w:val="hybridMultilevel"/>
    <w:tmpl w:val="53B4BA02"/>
    <w:lvl w:ilvl="0" w:tplc="90C8BFA0">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8" w15:restartNumberingAfterBreak="0">
    <w:nsid w:val="3EA862FF"/>
    <w:multiLevelType w:val="hybridMultilevel"/>
    <w:tmpl w:val="6D68860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1621F77"/>
    <w:multiLevelType w:val="hybridMultilevel"/>
    <w:tmpl w:val="E04AFE98"/>
    <w:lvl w:ilvl="0" w:tplc="140A000F">
      <w:start w:val="1"/>
      <w:numFmt w:val="decimal"/>
      <w:lvlText w:val="%1."/>
      <w:lvlJc w:val="left"/>
      <w:pPr>
        <w:ind w:left="418"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0" w15:restartNumberingAfterBreak="0">
    <w:nsid w:val="41AF215F"/>
    <w:multiLevelType w:val="hybridMultilevel"/>
    <w:tmpl w:val="EDEE47B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1B218FC"/>
    <w:multiLevelType w:val="hybridMultilevel"/>
    <w:tmpl w:val="0D1E990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1FD43EC"/>
    <w:multiLevelType w:val="hybridMultilevel"/>
    <w:tmpl w:val="E80A6FF6"/>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2CC4163"/>
    <w:multiLevelType w:val="hybridMultilevel"/>
    <w:tmpl w:val="DDD61920"/>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33F016C"/>
    <w:multiLevelType w:val="hybridMultilevel"/>
    <w:tmpl w:val="27DCAA5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5"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67" w15:restartNumberingAfterBreak="0">
    <w:nsid w:val="44DD14D2"/>
    <w:multiLevelType w:val="hybridMultilevel"/>
    <w:tmpl w:val="0C5A4B80"/>
    <w:lvl w:ilvl="0" w:tplc="AC8289A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DA0AE0"/>
    <w:multiLevelType w:val="hybridMultilevel"/>
    <w:tmpl w:val="4FF6271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9E63B3C"/>
    <w:multiLevelType w:val="hybridMultilevel"/>
    <w:tmpl w:val="8A22B2AA"/>
    <w:lvl w:ilvl="0" w:tplc="D4DCBDF6">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4A4B584E"/>
    <w:multiLevelType w:val="hybridMultilevel"/>
    <w:tmpl w:val="D722E93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C313C78"/>
    <w:multiLevelType w:val="hybridMultilevel"/>
    <w:tmpl w:val="EC180A56"/>
    <w:lvl w:ilvl="0" w:tplc="91C4ABB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4CC9705B"/>
    <w:multiLevelType w:val="hybridMultilevel"/>
    <w:tmpl w:val="8F8C8254"/>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73" w15:restartNumberingAfterBreak="0">
    <w:nsid w:val="4CFD5DB9"/>
    <w:multiLevelType w:val="hybridMultilevel"/>
    <w:tmpl w:val="6080897E"/>
    <w:lvl w:ilvl="0" w:tplc="4810EE40">
      <w:start w:val="1"/>
      <w:numFmt w:val="decimal"/>
      <w:lvlText w:val="%1."/>
      <w:lvlJc w:val="left"/>
      <w:pPr>
        <w:ind w:left="418" w:hanging="360"/>
      </w:pPr>
      <w:rPr>
        <w:rFonts w:hint="default"/>
      </w:rPr>
    </w:lvl>
    <w:lvl w:ilvl="1" w:tplc="0C0A0019" w:tentative="1">
      <w:start w:val="1"/>
      <w:numFmt w:val="lowerLetter"/>
      <w:lvlText w:val="%2."/>
      <w:lvlJc w:val="left"/>
      <w:pPr>
        <w:ind w:left="1138" w:hanging="360"/>
      </w:pPr>
    </w:lvl>
    <w:lvl w:ilvl="2" w:tplc="0C0A001B" w:tentative="1">
      <w:start w:val="1"/>
      <w:numFmt w:val="lowerRoman"/>
      <w:lvlText w:val="%3."/>
      <w:lvlJc w:val="right"/>
      <w:pPr>
        <w:ind w:left="1858" w:hanging="180"/>
      </w:pPr>
    </w:lvl>
    <w:lvl w:ilvl="3" w:tplc="0C0A000F" w:tentative="1">
      <w:start w:val="1"/>
      <w:numFmt w:val="decimal"/>
      <w:lvlText w:val="%4."/>
      <w:lvlJc w:val="left"/>
      <w:pPr>
        <w:ind w:left="2578" w:hanging="360"/>
      </w:pPr>
    </w:lvl>
    <w:lvl w:ilvl="4" w:tplc="0C0A0019" w:tentative="1">
      <w:start w:val="1"/>
      <w:numFmt w:val="lowerLetter"/>
      <w:lvlText w:val="%5."/>
      <w:lvlJc w:val="left"/>
      <w:pPr>
        <w:ind w:left="3298" w:hanging="360"/>
      </w:pPr>
    </w:lvl>
    <w:lvl w:ilvl="5" w:tplc="0C0A001B" w:tentative="1">
      <w:start w:val="1"/>
      <w:numFmt w:val="lowerRoman"/>
      <w:lvlText w:val="%6."/>
      <w:lvlJc w:val="right"/>
      <w:pPr>
        <w:ind w:left="4018" w:hanging="180"/>
      </w:pPr>
    </w:lvl>
    <w:lvl w:ilvl="6" w:tplc="0C0A000F" w:tentative="1">
      <w:start w:val="1"/>
      <w:numFmt w:val="decimal"/>
      <w:lvlText w:val="%7."/>
      <w:lvlJc w:val="left"/>
      <w:pPr>
        <w:ind w:left="4738" w:hanging="360"/>
      </w:pPr>
    </w:lvl>
    <w:lvl w:ilvl="7" w:tplc="0C0A0019" w:tentative="1">
      <w:start w:val="1"/>
      <w:numFmt w:val="lowerLetter"/>
      <w:lvlText w:val="%8."/>
      <w:lvlJc w:val="left"/>
      <w:pPr>
        <w:ind w:left="5458" w:hanging="360"/>
      </w:pPr>
    </w:lvl>
    <w:lvl w:ilvl="8" w:tplc="0C0A001B" w:tentative="1">
      <w:start w:val="1"/>
      <w:numFmt w:val="lowerRoman"/>
      <w:lvlText w:val="%9."/>
      <w:lvlJc w:val="right"/>
      <w:pPr>
        <w:ind w:left="6178" w:hanging="180"/>
      </w:pPr>
    </w:lvl>
  </w:abstractNum>
  <w:abstractNum w:abstractNumId="74" w15:restartNumberingAfterBreak="0">
    <w:nsid w:val="4D7413BE"/>
    <w:multiLevelType w:val="hybridMultilevel"/>
    <w:tmpl w:val="E04AFE98"/>
    <w:lvl w:ilvl="0" w:tplc="ABE4E6F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4D894387"/>
    <w:multiLevelType w:val="hybridMultilevel"/>
    <w:tmpl w:val="3612A75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EB254CF"/>
    <w:multiLevelType w:val="hybridMultilevel"/>
    <w:tmpl w:val="CEEA787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EF266DA"/>
    <w:multiLevelType w:val="hybridMultilevel"/>
    <w:tmpl w:val="15C2FA58"/>
    <w:lvl w:ilvl="0" w:tplc="080A000F">
      <w:start w:val="1"/>
      <w:numFmt w:val="decimal"/>
      <w:lvlText w:val="%1."/>
      <w:lvlJc w:val="left"/>
      <w:pPr>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8" w15:restartNumberingAfterBreak="0">
    <w:nsid w:val="4F786E42"/>
    <w:multiLevelType w:val="hybridMultilevel"/>
    <w:tmpl w:val="D826BA26"/>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81"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82"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83" w15:restartNumberingAfterBreak="0">
    <w:nsid w:val="55850A7D"/>
    <w:multiLevelType w:val="hybridMultilevel"/>
    <w:tmpl w:val="E954FC54"/>
    <w:lvl w:ilvl="0" w:tplc="2078EB6E">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56182F52"/>
    <w:multiLevelType w:val="hybridMultilevel"/>
    <w:tmpl w:val="EC180A5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81909BC"/>
    <w:multiLevelType w:val="hybridMultilevel"/>
    <w:tmpl w:val="E034B0AE"/>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90A17AF"/>
    <w:multiLevelType w:val="hybridMultilevel"/>
    <w:tmpl w:val="237E074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A50011B"/>
    <w:multiLevelType w:val="hybridMultilevel"/>
    <w:tmpl w:val="B1047C2C"/>
    <w:lvl w:ilvl="0" w:tplc="0C0A0009">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88" w15:restartNumberingAfterBreak="0">
    <w:nsid w:val="5AE43796"/>
    <w:multiLevelType w:val="hybridMultilevel"/>
    <w:tmpl w:val="6590B46C"/>
    <w:lvl w:ilvl="0" w:tplc="BB846630">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5B2B4BA5"/>
    <w:multiLevelType w:val="hybridMultilevel"/>
    <w:tmpl w:val="060C669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C864359"/>
    <w:multiLevelType w:val="hybridMultilevel"/>
    <w:tmpl w:val="5CF00132"/>
    <w:lvl w:ilvl="0" w:tplc="4986139E">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5CC427DD"/>
    <w:multiLevelType w:val="hybridMultilevel"/>
    <w:tmpl w:val="57387A5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2" w15:restartNumberingAfterBreak="0">
    <w:nsid w:val="5E8D7F7A"/>
    <w:multiLevelType w:val="hybridMultilevel"/>
    <w:tmpl w:val="91FCDC4E"/>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5FE47988"/>
    <w:multiLevelType w:val="hybridMultilevel"/>
    <w:tmpl w:val="A2E2358E"/>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94" w15:restartNumberingAfterBreak="0">
    <w:nsid w:val="60253C5A"/>
    <w:multiLevelType w:val="hybridMultilevel"/>
    <w:tmpl w:val="B0F89B48"/>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61E26A50"/>
    <w:multiLevelType w:val="hybridMultilevel"/>
    <w:tmpl w:val="EDEE47BC"/>
    <w:lvl w:ilvl="0" w:tplc="12B4D71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21507F8"/>
    <w:multiLevelType w:val="hybridMultilevel"/>
    <w:tmpl w:val="5874E9A2"/>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32832EF"/>
    <w:multiLevelType w:val="hybridMultilevel"/>
    <w:tmpl w:val="965A6F16"/>
    <w:lvl w:ilvl="0" w:tplc="080A000F">
      <w:start w:val="1"/>
      <w:numFmt w:val="decimal"/>
      <w:lvlText w:val="%1."/>
      <w:lvlJc w:val="left"/>
      <w:pPr>
        <w:ind w:left="418" w:hanging="360"/>
      </w:pPr>
    </w:lvl>
    <w:lvl w:ilvl="1" w:tplc="080A0019" w:tentative="1">
      <w:start w:val="1"/>
      <w:numFmt w:val="lowerLetter"/>
      <w:lvlText w:val="%2."/>
      <w:lvlJc w:val="left"/>
      <w:pPr>
        <w:tabs>
          <w:tab w:val="num" w:pos="1498"/>
        </w:tabs>
        <w:ind w:left="1498" w:hanging="360"/>
      </w:pPr>
    </w:lvl>
    <w:lvl w:ilvl="2" w:tplc="080A001B" w:tentative="1">
      <w:start w:val="1"/>
      <w:numFmt w:val="lowerRoman"/>
      <w:lvlText w:val="%3."/>
      <w:lvlJc w:val="right"/>
      <w:pPr>
        <w:tabs>
          <w:tab w:val="num" w:pos="2218"/>
        </w:tabs>
        <w:ind w:left="2218" w:hanging="180"/>
      </w:pPr>
    </w:lvl>
    <w:lvl w:ilvl="3" w:tplc="080A000F" w:tentative="1">
      <w:start w:val="1"/>
      <w:numFmt w:val="decimal"/>
      <w:lvlText w:val="%4."/>
      <w:lvlJc w:val="left"/>
      <w:pPr>
        <w:tabs>
          <w:tab w:val="num" w:pos="2938"/>
        </w:tabs>
        <w:ind w:left="2938" w:hanging="360"/>
      </w:pPr>
    </w:lvl>
    <w:lvl w:ilvl="4" w:tplc="080A0019" w:tentative="1">
      <w:start w:val="1"/>
      <w:numFmt w:val="lowerLetter"/>
      <w:lvlText w:val="%5."/>
      <w:lvlJc w:val="left"/>
      <w:pPr>
        <w:tabs>
          <w:tab w:val="num" w:pos="3658"/>
        </w:tabs>
        <w:ind w:left="3658" w:hanging="360"/>
      </w:pPr>
    </w:lvl>
    <w:lvl w:ilvl="5" w:tplc="080A001B" w:tentative="1">
      <w:start w:val="1"/>
      <w:numFmt w:val="lowerRoman"/>
      <w:lvlText w:val="%6."/>
      <w:lvlJc w:val="right"/>
      <w:pPr>
        <w:tabs>
          <w:tab w:val="num" w:pos="4378"/>
        </w:tabs>
        <w:ind w:left="4378" w:hanging="180"/>
      </w:pPr>
    </w:lvl>
    <w:lvl w:ilvl="6" w:tplc="080A000F" w:tentative="1">
      <w:start w:val="1"/>
      <w:numFmt w:val="decimal"/>
      <w:lvlText w:val="%7."/>
      <w:lvlJc w:val="left"/>
      <w:pPr>
        <w:tabs>
          <w:tab w:val="num" w:pos="5098"/>
        </w:tabs>
        <w:ind w:left="5098" w:hanging="360"/>
      </w:pPr>
    </w:lvl>
    <w:lvl w:ilvl="7" w:tplc="080A0019" w:tentative="1">
      <w:start w:val="1"/>
      <w:numFmt w:val="lowerLetter"/>
      <w:lvlText w:val="%8."/>
      <w:lvlJc w:val="left"/>
      <w:pPr>
        <w:tabs>
          <w:tab w:val="num" w:pos="5818"/>
        </w:tabs>
        <w:ind w:left="5818" w:hanging="360"/>
      </w:pPr>
    </w:lvl>
    <w:lvl w:ilvl="8" w:tplc="080A001B" w:tentative="1">
      <w:start w:val="1"/>
      <w:numFmt w:val="lowerRoman"/>
      <w:lvlText w:val="%9."/>
      <w:lvlJc w:val="right"/>
      <w:pPr>
        <w:tabs>
          <w:tab w:val="num" w:pos="6538"/>
        </w:tabs>
        <w:ind w:left="6538" w:hanging="180"/>
      </w:pPr>
    </w:lvl>
  </w:abstractNum>
  <w:abstractNum w:abstractNumId="98" w15:restartNumberingAfterBreak="0">
    <w:nsid w:val="63AF0B62"/>
    <w:multiLevelType w:val="hybridMultilevel"/>
    <w:tmpl w:val="CB0E933C"/>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15:restartNumberingAfterBreak="0">
    <w:nsid w:val="643A59E0"/>
    <w:multiLevelType w:val="hybridMultilevel"/>
    <w:tmpl w:val="2376BEF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46A7546"/>
    <w:multiLevelType w:val="hybridMultilevel"/>
    <w:tmpl w:val="53B4BA0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6D40D8E"/>
    <w:multiLevelType w:val="hybridMultilevel"/>
    <w:tmpl w:val="B6BE205C"/>
    <w:lvl w:ilvl="0" w:tplc="C98ED8AA">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15:restartNumberingAfterBreak="0">
    <w:nsid w:val="67033106"/>
    <w:multiLevelType w:val="hybridMultilevel"/>
    <w:tmpl w:val="C4CECE84"/>
    <w:lvl w:ilvl="0" w:tplc="080A000F">
      <w:start w:val="1"/>
      <w:numFmt w:val="decimal"/>
      <w:lvlText w:val="%1."/>
      <w:lvlJc w:val="left"/>
      <w:pPr>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4" w15:restartNumberingAfterBreak="0">
    <w:nsid w:val="673B7ECA"/>
    <w:multiLevelType w:val="hybridMultilevel"/>
    <w:tmpl w:val="0BC62E80"/>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5" w15:restartNumberingAfterBreak="0">
    <w:nsid w:val="673E1559"/>
    <w:multiLevelType w:val="hybridMultilevel"/>
    <w:tmpl w:val="A13646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77C433E"/>
    <w:multiLevelType w:val="hybridMultilevel"/>
    <w:tmpl w:val="20E68B64"/>
    <w:lvl w:ilvl="0" w:tplc="4D10C6F4">
      <w:start w:val="1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7DD50F8"/>
    <w:multiLevelType w:val="hybridMultilevel"/>
    <w:tmpl w:val="EFC61FB6"/>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68DC1F5D"/>
    <w:multiLevelType w:val="hybridMultilevel"/>
    <w:tmpl w:val="288E41A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9DD0FB7"/>
    <w:multiLevelType w:val="hybridMultilevel"/>
    <w:tmpl w:val="E4CE404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A2F4ED1"/>
    <w:multiLevelType w:val="hybridMultilevel"/>
    <w:tmpl w:val="62FA8396"/>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C2D4AEE"/>
    <w:multiLevelType w:val="hybridMultilevel"/>
    <w:tmpl w:val="8034C3D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D726DE6"/>
    <w:multiLevelType w:val="hybridMultilevel"/>
    <w:tmpl w:val="04FC9E2C"/>
    <w:lvl w:ilvl="0" w:tplc="CA886BE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D883EF2"/>
    <w:multiLevelType w:val="hybridMultilevel"/>
    <w:tmpl w:val="01C4221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1813697"/>
    <w:multiLevelType w:val="hybridMultilevel"/>
    <w:tmpl w:val="8066289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1AF1108"/>
    <w:multiLevelType w:val="hybridMultilevel"/>
    <w:tmpl w:val="5776A29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1E51D98"/>
    <w:multiLevelType w:val="hybridMultilevel"/>
    <w:tmpl w:val="128E3B7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25444EC"/>
    <w:multiLevelType w:val="hybridMultilevel"/>
    <w:tmpl w:val="54B2B79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3462597"/>
    <w:multiLevelType w:val="hybridMultilevel"/>
    <w:tmpl w:val="096CE98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44710F8"/>
    <w:multiLevelType w:val="hybridMultilevel"/>
    <w:tmpl w:val="1D0A794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2" w15:restartNumberingAfterBreak="0">
    <w:nsid w:val="782E5BFC"/>
    <w:multiLevelType w:val="hybridMultilevel"/>
    <w:tmpl w:val="BAFCCFF2"/>
    <w:lvl w:ilvl="0" w:tplc="ECE23204">
      <w:start w:val="1"/>
      <w:numFmt w:val="upperRoman"/>
      <w:lvlText w:val="%1."/>
      <w:lvlJc w:val="left"/>
      <w:pPr>
        <w:ind w:left="1080" w:hanging="720"/>
      </w:pPr>
      <w:rPr>
        <w:rFonts w:ascii="Times New Roman" w:hAnsi="Times New Roman" w:cs="Times New Roman"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3" w15:restartNumberingAfterBreak="0">
    <w:nsid w:val="79371416"/>
    <w:multiLevelType w:val="hybridMultilevel"/>
    <w:tmpl w:val="39C00A36"/>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79A50866"/>
    <w:multiLevelType w:val="hybridMultilevel"/>
    <w:tmpl w:val="1EA26F12"/>
    <w:lvl w:ilvl="0" w:tplc="7CBCD64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5" w15:restartNumberingAfterBreak="0">
    <w:nsid w:val="7D271F49"/>
    <w:multiLevelType w:val="hybridMultilevel"/>
    <w:tmpl w:val="E1308512"/>
    <w:lvl w:ilvl="0" w:tplc="FFFFFFFF">
      <w:start w:val="1"/>
      <w:numFmt w:val="decimal"/>
      <w:lvlText w:val="%1."/>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7D626372"/>
    <w:multiLevelType w:val="hybridMultilevel"/>
    <w:tmpl w:val="A2E2358E"/>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7" w15:restartNumberingAfterBreak="0">
    <w:nsid w:val="7DAB5003"/>
    <w:multiLevelType w:val="hybridMultilevel"/>
    <w:tmpl w:val="54B2B79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FD73A50"/>
    <w:multiLevelType w:val="hybridMultilevel"/>
    <w:tmpl w:val="2A30BF7C"/>
    <w:lvl w:ilvl="0" w:tplc="BD0E71A4">
      <w:start w:val="19"/>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65"/>
  </w:num>
  <w:num w:numId="3">
    <w:abstractNumId w:val="15"/>
  </w:num>
  <w:num w:numId="4">
    <w:abstractNumId w:val="101"/>
  </w:num>
  <w:num w:numId="5">
    <w:abstractNumId w:val="1"/>
  </w:num>
  <w:num w:numId="6">
    <w:abstractNumId w:val="66"/>
  </w:num>
  <w:num w:numId="7">
    <w:abstractNumId w:val="0"/>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num>
  <w:num w:numId="10">
    <w:abstractNumId w:val="47"/>
  </w:num>
  <w:num w:numId="11">
    <w:abstractNumId w:val="46"/>
  </w:num>
  <w:num w:numId="12">
    <w:abstractNumId w:val="104"/>
  </w:num>
  <w:num w:numId="13">
    <w:abstractNumId w:val="109"/>
  </w:num>
  <w:num w:numId="14">
    <w:abstractNumId w:val="32"/>
  </w:num>
  <w:num w:numId="15">
    <w:abstractNumId w:val="123"/>
  </w:num>
  <w:num w:numId="16">
    <w:abstractNumId w:val="96"/>
  </w:num>
  <w:num w:numId="17">
    <w:abstractNumId w:val="85"/>
  </w:num>
  <w:num w:numId="18">
    <w:abstractNumId w:val="88"/>
  </w:num>
  <w:num w:numId="19">
    <w:abstractNumId w:val="23"/>
  </w:num>
  <w:num w:numId="20">
    <w:abstractNumId w:val="45"/>
  </w:num>
  <w:num w:numId="21">
    <w:abstractNumId w:val="61"/>
  </w:num>
  <w:num w:numId="22">
    <w:abstractNumId w:val="21"/>
  </w:num>
  <w:num w:numId="23">
    <w:abstractNumId w:val="120"/>
  </w:num>
  <w:num w:numId="24">
    <w:abstractNumId w:val="55"/>
  </w:num>
  <w:num w:numId="25">
    <w:abstractNumId w:val="44"/>
  </w:num>
  <w:num w:numId="26">
    <w:abstractNumId w:val="78"/>
  </w:num>
  <w:num w:numId="27">
    <w:abstractNumId w:val="12"/>
  </w:num>
  <w:num w:numId="28">
    <w:abstractNumId w:val="39"/>
  </w:num>
  <w:num w:numId="29">
    <w:abstractNumId w:val="75"/>
  </w:num>
  <w:num w:numId="30">
    <w:abstractNumId w:val="58"/>
  </w:num>
  <w:num w:numId="31">
    <w:abstractNumId w:val="48"/>
  </w:num>
  <w:num w:numId="32">
    <w:abstractNumId w:val="83"/>
  </w:num>
  <w:num w:numId="33">
    <w:abstractNumId w:val="9"/>
  </w:num>
  <w:num w:numId="34">
    <w:abstractNumId w:val="68"/>
  </w:num>
  <w:num w:numId="35">
    <w:abstractNumId w:val="38"/>
  </w:num>
  <w:num w:numId="36">
    <w:abstractNumId w:val="17"/>
  </w:num>
  <w:num w:numId="37">
    <w:abstractNumId w:val="41"/>
  </w:num>
  <w:num w:numId="38">
    <w:abstractNumId w:val="115"/>
  </w:num>
  <w:num w:numId="39">
    <w:abstractNumId w:val="33"/>
  </w:num>
  <w:num w:numId="40">
    <w:abstractNumId w:val="7"/>
  </w:num>
  <w:num w:numId="41">
    <w:abstractNumId w:val="117"/>
  </w:num>
  <w:num w:numId="42">
    <w:abstractNumId w:val="24"/>
  </w:num>
  <w:num w:numId="43">
    <w:abstractNumId w:val="8"/>
  </w:num>
  <w:num w:numId="44">
    <w:abstractNumId w:val="51"/>
  </w:num>
  <w:num w:numId="45">
    <w:abstractNumId w:val="94"/>
  </w:num>
  <w:num w:numId="46">
    <w:abstractNumId w:val="113"/>
  </w:num>
  <w:num w:numId="47">
    <w:abstractNumId w:val="114"/>
  </w:num>
  <w:num w:numId="48">
    <w:abstractNumId w:val="110"/>
  </w:num>
  <w:num w:numId="49">
    <w:abstractNumId w:val="36"/>
  </w:num>
  <w:num w:numId="50">
    <w:abstractNumId w:val="90"/>
  </w:num>
  <w:num w:numId="51">
    <w:abstractNumId w:val="20"/>
  </w:num>
  <w:num w:numId="52">
    <w:abstractNumId w:val="95"/>
  </w:num>
  <w:num w:numId="53">
    <w:abstractNumId w:val="108"/>
  </w:num>
  <w:num w:numId="54">
    <w:abstractNumId w:val="59"/>
  </w:num>
  <w:num w:numId="55">
    <w:abstractNumId w:val="74"/>
  </w:num>
  <w:num w:numId="56">
    <w:abstractNumId w:val="50"/>
  </w:num>
  <w:num w:numId="57">
    <w:abstractNumId w:val="16"/>
  </w:num>
  <w:num w:numId="58">
    <w:abstractNumId w:val="111"/>
  </w:num>
  <w:num w:numId="59">
    <w:abstractNumId w:val="13"/>
  </w:num>
  <w:num w:numId="60">
    <w:abstractNumId w:val="98"/>
  </w:num>
  <w:num w:numId="61">
    <w:abstractNumId w:val="63"/>
  </w:num>
  <w:num w:numId="62">
    <w:abstractNumId w:val="27"/>
  </w:num>
  <w:num w:numId="63">
    <w:abstractNumId w:val="31"/>
  </w:num>
  <w:num w:numId="64">
    <w:abstractNumId w:val="76"/>
  </w:num>
  <w:num w:numId="65">
    <w:abstractNumId w:val="128"/>
  </w:num>
  <w:num w:numId="66">
    <w:abstractNumId w:val="62"/>
  </w:num>
  <w:num w:numId="67">
    <w:abstractNumId w:val="92"/>
  </w:num>
  <w:num w:numId="68">
    <w:abstractNumId w:val="29"/>
  </w:num>
  <w:num w:numId="69">
    <w:abstractNumId w:val="28"/>
  </w:num>
  <w:num w:numId="70">
    <w:abstractNumId w:val="93"/>
  </w:num>
  <w:num w:numId="71">
    <w:abstractNumId w:val="126"/>
  </w:num>
  <w:num w:numId="72">
    <w:abstractNumId w:val="52"/>
  </w:num>
  <w:num w:numId="73">
    <w:abstractNumId w:val="124"/>
  </w:num>
  <w:num w:numId="74">
    <w:abstractNumId w:val="18"/>
  </w:num>
  <w:num w:numId="75">
    <w:abstractNumId w:val="25"/>
  </w:num>
  <w:num w:numId="76">
    <w:abstractNumId w:val="105"/>
  </w:num>
  <w:num w:numId="77">
    <w:abstractNumId w:val="116"/>
  </w:num>
  <w:num w:numId="78">
    <w:abstractNumId w:val="127"/>
  </w:num>
  <w:num w:numId="79">
    <w:abstractNumId w:val="102"/>
  </w:num>
  <w:num w:numId="80">
    <w:abstractNumId w:val="79"/>
  </w:num>
  <w:num w:numId="81">
    <w:abstractNumId w:val="99"/>
  </w:num>
  <w:num w:numId="82">
    <w:abstractNumId w:val="107"/>
  </w:num>
  <w:num w:numId="83">
    <w:abstractNumId w:val="129"/>
  </w:num>
  <w:num w:numId="84">
    <w:abstractNumId w:val="84"/>
  </w:num>
  <w:num w:numId="85">
    <w:abstractNumId w:val="34"/>
  </w:num>
  <w:num w:numId="86">
    <w:abstractNumId w:val="69"/>
  </w:num>
  <w:num w:numId="87">
    <w:abstractNumId w:val="100"/>
  </w:num>
  <w:num w:numId="88">
    <w:abstractNumId w:val="57"/>
  </w:num>
  <w:num w:numId="89">
    <w:abstractNumId w:val="125"/>
  </w:num>
  <w:num w:numId="90">
    <w:abstractNumId w:val="60"/>
  </w:num>
  <w:num w:numId="91">
    <w:abstractNumId w:val="37"/>
  </w:num>
  <w:num w:numId="92">
    <w:abstractNumId w:val="22"/>
  </w:num>
  <w:num w:numId="93">
    <w:abstractNumId w:val="35"/>
  </w:num>
  <w:num w:numId="94">
    <w:abstractNumId w:val="26"/>
  </w:num>
  <w:num w:numId="95">
    <w:abstractNumId w:val="14"/>
  </w:num>
  <w:num w:numId="96">
    <w:abstractNumId w:val="80"/>
  </w:num>
  <w:num w:numId="97">
    <w:abstractNumId w:val="73"/>
  </w:num>
  <w:num w:numId="98">
    <w:abstractNumId w:val="40"/>
  </w:num>
  <w:num w:numId="99">
    <w:abstractNumId w:val="89"/>
  </w:num>
  <w:num w:numId="100">
    <w:abstractNumId w:val="72"/>
  </w:num>
  <w:num w:numId="101">
    <w:abstractNumId w:val="87"/>
  </w:num>
  <w:num w:numId="102">
    <w:abstractNumId w:val="30"/>
  </w:num>
  <w:num w:numId="103">
    <w:abstractNumId w:val="19"/>
  </w:num>
  <w:num w:numId="104">
    <w:abstractNumId w:val="70"/>
  </w:num>
  <w:num w:numId="105">
    <w:abstractNumId w:val="10"/>
  </w:num>
  <w:num w:numId="106">
    <w:abstractNumId w:val="82"/>
  </w:num>
  <w:num w:numId="107">
    <w:abstractNumId w:val="54"/>
  </w:num>
  <w:num w:numId="108">
    <w:abstractNumId w:val="86"/>
  </w:num>
  <w:num w:numId="109">
    <w:abstractNumId w:val="118"/>
  </w:num>
  <w:num w:numId="110">
    <w:abstractNumId w:val="6"/>
  </w:num>
  <w:num w:numId="111">
    <w:abstractNumId w:val="71"/>
  </w:num>
  <w:num w:numId="112">
    <w:abstractNumId w:val="119"/>
  </w:num>
  <w:num w:numId="113">
    <w:abstractNumId w:val="5"/>
  </w:num>
  <w:num w:numId="114">
    <w:abstractNumId w:val="42"/>
  </w:num>
  <w:num w:numId="115">
    <w:abstractNumId w:val="77"/>
  </w:num>
  <w:num w:numId="116">
    <w:abstractNumId w:val="97"/>
  </w:num>
  <w:num w:numId="117">
    <w:abstractNumId w:val="49"/>
  </w:num>
  <w:num w:numId="118">
    <w:abstractNumId w:val="11"/>
  </w:num>
  <w:num w:numId="11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3"/>
  </w:num>
  <w:num w:numId="121">
    <w:abstractNumId w:val="112"/>
  </w:num>
  <w:num w:numId="122">
    <w:abstractNumId w:val="67"/>
  </w:num>
  <w:num w:numId="123">
    <w:abstractNumId w:val="130"/>
  </w:num>
  <w:num w:numId="124">
    <w:abstractNumId w:val="91"/>
  </w:num>
  <w:num w:numId="125">
    <w:abstractNumId w:val="106"/>
  </w:num>
  <w:num w:numId="12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62F8"/>
    <w:rsid w:val="000070A3"/>
    <w:rsid w:val="000071F8"/>
    <w:rsid w:val="000074A7"/>
    <w:rsid w:val="00007773"/>
    <w:rsid w:val="00007D52"/>
    <w:rsid w:val="00010A10"/>
    <w:rsid w:val="00010FF3"/>
    <w:rsid w:val="000118AF"/>
    <w:rsid w:val="0001207E"/>
    <w:rsid w:val="000122C5"/>
    <w:rsid w:val="00012B47"/>
    <w:rsid w:val="00012D3C"/>
    <w:rsid w:val="0001371B"/>
    <w:rsid w:val="000144B0"/>
    <w:rsid w:val="00016875"/>
    <w:rsid w:val="0002083F"/>
    <w:rsid w:val="000208C7"/>
    <w:rsid w:val="00020A3F"/>
    <w:rsid w:val="00020DC9"/>
    <w:rsid w:val="00024CA6"/>
    <w:rsid w:val="0002502F"/>
    <w:rsid w:val="000313FD"/>
    <w:rsid w:val="000324DA"/>
    <w:rsid w:val="00033191"/>
    <w:rsid w:val="00035408"/>
    <w:rsid w:val="000414BA"/>
    <w:rsid w:val="00041C7B"/>
    <w:rsid w:val="00041CB5"/>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2CAE"/>
    <w:rsid w:val="00063144"/>
    <w:rsid w:val="00065108"/>
    <w:rsid w:val="00066A0E"/>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A16C0"/>
    <w:rsid w:val="000A1B5C"/>
    <w:rsid w:val="000A330B"/>
    <w:rsid w:val="000A6438"/>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41D7"/>
    <w:rsid w:val="000D5744"/>
    <w:rsid w:val="000D6FFD"/>
    <w:rsid w:val="000E0AC6"/>
    <w:rsid w:val="000E21F0"/>
    <w:rsid w:val="000E296A"/>
    <w:rsid w:val="000E3307"/>
    <w:rsid w:val="000E3584"/>
    <w:rsid w:val="000E4B24"/>
    <w:rsid w:val="000E525D"/>
    <w:rsid w:val="000E5915"/>
    <w:rsid w:val="000E71C5"/>
    <w:rsid w:val="000E7298"/>
    <w:rsid w:val="000F3332"/>
    <w:rsid w:val="000F533D"/>
    <w:rsid w:val="000F5F15"/>
    <w:rsid w:val="000F64A2"/>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7480"/>
    <w:rsid w:val="00130249"/>
    <w:rsid w:val="00136432"/>
    <w:rsid w:val="00136BD4"/>
    <w:rsid w:val="00141EF8"/>
    <w:rsid w:val="00143A3F"/>
    <w:rsid w:val="001506AD"/>
    <w:rsid w:val="0015357E"/>
    <w:rsid w:val="001540CA"/>
    <w:rsid w:val="001542B1"/>
    <w:rsid w:val="0015687D"/>
    <w:rsid w:val="00157D8D"/>
    <w:rsid w:val="00157EED"/>
    <w:rsid w:val="001613B4"/>
    <w:rsid w:val="00161FFC"/>
    <w:rsid w:val="00162F82"/>
    <w:rsid w:val="001640C5"/>
    <w:rsid w:val="001647C1"/>
    <w:rsid w:val="00165925"/>
    <w:rsid w:val="00171860"/>
    <w:rsid w:val="00173191"/>
    <w:rsid w:val="00174F69"/>
    <w:rsid w:val="001750B0"/>
    <w:rsid w:val="00175A22"/>
    <w:rsid w:val="001766CF"/>
    <w:rsid w:val="0017715E"/>
    <w:rsid w:val="00177E74"/>
    <w:rsid w:val="00180422"/>
    <w:rsid w:val="00181591"/>
    <w:rsid w:val="00181C47"/>
    <w:rsid w:val="00186ADE"/>
    <w:rsid w:val="0019247F"/>
    <w:rsid w:val="001A174B"/>
    <w:rsid w:val="001A43FE"/>
    <w:rsid w:val="001A63E0"/>
    <w:rsid w:val="001A6DCB"/>
    <w:rsid w:val="001B577D"/>
    <w:rsid w:val="001B7697"/>
    <w:rsid w:val="001C0C6E"/>
    <w:rsid w:val="001C25C1"/>
    <w:rsid w:val="001C2813"/>
    <w:rsid w:val="001C2F5B"/>
    <w:rsid w:val="001C3300"/>
    <w:rsid w:val="001C348B"/>
    <w:rsid w:val="001C3D6F"/>
    <w:rsid w:val="001E4C4F"/>
    <w:rsid w:val="001E4D6B"/>
    <w:rsid w:val="001E4E04"/>
    <w:rsid w:val="001E5171"/>
    <w:rsid w:val="001E53B9"/>
    <w:rsid w:val="001E5E1A"/>
    <w:rsid w:val="001E68CC"/>
    <w:rsid w:val="001F224B"/>
    <w:rsid w:val="001F66BE"/>
    <w:rsid w:val="002000CE"/>
    <w:rsid w:val="00203836"/>
    <w:rsid w:val="002059C1"/>
    <w:rsid w:val="00212ED2"/>
    <w:rsid w:val="00213F67"/>
    <w:rsid w:val="002202F0"/>
    <w:rsid w:val="00221033"/>
    <w:rsid w:val="002239B1"/>
    <w:rsid w:val="00223D57"/>
    <w:rsid w:val="00223DA9"/>
    <w:rsid w:val="00223F22"/>
    <w:rsid w:val="00226FC6"/>
    <w:rsid w:val="0022798C"/>
    <w:rsid w:val="0023001B"/>
    <w:rsid w:val="00230498"/>
    <w:rsid w:val="002342E3"/>
    <w:rsid w:val="00234DD9"/>
    <w:rsid w:val="00235BB2"/>
    <w:rsid w:val="00242E5F"/>
    <w:rsid w:val="00245D74"/>
    <w:rsid w:val="0025018C"/>
    <w:rsid w:val="00254A9E"/>
    <w:rsid w:val="00255680"/>
    <w:rsid w:val="00255C02"/>
    <w:rsid w:val="002571E8"/>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4863"/>
    <w:rsid w:val="00295759"/>
    <w:rsid w:val="002A24CA"/>
    <w:rsid w:val="002A6286"/>
    <w:rsid w:val="002A72A4"/>
    <w:rsid w:val="002B0089"/>
    <w:rsid w:val="002B2482"/>
    <w:rsid w:val="002B25DE"/>
    <w:rsid w:val="002B4078"/>
    <w:rsid w:val="002B4FAC"/>
    <w:rsid w:val="002B5738"/>
    <w:rsid w:val="002C2AB8"/>
    <w:rsid w:val="002D02B8"/>
    <w:rsid w:val="002D04D5"/>
    <w:rsid w:val="002D3D71"/>
    <w:rsid w:val="002D7BED"/>
    <w:rsid w:val="002E0EC3"/>
    <w:rsid w:val="002E5433"/>
    <w:rsid w:val="002E6C1A"/>
    <w:rsid w:val="002E7CB8"/>
    <w:rsid w:val="002F0FC1"/>
    <w:rsid w:val="002F5A60"/>
    <w:rsid w:val="002F7286"/>
    <w:rsid w:val="002F7F5B"/>
    <w:rsid w:val="003011FF"/>
    <w:rsid w:val="0030278D"/>
    <w:rsid w:val="00302FF5"/>
    <w:rsid w:val="003031F3"/>
    <w:rsid w:val="003032E0"/>
    <w:rsid w:val="00303342"/>
    <w:rsid w:val="00304B27"/>
    <w:rsid w:val="0030761A"/>
    <w:rsid w:val="00312F5D"/>
    <w:rsid w:val="00313956"/>
    <w:rsid w:val="00315E14"/>
    <w:rsid w:val="00316EAA"/>
    <w:rsid w:val="00317980"/>
    <w:rsid w:val="00320860"/>
    <w:rsid w:val="00324E8D"/>
    <w:rsid w:val="00325E9D"/>
    <w:rsid w:val="0032634B"/>
    <w:rsid w:val="00327CE2"/>
    <w:rsid w:val="00330900"/>
    <w:rsid w:val="003318B5"/>
    <w:rsid w:val="00331C62"/>
    <w:rsid w:val="00335E22"/>
    <w:rsid w:val="00342756"/>
    <w:rsid w:val="003438E5"/>
    <w:rsid w:val="0034587C"/>
    <w:rsid w:val="00347438"/>
    <w:rsid w:val="00347A60"/>
    <w:rsid w:val="003547C3"/>
    <w:rsid w:val="00357197"/>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97368"/>
    <w:rsid w:val="003A2112"/>
    <w:rsid w:val="003A2752"/>
    <w:rsid w:val="003A305D"/>
    <w:rsid w:val="003B023D"/>
    <w:rsid w:val="003B0A5B"/>
    <w:rsid w:val="003B1773"/>
    <w:rsid w:val="003B24FE"/>
    <w:rsid w:val="003B2689"/>
    <w:rsid w:val="003B2983"/>
    <w:rsid w:val="003B7827"/>
    <w:rsid w:val="003C1B14"/>
    <w:rsid w:val="003C1D06"/>
    <w:rsid w:val="003C1F66"/>
    <w:rsid w:val="003C2151"/>
    <w:rsid w:val="003C6FE1"/>
    <w:rsid w:val="003D4A18"/>
    <w:rsid w:val="003D4C7A"/>
    <w:rsid w:val="003D51C4"/>
    <w:rsid w:val="003D5B44"/>
    <w:rsid w:val="003D6337"/>
    <w:rsid w:val="003E2507"/>
    <w:rsid w:val="003E2D68"/>
    <w:rsid w:val="003E3EED"/>
    <w:rsid w:val="003E5F4D"/>
    <w:rsid w:val="003E6E93"/>
    <w:rsid w:val="003F12A9"/>
    <w:rsid w:val="003F12D3"/>
    <w:rsid w:val="003F1F3D"/>
    <w:rsid w:val="003F4783"/>
    <w:rsid w:val="003F7EDE"/>
    <w:rsid w:val="00404533"/>
    <w:rsid w:val="004065DF"/>
    <w:rsid w:val="00412BB4"/>
    <w:rsid w:val="00413808"/>
    <w:rsid w:val="00413877"/>
    <w:rsid w:val="00413D20"/>
    <w:rsid w:val="004158AD"/>
    <w:rsid w:val="0041639D"/>
    <w:rsid w:val="00420020"/>
    <w:rsid w:val="00420CF7"/>
    <w:rsid w:val="0042598D"/>
    <w:rsid w:val="004260F1"/>
    <w:rsid w:val="004329E2"/>
    <w:rsid w:val="004342DB"/>
    <w:rsid w:val="004346F6"/>
    <w:rsid w:val="004367BD"/>
    <w:rsid w:val="0044336E"/>
    <w:rsid w:val="004455D3"/>
    <w:rsid w:val="00447B5E"/>
    <w:rsid w:val="00452B12"/>
    <w:rsid w:val="004537C7"/>
    <w:rsid w:val="0045506E"/>
    <w:rsid w:val="004554B8"/>
    <w:rsid w:val="00455672"/>
    <w:rsid w:val="00456410"/>
    <w:rsid w:val="00463333"/>
    <w:rsid w:val="00463881"/>
    <w:rsid w:val="004661EE"/>
    <w:rsid w:val="00470B0D"/>
    <w:rsid w:val="00470D47"/>
    <w:rsid w:val="0047332E"/>
    <w:rsid w:val="004752F4"/>
    <w:rsid w:val="004776AF"/>
    <w:rsid w:val="00477DCD"/>
    <w:rsid w:val="004826D1"/>
    <w:rsid w:val="00483465"/>
    <w:rsid w:val="0048635C"/>
    <w:rsid w:val="0048715B"/>
    <w:rsid w:val="00487C30"/>
    <w:rsid w:val="00491E3A"/>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C77DA"/>
    <w:rsid w:val="004D2236"/>
    <w:rsid w:val="004D2E19"/>
    <w:rsid w:val="004D3A51"/>
    <w:rsid w:val="004D5A9B"/>
    <w:rsid w:val="004D6743"/>
    <w:rsid w:val="004E0F9F"/>
    <w:rsid w:val="004E1825"/>
    <w:rsid w:val="004E7220"/>
    <w:rsid w:val="004F5989"/>
    <w:rsid w:val="005008D6"/>
    <w:rsid w:val="00500FE2"/>
    <w:rsid w:val="0050238D"/>
    <w:rsid w:val="00505576"/>
    <w:rsid w:val="00506924"/>
    <w:rsid w:val="005164B8"/>
    <w:rsid w:val="0052204B"/>
    <w:rsid w:val="0052643A"/>
    <w:rsid w:val="00526690"/>
    <w:rsid w:val="00530912"/>
    <w:rsid w:val="00531F4D"/>
    <w:rsid w:val="00532569"/>
    <w:rsid w:val="00543EFD"/>
    <w:rsid w:val="00546120"/>
    <w:rsid w:val="005475CC"/>
    <w:rsid w:val="005534FD"/>
    <w:rsid w:val="00554CBD"/>
    <w:rsid w:val="0055533A"/>
    <w:rsid w:val="00555B9F"/>
    <w:rsid w:val="00561024"/>
    <w:rsid w:val="005647D9"/>
    <w:rsid w:val="00564ABE"/>
    <w:rsid w:val="00564E8F"/>
    <w:rsid w:val="00565A22"/>
    <w:rsid w:val="0057194E"/>
    <w:rsid w:val="005750BD"/>
    <w:rsid w:val="0057579F"/>
    <w:rsid w:val="00575DC8"/>
    <w:rsid w:val="005826E2"/>
    <w:rsid w:val="00582DEA"/>
    <w:rsid w:val="005850CB"/>
    <w:rsid w:val="005854FE"/>
    <w:rsid w:val="005858DF"/>
    <w:rsid w:val="0059249B"/>
    <w:rsid w:val="005969C6"/>
    <w:rsid w:val="00597480"/>
    <w:rsid w:val="005A0EFF"/>
    <w:rsid w:val="005A70CB"/>
    <w:rsid w:val="005B0A34"/>
    <w:rsid w:val="005B20CC"/>
    <w:rsid w:val="005B2EF0"/>
    <w:rsid w:val="005B4256"/>
    <w:rsid w:val="005B4433"/>
    <w:rsid w:val="005B4BE5"/>
    <w:rsid w:val="005B4C2B"/>
    <w:rsid w:val="005B5825"/>
    <w:rsid w:val="005B773F"/>
    <w:rsid w:val="005B7E88"/>
    <w:rsid w:val="005C2A23"/>
    <w:rsid w:val="005C2E66"/>
    <w:rsid w:val="005C7BBC"/>
    <w:rsid w:val="005D04F5"/>
    <w:rsid w:val="005D2042"/>
    <w:rsid w:val="005D34D0"/>
    <w:rsid w:val="005D4EB3"/>
    <w:rsid w:val="005D6F70"/>
    <w:rsid w:val="005E01F2"/>
    <w:rsid w:val="005E0CBA"/>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C5F"/>
    <w:rsid w:val="0064326B"/>
    <w:rsid w:val="00643DD9"/>
    <w:rsid w:val="00646537"/>
    <w:rsid w:val="00646BF4"/>
    <w:rsid w:val="00652BC7"/>
    <w:rsid w:val="00653E57"/>
    <w:rsid w:val="00655E99"/>
    <w:rsid w:val="0065644F"/>
    <w:rsid w:val="006578E0"/>
    <w:rsid w:val="00662200"/>
    <w:rsid w:val="0066356A"/>
    <w:rsid w:val="0066595E"/>
    <w:rsid w:val="00667F65"/>
    <w:rsid w:val="00675D90"/>
    <w:rsid w:val="00677782"/>
    <w:rsid w:val="00680056"/>
    <w:rsid w:val="00680D5A"/>
    <w:rsid w:val="006868D6"/>
    <w:rsid w:val="00687E3C"/>
    <w:rsid w:val="00692485"/>
    <w:rsid w:val="006938BD"/>
    <w:rsid w:val="00694993"/>
    <w:rsid w:val="00694CD1"/>
    <w:rsid w:val="0069543D"/>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D034B"/>
    <w:rsid w:val="006D0C96"/>
    <w:rsid w:val="006D2394"/>
    <w:rsid w:val="006D591E"/>
    <w:rsid w:val="006D59A2"/>
    <w:rsid w:val="006D7B38"/>
    <w:rsid w:val="006E3055"/>
    <w:rsid w:val="006E3AC8"/>
    <w:rsid w:val="006F1102"/>
    <w:rsid w:val="006F1C5C"/>
    <w:rsid w:val="006F5931"/>
    <w:rsid w:val="006F5DA1"/>
    <w:rsid w:val="006F65D3"/>
    <w:rsid w:val="00700A14"/>
    <w:rsid w:val="00700DF8"/>
    <w:rsid w:val="007127E5"/>
    <w:rsid w:val="00716C8F"/>
    <w:rsid w:val="00723545"/>
    <w:rsid w:val="00725E31"/>
    <w:rsid w:val="00732F11"/>
    <w:rsid w:val="007331DC"/>
    <w:rsid w:val="007350FB"/>
    <w:rsid w:val="00735606"/>
    <w:rsid w:val="00735891"/>
    <w:rsid w:val="007410C4"/>
    <w:rsid w:val="00741726"/>
    <w:rsid w:val="00746B73"/>
    <w:rsid w:val="00746FCB"/>
    <w:rsid w:val="00751CA6"/>
    <w:rsid w:val="00760DC3"/>
    <w:rsid w:val="00760DD1"/>
    <w:rsid w:val="0076119D"/>
    <w:rsid w:val="00764265"/>
    <w:rsid w:val="00766183"/>
    <w:rsid w:val="00766A8E"/>
    <w:rsid w:val="007734FA"/>
    <w:rsid w:val="007743E2"/>
    <w:rsid w:val="00776581"/>
    <w:rsid w:val="007813E4"/>
    <w:rsid w:val="00781728"/>
    <w:rsid w:val="0078296F"/>
    <w:rsid w:val="00783386"/>
    <w:rsid w:val="00783AD1"/>
    <w:rsid w:val="00784111"/>
    <w:rsid w:val="00784471"/>
    <w:rsid w:val="00790B81"/>
    <w:rsid w:val="00792BA3"/>
    <w:rsid w:val="00792DA2"/>
    <w:rsid w:val="00792E37"/>
    <w:rsid w:val="007A19CA"/>
    <w:rsid w:val="007A228E"/>
    <w:rsid w:val="007A675C"/>
    <w:rsid w:val="007B0144"/>
    <w:rsid w:val="007B1410"/>
    <w:rsid w:val="007B6A5F"/>
    <w:rsid w:val="007C07F5"/>
    <w:rsid w:val="007C23B8"/>
    <w:rsid w:val="007C293D"/>
    <w:rsid w:val="007C7B66"/>
    <w:rsid w:val="007D1719"/>
    <w:rsid w:val="007D2788"/>
    <w:rsid w:val="007D3904"/>
    <w:rsid w:val="007D50EF"/>
    <w:rsid w:val="007E31EA"/>
    <w:rsid w:val="007E41B8"/>
    <w:rsid w:val="007E6B83"/>
    <w:rsid w:val="007E7719"/>
    <w:rsid w:val="007E7C11"/>
    <w:rsid w:val="007F063B"/>
    <w:rsid w:val="007F3E4C"/>
    <w:rsid w:val="008013B3"/>
    <w:rsid w:val="00805019"/>
    <w:rsid w:val="0080759F"/>
    <w:rsid w:val="00812BB1"/>
    <w:rsid w:val="00813867"/>
    <w:rsid w:val="008143AB"/>
    <w:rsid w:val="00816AE2"/>
    <w:rsid w:val="008172AE"/>
    <w:rsid w:val="00824D7A"/>
    <w:rsid w:val="00826B64"/>
    <w:rsid w:val="008331D5"/>
    <w:rsid w:val="008341B8"/>
    <w:rsid w:val="00840A6F"/>
    <w:rsid w:val="00840BF5"/>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4CE"/>
    <w:rsid w:val="00894626"/>
    <w:rsid w:val="0089474A"/>
    <w:rsid w:val="008958DD"/>
    <w:rsid w:val="00895C3B"/>
    <w:rsid w:val="00895F92"/>
    <w:rsid w:val="008A1FF1"/>
    <w:rsid w:val="008A2B82"/>
    <w:rsid w:val="008A38AD"/>
    <w:rsid w:val="008A5BB3"/>
    <w:rsid w:val="008A6CB6"/>
    <w:rsid w:val="008A7019"/>
    <w:rsid w:val="008B1033"/>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DD5"/>
    <w:rsid w:val="008D0094"/>
    <w:rsid w:val="008D01DA"/>
    <w:rsid w:val="008D1041"/>
    <w:rsid w:val="008D1492"/>
    <w:rsid w:val="008D1E7A"/>
    <w:rsid w:val="008D2083"/>
    <w:rsid w:val="008D5107"/>
    <w:rsid w:val="008D5C57"/>
    <w:rsid w:val="008D627B"/>
    <w:rsid w:val="008D70A5"/>
    <w:rsid w:val="008D7663"/>
    <w:rsid w:val="008E2EA3"/>
    <w:rsid w:val="008E3561"/>
    <w:rsid w:val="008E54B8"/>
    <w:rsid w:val="008E5561"/>
    <w:rsid w:val="008E6B09"/>
    <w:rsid w:val="008E763A"/>
    <w:rsid w:val="008F1384"/>
    <w:rsid w:val="008F24EB"/>
    <w:rsid w:val="008F2E44"/>
    <w:rsid w:val="008F3A9B"/>
    <w:rsid w:val="008F7BD8"/>
    <w:rsid w:val="00901F61"/>
    <w:rsid w:val="009033DA"/>
    <w:rsid w:val="0091084F"/>
    <w:rsid w:val="00910D0C"/>
    <w:rsid w:val="00911C10"/>
    <w:rsid w:val="00912119"/>
    <w:rsid w:val="00916994"/>
    <w:rsid w:val="00920158"/>
    <w:rsid w:val="00926F2E"/>
    <w:rsid w:val="0093170F"/>
    <w:rsid w:val="009322A3"/>
    <w:rsid w:val="00932AAE"/>
    <w:rsid w:val="00932F14"/>
    <w:rsid w:val="00933DDB"/>
    <w:rsid w:val="00933FB3"/>
    <w:rsid w:val="0093452A"/>
    <w:rsid w:val="00934AB7"/>
    <w:rsid w:val="009413F0"/>
    <w:rsid w:val="009414E9"/>
    <w:rsid w:val="00941953"/>
    <w:rsid w:val="00942063"/>
    <w:rsid w:val="00942821"/>
    <w:rsid w:val="009447E0"/>
    <w:rsid w:val="00944E19"/>
    <w:rsid w:val="00944EFF"/>
    <w:rsid w:val="0094758F"/>
    <w:rsid w:val="00950671"/>
    <w:rsid w:val="00951B93"/>
    <w:rsid w:val="00953964"/>
    <w:rsid w:val="00954B12"/>
    <w:rsid w:val="009561F5"/>
    <w:rsid w:val="009576F1"/>
    <w:rsid w:val="00961CB7"/>
    <w:rsid w:val="0096609A"/>
    <w:rsid w:val="00966AEF"/>
    <w:rsid w:val="00971E77"/>
    <w:rsid w:val="0098148C"/>
    <w:rsid w:val="00982C7B"/>
    <w:rsid w:val="0098398C"/>
    <w:rsid w:val="00986367"/>
    <w:rsid w:val="00987E15"/>
    <w:rsid w:val="00990C50"/>
    <w:rsid w:val="009911B0"/>
    <w:rsid w:val="00995028"/>
    <w:rsid w:val="009A0AC8"/>
    <w:rsid w:val="009A3C5E"/>
    <w:rsid w:val="009A56DD"/>
    <w:rsid w:val="009B11AE"/>
    <w:rsid w:val="009B2788"/>
    <w:rsid w:val="009B2B00"/>
    <w:rsid w:val="009B41CB"/>
    <w:rsid w:val="009B47D9"/>
    <w:rsid w:val="009B5A71"/>
    <w:rsid w:val="009B5B34"/>
    <w:rsid w:val="009B6311"/>
    <w:rsid w:val="009C01D3"/>
    <w:rsid w:val="009C35B5"/>
    <w:rsid w:val="009C56F7"/>
    <w:rsid w:val="009C666D"/>
    <w:rsid w:val="009C68BE"/>
    <w:rsid w:val="009C6F5C"/>
    <w:rsid w:val="009D6F50"/>
    <w:rsid w:val="009D76B9"/>
    <w:rsid w:val="009D77C4"/>
    <w:rsid w:val="009E4022"/>
    <w:rsid w:val="009E7621"/>
    <w:rsid w:val="009E776B"/>
    <w:rsid w:val="009F1C8E"/>
    <w:rsid w:val="009F2900"/>
    <w:rsid w:val="009F45D2"/>
    <w:rsid w:val="009F5941"/>
    <w:rsid w:val="009F69A3"/>
    <w:rsid w:val="009F69C0"/>
    <w:rsid w:val="009F6CB1"/>
    <w:rsid w:val="009F774B"/>
    <w:rsid w:val="00A00279"/>
    <w:rsid w:val="00A00DCF"/>
    <w:rsid w:val="00A02D73"/>
    <w:rsid w:val="00A04410"/>
    <w:rsid w:val="00A06D6D"/>
    <w:rsid w:val="00A100C2"/>
    <w:rsid w:val="00A10F41"/>
    <w:rsid w:val="00A20BEE"/>
    <w:rsid w:val="00A22C29"/>
    <w:rsid w:val="00A31821"/>
    <w:rsid w:val="00A415BA"/>
    <w:rsid w:val="00A44A11"/>
    <w:rsid w:val="00A44A32"/>
    <w:rsid w:val="00A45B9F"/>
    <w:rsid w:val="00A4668C"/>
    <w:rsid w:val="00A474D6"/>
    <w:rsid w:val="00A512C8"/>
    <w:rsid w:val="00A54113"/>
    <w:rsid w:val="00A54638"/>
    <w:rsid w:val="00A54F7D"/>
    <w:rsid w:val="00A5705E"/>
    <w:rsid w:val="00A60354"/>
    <w:rsid w:val="00A61076"/>
    <w:rsid w:val="00A629BB"/>
    <w:rsid w:val="00A64692"/>
    <w:rsid w:val="00A64A1F"/>
    <w:rsid w:val="00A656A0"/>
    <w:rsid w:val="00A66A2F"/>
    <w:rsid w:val="00A6753F"/>
    <w:rsid w:val="00A70E73"/>
    <w:rsid w:val="00A71EB3"/>
    <w:rsid w:val="00A74E52"/>
    <w:rsid w:val="00A75478"/>
    <w:rsid w:val="00A812E2"/>
    <w:rsid w:val="00A815D2"/>
    <w:rsid w:val="00A81A13"/>
    <w:rsid w:val="00A852CB"/>
    <w:rsid w:val="00A94CF4"/>
    <w:rsid w:val="00A95FA0"/>
    <w:rsid w:val="00A963D1"/>
    <w:rsid w:val="00A9668F"/>
    <w:rsid w:val="00A979FF"/>
    <w:rsid w:val="00AA1E86"/>
    <w:rsid w:val="00AA3202"/>
    <w:rsid w:val="00AA5BE0"/>
    <w:rsid w:val="00AB144B"/>
    <w:rsid w:val="00AB2E62"/>
    <w:rsid w:val="00AB66F7"/>
    <w:rsid w:val="00AB73C6"/>
    <w:rsid w:val="00AC2BF6"/>
    <w:rsid w:val="00AC7BEB"/>
    <w:rsid w:val="00AD0601"/>
    <w:rsid w:val="00AD1B4D"/>
    <w:rsid w:val="00AD22D4"/>
    <w:rsid w:val="00AD241A"/>
    <w:rsid w:val="00AD27D1"/>
    <w:rsid w:val="00AD60A3"/>
    <w:rsid w:val="00AD67C6"/>
    <w:rsid w:val="00AD738D"/>
    <w:rsid w:val="00AD7613"/>
    <w:rsid w:val="00AD7CEF"/>
    <w:rsid w:val="00AE2F5C"/>
    <w:rsid w:val="00AE32D4"/>
    <w:rsid w:val="00AE66E1"/>
    <w:rsid w:val="00AE77B6"/>
    <w:rsid w:val="00AF0F90"/>
    <w:rsid w:val="00AF21FD"/>
    <w:rsid w:val="00AF263F"/>
    <w:rsid w:val="00AF2AAE"/>
    <w:rsid w:val="00AF34DF"/>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50DC"/>
    <w:rsid w:val="00B5523E"/>
    <w:rsid w:val="00B56F14"/>
    <w:rsid w:val="00B57FA1"/>
    <w:rsid w:val="00B600D5"/>
    <w:rsid w:val="00B60D55"/>
    <w:rsid w:val="00B64E35"/>
    <w:rsid w:val="00B66120"/>
    <w:rsid w:val="00B70A30"/>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2C22"/>
    <w:rsid w:val="00BB7B2D"/>
    <w:rsid w:val="00BC16E1"/>
    <w:rsid w:val="00BC1CB2"/>
    <w:rsid w:val="00BC2424"/>
    <w:rsid w:val="00BC27DF"/>
    <w:rsid w:val="00BD2F49"/>
    <w:rsid w:val="00BD481D"/>
    <w:rsid w:val="00BD601E"/>
    <w:rsid w:val="00BE0E9D"/>
    <w:rsid w:val="00BE3EDC"/>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5EB"/>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8068F"/>
    <w:rsid w:val="00C81BD6"/>
    <w:rsid w:val="00C82676"/>
    <w:rsid w:val="00C82B77"/>
    <w:rsid w:val="00C83D93"/>
    <w:rsid w:val="00C85883"/>
    <w:rsid w:val="00C8738D"/>
    <w:rsid w:val="00C96A3D"/>
    <w:rsid w:val="00CA00C9"/>
    <w:rsid w:val="00CA72D8"/>
    <w:rsid w:val="00CB2160"/>
    <w:rsid w:val="00CB255E"/>
    <w:rsid w:val="00CB4A9A"/>
    <w:rsid w:val="00CB6AEB"/>
    <w:rsid w:val="00CC4555"/>
    <w:rsid w:val="00CC49D9"/>
    <w:rsid w:val="00CC61E3"/>
    <w:rsid w:val="00CD128B"/>
    <w:rsid w:val="00CD1D73"/>
    <w:rsid w:val="00CD7E69"/>
    <w:rsid w:val="00CE2FB4"/>
    <w:rsid w:val="00CE5E6E"/>
    <w:rsid w:val="00CE63F0"/>
    <w:rsid w:val="00CE7A74"/>
    <w:rsid w:val="00CE7F7F"/>
    <w:rsid w:val="00CF25F4"/>
    <w:rsid w:val="00CF339B"/>
    <w:rsid w:val="00CF3853"/>
    <w:rsid w:val="00CF7911"/>
    <w:rsid w:val="00D01ABD"/>
    <w:rsid w:val="00D02265"/>
    <w:rsid w:val="00D022C3"/>
    <w:rsid w:val="00D02DF0"/>
    <w:rsid w:val="00D06686"/>
    <w:rsid w:val="00D1044F"/>
    <w:rsid w:val="00D139C4"/>
    <w:rsid w:val="00D13AC3"/>
    <w:rsid w:val="00D15F24"/>
    <w:rsid w:val="00D16A7F"/>
    <w:rsid w:val="00D17D82"/>
    <w:rsid w:val="00D22C4F"/>
    <w:rsid w:val="00D253A8"/>
    <w:rsid w:val="00D25FD3"/>
    <w:rsid w:val="00D30FE0"/>
    <w:rsid w:val="00D32702"/>
    <w:rsid w:val="00D3342F"/>
    <w:rsid w:val="00D35229"/>
    <w:rsid w:val="00D36F22"/>
    <w:rsid w:val="00D425F0"/>
    <w:rsid w:val="00D43AAC"/>
    <w:rsid w:val="00D51E0F"/>
    <w:rsid w:val="00D53711"/>
    <w:rsid w:val="00D53C91"/>
    <w:rsid w:val="00D563D1"/>
    <w:rsid w:val="00D6078F"/>
    <w:rsid w:val="00D60FA9"/>
    <w:rsid w:val="00D63646"/>
    <w:rsid w:val="00D66836"/>
    <w:rsid w:val="00D67A95"/>
    <w:rsid w:val="00D73744"/>
    <w:rsid w:val="00D77139"/>
    <w:rsid w:val="00D81A34"/>
    <w:rsid w:val="00D81F08"/>
    <w:rsid w:val="00D825E3"/>
    <w:rsid w:val="00D86BE7"/>
    <w:rsid w:val="00D922BB"/>
    <w:rsid w:val="00D930B6"/>
    <w:rsid w:val="00D939E7"/>
    <w:rsid w:val="00D93E61"/>
    <w:rsid w:val="00D969BA"/>
    <w:rsid w:val="00DA2A3B"/>
    <w:rsid w:val="00DA68B3"/>
    <w:rsid w:val="00DA6B0B"/>
    <w:rsid w:val="00DB5835"/>
    <w:rsid w:val="00DB662B"/>
    <w:rsid w:val="00DB749E"/>
    <w:rsid w:val="00DC4E81"/>
    <w:rsid w:val="00DC5A7F"/>
    <w:rsid w:val="00DD22C6"/>
    <w:rsid w:val="00DD5C37"/>
    <w:rsid w:val="00DD66AC"/>
    <w:rsid w:val="00DD7367"/>
    <w:rsid w:val="00DE0F6A"/>
    <w:rsid w:val="00DE4056"/>
    <w:rsid w:val="00DE4505"/>
    <w:rsid w:val="00DE4FA9"/>
    <w:rsid w:val="00DE726B"/>
    <w:rsid w:val="00DE74F4"/>
    <w:rsid w:val="00DF15E5"/>
    <w:rsid w:val="00DF1D18"/>
    <w:rsid w:val="00DF53A2"/>
    <w:rsid w:val="00DF6061"/>
    <w:rsid w:val="00DF6D74"/>
    <w:rsid w:val="00E02368"/>
    <w:rsid w:val="00E033D0"/>
    <w:rsid w:val="00E0671C"/>
    <w:rsid w:val="00E12E6E"/>
    <w:rsid w:val="00E138D9"/>
    <w:rsid w:val="00E17F83"/>
    <w:rsid w:val="00E20380"/>
    <w:rsid w:val="00E207EC"/>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D81"/>
    <w:rsid w:val="00E57405"/>
    <w:rsid w:val="00E60A06"/>
    <w:rsid w:val="00E6149C"/>
    <w:rsid w:val="00E6394B"/>
    <w:rsid w:val="00E64066"/>
    <w:rsid w:val="00E71977"/>
    <w:rsid w:val="00E7263D"/>
    <w:rsid w:val="00E748D0"/>
    <w:rsid w:val="00E7681F"/>
    <w:rsid w:val="00E77F5E"/>
    <w:rsid w:val="00E8000F"/>
    <w:rsid w:val="00E815A3"/>
    <w:rsid w:val="00E8254C"/>
    <w:rsid w:val="00E82A69"/>
    <w:rsid w:val="00E83FBA"/>
    <w:rsid w:val="00E845FE"/>
    <w:rsid w:val="00E90F1E"/>
    <w:rsid w:val="00E916BD"/>
    <w:rsid w:val="00E9326A"/>
    <w:rsid w:val="00E93562"/>
    <w:rsid w:val="00E93C42"/>
    <w:rsid w:val="00E95F4F"/>
    <w:rsid w:val="00E966E1"/>
    <w:rsid w:val="00EA0219"/>
    <w:rsid w:val="00EA12C6"/>
    <w:rsid w:val="00EB04B0"/>
    <w:rsid w:val="00EB185A"/>
    <w:rsid w:val="00EB5664"/>
    <w:rsid w:val="00EB792F"/>
    <w:rsid w:val="00EC00E0"/>
    <w:rsid w:val="00EC10D9"/>
    <w:rsid w:val="00EC1B30"/>
    <w:rsid w:val="00EC342E"/>
    <w:rsid w:val="00EC373C"/>
    <w:rsid w:val="00EC4327"/>
    <w:rsid w:val="00ED0C24"/>
    <w:rsid w:val="00ED111C"/>
    <w:rsid w:val="00ED1476"/>
    <w:rsid w:val="00ED16C0"/>
    <w:rsid w:val="00EE1805"/>
    <w:rsid w:val="00EE2AC6"/>
    <w:rsid w:val="00EE3F0B"/>
    <w:rsid w:val="00EE610B"/>
    <w:rsid w:val="00EF156F"/>
    <w:rsid w:val="00EF20EE"/>
    <w:rsid w:val="00EF48D2"/>
    <w:rsid w:val="00EF52CC"/>
    <w:rsid w:val="00EF6FF8"/>
    <w:rsid w:val="00EF7506"/>
    <w:rsid w:val="00F02703"/>
    <w:rsid w:val="00F075B3"/>
    <w:rsid w:val="00F11251"/>
    <w:rsid w:val="00F11866"/>
    <w:rsid w:val="00F131F4"/>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5F9"/>
    <w:rsid w:val="00F57CCE"/>
    <w:rsid w:val="00F65165"/>
    <w:rsid w:val="00F66457"/>
    <w:rsid w:val="00F664B9"/>
    <w:rsid w:val="00F70FDC"/>
    <w:rsid w:val="00F718AA"/>
    <w:rsid w:val="00F721FF"/>
    <w:rsid w:val="00F7603A"/>
    <w:rsid w:val="00F8043F"/>
    <w:rsid w:val="00F833FF"/>
    <w:rsid w:val="00F86F59"/>
    <w:rsid w:val="00F90023"/>
    <w:rsid w:val="00F91BFB"/>
    <w:rsid w:val="00F91D55"/>
    <w:rsid w:val="00F92764"/>
    <w:rsid w:val="00F92909"/>
    <w:rsid w:val="00F95C56"/>
    <w:rsid w:val="00F96207"/>
    <w:rsid w:val="00FA2A7F"/>
    <w:rsid w:val="00FA3CD5"/>
    <w:rsid w:val="00FA5667"/>
    <w:rsid w:val="00FA648A"/>
    <w:rsid w:val="00FA69D6"/>
    <w:rsid w:val="00FA7048"/>
    <w:rsid w:val="00FA77B0"/>
    <w:rsid w:val="00FB056B"/>
    <w:rsid w:val="00FB6C7E"/>
    <w:rsid w:val="00FB7B43"/>
    <w:rsid w:val="00FC1FFB"/>
    <w:rsid w:val="00FC64A9"/>
    <w:rsid w:val="00FD3058"/>
    <w:rsid w:val="00FD32B4"/>
    <w:rsid w:val="00FD6C8D"/>
    <w:rsid w:val="00FD6EC7"/>
    <w:rsid w:val="00FE1908"/>
    <w:rsid w:val="00FE24B0"/>
    <w:rsid w:val="00FF2C38"/>
    <w:rsid w:val="00FF397D"/>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
    <w:basedOn w:val="Normal"/>
    <w:next w:val="Normal"/>
    <w:link w:val="Ttulo1Car"/>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basedOn w:val="Normal"/>
    <w:next w:val="Normal"/>
    <w:qFormat/>
    <w:rsid w:val="00A70E73"/>
    <w:pPr>
      <w:keepNext/>
      <w:spacing w:before="240" w:after="60"/>
      <w:outlineLvl w:val="3"/>
    </w:pPr>
    <w:rPr>
      <w:b/>
      <w:bCs/>
      <w:sz w:val="28"/>
      <w:szCs w:val="28"/>
      <w:lang w:val="es-ES_tradnl"/>
    </w:rPr>
  </w:style>
  <w:style w:type="paragraph" w:styleId="Ttulo5">
    <w:name w:val="heading 5"/>
    <w:basedOn w:val="Normal"/>
    <w:next w:val="Normal"/>
    <w:qFormat/>
    <w:rsid w:val="00A70E73"/>
    <w:pPr>
      <w:spacing w:before="360" w:after="240" w:line="480" w:lineRule="auto"/>
      <w:jc w:val="center"/>
      <w:outlineLvl w:val="4"/>
    </w:pPr>
    <w:rPr>
      <w:b/>
      <w:bCs/>
      <w:iCs/>
      <w:sz w:val="44"/>
      <w:szCs w:val="26"/>
      <w:u w:val="single"/>
      <w:lang w:val="es-ES_tradnl"/>
    </w:rPr>
  </w:style>
  <w:style w:type="paragraph" w:styleId="Ttulo6">
    <w:name w:val="heading 6"/>
    <w:basedOn w:val="Normal"/>
    <w:next w:val="Normal"/>
    <w:qFormat/>
    <w:rsid w:val="00A70E73"/>
    <w:pPr>
      <w:spacing w:before="240" w:after="60"/>
      <w:outlineLvl w:val="5"/>
    </w:pPr>
    <w:rPr>
      <w:b/>
      <w:bCs/>
      <w:sz w:val="22"/>
      <w:szCs w:val="22"/>
    </w:rPr>
  </w:style>
  <w:style w:type="paragraph" w:styleId="Ttulo7">
    <w:name w:val="heading 7"/>
    <w:basedOn w:val="Normal"/>
    <w:next w:val="Normal"/>
    <w:link w:val="Ttulo7Car1"/>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
    <w:link w:val="Ttulo1"/>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semiHidden/>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
    <w:link w:val="Ttulo2"/>
    <w:rsid w:val="00A70E73"/>
    <w:rPr>
      <w:rFonts w:ascii="Arial" w:hAnsi="Arial" w:cs="Arial"/>
      <w:b/>
      <w:bCs/>
      <w:i/>
      <w:iCs/>
      <w:sz w:val="28"/>
      <w:szCs w:val="28"/>
      <w:lang w:val="es-ES" w:eastAsia="ar-SA" w:bidi="ar-SA"/>
    </w:rPr>
  </w:style>
  <w:style w:type="character" w:customStyle="1" w:styleId="Ttulo3Car">
    <w:name w:val="Título 3 Car"/>
    <w:link w:val="Ttulo3"/>
    <w:rsid w:val="00A70E73"/>
    <w:rPr>
      <w:rFonts w:cs="Arial"/>
      <w:b/>
      <w:bCs/>
      <w:sz w:val="28"/>
      <w:szCs w:val="26"/>
      <w:lang w:val="es-ES_tradnl" w:eastAsia="ar-SA" w:bidi="ar-SA"/>
    </w:rPr>
  </w:style>
  <w:style w:type="character" w:customStyle="1" w:styleId="Ttulo7Car1">
    <w:name w:val="Título 7 Car1"/>
    <w:link w:val="Ttulo7"/>
    <w:semiHidden/>
    <w:rsid w:val="00A70E73"/>
    <w:rPr>
      <w:rFonts w:ascii="Arial" w:hAnsi="Arial"/>
      <w:b/>
      <w:bCs/>
      <w:sz w:val="24"/>
      <w:szCs w:val="24"/>
      <w:u w:val="single"/>
      <w:shd w:val="clear" w:color="auto" w:fill="FFFFFF"/>
      <w:lang w:val="es-ES" w:eastAsia="ar-SA" w:bidi="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rsid w:val="000E3584"/>
  </w:style>
  <w:style w:type="character" w:customStyle="1" w:styleId="WW-Absatz-Standardschriftart">
    <w:name w:val="WW-Absatz-Standardschriftart"/>
    <w:rsid w:val="000E3584"/>
  </w:style>
  <w:style w:type="character" w:customStyle="1" w:styleId="WW-Absatz-Standardschriftart1">
    <w:name w:val="WW-Absatz-Standardschriftart1"/>
    <w:rsid w:val="000E3584"/>
  </w:style>
  <w:style w:type="character" w:customStyle="1" w:styleId="WW-Absatz-Standardschriftart11">
    <w:name w:val="WW-Absatz-Standardschriftart11"/>
    <w:rsid w:val="000E3584"/>
  </w:style>
  <w:style w:type="character" w:customStyle="1" w:styleId="WW-Absatz-Standardschriftart111">
    <w:name w:val="WW-Absatz-Standardschriftart111"/>
    <w:rsid w:val="000E3584"/>
  </w:style>
  <w:style w:type="character" w:customStyle="1" w:styleId="WW-Absatz-Standardschriftart1111">
    <w:name w:val="WW-Absatz-Standardschriftart1111"/>
    <w:rsid w:val="000E3584"/>
  </w:style>
  <w:style w:type="character" w:customStyle="1" w:styleId="WW-Absatz-Standardschriftart11111">
    <w:name w:val="WW-Absatz-Standardschriftart11111"/>
    <w:rsid w:val="000E3584"/>
  </w:style>
  <w:style w:type="character" w:customStyle="1" w:styleId="WW-Absatz-Standardschriftart111111">
    <w:name w:val="WW-Absatz-Standardschriftart111111"/>
    <w:rsid w:val="000E3584"/>
  </w:style>
  <w:style w:type="character" w:customStyle="1" w:styleId="WW-Absatz-Standardschriftart1111111">
    <w:name w:val="WW-Absatz-Standardschriftart1111111"/>
    <w:rsid w:val="000E3584"/>
  </w:style>
  <w:style w:type="character" w:customStyle="1" w:styleId="WW-Absatz-Standardschriftart11111111">
    <w:name w:val="WW-Absatz-Standardschriftart11111111"/>
    <w:rsid w:val="000E3584"/>
  </w:style>
  <w:style w:type="character" w:customStyle="1" w:styleId="WW-Absatz-Standardschriftart111111111">
    <w:name w:val="WW-Absatz-Standardschriftart111111111"/>
    <w:rsid w:val="000E3584"/>
  </w:style>
  <w:style w:type="character" w:customStyle="1" w:styleId="WW-Absatz-Standardschriftart1111111111">
    <w:name w:val="WW-Absatz-Standardschriftart1111111111"/>
    <w:rsid w:val="000E3584"/>
  </w:style>
  <w:style w:type="character" w:customStyle="1" w:styleId="WW-Absatz-Standardschriftart11111111111">
    <w:name w:val="WW-Absatz-Standardschriftart11111111111"/>
    <w:rsid w:val="000E3584"/>
  </w:style>
  <w:style w:type="character" w:customStyle="1" w:styleId="WW-Absatz-Standardschriftart111111111111">
    <w:name w:val="WW-Absatz-Standardschriftart111111111111"/>
    <w:rsid w:val="000E3584"/>
  </w:style>
  <w:style w:type="character" w:customStyle="1" w:styleId="WW-Absatz-Standardschriftart1111111111111">
    <w:name w:val="WW-Absatz-Standardschriftart1111111111111"/>
    <w:rsid w:val="000E3584"/>
  </w:style>
  <w:style w:type="character" w:customStyle="1" w:styleId="WW-Absatz-Standardschriftart11111111111111">
    <w:name w:val="WW-Absatz-Standardschriftart11111111111111"/>
    <w:rsid w:val="000E3584"/>
  </w:style>
  <w:style w:type="character" w:customStyle="1" w:styleId="WW-Absatz-Standardschriftart111111111111111">
    <w:name w:val="WW-Absatz-Standardschriftart111111111111111"/>
    <w:rsid w:val="000E3584"/>
  </w:style>
  <w:style w:type="character" w:customStyle="1" w:styleId="WW-Absatz-Standardschriftart1111111111111111">
    <w:name w:val="WW-Absatz-Standardschriftart1111111111111111"/>
    <w:rsid w:val="000E3584"/>
  </w:style>
  <w:style w:type="character" w:customStyle="1" w:styleId="WW-Absatz-Standardschriftart11111111111111111">
    <w:name w:val="WW-Absatz-Standardschriftart11111111111111111"/>
    <w:rsid w:val="000E3584"/>
  </w:style>
  <w:style w:type="character" w:customStyle="1" w:styleId="WW-Absatz-Standardschriftart111111111111111111">
    <w:name w:val="WW-Absatz-Standardschriftart111111111111111111"/>
    <w:rsid w:val="000E3584"/>
  </w:style>
  <w:style w:type="character" w:customStyle="1" w:styleId="WW-Absatz-Standardschriftart1111111111111111111">
    <w:name w:val="WW-Absatz-Standardschriftart1111111111111111111"/>
    <w:rsid w:val="000E3584"/>
  </w:style>
  <w:style w:type="character" w:customStyle="1" w:styleId="WW-Absatz-Standardschriftart11111111111111111111">
    <w:name w:val="WW-Absatz-Standardschriftart11111111111111111111"/>
    <w:rsid w:val="000E3584"/>
  </w:style>
  <w:style w:type="character" w:customStyle="1" w:styleId="WW-Absatz-Standardschriftart111111111111111111111">
    <w:name w:val="WW-Absatz-Standardschriftart111111111111111111111"/>
    <w:rsid w:val="000E3584"/>
  </w:style>
  <w:style w:type="character" w:customStyle="1" w:styleId="WW-Absatz-Standardschriftart1111111111111111111111">
    <w:name w:val="WW-Absatz-Standardschriftart1111111111111111111111"/>
    <w:rsid w:val="000E3584"/>
  </w:style>
  <w:style w:type="character" w:customStyle="1" w:styleId="WW-Absatz-Standardschriftart11111111111111111111111">
    <w:name w:val="WW-Absatz-Standardschriftart11111111111111111111111"/>
    <w:rsid w:val="000E3584"/>
  </w:style>
  <w:style w:type="character" w:customStyle="1" w:styleId="WW-Absatz-Standardschriftart111111111111111111111111">
    <w:name w:val="WW-Absatz-Standardschriftart111111111111111111111111"/>
    <w:rsid w:val="000E3584"/>
  </w:style>
  <w:style w:type="character" w:customStyle="1" w:styleId="WW-Absatz-Standardschriftart1111111111111111111111111">
    <w:name w:val="WW-Absatz-Standardschriftart1111111111111111111111111"/>
    <w:rsid w:val="000E3584"/>
  </w:style>
  <w:style w:type="character" w:customStyle="1" w:styleId="WW-Absatz-Standardschriftart11111111111111111111111111">
    <w:name w:val="WW-Absatz-Standardschriftart11111111111111111111111111"/>
    <w:rsid w:val="000E3584"/>
  </w:style>
  <w:style w:type="character" w:customStyle="1" w:styleId="WW-Absatz-Standardschriftart111111111111111111111111111">
    <w:name w:val="WW-Absatz-Standardschriftart111111111111111111111111111"/>
    <w:rsid w:val="000E3584"/>
  </w:style>
  <w:style w:type="character" w:customStyle="1" w:styleId="WW-Absatz-Standardschriftart1111111111111111111111111111">
    <w:name w:val="WW-Absatz-Standardschriftart1111111111111111111111111111"/>
    <w:rsid w:val="000E3584"/>
  </w:style>
  <w:style w:type="character" w:customStyle="1" w:styleId="WW-Absatz-Standardschriftart11111111111111111111111111111">
    <w:name w:val="WW-Absatz-Standardschriftart11111111111111111111111111111"/>
    <w:rsid w:val="000E3584"/>
  </w:style>
  <w:style w:type="character" w:customStyle="1" w:styleId="WW-Absatz-Standardschriftart111111111111111111111111111111">
    <w:name w:val="WW-Absatz-Standardschriftart111111111111111111111111111111"/>
    <w:rsid w:val="000E3584"/>
  </w:style>
  <w:style w:type="character" w:customStyle="1" w:styleId="WW-Absatz-Standardschriftart1111111111111111111111111111111">
    <w:name w:val="WW-Absatz-Standardschriftart1111111111111111111111111111111"/>
    <w:rsid w:val="000E3584"/>
  </w:style>
  <w:style w:type="character" w:customStyle="1" w:styleId="WW-Absatz-Standardschriftart11111111111111111111111111111111">
    <w:name w:val="WW-Absatz-Standardschriftart11111111111111111111111111111111"/>
    <w:rsid w:val="000E3584"/>
  </w:style>
  <w:style w:type="character" w:customStyle="1" w:styleId="WW-Absatz-Standardschriftart111111111111111111111111111111111">
    <w:name w:val="WW-Absatz-Standardschriftart111111111111111111111111111111111"/>
    <w:rsid w:val="000E3584"/>
  </w:style>
  <w:style w:type="character" w:customStyle="1" w:styleId="WW-Absatz-Standardschriftart1111111111111111111111111111111111">
    <w:name w:val="WW-Absatz-Standardschriftart1111111111111111111111111111111111"/>
    <w:rsid w:val="000E3584"/>
  </w:style>
  <w:style w:type="character" w:customStyle="1" w:styleId="WW-Absatz-Standardschriftart11111111111111111111111111111111111">
    <w:name w:val="WW-Absatz-Standardschriftart11111111111111111111111111111111111"/>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rsid w:val="000E3584"/>
  </w:style>
  <w:style w:type="character" w:styleId="Hipervnculo">
    <w:name w:val="Hyperlink"/>
    <w:rsid w:val="000E3584"/>
    <w:rPr>
      <w:color w:val="000080"/>
      <w:u w:val="single"/>
    </w:rPr>
  </w:style>
  <w:style w:type="character" w:customStyle="1" w:styleId="Carcterdenumeracin">
    <w:name w:val="Carácter de numeración"/>
    <w:rsid w:val="000E3584"/>
  </w:style>
  <w:style w:type="character" w:customStyle="1" w:styleId="Vietas">
    <w:name w:val="Viñetas"/>
    <w:rsid w:val="000E3584"/>
    <w:rPr>
      <w:rFonts w:ascii="StarSymbol" w:eastAsia="StarSymbol" w:hAnsi="StarSymbol" w:cs="StarSymbol"/>
      <w:sz w:val="18"/>
      <w:szCs w:val="18"/>
    </w:rPr>
  </w:style>
  <w:style w:type="paragraph" w:customStyle="1" w:styleId="Encabezado2">
    <w:name w:val="Encabezado2"/>
    <w:basedOn w:val="Normal"/>
    <w:next w:val="Textoindependiente"/>
    <w:rsid w:val="000E3584"/>
    <w:pPr>
      <w:keepNext/>
      <w:spacing w:before="240" w:after="120"/>
    </w:pPr>
    <w:rPr>
      <w:rFonts w:ascii="Arial" w:eastAsia="Arial Unicode MS" w:hAnsi="Arial" w:cs="Tahoma"/>
      <w:sz w:val="28"/>
      <w:szCs w:val="28"/>
    </w:rPr>
  </w:style>
  <w:style w:type="paragraph" w:styleId="Textoindependiente">
    <w:name w:val="Body Text"/>
    <w:basedOn w:val="Normal"/>
    <w:rsid w:val="000E3584"/>
    <w:pPr>
      <w:spacing w:after="120"/>
    </w:pPr>
  </w:style>
  <w:style w:type="paragraph" w:styleId="Lista">
    <w:name w:val="List"/>
    <w:basedOn w:val="Textoindependiente"/>
    <w:rsid w:val="000E3584"/>
    <w:rPr>
      <w:rFonts w:cs="Tahoma"/>
    </w:rPr>
  </w:style>
  <w:style w:type="paragraph" w:customStyle="1" w:styleId="Etiqueta">
    <w:name w:val="Etiqueta"/>
    <w:basedOn w:val="Normal"/>
    <w:rsid w:val="000E3584"/>
    <w:pPr>
      <w:suppressLineNumbers/>
      <w:spacing w:before="120" w:after="120"/>
    </w:pPr>
    <w:rPr>
      <w:rFonts w:cs="Tahoma"/>
      <w:i/>
      <w:iCs/>
    </w:rPr>
  </w:style>
  <w:style w:type="paragraph" w:customStyle="1" w:styleId="ndice">
    <w:name w:val="Índice"/>
    <w:basedOn w:val="Normal"/>
    <w:rsid w:val="000E3584"/>
    <w:pPr>
      <w:suppressLineNumbers/>
    </w:pPr>
    <w:rPr>
      <w:rFonts w:cs="Tahoma"/>
    </w:rPr>
  </w:style>
  <w:style w:type="paragraph" w:customStyle="1" w:styleId="Encabezado1">
    <w:name w:val="Encabezado1"/>
    <w:basedOn w:val="Normal"/>
    <w:next w:val="Textoindependiente"/>
    <w:rsid w:val="000E3584"/>
    <w:pPr>
      <w:keepNext/>
      <w:spacing w:before="240" w:after="120"/>
    </w:pPr>
    <w:rPr>
      <w:rFonts w:ascii="Arial" w:eastAsia="Arial Unicode MS" w:hAnsi="Arial" w:cs="Tahoma"/>
      <w:sz w:val="28"/>
      <w:szCs w:val="28"/>
    </w:rPr>
  </w:style>
  <w:style w:type="paragraph" w:styleId="Encabezado">
    <w:name w:val="header"/>
    <w:aliases w:val="encabezado"/>
    <w:basedOn w:val="Normal"/>
    <w:link w:val="EncabezadoCar1"/>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rsid w:val="000E3584"/>
    <w:pPr>
      <w:widowControl w:val="0"/>
      <w:suppressAutoHyphens/>
    </w:pPr>
    <w:rPr>
      <w:rFonts w:eastAsia="Arial Unicode MS"/>
      <w:sz w:val="28"/>
      <w:szCs w:val="28"/>
      <w:lang w:val="es-ES_tradnl" w:eastAsia="ar-SA"/>
    </w:rPr>
  </w:style>
  <w:style w:type="paragraph" w:customStyle="1" w:styleId="Ttulo51">
    <w:name w:val="Título 51"/>
    <w:next w:val="Normal"/>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rsid w:val="000E3584"/>
  </w:style>
  <w:style w:type="paragraph" w:customStyle="1" w:styleId="Contenidodelatabla">
    <w:name w:val="Contenido de la tabla"/>
    <w:basedOn w:val="Normal"/>
    <w:rsid w:val="000E3584"/>
    <w:pPr>
      <w:suppressLineNumbers/>
    </w:pPr>
  </w:style>
  <w:style w:type="paragraph" w:customStyle="1" w:styleId="Encabezadodelatabla">
    <w:name w:val="Encabezado de la tabla"/>
    <w:basedOn w:val="Contenidodelatabla"/>
    <w:rsid w:val="000E3584"/>
    <w:pPr>
      <w:jc w:val="center"/>
    </w:pPr>
    <w:rPr>
      <w:b/>
      <w:bCs/>
    </w:rPr>
  </w:style>
  <w:style w:type="paragraph" w:customStyle="1" w:styleId="style3">
    <w:name w:val="style3"/>
    <w:basedOn w:val="Normal"/>
    <w:rsid w:val="000E3584"/>
    <w:pPr>
      <w:spacing w:before="280" w:after="280"/>
    </w:pPr>
    <w:rPr>
      <w:b/>
      <w:bCs/>
      <w:color w:val="000000"/>
    </w:rPr>
  </w:style>
  <w:style w:type="paragraph" w:styleId="NormalWeb">
    <w:name w:val="Normal (Web)"/>
    <w:basedOn w:val="Normal"/>
    <w:link w:val="NormalWebCar"/>
    <w:qFormat/>
    <w:rsid w:val="000E3584"/>
    <w:pPr>
      <w:spacing w:before="280" w:after="280"/>
    </w:pPr>
  </w:style>
  <w:style w:type="paragraph" w:customStyle="1" w:styleId="Ttulo31">
    <w:name w:val="Título 31"/>
    <w:next w:val="Normal"/>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Tex,t"/>
    <w:basedOn w:val="Normal"/>
    <w:link w:val="TextonotapieCar"/>
    <w:qFormat/>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semiHidden/>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rsid w:val="00455672"/>
    <w:pPr>
      <w:spacing w:after="120"/>
      <w:ind w:left="283"/>
    </w:pPr>
    <w:rPr>
      <w:sz w:val="20"/>
      <w:szCs w:val="20"/>
      <w:lang w:val="es-ES_tradnl"/>
    </w:rPr>
  </w:style>
  <w:style w:type="character" w:customStyle="1" w:styleId="SangradetextonormalCar">
    <w:name w:val="Sangría de texto normal Car"/>
    <w:link w:val="Sangradetextonormal"/>
    <w:locked/>
    <w:rsid w:val="00455672"/>
    <w:rPr>
      <w:lang w:val="es-ES_tradnl" w:eastAsia="ar-SA" w:bidi="ar-SA"/>
    </w:rPr>
  </w:style>
  <w:style w:type="paragraph" w:customStyle="1" w:styleId="Normalprueba1">
    <w:name w:val="Normal.prueba1"/>
    <w:rsid w:val="00455672"/>
    <w:pPr>
      <w:widowControl w:val="0"/>
    </w:pPr>
    <w:rPr>
      <w:sz w:val="28"/>
      <w:szCs w:val="28"/>
      <w:lang w:val="es-ES_tradnl"/>
    </w:rPr>
  </w:style>
  <w:style w:type="paragraph" w:styleId="Textodeglobo">
    <w:name w:val="Balloon Text"/>
    <w:basedOn w:val="Normal"/>
    <w:semiHidden/>
    <w:rsid w:val="007D50EF"/>
    <w:rPr>
      <w:rFonts w:ascii="Tahoma" w:hAnsi="Tahoma" w:cs="Tahoma"/>
      <w:sz w:val="16"/>
      <w:szCs w:val="16"/>
    </w:rPr>
  </w:style>
  <w:style w:type="character" w:customStyle="1" w:styleId="Fuentedeprrafopredeter3">
    <w:name w:val="Fuente de párrafo predeter.3"/>
    <w:rsid w:val="00A70E73"/>
  </w:style>
  <w:style w:type="character" w:customStyle="1" w:styleId="WW8Num1z0">
    <w:name w:val="WW8Num1z0"/>
    <w:rsid w:val="00A70E73"/>
    <w:rPr>
      <w:rFonts w:ascii="Symbol" w:hAnsi="Symbol"/>
    </w:rPr>
  </w:style>
  <w:style w:type="paragraph" w:customStyle="1" w:styleId="Encabezado3">
    <w:name w:val="Encabezado3"/>
    <w:basedOn w:val="Normal"/>
    <w:next w:val="Textoindependiente"/>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qFormat/>
    <w:rsid w:val="00A70E73"/>
    <w:pPr>
      <w:jc w:val="center"/>
    </w:pPr>
    <w:rPr>
      <w:rFonts w:ascii="Arial" w:hAnsi="Arial" w:cs="Arial"/>
      <w:b/>
      <w:bCs/>
      <w:sz w:val="28"/>
      <w:szCs w:val="28"/>
      <w:u w:val="single"/>
    </w:rPr>
  </w:style>
  <w:style w:type="paragraph" w:customStyle="1" w:styleId="Car0">
    <w:name w:val="Car"/>
    <w:basedOn w:val="Normal"/>
    <w:rsid w:val="00A70E73"/>
    <w:pPr>
      <w:spacing w:after="160" w:line="240" w:lineRule="exact"/>
    </w:pPr>
    <w:rPr>
      <w:rFonts w:ascii="Verdana" w:hAnsi="Verdana" w:cs="Verdana"/>
      <w:sz w:val="20"/>
      <w:szCs w:val="20"/>
      <w:lang w:val="en-AU"/>
    </w:rPr>
  </w:style>
  <w:style w:type="paragraph" w:styleId="Prrafodelista">
    <w:name w:val="List Paragraph"/>
    <w:basedOn w:val="Normal"/>
    <w:uiPriority w:val="34"/>
    <w:qFormat/>
    <w:rsid w:val="00A70E73"/>
    <w:pPr>
      <w:ind w:left="708"/>
    </w:pPr>
  </w:style>
  <w:style w:type="paragraph" w:styleId="Sangra2detindependiente">
    <w:name w:val="Body Text Indent 2"/>
    <w:basedOn w:val="Normal"/>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Footnote number,referencia nota al pie,BVI fnr,f,Ref,de nota al pie,FC"/>
    <w:qFormat/>
    <w:rsid w:val="00A70E73"/>
    <w:rPr>
      <w:vertAlign w:val="superscript"/>
    </w:rPr>
  </w:style>
  <w:style w:type="paragraph" w:styleId="Listaconvietas">
    <w:name w:val="List Bullet"/>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rsid w:val="00A70E73"/>
    <w:rPr>
      <w:vertAlign w:val="superscript"/>
    </w:rPr>
  </w:style>
  <w:style w:type="paragraph" w:styleId="Textocomentario">
    <w:name w:val="annotation text"/>
    <w:basedOn w:val="Normal"/>
    <w:link w:val="TextocomentarioCar"/>
    <w:semiHidden/>
    <w:rsid w:val="00A70E73"/>
    <w:rPr>
      <w:sz w:val="20"/>
      <w:szCs w:val="20"/>
    </w:rPr>
  </w:style>
  <w:style w:type="character" w:customStyle="1" w:styleId="TextocomentarioCar">
    <w:name w:val="Texto comentario Car"/>
    <w:link w:val="Textocomentario"/>
    <w:semiHidden/>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rsid w:val="00A70E73"/>
    <w:pPr>
      <w:widowControl w:val="0"/>
      <w:suppressAutoHyphens w:val="0"/>
      <w:ind w:left="851" w:right="851" w:firstLine="709"/>
      <w:jc w:val="both"/>
    </w:pPr>
    <w:rPr>
      <w:lang w:eastAsia="es-ES"/>
    </w:rPr>
  </w:style>
  <w:style w:type="paragraph" w:customStyle="1" w:styleId="Predeterminado0">
    <w:name w:val="Predeterminado"/>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rsid w:val="00A70E73"/>
    <w:pPr>
      <w:spacing w:after="120" w:line="480" w:lineRule="auto"/>
    </w:pPr>
    <w:rPr>
      <w:sz w:val="20"/>
      <w:szCs w:val="20"/>
    </w:rPr>
  </w:style>
  <w:style w:type="paragraph" w:customStyle="1" w:styleId="western">
    <w:name w:val="western"/>
    <w:basedOn w:val="Normal"/>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rsid w:val="00A70E73"/>
    <w:pPr>
      <w:autoSpaceDE w:val="0"/>
      <w:autoSpaceDN w:val="0"/>
      <w:adjustRightInd w:val="0"/>
    </w:pPr>
    <w:rPr>
      <w:sz w:val="24"/>
      <w:szCs w:val="24"/>
      <w:lang w:val="en-US"/>
    </w:rPr>
  </w:style>
  <w:style w:type="paragraph" w:styleId="Textoindependiente3">
    <w:name w:val="Body Text 3"/>
    <w:basedOn w:val="Normal"/>
    <w:link w:val="Textoindependiente3Car"/>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link w:val="Prrafodelista2"/>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rsid w:val="00A70E73"/>
    <w:rPr>
      <w:rFonts w:ascii="Courier New" w:hAnsi="Courier New" w:cs="Courier New"/>
    </w:rPr>
  </w:style>
  <w:style w:type="character" w:customStyle="1" w:styleId="WW8Num1z2">
    <w:name w:val="WW8Num1z2"/>
    <w:rsid w:val="00A70E73"/>
    <w:rPr>
      <w:rFonts w:ascii="Wingdings" w:hAnsi="Wingdings" w:cs="Wingdings"/>
    </w:rPr>
  </w:style>
  <w:style w:type="character" w:customStyle="1" w:styleId="WW8Num1z3">
    <w:name w:val="WW8Num1z3"/>
    <w:rsid w:val="00A70E73"/>
    <w:rPr>
      <w:rFonts w:ascii="Symbol" w:hAnsi="Symbol" w:cs="Symbol"/>
    </w:rPr>
  </w:style>
  <w:style w:type="paragraph" w:customStyle="1" w:styleId="DefinitionTerm">
    <w:name w:val="Definition Term"/>
    <w:next w:val="DefinitionLis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rsid w:val="00A70E73"/>
    <w:pPr>
      <w:ind w:firstLine="210"/>
    </w:pPr>
    <w:rPr>
      <w:sz w:val="20"/>
      <w:szCs w:val="20"/>
      <w:lang w:val="es-ES_tradnl"/>
    </w:rPr>
  </w:style>
  <w:style w:type="paragraph" w:styleId="Textoindependienteprimerasangra2">
    <w:name w:val="Body Text First Indent 2"/>
    <w:basedOn w:val="Sangradetextonormal"/>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0">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rsid w:val="00A70E73"/>
    <w:rPr>
      <w:sz w:val="24"/>
      <w:szCs w:val="24"/>
      <w:lang w:val="es-ES" w:eastAsia="es-ES" w:bidi="ar-SA"/>
    </w:rPr>
  </w:style>
  <w:style w:type="character" w:customStyle="1" w:styleId="EncabezadoCar">
    <w:name w:val="Encabezado Car"/>
    <w:aliases w:val="encabezado Car"/>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9"/>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rsid w:val="00A70E73"/>
  </w:style>
  <w:style w:type="character" w:customStyle="1" w:styleId="TextosinformatoCar">
    <w:name w:val="Texto sin formato Car"/>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206703">
      <w:bodyDiv w:val="1"/>
      <w:marLeft w:val="0"/>
      <w:marRight w:val="0"/>
      <w:marTop w:val="0"/>
      <w:marBottom w:val="0"/>
      <w:divBdr>
        <w:top w:val="none" w:sz="0" w:space="0" w:color="auto"/>
        <w:left w:val="none" w:sz="0" w:space="0" w:color="auto"/>
        <w:bottom w:val="none" w:sz="0" w:space="0" w:color="auto"/>
        <w:right w:val="none" w:sz="0" w:space="0" w:color="auto"/>
      </w:divBdr>
    </w:div>
    <w:div w:id="493188249">
      <w:bodyDiv w:val="1"/>
      <w:marLeft w:val="0"/>
      <w:marRight w:val="0"/>
      <w:marTop w:val="0"/>
      <w:marBottom w:val="0"/>
      <w:divBdr>
        <w:top w:val="none" w:sz="0" w:space="0" w:color="auto"/>
        <w:left w:val="none" w:sz="0" w:space="0" w:color="auto"/>
        <w:bottom w:val="none" w:sz="0" w:space="0" w:color="auto"/>
        <w:right w:val="none" w:sz="0" w:space="0" w:color="auto"/>
      </w:divBdr>
    </w:div>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 w:id="1900432663">
      <w:bodyDiv w:val="1"/>
      <w:marLeft w:val="0"/>
      <w:marRight w:val="0"/>
      <w:marTop w:val="0"/>
      <w:marBottom w:val="0"/>
      <w:divBdr>
        <w:top w:val="none" w:sz="0" w:space="0" w:color="auto"/>
        <w:left w:val="none" w:sz="0" w:space="0" w:color="auto"/>
        <w:bottom w:val="none" w:sz="0" w:space="0" w:color="auto"/>
        <w:right w:val="none" w:sz="0" w:space="0" w:color="auto"/>
      </w:divBdr>
    </w:div>
    <w:div w:id="20795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2.emf"/><Relationship Id="rId18" Type="http://schemas.openxmlformats.org/officeDocument/2006/relationships/package" Target="embeddings/Microsoft_Excel_Worksheet2.xlsx"/><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image" Target="media/image4.e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package" Target="embeddings/Microsoft_Excel_Worksheet1.xlsx"/><Relationship Id="rId20" Type="http://schemas.openxmlformats.org/officeDocument/2006/relationships/package" Target="embeddings/Microsoft_Word_Document.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package" Target="embeddings/Microsoft_Excel_Worksheet.xlsx"/><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F:\Teletrabajo\Tr&#225;nsito\An&#225;lisis\Cuadros%20y%20gr&#225;fico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F:\Teletrabajo\Tr&#225;nsito\An&#225;lisis\Cuadros%20y%20gr&#225;fico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F:\Teletrabajo\Tr&#225;nsito\An&#225;lisis\Cuadros%20y%20gr&#225;fico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cap="none" spc="0" normalizeH="0" baseline="0">
                <a:solidFill>
                  <a:sysClr val="windowText" lastClr="000000">
                    <a:lumMod val="50000"/>
                    <a:lumOff val="50000"/>
                  </a:sysClr>
                </a:solidFill>
                <a:latin typeface="+mj-lt"/>
                <a:ea typeface="+mj-ea"/>
                <a:cs typeface="+mj-cs"/>
              </a:defRPr>
            </a:pPr>
            <a:r>
              <a:rPr lang="es-CR" sz="1200" b="1" i="0" baseline="0">
                <a:solidFill>
                  <a:sysClr val="windowText" lastClr="000000"/>
                </a:solidFill>
                <a:effectLst/>
              </a:rPr>
              <a:t>Gráfico 1. Tasas de pendencia y resolución para la materia de Tránsito durante el período 2015 - 2019</a:t>
            </a:r>
            <a:endParaRPr lang="es-CR" sz="1200">
              <a:solidFill>
                <a:sysClr val="windowText" lastClr="000000"/>
              </a:solidFill>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cap="none" spc="0" normalizeH="0" baseline="0">
              <a:solidFill>
                <a:sysClr val="windowText" lastClr="000000">
                  <a:lumMod val="50000"/>
                  <a:lumOff val="50000"/>
                </a:sysClr>
              </a:solidFill>
              <a:latin typeface="+mj-lt"/>
              <a:ea typeface="+mj-ea"/>
              <a:cs typeface="+mj-cs"/>
            </a:defRPr>
          </a:pPr>
          <a:endParaRPr lang="es-CR"/>
        </a:p>
      </c:txPr>
    </c:title>
    <c:autoTitleDeleted val="0"/>
    <c:plotArea>
      <c:layout>
        <c:manualLayout>
          <c:layoutTarget val="inner"/>
          <c:xMode val="edge"/>
          <c:yMode val="edge"/>
          <c:x val="5.4436468727932751E-2"/>
          <c:y val="0.26311359330905953"/>
          <c:w val="0.92612138855588444"/>
          <c:h val="0.56481062772181412"/>
        </c:manualLayout>
      </c:layout>
      <c:lineChart>
        <c:grouping val="standard"/>
        <c:varyColors val="0"/>
        <c:ser>
          <c:idx val="0"/>
          <c:order val="0"/>
          <c:tx>
            <c:strRef>
              <c:f>Hoja2!$C$27</c:f>
              <c:strCache>
                <c:ptCount val="1"/>
                <c:pt idx="0">
                  <c:v>Tasa de pendencia</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Hoja2!$D$26:$H$26</c:f>
              <c:numCache>
                <c:formatCode>General</c:formatCode>
                <c:ptCount val="5"/>
                <c:pt idx="0">
                  <c:v>2015</c:v>
                </c:pt>
                <c:pt idx="1">
                  <c:v>2016</c:v>
                </c:pt>
                <c:pt idx="2">
                  <c:v>2017</c:v>
                </c:pt>
                <c:pt idx="3">
                  <c:v>2018</c:v>
                </c:pt>
                <c:pt idx="4">
                  <c:v>2019</c:v>
                </c:pt>
              </c:numCache>
            </c:numRef>
          </c:cat>
          <c:val>
            <c:numRef>
              <c:f>Hoja2!$D$27:$H$27</c:f>
              <c:numCache>
                <c:formatCode>0.0</c:formatCode>
                <c:ptCount val="5"/>
                <c:pt idx="0">
                  <c:v>28.149173908891221</c:v>
                </c:pt>
                <c:pt idx="1">
                  <c:v>26.718549619661648</c:v>
                </c:pt>
                <c:pt idx="2">
                  <c:v>26.767543628407232</c:v>
                </c:pt>
                <c:pt idx="3">
                  <c:v>25.877287607755591</c:v>
                </c:pt>
                <c:pt idx="4">
                  <c:v>23.330918029478937</c:v>
                </c:pt>
              </c:numCache>
            </c:numRef>
          </c:val>
          <c:smooth val="0"/>
          <c:extLst>
            <c:ext xmlns:c16="http://schemas.microsoft.com/office/drawing/2014/chart" uri="{C3380CC4-5D6E-409C-BE32-E72D297353CC}">
              <c16:uniqueId val="{00000000-2BE4-4461-9B09-8C7115C5E98F}"/>
            </c:ext>
          </c:extLst>
        </c:ser>
        <c:ser>
          <c:idx val="1"/>
          <c:order val="1"/>
          <c:tx>
            <c:strRef>
              <c:f>Hoja2!$C$28</c:f>
              <c:strCache>
                <c:ptCount val="1"/>
                <c:pt idx="0">
                  <c:v>Tasa de resolución</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C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Hoja2!$D$26:$H$26</c:f>
              <c:numCache>
                <c:formatCode>General</c:formatCode>
                <c:ptCount val="5"/>
                <c:pt idx="0">
                  <c:v>2015</c:v>
                </c:pt>
                <c:pt idx="1">
                  <c:v>2016</c:v>
                </c:pt>
                <c:pt idx="2">
                  <c:v>2017</c:v>
                </c:pt>
                <c:pt idx="3">
                  <c:v>2018</c:v>
                </c:pt>
                <c:pt idx="4">
                  <c:v>2019</c:v>
                </c:pt>
              </c:numCache>
            </c:numRef>
          </c:cat>
          <c:val>
            <c:numRef>
              <c:f>Hoja2!$D$28:$H$28</c:f>
              <c:numCache>
                <c:formatCode>0.0</c:formatCode>
                <c:ptCount val="5"/>
                <c:pt idx="0">
                  <c:v>71.850826091108772</c:v>
                </c:pt>
                <c:pt idx="1">
                  <c:v>73.281450380338356</c:v>
                </c:pt>
                <c:pt idx="2">
                  <c:v>73.232456371592775</c:v>
                </c:pt>
                <c:pt idx="3">
                  <c:v>74.122712392244409</c:v>
                </c:pt>
                <c:pt idx="4">
                  <c:v>76.669081970521063</c:v>
                </c:pt>
              </c:numCache>
            </c:numRef>
          </c:val>
          <c:smooth val="0"/>
          <c:extLst>
            <c:ext xmlns:c16="http://schemas.microsoft.com/office/drawing/2014/chart" uri="{C3380CC4-5D6E-409C-BE32-E72D297353CC}">
              <c16:uniqueId val="{00000001-2BE4-4461-9B09-8C7115C5E98F}"/>
            </c:ext>
          </c:extLst>
        </c:ser>
        <c:dLbls>
          <c:showLegendKey val="0"/>
          <c:showVal val="0"/>
          <c:showCatName val="0"/>
          <c:showSerName val="0"/>
          <c:showPercent val="0"/>
          <c:showBubbleSize val="0"/>
        </c:dLbls>
        <c:smooth val="0"/>
        <c:axId val="761438120"/>
        <c:axId val="761441728"/>
      </c:lineChart>
      <c:catAx>
        <c:axId val="761438120"/>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cap="none" spc="0" normalizeH="0" baseline="0">
                <a:solidFill>
                  <a:sysClr val="windowText" lastClr="000000"/>
                </a:solidFill>
                <a:latin typeface="+mn-lt"/>
                <a:ea typeface="+mn-ea"/>
                <a:cs typeface="+mn-cs"/>
              </a:defRPr>
            </a:pPr>
            <a:endParaRPr lang="es-CR"/>
          </a:p>
        </c:txPr>
        <c:crossAx val="761441728"/>
        <c:crosses val="autoZero"/>
        <c:auto val="1"/>
        <c:lblAlgn val="ctr"/>
        <c:lblOffset val="100"/>
        <c:noMultiLvlLbl val="0"/>
      </c:catAx>
      <c:valAx>
        <c:axId val="761441728"/>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R"/>
          </a:p>
        </c:txPr>
        <c:crossAx val="761438120"/>
        <c:crosses val="autoZero"/>
        <c:crossBetween val="between"/>
      </c:valAx>
      <c:spPr>
        <a:pattFill prst="ltDnDiag">
          <a:fgClr>
            <a:schemeClr val="dk1">
              <a:lumMod val="15000"/>
              <a:lumOff val="85000"/>
            </a:schemeClr>
          </a:fgClr>
          <a:bgClr>
            <a:schemeClr val="lt1"/>
          </a:bgClr>
        </a:patt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4">
        <a:lumMod val="40000"/>
        <a:lumOff val="60000"/>
      </a:schemeClr>
    </a:solidFill>
    <a:ln w="9525" cap="flat" cmpd="sng" algn="ctr">
      <a:solidFill>
        <a:schemeClr val="dk1">
          <a:lumMod val="15000"/>
          <a:lumOff val="85000"/>
        </a:schemeClr>
      </a:solidFill>
      <a:round/>
    </a:ln>
    <a:effectLst/>
  </c:spPr>
  <c:txPr>
    <a:bodyPr/>
    <a:lstStyle/>
    <a:p>
      <a:pPr>
        <a:defRPr/>
      </a:pPr>
      <a:endParaRPr lang="es-CR"/>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0" normalizeH="0" baseline="0">
                <a:solidFill>
                  <a:schemeClr val="dk1">
                    <a:lumMod val="50000"/>
                    <a:lumOff val="50000"/>
                  </a:schemeClr>
                </a:solidFill>
                <a:latin typeface="+mj-lt"/>
                <a:ea typeface="+mj-ea"/>
                <a:cs typeface="+mj-cs"/>
              </a:defRPr>
            </a:pPr>
            <a:r>
              <a:rPr lang="es-CR" sz="1200">
                <a:solidFill>
                  <a:sysClr val="windowText" lastClr="000000"/>
                </a:solidFill>
              </a:rPr>
              <a:t>Gráfico</a:t>
            </a:r>
            <a:r>
              <a:rPr lang="es-CR" sz="1200" baseline="0">
                <a:solidFill>
                  <a:sysClr val="windowText" lastClr="000000"/>
                </a:solidFill>
              </a:rPr>
              <a:t> 2. Casos entrados en los juzgados competentes en materia de Tránsito, periodo 2015-2019</a:t>
            </a:r>
            <a:endParaRPr lang="es-CR"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cap="none" spc="0" normalizeH="0" baseline="0">
              <a:solidFill>
                <a:schemeClr val="dk1">
                  <a:lumMod val="50000"/>
                  <a:lumOff val="50000"/>
                </a:schemeClr>
              </a:solidFill>
              <a:latin typeface="+mj-lt"/>
              <a:ea typeface="+mj-ea"/>
              <a:cs typeface="+mj-cs"/>
            </a:defRPr>
          </a:pPr>
          <a:endParaRPr lang="es-CR"/>
        </a:p>
      </c:txPr>
    </c:title>
    <c:autoTitleDeleted val="0"/>
    <c:plotArea>
      <c:layout>
        <c:manualLayout>
          <c:layoutTarget val="inner"/>
          <c:xMode val="edge"/>
          <c:yMode val="edge"/>
          <c:x val="6.857983158243533E-2"/>
          <c:y val="0.1774903981237734"/>
          <c:w val="0.89959159850500026"/>
          <c:h val="0.64091841740506672"/>
        </c:manualLayout>
      </c:layout>
      <c:lineChart>
        <c:grouping val="standard"/>
        <c:varyColors val="0"/>
        <c:ser>
          <c:idx val="0"/>
          <c:order val="0"/>
          <c:tx>
            <c:strRef>
              <c:f>Hoja2!$C$56</c:f>
              <c:strCache>
                <c:ptCount val="1"/>
                <c:pt idx="0">
                  <c:v>Casos entrados</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Hoja2!$D$55:$H$55</c:f>
              <c:numCache>
                <c:formatCode>General</c:formatCode>
                <c:ptCount val="5"/>
                <c:pt idx="0">
                  <c:v>2015</c:v>
                </c:pt>
                <c:pt idx="1">
                  <c:v>2016</c:v>
                </c:pt>
                <c:pt idx="2">
                  <c:v>2017</c:v>
                </c:pt>
                <c:pt idx="3">
                  <c:v>2018</c:v>
                </c:pt>
                <c:pt idx="4">
                  <c:v>2019</c:v>
                </c:pt>
              </c:numCache>
            </c:numRef>
          </c:cat>
          <c:val>
            <c:numRef>
              <c:f>Hoja2!$D$56:$H$56</c:f>
              <c:numCache>
                <c:formatCode>#,##0</c:formatCode>
                <c:ptCount val="5"/>
                <c:pt idx="0">
                  <c:v>77236</c:v>
                </c:pt>
                <c:pt idx="1">
                  <c:v>81515</c:v>
                </c:pt>
                <c:pt idx="2">
                  <c:v>81574</c:v>
                </c:pt>
                <c:pt idx="3">
                  <c:v>74878</c:v>
                </c:pt>
                <c:pt idx="4">
                  <c:v>79876</c:v>
                </c:pt>
              </c:numCache>
            </c:numRef>
          </c:val>
          <c:smooth val="1"/>
          <c:extLst>
            <c:ext xmlns:c16="http://schemas.microsoft.com/office/drawing/2014/chart" uri="{C3380CC4-5D6E-409C-BE32-E72D297353CC}">
              <c16:uniqueId val="{00000000-C2FC-4C6F-A8B6-53D4D18E4800}"/>
            </c:ext>
          </c:extLst>
        </c:ser>
        <c:ser>
          <c:idx val="1"/>
          <c:order val="1"/>
          <c:tx>
            <c:strRef>
              <c:f>Hoja2!$C$57</c:f>
              <c:strCache>
                <c:ptCount val="1"/>
                <c:pt idx="0">
                  <c:v>Entrada neta</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Hoja2!$D$55:$H$55</c:f>
              <c:numCache>
                <c:formatCode>General</c:formatCode>
                <c:ptCount val="5"/>
                <c:pt idx="0">
                  <c:v>2015</c:v>
                </c:pt>
                <c:pt idx="1">
                  <c:v>2016</c:v>
                </c:pt>
                <c:pt idx="2">
                  <c:v>2017</c:v>
                </c:pt>
                <c:pt idx="3">
                  <c:v>2018</c:v>
                </c:pt>
                <c:pt idx="4">
                  <c:v>2019</c:v>
                </c:pt>
              </c:numCache>
            </c:numRef>
          </c:cat>
          <c:val>
            <c:numRef>
              <c:f>Hoja2!$D$57:$H$57</c:f>
              <c:numCache>
                <c:formatCode>#,##0</c:formatCode>
                <c:ptCount val="5"/>
                <c:pt idx="0">
                  <c:v>72862</c:v>
                </c:pt>
                <c:pt idx="1">
                  <c:v>76735</c:v>
                </c:pt>
                <c:pt idx="2">
                  <c:v>76547</c:v>
                </c:pt>
                <c:pt idx="3">
                  <c:v>70288</c:v>
                </c:pt>
                <c:pt idx="4">
                  <c:v>75301</c:v>
                </c:pt>
              </c:numCache>
            </c:numRef>
          </c:val>
          <c:smooth val="1"/>
          <c:extLst>
            <c:ext xmlns:c16="http://schemas.microsoft.com/office/drawing/2014/chart" uri="{C3380CC4-5D6E-409C-BE32-E72D297353CC}">
              <c16:uniqueId val="{00000001-C2FC-4C6F-A8B6-53D4D18E4800}"/>
            </c:ext>
          </c:extLst>
        </c:ser>
        <c:dLbls>
          <c:showLegendKey val="0"/>
          <c:showVal val="0"/>
          <c:showCatName val="0"/>
          <c:showSerName val="0"/>
          <c:showPercent val="0"/>
          <c:showBubbleSize val="0"/>
        </c:dLbls>
        <c:smooth val="0"/>
        <c:axId val="545868176"/>
        <c:axId val="545864568"/>
      </c:lineChart>
      <c:catAx>
        <c:axId val="54586817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1" i="0" u="none" strike="noStrike" kern="1200" cap="none" spc="0" normalizeH="0" baseline="0">
                <a:solidFill>
                  <a:sysClr val="windowText" lastClr="000000"/>
                </a:solidFill>
                <a:latin typeface="+mn-lt"/>
                <a:ea typeface="+mn-ea"/>
                <a:cs typeface="+mn-cs"/>
              </a:defRPr>
            </a:pPr>
            <a:endParaRPr lang="es-CR"/>
          </a:p>
        </c:txPr>
        <c:crossAx val="545864568"/>
        <c:crosses val="autoZero"/>
        <c:auto val="1"/>
        <c:lblAlgn val="ctr"/>
        <c:lblOffset val="100"/>
        <c:noMultiLvlLbl val="0"/>
      </c:catAx>
      <c:valAx>
        <c:axId val="545864568"/>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R"/>
          </a:p>
        </c:txPr>
        <c:crossAx val="545868176"/>
        <c:crosses val="autoZero"/>
        <c:crossBetween val="between"/>
      </c:valAx>
      <c:spPr>
        <a:pattFill prst="ltDnDiag">
          <a:fgClr>
            <a:schemeClr val="dk1">
              <a:lumMod val="15000"/>
              <a:lumOff val="85000"/>
            </a:schemeClr>
          </a:fgClr>
          <a:bgClr>
            <a:schemeClr val="lt1"/>
          </a:bgClr>
        </a:pattFill>
        <a:ln>
          <a:noFill/>
        </a:ln>
        <a:effectLst/>
      </c:spPr>
    </c:plotArea>
    <c:legend>
      <c:legendPos val="r"/>
      <c:layout>
        <c:manualLayout>
          <c:xMode val="edge"/>
          <c:yMode val="edge"/>
          <c:x val="0.80488228177180499"/>
          <c:y val="0.6218905199050031"/>
          <c:w val="0.16554463278648213"/>
          <c:h val="0.19707654395666718"/>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40000"/>
        <a:lumOff val="60000"/>
      </a:schemeClr>
    </a:solidFill>
    <a:ln w="9525" cap="flat" cmpd="sng" algn="ctr">
      <a:solidFill>
        <a:schemeClr val="dk1">
          <a:lumMod val="15000"/>
          <a:lumOff val="85000"/>
        </a:schemeClr>
      </a:solidFill>
      <a:round/>
    </a:ln>
    <a:effectLst/>
  </c:spPr>
  <c:txPr>
    <a:bodyPr/>
    <a:lstStyle/>
    <a:p>
      <a:pPr>
        <a:defRPr/>
      </a:pPr>
      <a:endParaRPr lang="es-CR"/>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200">
                <a:solidFill>
                  <a:sysClr val="windowText" lastClr="000000"/>
                </a:solidFill>
              </a:rPr>
              <a:t>Gráfico</a:t>
            </a:r>
            <a:r>
              <a:rPr lang="en-US" sz="1200" baseline="0">
                <a:solidFill>
                  <a:sysClr val="windowText" lastClr="000000"/>
                </a:solidFill>
              </a:rPr>
              <a:t> 3. Despachos que más casos entrados captaron relacionados con la materia de Tránsito, periodo 2019.</a:t>
            </a:r>
            <a:endParaRPr lang="en-US"/>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s-CR"/>
        </a:p>
      </c:txPr>
    </c:title>
    <c:autoTitleDeleted val="0"/>
    <c:plotArea>
      <c:layout>
        <c:manualLayout>
          <c:layoutTarget val="inner"/>
          <c:xMode val="edge"/>
          <c:yMode val="edge"/>
          <c:x val="0.45408677275829318"/>
          <c:y val="0.18742125984251967"/>
          <c:w val="0.49268281383360685"/>
          <c:h val="0.74011497204153831"/>
        </c:manualLayout>
      </c:layout>
      <c:barChart>
        <c:barDir val="bar"/>
        <c:grouping val="clustered"/>
        <c:varyColors val="0"/>
        <c:ser>
          <c:idx val="0"/>
          <c:order val="0"/>
          <c:tx>
            <c:strRef>
              <c:f>Hoja2!$L$22</c:f>
              <c:strCache>
                <c:ptCount val="1"/>
                <c:pt idx="0">
                  <c:v>Cantidad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Hoja2!$K$23:$K$32</c:f>
              <c:strCache>
                <c:ptCount val="10"/>
                <c:pt idx="0">
                  <c:v>Juzgado Tránsito II C.J. San José (Goicoechea)</c:v>
                </c:pt>
                <c:pt idx="1">
                  <c:v>Juzgado Tránsito I C.J. San José</c:v>
                </c:pt>
                <c:pt idx="2">
                  <c:v>Juzgado Tránsito Heredia</c:v>
                </c:pt>
                <c:pt idx="3">
                  <c:v>Juzgado Tránsito I C.J. Alajuela</c:v>
                </c:pt>
                <c:pt idx="4">
                  <c:v>Juzgado Tránsito Cartago</c:v>
                </c:pt>
                <c:pt idx="5">
                  <c:v>Juzgado Tránsito Pavas</c:v>
                </c:pt>
                <c:pt idx="6">
                  <c:v>Juzgado Tránsito III C.J. San José (Desamparados)</c:v>
                </c:pt>
                <c:pt idx="7">
                  <c:v>Juzgado Tránsito Hatillo</c:v>
                </c:pt>
                <c:pt idx="8">
                  <c:v>Juzgado Contravencional y Tránsito II C.J. Zona Atlántica (Pococí)</c:v>
                </c:pt>
                <c:pt idx="9">
                  <c:v>Juzgado Tránsito III C.J. Alajuela (San Ramón)</c:v>
                </c:pt>
              </c:strCache>
            </c:strRef>
          </c:cat>
          <c:val>
            <c:numRef>
              <c:f>Hoja2!$L$23:$L$32</c:f>
              <c:numCache>
                <c:formatCode>#,##0</c:formatCode>
                <c:ptCount val="10"/>
                <c:pt idx="0">
                  <c:v>11307</c:v>
                </c:pt>
                <c:pt idx="1">
                  <c:v>11014</c:v>
                </c:pt>
                <c:pt idx="2">
                  <c:v>7352</c:v>
                </c:pt>
                <c:pt idx="3">
                  <c:v>7020</c:v>
                </c:pt>
                <c:pt idx="4">
                  <c:v>5342</c:v>
                </c:pt>
                <c:pt idx="5">
                  <c:v>5235</c:v>
                </c:pt>
                <c:pt idx="6">
                  <c:v>3225</c:v>
                </c:pt>
                <c:pt idx="7">
                  <c:v>2796</c:v>
                </c:pt>
                <c:pt idx="8">
                  <c:v>2492</c:v>
                </c:pt>
                <c:pt idx="9">
                  <c:v>2170</c:v>
                </c:pt>
              </c:numCache>
            </c:numRef>
          </c:val>
          <c:extLst>
            <c:ext xmlns:c16="http://schemas.microsoft.com/office/drawing/2014/chart" uri="{C3380CC4-5D6E-409C-BE32-E72D297353CC}">
              <c16:uniqueId val="{00000000-F83A-496E-B976-3BC706E918AD}"/>
            </c:ext>
          </c:extLst>
        </c:ser>
        <c:dLbls>
          <c:showLegendKey val="0"/>
          <c:showVal val="0"/>
          <c:showCatName val="0"/>
          <c:showSerName val="0"/>
          <c:showPercent val="0"/>
          <c:showBubbleSize val="0"/>
        </c:dLbls>
        <c:gapWidth val="247"/>
        <c:axId val="613584848"/>
        <c:axId val="613584520"/>
      </c:barChart>
      <c:valAx>
        <c:axId val="613584520"/>
        <c:scaling>
          <c:orientation val="minMax"/>
        </c:scaling>
        <c:delete val="0"/>
        <c:axPos val="t"/>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s-CR"/>
          </a:p>
        </c:txPr>
        <c:crossAx val="613584848"/>
        <c:crosses val="autoZero"/>
        <c:crossBetween val="between"/>
      </c:valAx>
      <c:catAx>
        <c:axId val="613584848"/>
        <c:scaling>
          <c:orientation val="maxMin"/>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700" b="1" i="0" u="none" strike="noStrike" kern="1200" cap="none" spc="0" normalizeH="0" baseline="0">
                <a:solidFill>
                  <a:sysClr val="windowText" lastClr="000000"/>
                </a:solidFill>
                <a:latin typeface="+mn-lt"/>
                <a:ea typeface="+mn-ea"/>
                <a:cs typeface="+mn-cs"/>
              </a:defRPr>
            </a:pPr>
            <a:endParaRPr lang="es-CR"/>
          </a:p>
        </c:txPr>
        <c:crossAx val="613584520"/>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40000"/>
        <a:lumOff val="60000"/>
      </a:schemeClr>
    </a:solidFill>
    <a:ln w="9525" cap="flat" cmpd="sng" algn="ctr">
      <a:solidFill>
        <a:schemeClr val="dk1">
          <a:lumMod val="15000"/>
          <a:lumOff val="85000"/>
        </a:schemeClr>
      </a:solidFill>
      <a:round/>
    </a:ln>
    <a:effectLst/>
  </c:spPr>
  <c:txPr>
    <a:bodyPr/>
    <a:lstStyle/>
    <a:p>
      <a:pPr>
        <a:defRPr/>
      </a:pPr>
      <a:endParaRPr lang="es-CR"/>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cap="none" spc="0" normalizeH="0" baseline="0">
                <a:solidFill>
                  <a:schemeClr val="dk1">
                    <a:lumMod val="50000"/>
                    <a:lumOff val="50000"/>
                  </a:schemeClr>
                </a:solidFill>
                <a:latin typeface="+mj-lt"/>
                <a:ea typeface="+mj-ea"/>
                <a:cs typeface="+mj-cs"/>
              </a:defRPr>
            </a:pPr>
            <a:r>
              <a:rPr lang="es-CR" sz="1100">
                <a:solidFill>
                  <a:sysClr val="windowText" lastClr="000000"/>
                </a:solidFill>
              </a:rPr>
              <a:t>Gráfico</a:t>
            </a:r>
            <a:r>
              <a:rPr lang="es-CR" sz="1100" baseline="0">
                <a:solidFill>
                  <a:sysClr val="windowText" lastClr="000000"/>
                </a:solidFill>
              </a:rPr>
              <a:t> 4. Tendencia para la cantidad de causas terminadas y su relación con las sentencias dictadas.</a:t>
            </a:r>
          </a:p>
          <a:p>
            <a:pPr>
              <a:defRPr sz="1100"/>
            </a:pPr>
            <a:r>
              <a:rPr lang="es-CR" sz="1100" baseline="0">
                <a:solidFill>
                  <a:sysClr val="windowText" lastClr="000000"/>
                </a:solidFill>
              </a:rPr>
              <a:t>Periodo 2015-2019.</a:t>
            </a:r>
            <a:endParaRPr lang="es-CR" sz="1100">
              <a:solidFill>
                <a:sysClr val="windowText" lastClr="000000"/>
              </a:solidFill>
            </a:endParaRPr>
          </a:p>
        </c:rich>
      </c:tx>
      <c:overlay val="0"/>
      <c:spPr>
        <a:noFill/>
        <a:ln>
          <a:noFill/>
        </a:ln>
        <a:effectLst/>
      </c:spPr>
      <c:txPr>
        <a:bodyPr rot="0" spcFirstLastPara="1" vertOverflow="ellipsis" vert="horz" wrap="square" anchor="ctr" anchorCtr="1"/>
        <a:lstStyle/>
        <a:p>
          <a:pPr>
            <a:defRPr sz="1100" b="1" i="0" u="none" strike="noStrike" kern="1200" cap="none" spc="0" normalizeH="0" baseline="0">
              <a:solidFill>
                <a:schemeClr val="dk1">
                  <a:lumMod val="50000"/>
                  <a:lumOff val="50000"/>
                </a:schemeClr>
              </a:solidFill>
              <a:latin typeface="+mj-lt"/>
              <a:ea typeface="+mj-ea"/>
              <a:cs typeface="+mj-cs"/>
            </a:defRPr>
          </a:pPr>
          <a:endParaRPr lang="es-CR"/>
        </a:p>
      </c:txPr>
    </c:title>
    <c:autoTitleDeleted val="0"/>
    <c:plotArea>
      <c:layout>
        <c:manualLayout>
          <c:layoutTarget val="inner"/>
          <c:xMode val="edge"/>
          <c:yMode val="edge"/>
          <c:x val="5.6399977469218876E-2"/>
          <c:y val="0.20120997375328084"/>
          <c:w val="0.75034836995809762"/>
          <c:h val="0.66921055701370658"/>
        </c:manualLayout>
      </c:layout>
      <c:barChart>
        <c:barDir val="col"/>
        <c:grouping val="clustered"/>
        <c:varyColors val="0"/>
        <c:ser>
          <c:idx val="1"/>
          <c:order val="1"/>
          <c:tx>
            <c:strRef>
              <c:f>Hoja2!$C$86</c:f>
              <c:strCache>
                <c:ptCount val="1"/>
                <c:pt idx="0">
                  <c:v>Sentencias dictadas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Hoja2!$D$84:$H$84</c:f>
              <c:numCache>
                <c:formatCode>General</c:formatCode>
                <c:ptCount val="5"/>
                <c:pt idx="0">
                  <c:v>2015</c:v>
                </c:pt>
                <c:pt idx="1">
                  <c:v>2016</c:v>
                </c:pt>
                <c:pt idx="2">
                  <c:v>2017</c:v>
                </c:pt>
                <c:pt idx="3">
                  <c:v>2018</c:v>
                </c:pt>
                <c:pt idx="4">
                  <c:v>2019</c:v>
                </c:pt>
              </c:numCache>
            </c:numRef>
          </c:cat>
          <c:val>
            <c:numRef>
              <c:f>Hoja2!$D$86:$H$86</c:f>
              <c:numCache>
                <c:formatCode>#,##0</c:formatCode>
                <c:ptCount val="5"/>
                <c:pt idx="0">
                  <c:v>44260</c:v>
                </c:pt>
                <c:pt idx="1">
                  <c:v>49746</c:v>
                </c:pt>
                <c:pt idx="2">
                  <c:v>50118</c:v>
                </c:pt>
                <c:pt idx="3">
                  <c:v>48072</c:v>
                </c:pt>
                <c:pt idx="4">
                  <c:v>52528</c:v>
                </c:pt>
              </c:numCache>
            </c:numRef>
          </c:val>
          <c:extLst>
            <c:ext xmlns:c16="http://schemas.microsoft.com/office/drawing/2014/chart" uri="{C3380CC4-5D6E-409C-BE32-E72D297353CC}">
              <c16:uniqueId val="{00000000-8108-41FF-99F3-74D62FBB758B}"/>
            </c:ext>
          </c:extLst>
        </c:ser>
        <c:dLbls>
          <c:showLegendKey val="0"/>
          <c:showVal val="0"/>
          <c:showCatName val="0"/>
          <c:showSerName val="0"/>
          <c:showPercent val="0"/>
          <c:showBubbleSize val="0"/>
        </c:dLbls>
        <c:gapWidth val="150"/>
        <c:axId val="546553616"/>
        <c:axId val="546555584"/>
      </c:barChart>
      <c:lineChart>
        <c:grouping val="standard"/>
        <c:varyColors val="0"/>
        <c:ser>
          <c:idx val="0"/>
          <c:order val="0"/>
          <c:tx>
            <c:strRef>
              <c:f>Hoja2!$C$85</c:f>
              <c:strCache>
                <c:ptCount val="1"/>
                <c:pt idx="0">
                  <c:v>Casos terminados</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C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Hoja2!$D$84:$H$84</c:f>
              <c:numCache>
                <c:formatCode>General</c:formatCode>
                <c:ptCount val="5"/>
                <c:pt idx="0">
                  <c:v>2015</c:v>
                </c:pt>
                <c:pt idx="1">
                  <c:v>2016</c:v>
                </c:pt>
                <c:pt idx="2">
                  <c:v>2017</c:v>
                </c:pt>
                <c:pt idx="3">
                  <c:v>2018</c:v>
                </c:pt>
                <c:pt idx="4">
                  <c:v>2019</c:v>
                </c:pt>
              </c:numCache>
            </c:numRef>
          </c:cat>
          <c:val>
            <c:numRef>
              <c:f>Hoja2!$D$85:$H$85</c:f>
              <c:numCache>
                <c:formatCode>#,##0</c:formatCode>
                <c:ptCount val="5"/>
                <c:pt idx="0">
                  <c:v>75235</c:v>
                </c:pt>
                <c:pt idx="1">
                  <c:v>83428</c:v>
                </c:pt>
                <c:pt idx="2">
                  <c:v>83340</c:v>
                </c:pt>
                <c:pt idx="3">
                  <c:v>79020</c:v>
                </c:pt>
                <c:pt idx="4">
                  <c:v>83590</c:v>
                </c:pt>
              </c:numCache>
            </c:numRef>
          </c:val>
          <c:smooth val="1"/>
          <c:extLst>
            <c:ext xmlns:c16="http://schemas.microsoft.com/office/drawing/2014/chart" uri="{C3380CC4-5D6E-409C-BE32-E72D297353CC}">
              <c16:uniqueId val="{00000001-8108-41FF-99F3-74D62FBB758B}"/>
            </c:ext>
          </c:extLst>
        </c:ser>
        <c:dLbls>
          <c:showLegendKey val="0"/>
          <c:showVal val="0"/>
          <c:showCatName val="0"/>
          <c:showSerName val="0"/>
          <c:showPercent val="0"/>
          <c:showBubbleSize val="0"/>
        </c:dLbls>
        <c:marker val="1"/>
        <c:smooth val="0"/>
        <c:axId val="546553616"/>
        <c:axId val="546555584"/>
      </c:lineChart>
      <c:catAx>
        <c:axId val="54655361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cap="none" spc="0" normalizeH="0" baseline="0">
                <a:solidFill>
                  <a:sysClr val="windowText" lastClr="000000"/>
                </a:solidFill>
                <a:latin typeface="+mn-lt"/>
                <a:ea typeface="+mn-ea"/>
                <a:cs typeface="+mn-cs"/>
              </a:defRPr>
            </a:pPr>
            <a:endParaRPr lang="es-CR"/>
          </a:p>
        </c:txPr>
        <c:crossAx val="546555584"/>
        <c:crosses val="autoZero"/>
        <c:auto val="1"/>
        <c:lblAlgn val="ctr"/>
        <c:lblOffset val="100"/>
        <c:noMultiLvlLbl val="0"/>
      </c:catAx>
      <c:valAx>
        <c:axId val="546555584"/>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CR"/>
          </a:p>
        </c:txPr>
        <c:crossAx val="546553616"/>
        <c:crosses val="autoZero"/>
        <c:crossBetween val="between"/>
      </c:valAx>
      <c:spPr>
        <a:pattFill prst="ltDnDiag">
          <a:fgClr>
            <a:schemeClr val="dk1">
              <a:lumMod val="15000"/>
              <a:lumOff val="85000"/>
            </a:schemeClr>
          </a:fgClr>
          <a:bgClr>
            <a:schemeClr val="lt1"/>
          </a:bgClr>
        </a:pattFill>
        <a:ln>
          <a:noFill/>
        </a:ln>
        <a:effectLst/>
      </c:spPr>
    </c:plotArea>
    <c:legend>
      <c:legendPos val="r"/>
      <c:layout>
        <c:manualLayout>
          <c:xMode val="edge"/>
          <c:yMode val="edge"/>
          <c:x val="0.7844978644471885"/>
          <c:y val="0.31102828813065031"/>
          <c:w val="0.2155021355528115"/>
          <c:h val="0.11605424321959755"/>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3">
        <a:lumMod val="60000"/>
        <a:lumOff val="40000"/>
      </a:schemeClr>
    </a:solidFill>
    <a:ln w="9525" cap="flat" cmpd="sng" algn="ctr">
      <a:solidFill>
        <a:schemeClr val="dk1">
          <a:lumMod val="15000"/>
          <a:lumOff val="85000"/>
        </a:schemeClr>
      </a:solidFill>
      <a:round/>
    </a:ln>
    <a:effectLst/>
  </c:spPr>
  <c:txPr>
    <a:bodyPr/>
    <a:lstStyle/>
    <a:p>
      <a:pPr>
        <a:defRPr/>
      </a:pPr>
      <a:endParaRPr lang="es-CR"/>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s-CR" sz="1200"/>
              <a:t>Gráfico</a:t>
            </a:r>
            <a:r>
              <a:rPr lang="es-CR" sz="1200" baseline="0"/>
              <a:t> 6. Distribución del circulante al finalizar según fase.</a:t>
            </a:r>
          </a:p>
          <a:p>
            <a:pPr>
              <a:defRPr sz="1200"/>
            </a:pPr>
            <a:r>
              <a:rPr lang="es-CR" sz="1200" baseline="0"/>
              <a:t>Periodo 2015-2019.</a:t>
            </a:r>
            <a:endParaRPr lang="es-CR"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manualLayout>
          <c:layoutTarget val="inner"/>
          <c:xMode val="edge"/>
          <c:yMode val="edge"/>
          <c:x val="1.215469719012461E-2"/>
          <c:y val="0.23617956846303301"/>
          <c:w val="0.97569060561975074"/>
          <c:h val="0.64154957902989396"/>
        </c:manualLayout>
      </c:layout>
      <c:barChart>
        <c:barDir val="col"/>
        <c:grouping val="clustered"/>
        <c:varyColors val="0"/>
        <c:ser>
          <c:idx val="1"/>
          <c:order val="0"/>
          <c:tx>
            <c:strRef>
              <c:f>Hoja2!$C$180</c:f>
              <c:strCache>
                <c:ptCount val="1"/>
                <c:pt idx="0">
                  <c:v>Demanda</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Hoja2!$D$179:$H$179</c:f>
              <c:numCache>
                <c:formatCode>General</c:formatCode>
                <c:ptCount val="5"/>
                <c:pt idx="0">
                  <c:v>2015</c:v>
                </c:pt>
                <c:pt idx="1">
                  <c:v>2016</c:v>
                </c:pt>
                <c:pt idx="2">
                  <c:v>2017</c:v>
                </c:pt>
                <c:pt idx="3">
                  <c:v>2018</c:v>
                </c:pt>
                <c:pt idx="4">
                  <c:v>2019</c:v>
                </c:pt>
              </c:numCache>
            </c:numRef>
          </c:cat>
          <c:val>
            <c:numRef>
              <c:f>Hoja2!$D$180:$H$180</c:f>
              <c:numCache>
                <c:formatCode>#,##0</c:formatCode>
                <c:ptCount val="5"/>
                <c:pt idx="0">
                  <c:v>19016</c:v>
                </c:pt>
                <c:pt idx="1">
                  <c:v>16703</c:v>
                </c:pt>
                <c:pt idx="2">
                  <c:v>18378</c:v>
                </c:pt>
                <c:pt idx="3">
                  <c:v>18243</c:v>
                </c:pt>
                <c:pt idx="4">
                  <c:v>15794</c:v>
                </c:pt>
              </c:numCache>
            </c:numRef>
          </c:val>
          <c:extLst>
            <c:ext xmlns:c16="http://schemas.microsoft.com/office/drawing/2014/chart" uri="{C3380CC4-5D6E-409C-BE32-E72D297353CC}">
              <c16:uniqueId val="{00000000-458A-4858-8DA3-CDDFB2095664}"/>
            </c:ext>
          </c:extLst>
        </c:ser>
        <c:ser>
          <c:idx val="2"/>
          <c:order val="1"/>
          <c:tx>
            <c:strRef>
              <c:f>Hoja2!$C$181</c:f>
              <c:strCache>
                <c:ptCount val="1"/>
                <c:pt idx="0">
                  <c:v>Demostrativa</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Hoja2!$D$179:$H$179</c:f>
              <c:numCache>
                <c:formatCode>General</c:formatCode>
                <c:ptCount val="5"/>
                <c:pt idx="0">
                  <c:v>2015</c:v>
                </c:pt>
                <c:pt idx="1">
                  <c:v>2016</c:v>
                </c:pt>
                <c:pt idx="2">
                  <c:v>2017</c:v>
                </c:pt>
                <c:pt idx="3">
                  <c:v>2018</c:v>
                </c:pt>
                <c:pt idx="4">
                  <c:v>2019</c:v>
                </c:pt>
              </c:numCache>
            </c:numRef>
          </c:cat>
          <c:val>
            <c:numRef>
              <c:f>Hoja2!$D$181:$H$181</c:f>
              <c:numCache>
                <c:formatCode>#,##0</c:formatCode>
                <c:ptCount val="5"/>
                <c:pt idx="0">
                  <c:v>3267</c:v>
                </c:pt>
                <c:pt idx="1">
                  <c:v>8006</c:v>
                </c:pt>
                <c:pt idx="2">
                  <c:v>10608</c:v>
                </c:pt>
                <c:pt idx="3">
                  <c:v>7668</c:v>
                </c:pt>
                <c:pt idx="4">
                  <c:v>8613</c:v>
                </c:pt>
              </c:numCache>
            </c:numRef>
          </c:val>
          <c:extLst>
            <c:ext xmlns:c16="http://schemas.microsoft.com/office/drawing/2014/chart" uri="{C3380CC4-5D6E-409C-BE32-E72D297353CC}">
              <c16:uniqueId val="{00000001-458A-4858-8DA3-CDDFB2095664}"/>
            </c:ext>
          </c:extLst>
        </c:ser>
        <c:ser>
          <c:idx val="3"/>
          <c:order val="2"/>
          <c:tx>
            <c:strRef>
              <c:f>Hoja2!$C$182</c:f>
              <c:strCache>
                <c:ptCount val="1"/>
                <c:pt idx="0">
                  <c:v>Conclusiva</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Hoja2!$D$179:$H$179</c:f>
              <c:numCache>
                <c:formatCode>General</c:formatCode>
                <c:ptCount val="5"/>
                <c:pt idx="0">
                  <c:v>2015</c:v>
                </c:pt>
                <c:pt idx="1">
                  <c:v>2016</c:v>
                </c:pt>
                <c:pt idx="2">
                  <c:v>2017</c:v>
                </c:pt>
                <c:pt idx="3">
                  <c:v>2018</c:v>
                </c:pt>
                <c:pt idx="4">
                  <c:v>2019</c:v>
                </c:pt>
              </c:numCache>
            </c:numRef>
          </c:cat>
          <c:val>
            <c:numRef>
              <c:f>Hoja2!$D$182:$H$182</c:f>
              <c:numCache>
                <c:formatCode>#,##0</c:formatCode>
                <c:ptCount val="5"/>
                <c:pt idx="0">
                  <c:v>126</c:v>
                </c:pt>
                <c:pt idx="1">
                  <c:v>1186</c:v>
                </c:pt>
                <c:pt idx="2">
                  <c:v>1427</c:v>
                </c:pt>
                <c:pt idx="3">
                  <c:v>1632</c:v>
                </c:pt>
                <c:pt idx="4">
                  <c:v>956</c:v>
                </c:pt>
              </c:numCache>
            </c:numRef>
          </c:val>
          <c:extLst>
            <c:ext xmlns:c16="http://schemas.microsoft.com/office/drawing/2014/chart" uri="{C3380CC4-5D6E-409C-BE32-E72D297353CC}">
              <c16:uniqueId val="{00000002-458A-4858-8DA3-CDDFB2095664}"/>
            </c:ext>
          </c:extLst>
        </c:ser>
        <c:ser>
          <c:idx val="4"/>
          <c:order val="3"/>
          <c:tx>
            <c:strRef>
              <c:f>Hoja2!$C$183</c:f>
              <c:strCache>
                <c:ptCount val="1"/>
                <c:pt idx="0">
                  <c:v>Ejecución</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Hoja2!$D$179:$H$179</c:f>
              <c:numCache>
                <c:formatCode>General</c:formatCode>
                <c:ptCount val="5"/>
                <c:pt idx="0">
                  <c:v>2015</c:v>
                </c:pt>
                <c:pt idx="1">
                  <c:v>2016</c:v>
                </c:pt>
                <c:pt idx="2">
                  <c:v>2017</c:v>
                </c:pt>
                <c:pt idx="3">
                  <c:v>2018</c:v>
                </c:pt>
                <c:pt idx="4">
                  <c:v>2019</c:v>
                </c:pt>
              </c:numCache>
            </c:numRef>
          </c:cat>
          <c:val>
            <c:numRef>
              <c:f>Hoja2!$D$183:$H$183</c:f>
              <c:numCache>
                <c:formatCode>#,##0</c:formatCode>
                <c:ptCount val="5"/>
                <c:pt idx="0">
                  <c:v>0</c:v>
                </c:pt>
                <c:pt idx="1">
                  <c:v>19</c:v>
                </c:pt>
                <c:pt idx="2">
                  <c:v>48</c:v>
                </c:pt>
                <c:pt idx="3">
                  <c:v>43</c:v>
                </c:pt>
                <c:pt idx="4">
                  <c:v>74</c:v>
                </c:pt>
              </c:numCache>
            </c:numRef>
          </c:val>
          <c:extLst>
            <c:ext xmlns:c16="http://schemas.microsoft.com/office/drawing/2014/chart" uri="{C3380CC4-5D6E-409C-BE32-E72D297353CC}">
              <c16:uniqueId val="{00000003-458A-4858-8DA3-CDDFB2095664}"/>
            </c:ext>
          </c:extLst>
        </c:ser>
        <c:ser>
          <c:idx val="5"/>
          <c:order val="4"/>
          <c:tx>
            <c:strRef>
              <c:f>Hoja2!$C$184</c:f>
              <c:strCache>
                <c:ptCount val="1"/>
                <c:pt idx="0">
                  <c:v>Sin Fase</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Hoja2!$D$179:$H$179</c:f>
              <c:numCache>
                <c:formatCode>General</c:formatCode>
                <c:ptCount val="5"/>
                <c:pt idx="0">
                  <c:v>2015</c:v>
                </c:pt>
                <c:pt idx="1">
                  <c:v>2016</c:v>
                </c:pt>
                <c:pt idx="2">
                  <c:v>2017</c:v>
                </c:pt>
                <c:pt idx="3">
                  <c:v>2018</c:v>
                </c:pt>
                <c:pt idx="4">
                  <c:v>2019</c:v>
                </c:pt>
              </c:numCache>
            </c:numRef>
          </c:cat>
          <c:val>
            <c:numRef>
              <c:f>Hoja2!$D$184:$H$184</c:f>
              <c:numCache>
                <c:formatCode>#,##0</c:formatCode>
                <c:ptCount val="5"/>
                <c:pt idx="0">
                  <c:v>7066</c:v>
                </c:pt>
                <c:pt idx="1">
                  <c:v>4504</c:v>
                </c:pt>
                <c:pt idx="2">
                  <c:v>1</c:v>
                </c:pt>
                <c:pt idx="3">
                  <c:v>1</c:v>
                </c:pt>
                <c:pt idx="4">
                  <c:v>0</c:v>
                </c:pt>
              </c:numCache>
            </c:numRef>
          </c:val>
          <c:extLst>
            <c:ext xmlns:c16="http://schemas.microsoft.com/office/drawing/2014/chart" uri="{C3380CC4-5D6E-409C-BE32-E72D297353CC}">
              <c16:uniqueId val="{00000004-458A-4858-8DA3-CDDFB2095664}"/>
            </c:ext>
          </c:extLst>
        </c:ser>
        <c:dLbls>
          <c:showLegendKey val="0"/>
          <c:showVal val="0"/>
          <c:showCatName val="0"/>
          <c:showSerName val="0"/>
          <c:showPercent val="0"/>
          <c:showBubbleSize val="0"/>
        </c:dLbls>
        <c:gapWidth val="150"/>
        <c:axId val="618010136"/>
        <c:axId val="618010464"/>
      </c:barChart>
      <c:lineChart>
        <c:grouping val="standard"/>
        <c:varyColors val="0"/>
        <c:ser>
          <c:idx val="6"/>
          <c:order val="5"/>
          <c:tx>
            <c:strRef>
              <c:f>Hoja2!$C$185</c:f>
              <c:strCache>
                <c:ptCount val="1"/>
                <c:pt idx="0">
                  <c:v>Circulante al finalizar total</c:v>
                </c:pt>
              </c:strCache>
            </c:strRef>
          </c:tx>
          <c:spPr>
            <a:ln w="31750" cap="rnd">
              <a:solidFill>
                <a:schemeClr val="accent1">
                  <a:lumMod val="60000"/>
                  <a:alpha val="8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Hoja2!$D$185:$H$185</c:f>
              <c:numCache>
                <c:formatCode>#,##0</c:formatCode>
                <c:ptCount val="5"/>
                <c:pt idx="0">
                  <c:v>29475</c:v>
                </c:pt>
                <c:pt idx="1">
                  <c:v>30418</c:v>
                </c:pt>
                <c:pt idx="2">
                  <c:v>30462</c:v>
                </c:pt>
                <c:pt idx="3">
                  <c:v>27587</c:v>
                </c:pt>
                <c:pt idx="4">
                  <c:v>25437</c:v>
                </c:pt>
              </c:numCache>
            </c:numRef>
          </c:val>
          <c:smooth val="1"/>
          <c:extLst>
            <c:ext xmlns:c16="http://schemas.microsoft.com/office/drawing/2014/chart" uri="{C3380CC4-5D6E-409C-BE32-E72D297353CC}">
              <c16:uniqueId val="{00000005-458A-4858-8DA3-CDDFB2095664}"/>
            </c:ext>
          </c:extLst>
        </c:ser>
        <c:dLbls>
          <c:showLegendKey val="0"/>
          <c:showVal val="0"/>
          <c:showCatName val="0"/>
          <c:showSerName val="0"/>
          <c:showPercent val="0"/>
          <c:showBubbleSize val="0"/>
        </c:dLbls>
        <c:marker val="1"/>
        <c:smooth val="0"/>
        <c:axId val="618010136"/>
        <c:axId val="618010464"/>
      </c:lineChart>
      <c:catAx>
        <c:axId val="6180101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50" b="1" i="0" u="none" strike="noStrike" kern="1200" cap="all" baseline="0">
                <a:solidFill>
                  <a:sysClr val="windowText" lastClr="000000"/>
                </a:solidFill>
                <a:latin typeface="+mn-lt"/>
                <a:ea typeface="+mn-ea"/>
                <a:cs typeface="+mn-cs"/>
              </a:defRPr>
            </a:pPr>
            <a:endParaRPr lang="es-CR"/>
          </a:p>
        </c:txPr>
        <c:crossAx val="618010464"/>
        <c:crosses val="autoZero"/>
        <c:auto val="1"/>
        <c:lblAlgn val="ctr"/>
        <c:lblOffset val="100"/>
        <c:noMultiLvlLbl val="0"/>
      </c:catAx>
      <c:valAx>
        <c:axId val="6180104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618010136"/>
        <c:crosses val="autoZero"/>
        <c:crossBetween val="between"/>
      </c:valAx>
      <c:spPr>
        <a:noFill/>
        <a:ln>
          <a:noFill/>
        </a:ln>
        <a:effectLst/>
      </c:spPr>
    </c:plotArea>
    <c:legend>
      <c:legendPos val="t"/>
      <c:overlay val="0"/>
      <c:spPr>
        <a:solidFill>
          <a:schemeClr val="lt1">
            <a:lumMod val="95000"/>
            <a:alpha val="39000"/>
          </a:schemeClr>
        </a:solid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s-C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0.00541</cdr:x>
      <cdr:y>0.93296</cdr:y>
    </cdr:from>
    <cdr:to>
      <cdr:x>0.62967</cdr:x>
      <cdr:y>0.99234</cdr:y>
    </cdr:to>
    <cdr:sp macro="" textlink="">
      <cdr:nvSpPr>
        <cdr:cNvPr id="2" name="Text Box 1"/>
        <cdr:cNvSpPr txBox="1">
          <a:spLocks xmlns:a="http://schemas.openxmlformats.org/drawingml/2006/main" noChangeArrowheads="1"/>
        </cdr:cNvSpPr>
      </cdr:nvSpPr>
      <cdr:spPr bwMode="auto">
        <a:xfrm xmlns:a="http://schemas.openxmlformats.org/drawingml/2006/main">
          <a:off x="30361" y="3181350"/>
          <a:ext cx="3503413" cy="202480"/>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s-CR" sz="800" b="1" i="0" u="none" strike="noStrike" baseline="0">
              <a:solidFill>
                <a:srgbClr val="000000"/>
              </a:solidFill>
              <a:latin typeface="Times New Roman"/>
              <a:cs typeface="Times New Roman"/>
            </a:rPr>
            <a:t>Elaborado por: Sub Proceso de Estadística, Dirección de Planificación. </a:t>
          </a:r>
        </a:p>
      </cdr:txBody>
    </cdr:sp>
  </cdr:relSizeAnchor>
</c:userShapes>
</file>

<file path=word/drawings/drawing2.xml><?xml version="1.0" encoding="utf-8"?>
<c:userShapes xmlns:c="http://schemas.openxmlformats.org/drawingml/2006/chart">
  <cdr:relSizeAnchor xmlns:cdr="http://schemas.openxmlformats.org/drawingml/2006/chartDrawing">
    <cdr:from>
      <cdr:x>0.00688</cdr:x>
      <cdr:y>0.94282</cdr:y>
    </cdr:from>
    <cdr:to>
      <cdr:x>0.57366</cdr:x>
      <cdr:y>1</cdr:y>
    </cdr:to>
    <cdr:sp macro="" textlink="">
      <cdr:nvSpPr>
        <cdr:cNvPr id="2" name="Text Box 1"/>
        <cdr:cNvSpPr txBox="1">
          <a:spLocks xmlns:a="http://schemas.openxmlformats.org/drawingml/2006/main" noChangeArrowheads="1"/>
        </cdr:cNvSpPr>
      </cdr:nvSpPr>
      <cdr:spPr bwMode="auto">
        <a:xfrm xmlns:a="http://schemas.openxmlformats.org/drawingml/2006/main">
          <a:off x="38611" y="2743200"/>
          <a:ext cx="3180839" cy="166370"/>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s-CR" sz="800" b="1" i="0" u="none" strike="noStrike" baseline="0">
              <a:solidFill>
                <a:srgbClr val="000000"/>
              </a:solidFill>
              <a:latin typeface="Times New Roman"/>
              <a:cs typeface="Times New Roman"/>
            </a:rPr>
            <a:t>Elaborado por: Sub Proceso de Estadística, Dirección de Planificación. </a:t>
          </a:r>
        </a:p>
      </cdr:txBody>
    </cdr:sp>
  </cdr:relSizeAnchor>
</c:userShapes>
</file>

<file path=word/drawings/drawing3.xml><?xml version="1.0" encoding="utf-8"?>
<c:userShapes xmlns:c="http://schemas.openxmlformats.org/drawingml/2006/chart">
  <cdr:relSizeAnchor xmlns:cdr="http://schemas.openxmlformats.org/drawingml/2006/chartDrawing">
    <cdr:from>
      <cdr:x>0.00728</cdr:x>
      <cdr:y>0.94293</cdr:y>
    </cdr:from>
    <cdr:to>
      <cdr:x>0.50068</cdr:x>
      <cdr:y>0.98291</cdr:y>
    </cdr:to>
    <cdr:sp macro="" textlink="">
      <cdr:nvSpPr>
        <cdr:cNvPr id="2" name="Text Box 1"/>
        <cdr:cNvSpPr txBox="1">
          <a:spLocks xmlns:a="http://schemas.openxmlformats.org/drawingml/2006/main" noChangeArrowheads="1"/>
        </cdr:cNvSpPr>
      </cdr:nvSpPr>
      <cdr:spPr bwMode="auto">
        <a:xfrm xmlns:a="http://schemas.openxmlformats.org/drawingml/2006/main">
          <a:off x="40854" y="3305175"/>
          <a:ext cx="2769021" cy="140135"/>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s-CR" sz="700" b="1" i="0" u="none" strike="noStrike" baseline="0">
              <a:solidFill>
                <a:srgbClr val="000000"/>
              </a:solidFill>
              <a:latin typeface="Times New Roman"/>
              <a:cs typeface="Times New Roman"/>
            </a:rPr>
            <a:t>Elaborado por: Sub Proceso de Estadística, Dirección de Planificación. </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0.94722</cdr:y>
    </cdr:from>
    <cdr:to>
      <cdr:x>0.55329</cdr:x>
      <cdr:y>0.98611</cdr:y>
    </cdr:to>
    <cdr:sp macro="" textlink="">
      <cdr:nvSpPr>
        <cdr:cNvPr id="2" name="Text Box 1"/>
        <cdr:cNvSpPr txBox="1">
          <a:spLocks xmlns:a="http://schemas.openxmlformats.org/drawingml/2006/main" noChangeArrowheads="1"/>
        </cdr:cNvSpPr>
      </cdr:nvSpPr>
      <cdr:spPr bwMode="auto">
        <a:xfrm xmlns:a="http://schemas.openxmlformats.org/drawingml/2006/main">
          <a:off x="0" y="3248025"/>
          <a:ext cx="3105149" cy="133350"/>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s-CR" sz="800" b="1" i="0" u="none" strike="noStrike" baseline="0">
              <a:solidFill>
                <a:srgbClr val="000000"/>
              </a:solidFill>
              <a:latin typeface="Times New Roman"/>
              <a:cs typeface="Times New Roman"/>
            </a:rPr>
            <a:t>Elaborado por: Sub Proceso de Estadística, Dirección de Planificación. </a:t>
          </a: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0.95887</cdr:y>
    </cdr:from>
    <cdr:to>
      <cdr:x>0.65343</cdr:x>
      <cdr:y>1</cdr:y>
    </cdr:to>
    <cdr:sp macro="" textlink="">
      <cdr:nvSpPr>
        <cdr:cNvPr id="2" name="Text Box 1"/>
        <cdr:cNvSpPr txBox="1">
          <a:spLocks xmlns:a="http://schemas.openxmlformats.org/drawingml/2006/main" noChangeArrowheads="1"/>
        </cdr:cNvSpPr>
      </cdr:nvSpPr>
      <cdr:spPr bwMode="auto">
        <a:xfrm xmlns:a="http://schemas.openxmlformats.org/drawingml/2006/main">
          <a:off x="0" y="4219574"/>
          <a:ext cx="3667125" cy="180975"/>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s-CR" sz="800" b="1" i="0" u="none" strike="noStrike" baseline="0">
              <a:solidFill>
                <a:srgbClr val="000000"/>
              </a:solidFill>
              <a:latin typeface="Times New Roman"/>
              <a:cs typeface="Times New Roman"/>
            </a:rPr>
            <a:t>Elaborado por: Sub Proceso de Estadística, Dirección de Planificación. </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110</TotalTime>
  <Pages>17</Pages>
  <Words>3845</Words>
  <Characters>21152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24948</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Secretaría General de la Corte - Comunicaciones - Elienai Díaz Obando</cp:lastModifiedBy>
  <cp:revision>7</cp:revision>
  <cp:lastPrinted>2016-02-03T19:46:00Z</cp:lastPrinted>
  <dcterms:created xsi:type="dcterms:W3CDTF">2021-02-05T04:12:00Z</dcterms:created>
  <dcterms:modified xsi:type="dcterms:W3CDTF">2021-02-09T16:44:00Z</dcterms:modified>
</cp:coreProperties>
</file>